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hart11.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charts/chart8.xml" ContentType="application/vnd.openxmlformats-officedocument.drawingml.chart+xml"/>
  <Override PartName="/word/charts/chart7.xml" ContentType="application/vnd.openxmlformats-officedocument.drawingml.chart+xml"/>
  <Override PartName="/word/charts/chart12.xml" ContentType="application/vnd.openxmlformats-officedocument.drawingml.chart+xml"/>
  <Override PartName="/word/charts/chart6.xml" ContentType="application/vnd.openxmlformats-officedocument.drawingml.chart+xml"/>
  <Override PartName="/word/theme/theme1.xml" ContentType="application/vnd.openxmlformats-officedocument.theme+xml"/>
  <Override PartName="/word/charts/chart1.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omments.xml" ContentType="application/vnd.openxmlformats-officedocument.wordprocessingml.comments+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customXml/itemProps2.xml" ContentType="application/vnd.openxmlformats-officedocument.customXml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28" w:rsidRPr="00FA5324" w:rsidRDefault="00563C28" w:rsidP="008265C4">
      <w:pPr>
        <w:rPr>
          <w:lang w:val="es-DO"/>
        </w:rPr>
      </w:pPr>
      <w:bookmarkStart w:id="0" w:name="_GoBack"/>
      <w:bookmarkEnd w:id="0"/>
    </w:p>
    <w:p w:rsidR="00563C28" w:rsidRPr="00FA5324" w:rsidRDefault="00563C28" w:rsidP="00292D0D">
      <w:pPr>
        <w:jc w:val="center"/>
        <w:rPr>
          <w:lang w:val="es-DO"/>
        </w:rPr>
      </w:pPr>
    </w:p>
    <w:p w:rsidR="00563C28" w:rsidRPr="00FA5324" w:rsidRDefault="008B09E2" w:rsidP="00292D0D">
      <w:pPr>
        <w:jc w:val="center"/>
        <w:rPr>
          <w:highlight w:val="lightGray"/>
          <w:lang w:val="es-DO"/>
        </w:rPr>
      </w:pPr>
      <w:bookmarkStart w:id="1" w:name="Book00"/>
      <w:r w:rsidRPr="00FA5324">
        <w:rPr>
          <w:highlight w:val="lightGray"/>
          <w:lang w:val="es-DO"/>
        </w:rPr>
        <w:t>REPÚBLICA DOMINICANA</w:t>
      </w:r>
      <w:bookmarkEnd w:id="1"/>
    </w:p>
    <w:p w:rsidR="00563C28" w:rsidRPr="00FA5324" w:rsidRDefault="00563C28" w:rsidP="00292D0D">
      <w:pPr>
        <w:jc w:val="center"/>
        <w:rPr>
          <w:highlight w:val="lightGray"/>
          <w:lang w:val="es-DO"/>
        </w:rPr>
      </w:pPr>
    </w:p>
    <w:p w:rsidR="005711DC" w:rsidRPr="00FA5324" w:rsidRDefault="005711DC" w:rsidP="00292D0D">
      <w:pPr>
        <w:jc w:val="center"/>
        <w:rPr>
          <w:highlight w:val="lightGray"/>
          <w:lang w:val="es-DO"/>
        </w:rPr>
      </w:pPr>
    </w:p>
    <w:p w:rsidR="005711DC" w:rsidRPr="00FA5324" w:rsidRDefault="005711DC" w:rsidP="00292D0D">
      <w:pPr>
        <w:jc w:val="center"/>
        <w:rPr>
          <w:highlight w:val="lightGray"/>
          <w:lang w:val="es-DO"/>
        </w:rPr>
      </w:pPr>
    </w:p>
    <w:p w:rsidR="00563C28" w:rsidRPr="00FA5324" w:rsidRDefault="00563C28" w:rsidP="00292D0D">
      <w:pPr>
        <w:jc w:val="center"/>
        <w:rPr>
          <w:highlight w:val="lightGray"/>
          <w:lang w:val="es-DO"/>
        </w:rPr>
      </w:pPr>
    </w:p>
    <w:p w:rsidR="00563C28" w:rsidRPr="00FA5324" w:rsidRDefault="008B09E2" w:rsidP="00292D0D">
      <w:pPr>
        <w:jc w:val="center"/>
        <w:rPr>
          <w:highlight w:val="lightGray"/>
          <w:lang w:val="es-DO"/>
        </w:rPr>
      </w:pPr>
      <w:bookmarkStart w:id="2" w:name="Book01"/>
      <w:r w:rsidRPr="00FA5324">
        <w:rPr>
          <w:highlight w:val="lightGray"/>
          <w:lang w:val="es-DO"/>
        </w:rPr>
        <w:t>Apoyo a la Consolidación del Sector Salud y</w:t>
      </w:r>
      <w:r w:rsidR="00E5718F" w:rsidRPr="00FA5324">
        <w:rPr>
          <w:highlight w:val="lightGray"/>
          <w:lang w:val="es-DO"/>
        </w:rPr>
        <w:t xml:space="preserve"> </w:t>
      </w:r>
      <w:r w:rsidR="00A8088E" w:rsidRPr="00FA5324">
        <w:rPr>
          <w:highlight w:val="lightGray"/>
          <w:lang w:val="es-DO"/>
        </w:rPr>
        <w:t xml:space="preserve">de </w:t>
      </w:r>
      <w:r w:rsidRPr="00FA5324">
        <w:rPr>
          <w:highlight w:val="lightGray"/>
          <w:lang w:val="es-DO"/>
        </w:rPr>
        <w:t>la Seguridad Social</w:t>
      </w:r>
      <w:bookmarkEnd w:id="2"/>
      <w:r w:rsidR="00EA7F9A">
        <w:rPr>
          <w:highlight w:val="lightGray"/>
          <w:lang w:val="es-DO"/>
        </w:rPr>
        <w:t xml:space="preserve"> II</w:t>
      </w:r>
    </w:p>
    <w:p w:rsidR="00563C28" w:rsidRPr="00FA5324" w:rsidRDefault="00BB5FD6" w:rsidP="00292D0D">
      <w:pPr>
        <w:jc w:val="center"/>
        <w:rPr>
          <w:lang w:val="es-DO"/>
        </w:rPr>
      </w:pPr>
      <w:r w:rsidRPr="00FA5324">
        <w:rPr>
          <w:highlight w:val="lightGray"/>
          <w:lang w:val="es-DO"/>
        </w:rPr>
        <w:t>(</w:t>
      </w:r>
      <w:bookmarkStart w:id="3" w:name="Book02"/>
      <w:r w:rsidR="008B09E2" w:rsidRPr="00FA5324">
        <w:rPr>
          <w:highlight w:val="lightGray"/>
          <w:lang w:val="es-DO"/>
        </w:rPr>
        <w:t>DR-L107</w:t>
      </w:r>
      <w:r w:rsidR="00EA7F9A">
        <w:rPr>
          <w:highlight w:val="lightGray"/>
          <w:lang w:val="es-DO"/>
        </w:rPr>
        <w:t>9</w:t>
      </w:r>
      <w:bookmarkEnd w:id="3"/>
      <w:r w:rsidRPr="00FA5324">
        <w:rPr>
          <w:highlight w:val="lightGray"/>
          <w:lang w:val="es-DO"/>
        </w:rPr>
        <w:t>)</w:t>
      </w:r>
    </w:p>
    <w:p w:rsidR="00563C28" w:rsidRPr="00FA5324" w:rsidRDefault="00563C28" w:rsidP="00292D0D">
      <w:pPr>
        <w:pStyle w:val="Newpage"/>
        <w:rPr>
          <w:lang w:val="es-DO"/>
        </w:rPr>
      </w:pPr>
    </w:p>
    <w:p w:rsidR="00563C28" w:rsidRPr="00FA5324" w:rsidRDefault="00563C28" w:rsidP="00292D0D">
      <w:pPr>
        <w:jc w:val="center"/>
        <w:rPr>
          <w:lang w:val="es-DO"/>
        </w:rPr>
      </w:pPr>
    </w:p>
    <w:p w:rsidR="00563C28" w:rsidRPr="00FA5324" w:rsidRDefault="005711DC" w:rsidP="00292D0D">
      <w:pPr>
        <w:jc w:val="center"/>
        <w:rPr>
          <w:lang w:val="es-DO"/>
        </w:rPr>
      </w:pPr>
      <w:r w:rsidRPr="00FA5324">
        <w:rPr>
          <w:lang w:val="es-DO"/>
        </w:rPr>
        <w:t>Análisis Económico</w:t>
      </w:r>
    </w:p>
    <w:p w:rsidR="00563C28" w:rsidRPr="00FA5324" w:rsidRDefault="00563C28" w:rsidP="00292D0D">
      <w:pPr>
        <w:jc w:val="center"/>
        <w:rPr>
          <w:lang w:val="es-DO"/>
        </w:rPr>
      </w:pPr>
    </w:p>
    <w:p w:rsidR="00563C28" w:rsidRPr="00FA5324" w:rsidRDefault="00563C28" w:rsidP="00292D0D">
      <w:pPr>
        <w:pStyle w:val="ListParagraph"/>
        <w:jc w:val="center"/>
        <w:rPr>
          <w:lang w:val="es-DO"/>
        </w:rPr>
      </w:pPr>
    </w:p>
    <w:p w:rsidR="00563C28" w:rsidRPr="00FA5324" w:rsidRDefault="00563C28" w:rsidP="00292D0D">
      <w:pPr>
        <w:pStyle w:val="ListParagraph"/>
        <w:jc w:val="center"/>
        <w:rPr>
          <w:lang w:val="es-DO"/>
        </w:rPr>
      </w:pPr>
    </w:p>
    <w:p w:rsidR="00563C28" w:rsidRPr="00FA5324" w:rsidRDefault="00563C28" w:rsidP="00292D0D">
      <w:pPr>
        <w:pStyle w:val="ListParagraph"/>
        <w:jc w:val="center"/>
        <w:rPr>
          <w:lang w:val="es-DO"/>
        </w:rPr>
      </w:pPr>
    </w:p>
    <w:p w:rsidR="00563C28" w:rsidRPr="00FA5324" w:rsidRDefault="00563C28" w:rsidP="00292D0D">
      <w:pPr>
        <w:pStyle w:val="ListParagraph"/>
        <w:jc w:val="center"/>
        <w:rPr>
          <w:lang w:val="es-DO"/>
        </w:rPr>
      </w:pPr>
    </w:p>
    <w:p w:rsidR="00563C28" w:rsidRPr="00FA5324" w:rsidRDefault="00563C28" w:rsidP="00292D0D">
      <w:pPr>
        <w:pStyle w:val="ListParagraph"/>
        <w:jc w:val="center"/>
        <w:rPr>
          <w:lang w:val="es-DO"/>
        </w:rPr>
      </w:pPr>
    </w:p>
    <w:p w:rsidR="00563C28" w:rsidRPr="00FA5324" w:rsidRDefault="00563C28" w:rsidP="00292D0D">
      <w:pPr>
        <w:pStyle w:val="ListParagraph"/>
        <w:jc w:val="center"/>
        <w:rPr>
          <w:lang w:val="es-DO"/>
        </w:rPr>
      </w:pPr>
    </w:p>
    <w:p w:rsidR="00563C28" w:rsidRPr="00FA5324" w:rsidRDefault="00563C28" w:rsidP="00292D0D">
      <w:pPr>
        <w:pStyle w:val="ListParagraph"/>
        <w:jc w:val="center"/>
        <w:rPr>
          <w:lang w:val="es-DO"/>
        </w:rPr>
      </w:pPr>
    </w:p>
    <w:p w:rsidR="00563C28" w:rsidRPr="00FA5324" w:rsidRDefault="00563C28" w:rsidP="00292D0D">
      <w:pPr>
        <w:pStyle w:val="ListParagraph"/>
        <w:jc w:val="center"/>
        <w:rPr>
          <w:lang w:val="es-DO"/>
        </w:rPr>
      </w:pPr>
    </w:p>
    <w:p w:rsidR="00563C28" w:rsidRPr="00FA5324" w:rsidRDefault="00563C28" w:rsidP="00292D0D">
      <w:pPr>
        <w:pStyle w:val="ListParagraph"/>
        <w:jc w:val="center"/>
        <w:rPr>
          <w:lang w:val="es-DO"/>
        </w:rPr>
      </w:pPr>
    </w:p>
    <w:p w:rsidR="00563C28" w:rsidRPr="00FA5324" w:rsidRDefault="00563C28" w:rsidP="00292D0D">
      <w:pPr>
        <w:pStyle w:val="ListParagraph"/>
        <w:jc w:val="center"/>
        <w:rPr>
          <w:lang w:val="es-DO"/>
        </w:rPr>
      </w:pPr>
    </w:p>
    <w:p w:rsidR="00563C28" w:rsidRPr="00FA5324" w:rsidRDefault="005711DC" w:rsidP="005711DC">
      <w:pPr>
        <w:pStyle w:val="BodyText"/>
        <w:pBdr>
          <w:top w:val="single" w:sz="4" w:space="1" w:color="auto"/>
          <w:left w:val="single" w:sz="4" w:space="4" w:color="auto"/>
          <w:bottom w:val="single" w:sz="4" w:space="1" w:color="auto"/>
          <w:right w:val="single" w:sz="4" w:space="4" w:color="auto"/>
        </w:pBdr>
        <w:jc w:val="left"/>
        <w:rPr>
          <w:lang w:val="es-DO"/>
        </w:rPr>
      </w:pPr>
      <w:r w:rsidRPr="00FA5324">
        <w:rPr>
          <w:lang w:val="es-DO"/>
        </w:rPr>
        <w:t>Este documento fue preparado por:</w:t>
      </w:r>
      <w:r w:rsidR="009C2EF0" w:rsidRPr="00FA5324">
        <w:rPr>
          <w:lang w:val="es-DO"/>
        </w:rPr>
        <w:t xml:space="preserve"> </w:t>
      </w:r>
      <w:r w:rsidR="00851F8D" w:rsidRPr="00FA5324">
        <w:rPr>
          <w:lang w:val="es-DO"/>
        </w:rPr>
        <w:t>Oscar Cañó</w:t>
      </w:r>
      <w:r w:rsidR="00BB5FD6" w:rsidRPr="00FA5324">
        <w:rPr>
          <w:lang w:val="es-DO"/>
        </w:rPr>
        <w:t>n</w:t>
      </w:r>
      <w:r w:rsidR="009C2EF0" w:rsidRPr="00FA5324">
        <w:rPr>
          <w:lang w:val="es-DO"/>
        </w:rPr>
        <w:t xml:space="preserve"> (consultor) y </w:t>
      </w:r>
      <w:r w:rsidR="00011899" w:rsidRPr="00FA5324">
        <w:rPr>
          <w:lang w:val="es-DO"/>
        </w:rPr>
        <w:t>Diana Pinto</w:t>
      </w:r>
      <w:r w:rsidR="009C2EF0" w:rsidRPr="00FA5324">
        <w:rPr>
          <w:lang w:val="es-DO"/>
        </w:rPr>
        <w:t xml:space="preserve"> (SCL/SPH</w:t>
      </w:r>
      <w:r w:rsidR="009C2EF0" w:rsidRPr="008450F1">
        <w:rPr>
          <w:lang w:val="es-DO"/>
        </w:rPr>
        <w:t>)</w:t>
      </w:r>
      <w:r w:rsidR="00D727F7" w:rsidRPr="008450F1">
        <w:rPr>
          <w:rStyle w:val="FootnoteReference"/>
          <w:lang w:val="es-DO"/>
        </w:rPr>
        <w:footnoteReference w:id="2"/>
      </w:r>
      <w:r w:rsidRPr="008450F1">
        <w:rPr>
          <w:lang w:val="es-DO"/>
        </w:rPr>
        <w:t>.</w:t>
      </w:r>
    </w:p>
    <w:p w:rsidR="00292D0D" w:rsidRPr="00FA5324" w:rsidRDefault="00292D0D" w:rsidP="008265C4">
      <w:pPr>
        <w:rPr>
          <w:lang w:val="es-DO"/>
        </w:rPr>
      </w:pPr>
    </w:p>
    <w:p w:rsidR="00292D0D" w:rsidRPr="00FA5324" w:rsidRDefault="00292D0D" w:rsidP="008265C4">
      <w:pPr>
        <w:rPr>
          <w:lang w:val="es-DO"/>
        </w:rPr>
        <w:sectPr w:rsidR="00292D0D" w:rsidRPr="00FA5324">
          <w:headerReference w:type="default" r:id="rId10"/>
          <w:footerReference w:type="default" r:id="rId11"/>
          <w:pgSz w:w="12240" w:h="15840"/>
          <w:pgMar w:top="1440" w:right="1440" w:bottom="1440" w:left="1627" w:header="720" w:footer="720" w:gutter="0"/>
          <w:cols w:space="720"/>
        </w:sectPr>
      </w:pPr>
    </w:p>
    <w:sdt>
      <w:sdtPr>
        <w:rPr>
          <w:rFonts w:ascii="Times New Roman" w:eastAsia="Calibri" w:hAnsi="Times New Roman" w:cs="Times New Roman"/>
          <w:color w:val="auto"/>
          <w:sz w:val="22"/>
          <w:szCs w:val="22"/>
          <w:lang w:val="es-DO" w:eastAsia="x-none"/>
        </w:rPr>
        <w:id w:val="919442677"/>
        <w:docPartObj>
          <w:docPartGallery w:val="Table of Contents"/>
          <w:docPartUnique/>
        </w:docPartObj>
      </w:sdtPr>
      <w:sdtEndPr>
        <w:rPr>
          <w:b/>
          <w:bCs/>
        </w:rPr>
      </w:sdtEndPr>
      <w:sdtContent>
        <w:p w:rsidR="00C62A67" w:rsidRPr="008450F1" w:rsidRDefault="00883C9C">
          <w:pPr>
            <w:pStyle w:val="TOCHeading"/>
            <w:rPr>
              <w:rFonts w:ascii="Times New Roman" w:hAnsi="Times New Roman" w:cs="Times New Roman"/>
              <w:color w:val="auto"/>
              <w:u w:val="single"/>
              <w:lang w:val="es-DO"/>
            </w:rPr>
          </w:pPr>
          <w:r w:rsidRPr="008450F1">
            <w:rPr>
              <w:rFonts w:ascii="Times New Roman" w:hAnsi="Times New Roman" w:cs="Times New Roman"/>
              <w:color w:val="auto"/>
              <w:u w:val="single"/>
              <w:lang w:val="es-DO"/>
            </w:rPr>
            <w:t>CONTENIDO</w:t>
          </w:r>
        </w:p>
        <w:p w:rsidR="00883C9C" w:rsidRPr="008450F1" w:rsidRDefault="00883C9C" w:rsidP="00883C9C">
          <w:pPr>
            <w:rPr>
              <w:lang w:val="es-DO" w:eastAsia="en-US"/>
            </w:rPr>
          </w:pPr>
        </w:p>
        <w:p w:rsidR="00D05556" w:rsidRDefault="00C62A67">
          <w:pPr>
            <w:pStyle w:val="TOC1"/>
            <w:rPr>
              <w:rFonts w:asciiTheme="minorHAnsi" w:eastAsiaTheme="minorEastAsia" w:hAnsiTheme="minorHAnsi" w:cstheme="minorBidi"/>
              <w:noProof/>
              <w:lang w:val="en-US" w:eastAsia="en-US"/>
            </w:rPr>
          </w:pPr>
          <w:r w:rsidRPr="008450F1">
            <w:rPr>
              <w:lang w:val="es-DO"/>
            </w:rPr>
            <w:fldChar w:fldCharType="begin"/>
          </w:r>
          <w:r w:rsidRPr="008450F1">
            <w:rPr>
              <w:lang w:val="es-DO"/>
            </w:rPr>
            <w:instrText xml:space="preserve"> TOC \o "1-3" \h \z \u </w:instrText>
          </w:r>
          <w:r w:rsidRPr="008450F1">
            <w:rPr>
              <w:lang w:val="es-DO"/>
            </w:rPr>
            <w:fldChar w:fldCharType="separate"/>
          </w:r>
          <w:hyperlink w:anchor="_Toc401244708" w:history="1">
            <w:r w:rsidR="00D05556" w:rsidRPr="00AC46D5">
              <w:rPr>
                <w:rStyle w:val="Hyperlink"/>
                <w:noProof/>
                <w:lang w:val="es-DO"/>
              </w:rPr>
              <w:t>I.</w:t>
            </w:r>
            <w:r w:rsidR="00D05556">
              <w:rPr>
                <w:rFonts w:asciiTheme="minorHAnsi" w:eastAsiaTheme="minorEastAsia" w:hAnsiTheme="minorHAnsi" w:cstheme="minorBidi"/>
                <w:noProof/>
                <w:lang w:val="en-US" w:eastAsia="en-US"/>
              </w:rPr>
              <w:tab/>
            </w:r>
            <w:r w:rsidR="00D05556" w:rsidRPr="00AC46D5">
              <w:rPr>
                <w:rStyle w:val="Hyperlink"/>
                <w:noProof/>
                <w:lang w:val="es-DO"/>
              </w:rPr>
              <w:t>INTRODUCCIÓN</w:t>
            </w:r>
            <w:r w:rsidR="00D05556">
              <w:rPr>
                <w:noProof/>
                <w:webHidden/>
              </w:rPr>
              <w:tab/>
            </w:r>
            <w:r w:rsidR="00D05556">
              <w:rPr>
                <w:noProof/>
                <w:webHidden/>
              </w:rPr>
              <w:fldChar w:fldCharType="begin"/>
            </w:r>
            <w:r w:rsidR="00D05556">
              <w:rPr>
                <w:noProof/>
                <w:webHidden/>
              </w:rPr>
              <w:instrText xml:space="preserve"> PAGEREF _Toc401244708 \h </w:instrText>
            </w:r>
            <w:r w:rsidR="00D05556">
              <w:rPr>
                <w:noProof/>
                <w:webHidden/>
              </w:rPr>
            </w:r>
            <w:r w:rsidR="00D05556">
              <w:rPr>
                <w:noProof/>
                <w:webHidden/>
              </w:rPr>
              <w:fldChar w:fldCharType="separate"/>
            </w:r>
            <w:r w:rsidR="00D05556">
              <w:rPr>
                <w:noProof/>
                <w:webHidden/>
              </w:rPr>
              <w:t>4</w:t>
            </w:r>
            <w:r w:rsidR="00D05556">
              <w:rPr>
                <w:noProof/>
                <w:webHidden/>
              </w:rPr>
              <w:fldChar w:fldCharType="end"/>
            </w:r>
          </w:hyperlink>
        </w:p>
        <w:p w:rsidR="00D05556" w:rsidRDefault="00AA3DCF">
          <w:pPr>
            <w:pStyle w:val="TOC1"/>
            <w:rPr>
              <w:rFonts w:asciiTheme="minorHAnsi" w:eastAsiaTheme="minorEastAsia" w:hAnsiTheme="minorHAnsi" w:cstheme="minorBidi"/>
              <w:noProof/>
              <w:lang w:val="en-US" w:eastAsia="en-US"/>
            </w:rPr>
          </w:pPr>
          <w:hyperlink w:anchor="_Toc401244709" w:history="1">
            <w:r w:rsidR="00D05556" w:rsidRPr="00AC46D5">
              <w:rPr>
                <w:rStyle w:val="Hyperlink"/>
                <w:noProof/>
                <w:lang w:val="es-DO"/>
              </w:rPr>
              <w:t>II.</w:t>
            </w:r>
            <w:r w:rsidR="00D05556">
              <w:rPr>
                <w:rFonts w:asciiTheme="minorHAnsi" w:eastAsiaTheme="minorEastAsia" w:hAnsiTheme="minorHAnsi" w:cstheme="minorBidi"/>
                <w:noProof/>
                <w:lang w:val="en-US" w:eastAsia="en-US"/>
              </w:rPr>
              <w:tab/>
            </w:r>
            <w:r w:rsidR="00D05556" w:rsidRPr="00AC46D5">
              <w:rPr>
                <w:rStyle w:val="Hyperlink"/>
                <w:noProof/>
                <w:lang w:val="es-DO"/>
              </w:rPr>
              <w:t>SUPUESTOS Y METODOLOGÍA</w:t>
            </w:r>
            <w:r w:rsidR="00D05556">
              <w:rPr>
                <w:noProof/>
                <w:webHidden/>
              </w:rPr>
              <w:tab/>
            </w:r>
            <w:r w:rsidR="00D05556">
              <w:rPr>
                <w:noProof/>
                <w:webHidden/>
              </w:rPr>
              <w:fldChar w:fldCharType="begin"/>
            </w:r>
            <w:r w:rsidR="00D05556">
              <w:rPr>
                <w:noProof/>
                <w:webHidden/>
              </w:rPr>
              <w:instrText xml:space="preserve"> PAGEREF _Toc401244709 \h </w:instrText>
            </w:r>
            <w:r w:rsidR="00D05556">
              <w:rPr>
                <w:noProof/>
                <w:webHidden/>
              </w:rPr>
            </w:r>
            <w:r w:rsidR="00D05556">
              <w:rPr>
                <w:noProof/>
                <w:webHidden/>
              </w:rPr>
              <w:fldChar w:fldCharType="separate"/>
            </w:r>
            <w:r w:rsidR="00D05556">
              <w:rPr>
                <w:noProof/>
                <w:webHidden/>
              </w:rPr>
              <w:t>7</w:t>
            </w:r>
            <w:r w:rsidR="00D05556">
              <w:rPr>
                <w:noProof/>
                <w:webHidden/>
              </w:rPr>
              <w:fldChar w:fldCharType="end"/>
            </w:r>
          </w:hyperlink>
        </w:p>
        <w:p w:rsidR="00D05556" w:rsidRDefault="00AA3DCF">
          <w:pPr>
            <w:pStyle w:val="TOC2"/>
            <w:tabs>
              <w:tab w:val="right" w:leader="dot" w:pos="9163"/>
            </w:tabs>
            <w:rPr>
              <w:rFonts w:asciiTheme="minorHAnsi" w:eastAsiaTheme="minorEastAsia" w:hAnsiTheme="minorHAnsi" w:cstheme="minorBidi"/>
              <w:noProof/>
              <w:lang w:val="en-US" w:eastAsia="en-US"/>
            </w:rPr>
          </w:pPr>
          <w:hyperlink w:anchor="_Toc401244710" w:history="1">
            <w:r w:rsidR="00D05556" w:rsidRPr="00AC46D5">
              <w:rPr>
                <w:rStyle w:val="Hyperlink"/>
                <w:noProof/>
                <w:lang w:val="es-DO"/>
              </w:rPr>
              <w:t>A. Supuestos</w:t>
            </w:r>
            <w:r w:rsidR="00D05556">
              <w:rPr>
                <w:noProof/>
                <w:webHidden/>
              </w:rPr>
              <w:tab/>
            </w:r>
            <w:r w:rsidR="00D05556">
              <w:rPr>
                <w:noProof/>
                <w:webHidden/>
              </w:rPr>
              <w:fldChar w:fldCharType="begin"/>
            </w:r>
            <w:r w:rsidR="00D05556">
              <w:rPr>
                <w:noProof/>
                <w:webHidden/>
              </w:rPr>
              <w:instrText xml:space="preserve"> PAGEREF _Toc401244710 \h </w:instrText>
            </w:r>
            <w:r w:rsidR="00D05556">
              <w:rPr>
                <w:noProof/>
                <w:webHidden/>
              </w:rPr>
            </w:r>
            <w:r w:rsidR="00D05556">
              <w:rPr>
                <w:noProof/>
                <w:webHidden/>
              </w:rPr>
              <w:fldChar w:fldCharType="separate"/>
            </w:r>
            <w:r w:rsidR="00D05556">
              <w:rPr>
                <w:noProof/>
                <w:webHidden/>
              </w:rPr>
              <w:t>7</w:t>
            </w:r>
            <w:r w:rsidR="00D05556">
              <w:rPr>
                <w:noProof/>
                <w:webHidden/>
              </w:rPr>
              <w:fldChar w:fldCharType="end"/>
            </w:r>
          </w:hyperlink>
        </w:p>
        <w:p w:rsidR="00D05556" w:rsidRDefault="00AA3DCF">
          <w:pPr>
            <w:pStyle w:val="TOC2"/>
            <w:tabs>
              <w:tab w:val="right" w:leader="dot" w:pos="9163"/>
            </w:tabs>
            <w:rPr>
              <w:rFonts w:asciiTheme="minorHAnsi" w:eastAsiaTheme="minorEastAsia" w:hAnsiTheme="minorHAnsi" w:cstheme="minorBidi"/>
              <w:noProof/>
              <w:lang w:val="en-US" w:eastAsia="en-US"/>
            </w:rPr>
          </w:pPr>
          <w:hyperlink w:anchor="_Toc401244711" w:history="1">
            <w:r w:rsidR="00D05556" w:rsidRPr="00AC46D5">
              <w:rPr>
                <w:rStyle w:val="Hyperlink"/>
                <w:noProof/>
                <w:lang w:val="es-DO"/>
              </w:rPr>
              <w:t>B. Beneficios y Costos</w:t>
            </w:r>
            <w:r w:rsidR="00D05556">
              <w:rPr>
                <w:noProof/>
                <w:webHidden/>
              </w:rPr>
              <w:tab/>
            </w:r>
            <w:r w:rsidR="00D05556">
              <w:rPr>
                <w:noProof/>
                <w:webHidden/>
              </w:rPr>
              <w:fldChar w:fldCharType="begin"/>
            </w:r>
            <w:r w:rsidR="00D05556">
              <w:rPr>
                <w:noProof/>
                <w:webHidden/>
              </w:rPr>
              <w:instrText xml:space="preserve"> PAGEREF _Toc401244711 \h </w:instrText>
            </w:r>
            <w:r w:rsidR="00D05556">
              <w:rPr>
                <w:noProof/>
                <w:webHidden/>
              </w:rPr>
            </w:r>
            <w:r w:rsidR="00D05556">
              <w:rPr>
                <w:noProof/>
                <w:webHidden/>
              </w:rPr>
              <w:fldChar w:fldCharType="separate"/>
            </w:r>
            <w:r w:rsidR="00D05556">
              <w:rPr>
                <w:noProof/>
                <w:webHidden/>
              </w:rPr>
              <w:t>7</w:t>
            </w:r>
            <w:r w:rsidR="00D05556">
              <w:rPr>
                <w:noProof/>
                <w:webHidden/>
              </w:rPr>
              <w:fldChar w:fldCharType="end"/>
            </w:r>
          </w:hyperlink>
        </w:p>
        <w:p w:rsidR="00D05556" w:rsidRDefault="00AA3DCF">
          <w:pPr>
            <w:pStyle w:val="TOC3"/>
            <w:tabs>
              <w:tab w:val="right" w:leader="dot" w:pos="9163"/>
            </w:tabs>
            <w:rPr>
              <w:rFonts w:asciiTheme="minorHAnsi" w:eastAsiaTheme="minorEastAsia" w:hAnsiTheme="minorHAnsi" w:cstheme="minorBidi"/>
              <w:noProof/>
              <w:lang w:val="en-US" w:eastAsia="en-US"/>
            </w:rPr>
          </w:pPr>
          <w:hyperlink w:anchor="_Toc401244712" w:history="1">
            <w:r w:rsidR="00D05556" w:rsidRPr="00AC46D5">
              <w:rPr>
                <w:rStyle w:val="Hyperlink"/>
                <w:noProof/>
                <w:lang w:val="es-DO"/>
              </w:rPr>
              <w:t>1. Componente consolidación del SDSS</w:t>
            </w:r>
            <w:r w:rsidR="00D05556">
              <w:rPr>
                <w:noProof/>
                <w:webHidden/>
              </w:rPr>
              <w:tab/>
            </w:r>
            <w:r w:rsidR="00D05556">
              <w:rPr>
                <w:noProof/>
                <w:webHidden/>
              </w:rPr>
              <w:fldChar w:fldCharType="begin"/>
            </w:r>
            <w:r w:rsidR="00D05556">
              <w:rPr>
                <w:noProof/>
                <w:webHidden/>
              </w:rPr>
              <w:instrText xml:space="preserve"> PAGEREF _Toc401244712 \h </w:instrText>
            </w:r>
            <w:r w:rsidR="00D05556">
              <w:rPr>
                <w:noProof/>
                <w:webHidden/>
              </w:rPr>
            </w:r>
            <w:r w:rsidR="00D05556">
              <w:rPr>
                <w:noProof/>
                <w:webHidden/>
              </w:rPr>
              <w:fldChar w:fldCharType="separate"/>
            </w:r>
            <w:r w:rsidR="00D05556">
              <w:rPr>
                <w:noProof/>
                <w:webHidden/>
              </w:rPr>
              <w:t>7</w:t>
            </w:r>
            <w:r w:rsidR="00D05556">
              <w:rPr>
                <w:noProof/>
                <w:webHidden/>
              </w:rPr>
              <w:fldChar w:fldCharType="end"/>
            </w:r>
          </w:hyperlink>
        </w:p>
        <w:p w:rsidR="00D05556" w:rsidRDefault="00AA3DCF">
          <w:pPr>
            <w:pStyle w:val="TOC3"/>
            <w:tabs>
              <w:tab w:val="right" w:leader="dot" w:pos="9163"/>
            </w:tabs>
            <w:rPr>
              <w:rFonts w:asciiTheme="minorHAnsi" w:eastAsiaTheme="minorEastAsia" w:hAnsiTheme="minorHAnsi" w:cstheme="minorBidi"/>
              <w:noProof/>
              <w:lang w:val="en-US" w:eastAsia="en-US"/>
            </w:rPr>
          </w:pPr>
          <w:hyperlink w:anchor="_Toc401244713" w:history="1">
            <w:r w:rsidR="00D05556" w:rsidRPr="00AC46D5">
              <w:rPr>
                <w:rStyle w:val="Hyperlink"/>
                <w:noProof/>
                <w:lang w:val="es-DO"/>
              </w:rPr>
              <w:t>2. Componente: mejora de la eficiencia del Sistema Nacional de Salud</w:t>
            </w:r>
            <w:r w:rsidR="00D05556">
              <w:rPr>
                <w:noProof/>
                <w:webHidden/>
              </w:rPr>
              <w:tab/>
            </w:r>
            <w:r w:rsidR="00D05556">
              <w:rPr>
                <w:noProof/>
                <w:webHidden/>
              </w:rPr>
              <w:fldChar w:fldCharType="begin"/>
            </w:r>
            <w:r w:rsidR="00D05556">
              <w:rPr>
                <w:noProof/>
                <w:webHidden/>
              </w:rPr>
              <w:instrText xml:space="preserve"> PAGEREF _Toc401244713 \h </w:instrText>
            </w:r>
            <w:r w:rsidR="00D05556">
              <w:rPr>
                <w:noProof/>
                <w:webHidden/>
              </w:rPr>
            </w:r>
            <w:r w:rsidR="00D05556">
              <w:rPr>
                <w:noProof/>
                <w:webHidden/>
              </w:rPr>
              <w:fldChar w:fldCharType="separate"/>
            </w:r>
            <w:r w:rsidR="00D05556">
              <w:rPr>
                <w:noProof/>
                <w:webHidden/>
              </w:rPr>
              <w:t>13</w:t>
            </w:r>
            <w:r w:rsidR="00D05556">
              <w:rPr>
                <w:noProof/>
                <w:webHidden/>
              </w:rPr>
              <w:fldChar w:fldCharType="end"/>
            </w:r>
          </w:hyperlink>
        </w:p>
        <w:p w:rsidR="00D05556" w:rsidRDefault="00AA3DCF">
          <w:pPr>
            <w:pStyle w:val="TOC2"/>
            <w:tabs>
              <w:tab w:val="right" w:leader="dot" w:pos="9163"/>
            </w:tabs>
            <w:rPr>
              <w:rFonts w:asciiTheme="minorHAnsi" w:eastAsiaTheme="minorEastAsia" w:hAnsiTheme="minorHAnsi" w:cstheme="minorBidi"/>
              <w:noProof/>
              <w:lang w:val="en-US" w:eastAsia="en-US"/>
            </w:rPr>
          </w:pPr>
          <w:hyperlink w:anchor="_Toc401244714" w:history="1">
            <w:r w:rsidR="00D05556" w:rsidRPr="00AC46D5">
              <w:rPr>
                <w:rStyle w:val="Hyperlink"/>
                <w:noProof/>
                <w:lang w:val="es-DO"/>
              </w:rPr>
              <w:t>C. Proyecciones para las valoraciones de costos y beneficios</w:t>
            </w:r>
            <w:r w:rsidR="00D05556">
              <w:rPr>
                <w:noProof/>
                <w:webHidden/>
              </w:rPr>
              <w:tab/>
            </w:r>
            <w:r w:rsidR="00D05556">
              <w:rPr>
                <w:noProof/>
                <w:webHidden/>
              </w:rPr>
              <w:fldChar w:fldCharType="begin"/>
            </w:r>
            <w:r w:rsidR="00D05556">
              <w:rPr>
                <w:noProof/>
                <w:webHidden/>
              </w:rPr>
              <w:instrText xml:space="preserve"> PAGEREF _Toc401244714 \h </w:instrText>
            </w:r>
            <w:r w:rsidR="00D05556">
              <w:rPr>
                <w:noProof/>
                <w:webHidden/>
              </w:rPr>
            </w:r>
            <w:r w:rsidR="00D05556">
              <w:rPr>
                <w:noProof/>
                <w:webHidden/>
              </w:rPr>
              <w:fldChar w:fldCharType="separate"/>
            </w:r>
            <w:r w:rsidR="00D05556">
              <w:rPr>
                <w:noProof/>
                <w:webHidden/>
              </w:rPr>
              <w:t>22</w:t>
            </w:r>
            <w:r w:rsidR="00D05556">
              <w:rPr>
                <w:noProof/>
                <w:webHidden/>
              </w:rPr>
              <w:fldChar w:fldCharType="end"/>
            </w:r>
          </w:hyperlink>
        </w:p>
        <w:p w:rsidR="00D05556" w:rsidRDefault="00AA3DCF">
          <w:pPr>
            <w:pStyle w:val="TOC3"/>
            <w:tabs>
              <w:tab w:val="right" w:leader="dot" w:pos="9163"/>
            </w:tabs>
            <w:rPr>
              <w:rFonts w:asciiTheme="minorHAnsi" w:eastAsiaTheme="minorEastAsia" w:hAnsiTheme="minorHAnsi" w:cstheme="minorBidi"/>
              <w:noProof/>
              <w:lang w:val="en-US" w:eastAsia="en-US"/>
            </w:rPr>
          </w:pPr>
          <w:hyperlink w:anchor="_Toc401244715" w:history="1">
            <w:r w:rsidR="00D05556" w:rsidRPr="00AC46D5">
              <w:rPr>
                <w:rStyle w:val="Hyperlink"/>
                <w:noProof/>
                <w:lang w:val="es-DO"/>
              </w:rPr>
              <w:t>1. Proyecciones del PIB y del patrimonio de los fondos de pensiones.</w:t>
            </w:r>
            <w:r w:rsidR="00D05556">
              <w:rPr>
                <w:noProof/>
                <w:webHidden/>
              </w:rPr>
              <w:tab/>
            </w:r>
            <w:r w:rsidR="00D05556">
              <w:rPr>
                <w:noProof/>
                <w:webHidden/>
              </w:rPr>
              <w:fldChar w:fldCharType="begin"/>
            </w:r>
            <w:r w:rsidR="00D05556">
              <w:rPr>
                <w:noProof/>
                <w:webHidden/>
              </w:rPr>
              <w:instrText xml:space="preserve"> PAGEREF _Toc401244715 \h </w:instrText>
            </w:r>
            <w:r w:rsidR="00D05556">
              <w:rPr>
                <w:noProof/>
                <w:webHidden/>
              </w:rPr>
            </w:r>
            <w:r w:rsidR="00D05556">
              <w:rPr>
                <w:noProof/>
                <w:webHidden/>
              </w:rPr>
              <w:fldChar w:fldCharType="separate"/>
            </w:r>
            <w:r w:rsidR="00D05556">
              <w:rPr>
                <w:noProof/>
                <w:webHidden/>
              </w:rPr>
              <w:t>23</w:t>
            </w:r>
            <w:r w:rsidR="00D05556">
              <w:rPr>
                <w:noProof/>
                <w:webHidden/>
              </w:rPr>
              <w:fldChar w:fldCharType="end"/>
            </w:r>
          </w:hyperlink>
        </w:p>
        <w:p w:rsidR="00D05556" w:rsidRDefault="00AA3DCF">
          <w:pPr>
            <w:pStyle w:val="TOC3"/>
            <w:tabs>
              <w:tab w:val="right" w:leader="dot" w:pos="9163"/>
            </w:tabs>
            <w:rPr>
              <w:rFonts w:asciiTheme="minorHAnsi" w:eastAsiaTheme="minorEastAsia" w:hAnsiTheme="minorHAnsi" w:cstheme="minorBidi"/>
              <w:noProof/>
              <w:lang w:val="en-US" w:eastAsia="en-US"/>
            </w:rPr>
          </w:pPr>
          <w:hyperlink w:anchor="_Toc401244716" w:history="1">
            <w:r w:rsidR="00D05556" w:rsidRPr="00AC46D5">
              <w:rPr>
                <w:rStyle w:val="Hyperlink"/>
                <w:noProof/>
                <w:lang w:val="es-DO"/>
              </w:rPr>
              <w:t>2. Proyección de la afiliación al SDSS en Salud</w:t>
            </w:r>
            <w:r w:rsidR="00D05556">
              <w:rPr>
                <w:noProof/>
                <w:webHidden/>
              </w:rPr>
              <w:tab/>
            </w:r>
            <w:r w:rsidR="00D05556">
              <w:rPr>
                <w:noProof/>
                <w:webHidden/>
              </w:rPr>
              <w:fldChar w:fldCharType="begin"/>
            </w:r>
            <w:r w:rsidR="00D05556">
              <w:rPr>
                <w:noProof/>
                <w:webHidden/>
              </w:rPr>
              <w:instrText xml:space="preserve"> PAGEREF _Toc401244716 \h </w:instrText>
            </w:r>
            <w:r w:rsidR="00D05556">
              <w:rPr>
                <w:noProof/>
                <w:webHidden/>
              </w:rPr>
            </w:r>
            <w:r w:rsidR="00D05556">
              <w:rPr>
                <w:noProof/>
                <w:webHidden/>
              </w:rPr>
              <w:fldChar w:fldCharType="separate"/>
            </w:r>
            <w:r w:rsidR="00D05556">
              <w:rPr>
                <w:noProof/>
                <w:webHidden/>
              </w:rPr>
              <w:t>24</w:t>
            </w:r>
            <w:r w:rsidR="00D05556">
              <w:rPr>
                <w:noProof/>
                <w:webHidden/>
              </w:rPr>
              <w:fldChar w:fldCharType="end"/>
            </w:r>
          </w:hyperlink>
        </w:p>
        <w:p w:rsidR="00D05556" w:rsidRDefault="00AA3DCF">
          <w:pPr>
            <w:pStyle w:val="TOC3"/>
            <w:tabs>
              <w:tab w:val="right" w:leader="dot" w:pos="9163"/>
            </w:tabs>
            <w:rPr>
              <w:rFonts w:asciiTheme="minorHAnsi" w:eastAsiaTheme="minorEastAsia" w:hAnsiTheme="minorHAnsi" w:cstheme="minorBidi"/>
              <w:noProof/>
              <w:lang w:val="en-US" w:eastAsia="en-US"/>
            </w:rPr>
          </w:pPr>
          <w:hyperlink w:anchor="_Toc401244717" w:history="1">
            <w:r w:rsidR="00D05556" w:rsidRPr="00AC46D5">
              <w:rPr>
                <w:rStyle w:val="Hyperlink"/>
                <w:noProof/>
                <w:lang w:val="es-DO"/>
              </w:rPr>
              <w:t>3. Gasto público en salud</w:t>
            </w:r>
            <w:r w:rsidR="00D05556">
              <w:rPr>
                <w:noProof/>
                <w:webHidden/>
              </w:rPr>
              <w:tab/>
            </w:r>
            <w:r w:rsidR="00D05556">
              <w:rPr>
                <w:noProof/>
                <w:webHidden/>
              </w:rPr>
              <w:fldChar w:fldCharType="begin"/>
            </w:r>
            <w:r w:rsidR="00D05556">
              <w:rPr>
                <w:noProof/>
                <w:webHidden/>
              </w:rPr>
              <w:instrText xml:space="preserve"> PAGEREF _Toc401244717 \h </w:instrText>
            </w:r>
            <w:r w:rsidR="00D05556">
              <w:rPr>
                <w:noProof/>
                <w:webHidden/>
              </w:rPr>
            </w:r>
            <w:r w:rsidR="00D05556">
              <w:rPr>
                <w:noProof/>
                <w:webHidden/>
              </w:rPr>
              <w:fldChar w:fldCharType="separate"/>
            </w:r>
            <w:r w:rsidR="00D05556">
              <w:rPr>
                <w:noProof/>
                <w:webHidden/>
              </w:rPr>
              <w:t>25</w:t>
            </w:r>
            <w:r w:rsidR="00D05556">
              <w:rPr>
                <w:noProof/>
                <w:webHidden/>
              </w:rPr>
              <w:fldChar w:fldCharType="end"/>
            </w:r>
          </w:hyperlink>
        </w:p>
        <w:p w:rsidR="00D05556" w:rsidRDefault="00AA3DCF">
          <w:pPr>
            <w:pStyle w:val="TOC1"/>
            <w:rPr>
              <w:rFonts w:asciiTheme="minorHAnsi" w:eastAsiaTheme="minorEastAsia" w:hAnsiTheme="minorHAnsi" w:cstheme="minorBidi"/>
              <w:noProof/>
              <w:lang w:val="en-US" w:eastAsia="en-US"/>
            </w:rPr>
          </w:pPr>
          <w:hyperlink w:anchor="_Toc401244718" w:history="1">
            <w:r w:rsidR="00D05556" w:rsidRPr="00AC46D5">
              <w:rPr>
                <w:rStyle w:val="Hyperlink"/>
                <w:noProof/>
                <w:lang w:val="es-DO"/>
              </w:rPr>
              <w:t>III.</w:t>
            </w:r>
            <w:r w:rsidR="00D05556">
              <w:rPr>
                <w:rFonts w:asciiTheme="minorHAnsi" w:eastAsiaTheme="minorEastAsia" w:hAnsiTheme="minorHAnsi" w:cstheme="minorBidi"/>
                <w:noProof/>
                <w:lang w:val="en-US" w:eastAsia="en-US"/>
              </w:rPr>
              <w:tab/>
            </w:r>
            <w:r w:rsidR="00D05556" w:rsidRPr="00AC46D5">
              <w:rPr>
                <w:rStyle w:val="Hyperlink"/>
                <w:noProof/>
                <w:lang w:val="es-DO"/>
              </w:rPr>
              <w:t>BENEFICIOS ECONÓMICOS</w:t>
            </w:r>
            <w:r w:rsidR="00D05556">
              <w:rPr>
                <w:noProof/>
                <w:webHidden/>
              </w:rPr>
              <w:tab/>
            </w:r>
            <w:r w:rsidR="00D05556">
              <w:rPr>
                <w:noProof/>
                <w:webHidden/>
              </w:rPr>
              <w:fldChar w:fldCharType="begin"/>
            </w:r>
            <w:r w:rsidR="00D05556">
              <w:rPr>
                <w:noProof/>
                <w:webHidden/>
              </w:rPr>
              <w:instrText xml:space="preserve"> PAGEREF _Toc401244718 \h </w:instrText>
            </w:r>
            <w:r w:rsidR="00D05556">
              <w:rPr>
                <w:noProof/>
                <w:webHidden/>
              </w:rPr>
            </w:r>
            <w:r w:rsidR="00D05556">
              <w:rPr>
                <w:noProof/>
                <w:webHidden/>
              </w:rPr>
              <w:fldChar w:fldCharType="separate"/>
            </w:r>
            <w:r w:rsidR="00D05556">
              <w:rPr>
                <w:noProof/>
                <w:webHidden/>
              </w:rPr>
              <w:t>25</w:t>
            </w:r>
            <w:r w:rsidR="00D05556">
              <w:rPr>
                <w:noProof/>
                <w:webHidden/>
              </w:rPr>
              <w:fldChar w:fldCharType="end"/>
            </w:r>
          </w:hyperlink>
        </w:p>
        <w:p w:rsidR="00D05556" w:rsidRDefault="00AA3DCF">
          <w:pPr>
            <w:pStyle w:val="TOC1"/>
            <w:rPr>
              <w:rFonts w:asciiTheme="minorHAnsi" w:eastAsiaTheme="minorEastAsia" w:hAnsiTheme="minorHAnsi" w:cstheme="minorBidi"/>
              <w:noProof/>
              <w:lang w:val="en-US" w:eastAsia="en-US"/>
            </w:rPr>
          </w:pPr>
          <w:hyperlink w:anchor="_Toc401244719" w:history="1">
            <w:r w:rsidR="00D05556" w:rsidRPr="00AC46D5">
              <w:rPr>
                <w:rStyle w:val="Hyperlink"/>
                <w:noProof/>
                <w:lang w:val="es-DO"/>
              </w:rPr>
              <w:t>IV.</w:t>
            </w:r>
            <w:r w:rsidR="00D05556">
              <w:rPr>
                <w:rFonts w:asciiTheme="minorHAnsi" w:eastAsiaTheme="minorEastAsia" w:hAnsiTheme="minorHAnsi" w:cstheme="minorBidi"/>
                <w:noProof/>
                <w:lang w:val="en-US" w:eastAsia="en-US"/>
              </w:rPr>
              <w:tab/>
            </w:r>
            <w:r w:rsidR="00D05556" w:rsidRPr="00AC46D5">
              <w:rPr>
                <w:rStyle w:val="Hyperlink"/>
                <w:noProof/>
                <w:lang w:val="es-DO"/>
              </w:rPr>
              <w:t>COSTOS ECONÓMICOS</w:t>
            </w:r>
            <w:r w:rsidR="00D05556">
              <w:rPr>
                <w:noProof/>
                <w:webHidden/>
              </w:rPr>
              <w:tab/>
            </w:r>
            <w:r w:rsidR="00D05556">
              <w:rPr>
                <w:noProof/>
                <w:webHidden/>
              </w:rPr>
              <w:fldChar w:fldCharType="begin"/>
            </w:r>
            <w:r w:rsidR="00D05556">
              <w:rPr>
                <w:noProof/>
                <w:webHidden/>
              </w:rPr>
              <w:instrText xml:space="preserve"> PAGEREF _Toc401244719 \h </w:instrText>
            </w:r>
            <w:r w:rsidR="00D05556">
              <w:rPr>
                <w:noProof/>
                <w:webHidden/>
              </w:rPr>
            </w:r>
            <w:r w:rsidR="00D05556">
              <w:rPr>
                <w:noProof/>
                <w:webHidden/>
              </w:rPr>
              <w:fldChar w:fldCharType="separate"/>
            </w:r>
            <w:r w:rsidR="00D05556">
              <w:rPr>
                <w:noProof/>
                <w:webHidden/>
              </w:rPr>
              <w:t>25</w:t>
            </w:r>
            <w:r w:rsidR="00D05556">
              <w:rPr>
                <w:noProof/>
                <w:webHidden/>
              </w:rPr>
              <w:fldChar w:fldCharType="end"/>
            </w:r>
          </w:hyperlink>
        </w:p>
        <w:p w:rsidR="00D05556" w:rsidRDefault="00AA3DCF">
          <w:pPr>
            <w:pStyle w:val="TOC1"/>
            <w:rPr>
              <w:rFonts w:asciiTheme="minorHAnsi" w:eastAsiaTheme="minorEastAsia" w:hAnsiTheme="minorHAnsi" w:cstheme="minorBidi"/>
              <w:noProof/>
              <w:lang w:val="en-US" w:eastAsia="en-US"/>
            </w:rPr>
          </w:pPr>
          <w:hyperlink w:anchor="_Toc401244720" w:history="1">
            <w:r w:rsidR="00D05556" w:rsidRPr="00AC46D5">
              <w:rPr>
                <w:rStyle w:val="Hyperlink"/>
                <w:noProof/>
                <w:lang w:val="es-DO"/>
              </w:rPr>
              <w:t>V.</w:t>
            </w:r>
            <w:r w:rsidR="00D05556">
              <w:rPr>
                <w:rFonts w:asciiTheme="minorHAnsi" w:eastAsiaTheme="minorEastAsia" w:hAnsiTheme="minorHAnsi" w:cstheme="minorBidi"/>
                <w:noProof/>
                <w:lang w:val="en-US" w:eastAsia="en-US"/>
              </w:rPr>
              <w:tab/>
            </w:r>
            <w:r w:rsidR="00D05556" w:rsidRPr="00AC46D5">
              <w:rPr>
                <w:rStyle w:val="Hyperlink"/>
                <w:noProof/>
                <w:lang w:val="es-DO"/>
              </w:rPr>
              <w:t>RETORNOS ECONÓMICOS</w:t>
            </w:r>
            <w:r w:rsidR="00D05556">
              <w:rPr>
                <w:noProof/>
                <w:webHidden/>
              </w:rPr>
              <w:tab/>
            </w:r>
            <w:r w:rsidR="00D05556">
              <w:rPr>
                <w:noProof/>
                <w:webHidden/>
              </w:rPr>
              <w:fldChar w:fldCharType="begin"/>
            </w:r>
            <w:r w:rsidR="00D05556">
              <w:rPr>
                <w:noProof/>
                <w:webHidden/>
              </w:rPr>
              <w:instrText xml:space="preserve"> PAGEREF _Toc401244720 \h </w:instrText>
            </w:r>
            <w:r w:rsidR="00D05556">
              <w:rPr>
                <w:noProof/>
                <w:webHidden/>
              </w:rPr>
            </w:r>
            <w:r w:rsidR="00D05556">
              <w:rPr>
                <w:noProof/>
                <w:webHidden/>
              </w:rPr>
              <w:fldChar w:fldCharType="separate"/>
            </w:r>
            <w:r w:rsidR="00D05556">
              <w:rPr>
                <w:noProof/>
                <w:webHidden/>
              </w:rPr>
              <w:t>26</w:t>
            </w:r>
            <w:r w:rsidR="00D05556">
              <w:rPr>
                <w:noProof/>
                <w:webHidden/>
              </w:rPr>
              <w:fldChar w:fldCharType="end"/>
            </w:r>
          </w:hyperlink>
        </w:p>
        <w:p w:rsidR="00D05556" w:rsidRDefault="00AA3DCF">
          <w:pPr>
            <w:pStyle w:val="TOC1"/>
            <w:rPr>
              <w:rFonts w:asciiTheme="minorHAnsi" w:eastAsiaTheme="minorEastAsia" w:hAnsiTheme="minorHAnsi" w:cstheme="minorBidi"/>
              <w:noProof/>
              <w:lang w:val="en-US" w:eastAsia="en-US"/>
            </w:rPr>
          </w:pPr>
          <w:hyperlink w:anchor="_Toc401244721" w:history="1">
            <w:r w:rsidR="00D05556" w:rsidRPr="00AC46D5">
              <w:rPr>
                <w:rStyle w:val="Hyperlink"/>
                <w:noProof/>
                <w:lang w:val="es-DO"/>
              </w:rPr>
              <w:t>VI.</w:t>
            </w:r>
            <w:r w:rsidR="00D05556">
              <w:rPr>
                <w:rFonts w:asciiTheme="minorHAnsi" w:eastAsiaTheme="minorEastAsia" w:hAnsiTheme="minorHAnsi" w:cstheme="minorBidi"/>
                <w:noProof/>
                <w:lang w:val="en-US" w:eastAsia="en-US"/>
              </w:rPr>
              <w:tab/>
            </w:r>
            <w:r w:rsidR="00D05556" w:rsidRPr="00AC46D5">
              <w:rPr>
                <w:rStyle w:val="Hyperlink"/>
                <w:noProof/>
                <w:lang w:val="es-DO"/>
              </w:rPr>
              <w:t>ANÁLISIS DE SENSIBILIDAD</w:t>
            </w:r>
            <w:r w:rsidR="00D05556">
              <w:rPr>
                <w:noProof/>
                <w:webHidden/>
              </w:rPr>
              <w:tab/>
            </w:r>
            <w:r w:rsidR="00D05556">
              <w:rPr>
                <w:noProof/>
                <w:webHidden/>
              </w:rPr>
              <w:fldChar w:fldCharType="begin"/>
            </w:r>
            <w:r w:rsidR="00D05556">
              <w:rPr>
                <w:noProof/>
                <w:webHidden/>
              </w:rPr>
              <w:instrText xml:space="preserve"> PAGEREF _Toc401244721 \h </w:instrText>
            </w:r>
            <w:r w:rsidR="00D05556">
              <w:rPr>
                <w:noProof/>
                <w:webHidden/>
              </w:rPr>
            </w:r>
            <w:r w:rsidR="00D05556">
              <w:rPr>
                <w:noProof/>
                <w:webHidden/>
              </w:rPr>
              <w:fldChar w:fldCharType="separate"/>
            </w:r>
            <w:r w:rsidR="00D05556">
              <w:rPr>
                <w:noProof/>
                <w:webHidden/>
              </w:rPr>
              <w:t>28</w:t>
            </w:r>
            <w:r w:rsidR="00D05556">
              <w:rPr>
                <w:noProof/>
                <w:webHidden/>
              </w:rPr>
              <w:fldChar w:fldCharType="end"/>
            </w:r>
          </w:hyperlink>
        </w:p>
        <w:p w:rsidR="00D05556" w:rsidRDefault="00AA3DCF">
          <w:pPr>
            <w:pStyle w:val="TOC1"/>
            <w:rPr>
              <w:rFonts w:asciiTheme="minorHAnsi" w:eastAsiaTheme="minorEastAsia" w:hAnsiTheme="minorHAnsi" w:cstheme="minorBidi"/>
              <w:noProof/>
              <w:lang w:val="en-US" w:eastAsia="en-US"/>
            </w:rPr>
          </w:pPr>
          <w:hyperlink w:anchor="_Toc401244722" w:history="1">
            <w:r w:rsidR="00D05556" w:rsidRPr="00AC46D5">
              <w:rPr>
                <w:rStyle w:val="Hyperlink"/>
                <w:noProof/>
                <w:lang w:val="es-DO"/>
              </w:rPr>
              <w:t>VII.</w:t>
            </w:r>
            <w:r w:rsidR="00D05556">
              <w:rPr>
                <w:rFonts w:asciiTheme="minorHAnsi" w:eastAsiaTheme="minorEastAsia" w:hAnsiTheme="minorHAnsi" w:cstheme="minorBidi"/>
                <w:noProof/>
                <w:lang w:val="en-US" w:eastAsia="en-US"/>
              </w:rPr>
              <w:tab/>
            </w:r>
            <w:r w:rsidR="00D05556" w:rsidRPr="00AC46D5">
              <w:rPr>
                <w:rStyle w:val="Hyperlink"/>
                <w:noProof/>
                <w:lang w:val="es-DO"/>
              </w:rPr>
              <w:t>CONCLUSIONES</w:t>
            </w:r>
            <w:r w:rsidR="00D05556">
              <w:rPr>
                <w:noProof/>
                <w:webHidden/>
              </w:rPr>
              <w:tab/>
            </w:r>
            <w:r w:rsidR="00D05556">
              <w:rPr>
                <w:noProof/>
                <w:webHidden/>
              </w:rPr>
              <w:fldChar w:fldCharType="begin"/>
            </w:r>
            <w:r w:rsidR="00D05556">
              <w:rPr>
                <w:noProof/>
                <w:webHidden/>
              </w:rPr>
              <w:instrText xml:space="preserve"> PAGEREF _Toc401244722 \h </w:instrText>
            </w:r>
            <w:r w:rsidR="00D05556">
              <w:rPr>
                <w:noProof/>
                <w:webHidden/>
              </w:rPr>
            </w:r>
            <w:r w:rsidR="00D05556">
              <w:rPr>
                <w:noProof/>
                <w:webHidden/>
              </w:rPr>
              <w:fldChar w:fldCharType="separate"/>
            </w:r>
            <w:r w:rsidR="00D05556">
              <w:rPr>
                <w:noProof/>
                <w:webHidden/>
              </w:rPr>
              <w:t>29</w:t>
            </w:r>
            <w:r w:rsidR="00D05556">
              <w:rPr>
                <w:noProof/>
                <w:webHidden/>
              </w:rPr>
              <w:fldChar w:fldCharType="end"/>
            </w:r>
          </w:hyperlink>
        </w:p>
        <w:p w:rsidR="00D05556" w:rsidRDefault="00AA3DCF">
          <w:pPr>
            <w:pStyle w:val="TOC1"/>
            <w:rPr>
              <w:rFonts w:asciiTheme="minorHAnsi" w:eastAsiaTheme="minorEastAsia" w:hAnsiTheme="minorHAnsi" w:cstheme="minorBidi"/>
              <w:noProof/>
              <w:lang w:val="en-US" w:eastAsia="en-US"/>
            </w:rPr>
          </w:pPr>
          <w:hyperlink w:anchor="_Toc401244723" w:history="1">
            <w:r w:rsidR="00D05556" w:rsidRPr="00AC46D5">
              <w:rPr>
                <w:rStyle w:val="Hyperlink"/>
                <w:noProof/>
                <w:lang w:val="es-DO"/>
              </w:rPr>
              <w:t>VIII.</w:t>
            </w:r>
            <w:r w:rsidR="00D05556">
              <w:rPr>
                <w:rFonts w:asciiTheme="minorHAnsi" w:eastAsiaTheme="minorEastAsia" w:hAnsiTheme="minorHAnsi" w:cstheme="minorBidi"/>
                <w:noProof/>
                <w:lang w:val="en-US" w:eastAsia="en-US"/>
              </w:rPr>
              <w:tab/>
            </w:r>
            <w:r w:rsidR="00D05556" w:rsidRPr="00AC46D5">
              <w:rPr>
                <w:rStyle w:val="Hyperlink"/>
                <w:noProof/>
                <w:lang w:val="es-DO"/>
              </w:rPr>
              <w:t>BIBLIOGRAFÍA</w:t>
            </w:r>
            <w:r w:rsidR="00D05556">
              <w:rPr>
                <w:noProof/>
                <w:webHidden/>
              </w:rPr>
              <w:tab/>
            </w:r>
            <w:r w:rsidR="00D05556">
              <w:rPr>
                <w:noProof/>
                <w:webHidden/>
              </w:rPr>
              <w:fldChar w:fldCharType="begin"/>
            </w:r>
            <w:r w:rsidR="00D05556">
              <w:rPr>
                <w:noProof/>
                <w:webHidden/>
              </w:rPr>
              <w:instrText xml:space="preserve"> PAGEREF _Toc401244723 \h </w:instrText>
            </w:r>
            <w:r w:rsidR="00D05556">
              <w:rPr>
                <w:noProof/>
                <w:webHidden/>
              </w:rPr>
            </w:r>
            <w:r w:rsidR="00D05556">
              <w:rPr>
                <w:noProof/>
                <w:webHidden/>
              </w:rPr>
              <w:fldChar w:fldCharType="separate"/>
            </w:r>
            <w:r w:rsidR="00D05556">
              <w:rPr>
                <w:noProof/>
                <w:webHidden/>
              </w:rPr>
              <w:t>30</w:t>
            </w:r>
            <w:r w:rsidR="00D05556">
              <w:rPr>
                <w:noProof/>
                <w:webHidden/>
              </w:rPr>
              <w:fldChar w:fldCharType="end"/>
            </w:r>
          </w:hyperlink>
        </w:p>
        <w:p w:rsidR="00D05556" w:rsidRDefault="00AA3DCF">
          <w:pPr>
            <w:pStyle w:val="TOC1"/>
            <w:rPr>
              <w:rFonts w:asciiTheme="minorHAnsi" w:eastAsiaTheme="minorEastAsia" w:hAnsiTheme="minorHAnsi" w:cstheme="minorBidi"/>
              <w:noProof/>
              <w:lang w:val="en-US" w:eastAsia="en-US"/>
            </w:rPr>
          </w:pPr>
          <w:hyperlink w:anchor="_Toc401244724" w:history="1">
            <w:r w:rsidR="00D05556" w:rsidRPr="00AC46D5">
              <w:rPr>
                <w:rStyle w:val="Hyperlink"/>
                <w:noProof/>
                <w:lang w:val="es-DO"/>
              </w:rPr>
              <w:t>IX.</w:t>
            </w:r>
            <w:r w:rsidR="00D05556">
              <w:rPr>
                <w:rFonts w:asciiTheme="minorHAnsi" w:eastAsiaTheme="minorEastAsia" w:hAnsiTheme="minorHAnsi" w:cstheme="minorBidi"/>
                <w:noProof/>
                <w:lang w:val="en-US" w:eastAsia="en-US"/>
              </w:rPr>
              <w:tab/>
            </w:r>
            <w:r w:rsidR="00D05556" w:rsidRPr="00AC46D5">
              <w:rPr>
                <w:rStyle w:val="Hyperlink"/>
                <w:noProof/>
                <w:lang w:val="es-DO"/>
              </w:rPr>
              <w:t>ANEXOS</w:t>
            </w:r>
            <w:r w:rsidR="00D05556">
              <w:rPr>
                <w:noProof/>
                <w:webHidden/>
              </w:rPr>
              <w:tab/>
            </w:r>
            <w:r w:rsidR="00D05556">
              <w:rPr>
                <w:noProof/>
                <w:webHidden/>
              </w:rPr>
              <w:fldChar w:fldCharType="begin"/>
            </w:r>
            <w:r w:rsidR="00D05556">
              <w:rPr>
                <w:noProof/>
                <w:webHidden/>
              </w:rPr>
              <w:instrText xml:space="preserve"> PAGEREF _Toc401244724 \h </w:instrText>
            </w:r>
            <w:r w:rsidR="00D05556">
              <w:rPr>
                <w:noProof/>
                <w:webHidden/>
              </w:rPr>
            </w:r>
            <w:r w:rsidR="00D05556">
              <w:rPr>
                <w:noProof/>
                <w:webHidden/>
              </w:rPr>
              <w:fldChar w:fldCharType="separate"/>
            </w:r>
            <w:r w:rsidR="00D05556">
              <w:rPr>
                <w:noProof/>
                <w:webHidden/>
              </w:rPr>
              <w:t>32</w:t>
            </w:r>
            <w:r w:rsidR="00D05556">
              <w:rPr>
                <w:noProof/>
                <w:webHidden/>
              </w:rPr>
              <w:fldChar w:fldCharType="end"/>
            </w:r>
          </w:hyperlink>
        </w:p>
        <w:p w:rsidR="00D05556" w:rsidRDefault="00AA3DCF">
          <w:pPr>
            <w:pStyle w:val="TOC2"/>
            <w:tabs>
              <w:tab w:val="right" w:leader="dot" w:pos="9163"/>
            </w:tabs>
            <w:rPr>
              <w:rFonts w:asciiTheme="minorHAnsi" w:eastAsiaTheme="minorEastAsia" w:hAnsiTheme="minorHAnsi" w:cstheme="minorBidi"/>
              <w:noProof/>
              <w:lang w:val="en-US" w:eastAsia="en-US"/>
            </w:rPr>
          </w:pPr>
          <w:hyperlink w:anchor="_Toc401244725" w:history="1">
            <w:r w:rsidR="00D05556" w:rsidRPr="00AC46D5">
              <w:rPr>
                <w:rStyle w:val="Hyperlink"/>
                <w:noProof/>
                <w:lang w:val="es-DO"/>
              </w:rPr>
              <w:t>Anexo 1. Revisión de la literatura: cuantificación de beneficios de intervenciones en Seguridad Social.</w:t>
            </w:r>
            <w:r w:rsidR="00D05556">
              <w:rPr>
                <w:noProof/>
                <w:webHidden/>
              </w:rPr>
              <w:tab/>
            </w:r>
            <w:r w:rsidR="00D05556">
              <w:rPr>
                <w:noProof/>
                <w:webHidden/>
              </w:rPr>
              <w:fldChar w:fldCharType="begin"/>
            </w:r>
            <w:r w:rsidR="00D05556">
              <w:rPr>
                <w:noProof/>
                <w:webHidden/>
              </w:rPr>
              <w:instrText xml:space="preserve"> PAGEREF _Toc401244725 \h </w:instrText>
            </w:r>
            <w:r w:rsidR="00D05556">
              <w:rPr>
                <w:noProof/>
                <w:webHidden/>
              </w:rPr>
            </w:r>
            <w:r w:rsidR="00D05556">
              <w:rPr>
                <w:noProof/>
                <w:webHidden/>
              </w:rPr>
              <w:fldChar w:fldCharType="separate"/>
            </w:r>
            <w:r w:rsidR="00D05556">
              <w:rPr>
                <w:noProof/>
                <w:webHidden/>
              </w:rPr>
              <w:t>33</w:t>
            </w:r>
            <w:r w:rsidR="00D05556">
              <w:rPr>
                <w:noProof/>
                <w:webHidden/>
              </w:rPr>
              <w:fldChar w:fldCharType="end"/>
            </w:r>
          </w:hyperlink>
        </w:p>
        <w:p w:rsidR="00D05556" w:rsidRDefault="00AA3DCF">
          <w:pPr>
            <w:pStyle w:val="TOC2"/>
            <w:tabs>
              <w:tab w:val="right" w:leader="dot" w:pos="9163"/>
            </w:tabs>
            <w:rPr>
              <w:rFonts w:asciiTheme="minorHAnsi" w:eastAsiaTheme="minorEastAsia" w:hAnsiTheme="minorHAnsi" w:cstheme="minorBidi"/>
              <w:noProof/>
              <w:lang w:val="en-US" w:eastAsia="en-US"/>
            </w:rPr>
          </w:pPr>
          <w:hyperlink w:anchor="_Toc401244726" w:history="1">
            <w:r w:rsidR="00D05556" w:rsidRPr="00AC46D5">
              <w:rPr>
                <w:rStyle w:val="Hyperlink"/>
                <w:noProof/>
                <w:lang w:val="es-DO"/>
              </w:rPr>
              <w:t>Anexo 2. Estimación de brechas geográficas de recuso humano e infraestructura</w:t>
            </w:r>
            <w:r w:rsidR="00D05556">
              <w:rPr>
                <w:noProof/>
                <w:webHidden/>
              </w:rPr>
              <w:tab/>
            </w:r>
            <w:r w:rsidR="00D05556">
              <w:rPr>
                <w:noProof/>
                <w:webHidden/>
              </w:rPr>
              <w:fldChar w:fldCharType="begin"/>
            </w:r>
            <w:r w:rsidR="00D05556">
              <w:rPr>
                <w:noProof/>
                <w:webHidden/>
              </w:rPr>
              <w:instrText xml:space="preserve"> PAGEREF _Toc401244726 \h </w:instrText>
            </w:r>
            <w:r w:rsidR="00D05556">
              <w:rPr>
                <w:noProof/>
                <w:webHidden/>
              </w:rPr>
            </w:r>
            <w:r w:rsidR="00D05556">
              <w:rPr>
                <w:noProof/>
                <w:webHidden/>
              </w:rPr>
              <w:fldChar w:fldCharType="separate"/>
            </w:r>
            <w:r w:rsidR="00D05556">
              <w:rPr>
                <w:noProof/>
                <w:webHidden/>
              </w:rPr>
              <w:t>35</w:t>
            </w:r>
            <w:r w:rsidR="00D05556">
              <w:rPr>
                <w:noProof/>
                <w:webHidden/>
              </w:rPr>
              <w:fldChar w:fldCharType="end"/>
            </w:r>
          </w:hyperlink>
        </w:p>
        <w:p w:rsidR="00D05556" w:rsidRDefault="00AA3DCF">
          <w:pPr>
            <w:pStyle w:val="TOC2"/>
            <w:tabs>
              <w:tab w:val="right" w:leader="dot" w:pos="9163"/>
            </w:tabs>
            <w:rPr>
              <w:rFonts w:asciiTheme="minorHAnsi" w:eastAsiaTheme="minorEastAsia" w:hAnsiTheme="minorHAnsi" w:cstheme="minorBidi"/>
              <w:noProof/>
              <w:lang w:val="en-US" w:eastAsia="en-US"/>
            </w:rPr>
          </w:pPr>
          <w:hyperlink w:anchor="_Toc401244727" w:history="1">
            <w:r w:rsidR="00D05556" w:rsidRPr="00AC46D5">
              <w:rPr>
                <w:rStyle w:val="Hyperlink"/>
                <w:noProof/>
                <w:lang w:val="es-DO"/>
              </w:rPr>
              <w:t>Anexo 3. Proyecciones para las valoraciones de costos y beneficios</w:t>
            </w:r>
            <w:r w:rsidR="00D05556">
              <w:rPr>
                <w:noProof/>
                <w:webHidden/>
              </w:rPr>
              <w:tab/>
            </w:r>
            <w:r w:rsidR="00D05556">
              <w:rPr>
                <w:noProof/>
                <w:webHidden/>
              </w:rPr>
              <w:fldChar w:fldCharType="begin"/>
            </w:r>
            <w:r w:rsidR="00D05556">
              <w:rPr>
                <w:noProof/>
                <w:webHidden/>
              </w:rPr>
              <w:instrText xml:space="preserve"> PAGEREF _Toc401244727 \h </w:instrText>
            </w:r>
            <w:r w:rsidR="00D05556">
              <w:rPr>
                <w:noProof/>
                <w:webHidden/>
              </w:rPr>
            </w:r>
            <w:r w:rsidR="00D05556">
              <w:rPr>
                <w:noProof/>
                <w:webHidden/>
              </w:rPr>
              <w:fldChar w:fldCharType="separate"/>
            </w:r>
            <w:r w:rsidR="00D05556">
              <w:rPr>
                <w:noProof/>
                <w:webHidden/>
              </w:rPr>
              <w:t>37</w:t>
            </w:r>
            <w:r w:rsidR="00D05556">
              <w:rPr>
                <w:noProof/>
                <w:webHidden/>
              </w:rPr>
              <w:fldChar w:fldCharType="end"/>
            </w:r>
          </w:hyperlink>
        </w:p>
        <w:p w:rsidR="00D05556" w:rsidRDefault="00AA3DCF">
          <w:pPr>
            <w:pStyle w:val="TOC2"/>
            <w:tabs>
              <w:tab w:val="right" w:leader="dot" w:pos="9163"/>
            </w:tabs>
            <w:rPr>
              <w:rFonts w:asciiTheme="minorHAnsi" w:eastAsiaTheme="minorEastAsia" w:hAnsiTheme="minorHAnsi" w:cstheme="minorBidi"/>
              <w:noProof/>
              <w:lang w:val="en-US" w:eastAsia="en-US"/>
            </w:rPr>
          </w:pPr>
          <w:hyperlink w:anchor="_Toc401244728" w:history="1">
            <w:r w:rsidR="00D05556" w:rsidRPr="00AC46D5">
              <w:rPr>
                <w:rStyle w:val="Hyperlink"/>
                <w:noProof/>
                <w:lang w:val="es-DO"/>
              </w:rPr>
              <w:t>Anexo 4. Beneficios Incrementales</w:t>
            </w:r>
            <w:r w:rsidR="00D05556">
              <w:rPr>
                <w:noProof/>
                <w:webHidden/>
              </w:rPr>
              <w:tab/>
            </w:r>
            <w:r w:rsidR="00D05556">
              <w:rPr>
                <w:noProof/>
                <w:webHidden/>
              </w:rPr>
              <w:fldChar w:fldCharType="begin"/>
            </w:r>
            <w:r w:rsidR="00D05556">
              <w:rPr>
                <w:noProof/>
                <w:webHidden/>
              </w:rPr>
              <w:instrText xml:space="preserve"> PAGEREF _Toc401244728 \h </w:instrText>
            </w:r>
            <w:r w:rsidR="00D05556">
              <w:rPr>
                <w:noProof/>
                <w:webHidden/>
              </w:rPr>
            </w:r>
            <w:r w:rsidR="00D05556">
              <w:rPr>
                <w:noProof/>
                <w:webHidden/>
              </w:rPr>
              <w:fldChar w:fldCharType="separate"/>
            </w:r>
            <w:r w:rsidR="00D05556">
              <w:rPr>
                <w:noProof/>
                <w:webHidden/>
              </w:rPr>
              <w:t>43</w:t>
            </w:r>
            <w:r w:rsidR="00D05556">
              <w:rPr>
                <w:noProof/>
                <w:webHidden/>
              </w:rPr>
              <w:fldChar w:fldCharType="end"/>
            </w:r>
          </w:hyperlink>
        </w:p>
        <w:p w:rsidR="00D05556" w:rsidRDefault="00AA3DCF">
          <w:pPr>
            <w:pStyle w:val="TOC2"/>
            <w:tabs>
              <w:tab w:val="right" w:leader="dot" w:pos="9163"/>
            </w:tabs>
            <w:rPr>
              <w:rFonts w:asciiTheme="minorHAnsi" w:eastAsiaTheme="minorEastAsia" w:hAnsiTheme="minorHAnsi" w:cstheme="minorBidi"/>
              <w:noProof/>
              <w:lang w:val="en-US" w:eastAsia="en-US"/>
            </w:rPr>
          </w:pPr>
          <w:hyperlink w:anchor="_Toc401244729" w:history="1">
            <w:r w:rsidR="00D05556" w:rsidRPr="00AC46D5">
              <w:rPr>
                <w:rStyle w:val="Hyperlink"/>
                <w:noProof/>
                <w:lang w:val="es-DO"/>
              </w:rPr>
              <w:t>Anexo 5 Costos Económicos</w:t>
            </w:r>
            <w:r w:rsidR="00D05556">
              <w:rPr>
                <w:noProof/>
                <w:webHidden/>
              </w:rPr>
              <w:tab/>
            </w:r>
            <w:r w:rsidR="00D05556">
              <w:rPr>
                <w:noProof/>
                <w:webHidden/>
              </w:rPr>
              <w:fldChar w:fldCharType="begin"/>
            </w:r>
            <w:r w:rsidR="00D05556">
              <w:rPr>
                <w:noProof/>
                <w:webHidden/>
              </w:rPr>
              <w:instrText xml:space="preserve"> PAGEREF _Toc401244729 \h </w:instrText>
            </w:r>
            <w:r w:rsidR="00D05556">
              <w:rPr>
                <w:noProof/>
                <w:webHidden/>
              </w:rPr>
            </w:r>
            <w:r w:rsidR="00D05556">
              <w:rPr>
                <w:noProof/>
                <w:webHidden/>
              </w:rPr>
              <w:fldChar w:fldCharType="separate"/>
            </w:r>
            <w:r w:rsidR="00D05556">
              <w:rPr>
                <w:noProof/>
                <w:webHidden/>
              </w:rPr>
              <w:t>44</w:t>
            </w:r>
            <w:r w:rsidR="00D05556">
              <w:rPr>
                <w:noProof/>
                <w:webHidden/>
              </w:rPr>
              <w:fldChar w:fldCharType="end"/>
            </w:r>
          </w:hyperlink>
        </w:p>
        <w:p w:rsidR="00C62A67" w:rsidRPr="008450F1" w:rsidRDefault="00C62A67">
          <w:pPr>
            <w:rPr>
              <w:lang w:val="es-DO"/>
            </w:rPr>
          </w:pPr>
          <w:r w:rsidRPr="008450F1">
            <w:rPr>
              <w:b/>
              <w:bCs/>
              <w:lang w:val="es-DO"/>
            </w:rPr>
            <w:fldChar w:fldCharType="end"/>
          </w:r>
        </w:p>
      </w:sdtContent>
    </w:sdt>
    <w:p w:rsidR="00C62A67" w:rsidRPr="008450F1" w:rsidRDefault="00C62A67">
      <w:pPr>
        <w:spacing w:after="0" w:line="240" w:lineRule="auto"/>
        <w:jc w:val="left"/>
        <w:rPr>
          <w:b/>
          <w:lang w:val="es-DO"/>
        </w:rPr>
      </w:pPr>
      <w:r w:rsidRPr="008450F1">
        <w:rPr>
          <w:lang w:val="es-DO"/>
        </w:rPr>
        <w:br w:type="page"/>
      </w:r>
    </w:p>
    <w:p w:rsidR="00D05556" w:rsidRDefault="00D05556" w:rsidP="00D05556">
      <w:pPr>
        <w:pStyle w:val="Heading4"/>
        <w:spacing w:before="0" w:after="0" w:line="240" w:lineRule="auto"/>
        <w:rPr>
          <w:rFonts w:ascii="Times New Roman" w:hAnsi="Times New Roman"/>
          <w:b w:val="0"/>
          <w:color w:val="auto"/>
          <w:lang w:val="es-DO"/>
        </w:rPr>
      </w:pPr>
      <w:r w:rsidRPr="00D05556">
        <w:rPr>
          <w:rFonts w:ascii="Times New Roman" w:hAnsi="Times New Roman"/>
          <w:b w:val="0"/>
          <w:color w:val="auto"/>
          <w:lang w:val="es-DO"/>
        </w:rPr>
        <w:lastRenderedPageBreak/>
        <w:t>ABREVIACIONES</w:t>
      </w:r>
    </w:p>
    <w:p w:rsidR="00D05556" w:rsidRDefault="00D05556" w:rsidP="00D05556">
      <w:pPr>
        <w:spacing w:after="0"/>
        <w:rPr>
          <w:lang w:val="es-DO"/>
        </w:rPr>
      </w:pPr>
    </w:p>
    <w:p w:rsidR="002D1AF6" w:rsidRPr="002D1AF6" w:rsidRDefault="002D1AF6" w:rsidP="00D05556">
      <w:pPr>
        <w:spacing w:after="0"/>
        <w:rPr>
          <w:lang w:val="es-DO"/>
        </w:rPr>
      </w:pPr>
      <w:r w:rsidRPr="002D1AF6">
        <w:rPr>
          <w:lang w:val="es-DO"/>
        </w:rPr>
        <w:t>APS: Atención Primaria en Salud</w:t>
      </w:r>
    </w:p>
    <w:p w:rsidR="002D1AF6" w:rsidRPr="00D05556" w:rsidRDefault="002D1AF6" w:rsidP="00D05556">
      <w:pPr>
        <w:spacing w:after="0"/>
        <w:rPr>
          <w:lang w:val="es-DO"/>
        </w:rPr>
      </w:pPr>
      <w:r w:rsidRPr="00D05556">
        <w:rPr>
          <w:lang w:val="es-DO"/>
        </w:rPr>
        <w:t>AVAD</w:t>
      </w:r>
      <w:r>
        <w:rPr>
          <w:lang w:val="es-DO"/>
        </w:rPr>
        <w:t>: Años de Vida Ajustados por Discapacidad</w:t>
      </w:r>
    </w:p>
    <w:p w:rsidR="002D1AF6" w:rsidRPr="002D1AF6" w:rsidRDefault="002D1AF6" w:rsidP="00D05556">
      <w:pPr>
        <w:spacing w:after="0"/>
        <w:rPr>
          <w:lang w:val="es-DO"/>
        </w:rPr>
      </w:pPr>
      <w:r w:rsidRPr="002D1AF6">
        <w:rPr>
          <w:lang w:val="es-DO"/>
        </w:rPr>
        <w:t>BID: Banco Interamericano de Desarrollo</w:t>
      </w:r>
    </w:p>
    <w:p w:rsidR="002D1AF6" w:rsidRDefault="002D1AF6" w:rsidP="00D05556">
      <w:pPr>
        <w:spacing w:after="0"/>
        <w:rPr>
          <w:lang w:val="es-DO"/>
        </w:rPr>
      </w:pPr>
      <w:r>
        <w:rPr>
          <w:lang w:val="es-DO"/>
        </w:rPr>
        <w:t>BM: Banco Mundial</w:t>
      </w:r>
    </w:p>
    <w:p w:rsidR="002D1AF6" w:rsidRPr="00D05556" w:rsidRDefault="002D1AF6" w:rsidP="00D05556">
      <w:pPr>
        <w:spacing w:after="0"/>
        <w:rPr>
          <w:lang w:val="es-DO"/>
        </w:rPr>
      </w:pPr>
      <w:r w:rsidRPr="00D05556">
        <w:rPr>
          <w:lang w:val="es-DO"/>
        </w:rPr>
        <w:t>DEA</w:t>
      </w:r>
      <w:r>
        <w:rPr>
          <w:lang w:val="es-DO"/>
        </w:rPr>
        <w:t>: Análisis Envolvente de Datos</w:t>
      </w:r>
    </w:p>
    <w:p w:rsidR="002D1AF6" w:rsidRPr="002D1AF6" w:rsidRDefault="002D1AF6" w:rsidP="00D05556">
      <w:pPr>
        <w:spacing w:after="0"/>
        <w:rPr>
          <w:lang w:val="es-DO"/>
        </w:rPr>
      </w:pPr>
      <w:r w:rsidRPr="002D1AF6">
        <w:rPr>
          <w:lang w:val="es-DO"/>
        </w:rPr>
        <w:t>DOP: Pesos Dominicanos</w:t>
      </w:r>
    </w:p>
    <w:p w:rsidR="002D1AF6" w:rsidRPr="00D05556" w:rsidRDefault="002D1AF6" w:rsidP="00D05556">
      <w:pPr>
        <w:spacing w:after="0"/>
        <w:rPr>
          <w:lang w:val="es-DO"/>
        </w:rPr>
      </w:pPr>
      <w:r w:rsidRPr="00D05556">
        <w:rPr>
          <w:lang w:val="es-DO"/>
        </w:rPr>
        <w:t>EE</w:t>
      </w:r>
      <w:r>
        <w:rPr>
          <w:lang w:val="es-DO"/>
        </w:rPr>
        <w:t>: Evaluación Económica</w:t>
      </w:r>
    </w:p>
    <w:p w:rsidR="002D1AF6" w:rsidRPr="002D1AF6" w:rsidRDefault="002D1AF6" w:rsidP="00D05556">
      <w:pPr>
        <w:spacing w:after="0"/>
        <w:rPr>
          <w:lang w:val="es-DO"/>
        </w:rPr>
      </w:pPr>
      <w:r w:rsidRPr="002D1AF6">
        <w:rPr>
          <w:lang w:val="es-DO"/>
        </w:rPr>
        <w:t>FMI: Fondo Monetario Internacional</w:t>
      </w:r>
    </w:p>
    <w:p w:rsidR="002D1AF6" w:rsidRPr="00D05556" w:rsidRDefault="002D1AF6" w:rsidP="00D05556">
      <w:pPr>
        <w:spacing w:after="0"/>
        <w:rPr>
          <w:lang w:val="es-DO"/>
        </w:rPr>
      </w:pPr>
      <w:r w:rsidRPr="00D05556">
        <w:rPr>
          <w:lang w:val="es-DO"/>
        </w:rPr>
        <w:t>GORD</w:t>
      </w:r>
      <w:r>
        <w:rPr>
          <w:lang w:val="es-DO"/>
        </w:rPr>
        <w:t>: Gobierno de la República Dominicana</w:t>
      </w:r>
    </w:p>
    <w:p w:rsidR="002D1AF6" w:rsidRDefault="002D1AF6" w:rsidP="00D05556">
      <w:pPr>
        <w:spacing w:after="0"/>
        <w:rPr>
          <w:lang w:val="es-DO"/>
        </w:rPr>
      </w:pPr>
      <w:r>
        <w:rPr>
          <w:lang w:val="es-DO"/>
        </w:rPr>
        <w:t>GPC: Guías de Práctica Clínica</w:t>
      </w:r>
    </w:p>
    <w:p w:rsidR="002D1AF6" w:rsidRDefault="002D1AF6" w:rsidP="00D05556">
      <w:pPr>
        <w:spacing w:after="0"/>
        <w:rPr>
          <w:lang w:val="es-DO"/>
        </w:rPr>
      </w:pPr>
      <w:r>
        <w:rPr>
          <w:lang w:val="es-DO"/>
        </w:rPr>
        <w:t>ICV: Índice de Calidad de Vida</w:t>
      </w:r>
    </w:p>
    <w:p w:rsidR="002D1AF6" w:rsidRPr="00D05556" w:rsidRDefault="002D1AF6" w:rsidP="00D05556">
      <w:pPr>
        <w:spacing w:after="0"/>
        <w:rPr>
          <w:lang w:val="es-DO"/>
        </w:rPr>
      </w:pPr>
      <w:r w:rsidRPr="00D05556">
        <w:rPr>
          <w:lang w:val="es-DO"/>
        </w:rPr>
        <w:t>IDSS: Instituto Dominicano de S</w:t>
      </w:r>
      <w:r>
        <w:rPr>
          <w:lang w:val="es-DO"/>
        </w:rPr>
        <w:t>eguros Sociales</w:t>
      </w:r>
    </w:p>
    <w:p w:rsidR="002D1AF6" w:rsidRPr="00D05556" w:rsidRDefault="002D1AF6" w:rsidP="00D05556">
      <w:pPr>
        <w:spacing w:after="0"/>
        <w:rPr>
          <w:lang w:val="es-DO"/>
        </w:rPr>
      </w:pPr>
      <w:r w:rsidRPr="00D05556">
        <w:rPr>
          <w:lang w:val="es-DO"/>
        </w:rPr>
        <w:t>IPC</w:t>
      </w:r>
      <w:r>
        <w:rPr>
          <w:lang w:val="es-DO"/>
        </w:rPr>
        <w:t>: Índice de Precio al Consumidor</w:t>
      </w:r>
    </w:p>
    <w:p w:rsidR="002D1AF6" w:rsidRDefault="002D1AF6" w:rsidP="00D05556">
      <w:pPr>
        <w:spacing w:after="0"/>
        <w:rPr>
          <w:lang w:val="es-DO"/>
        </w:rPr>
      </w:pPr>
      <w:r>
        <w:rPr>
          <w:lang w:val="es-DO"/>
        </w:rPr>
        <w:t>MSP: Ministerio de Salud Pública</w:t>
      </w:r>
    </w:p>
    <w:p w:rsidR="002D1AF6" w:rsidRPr="002D1AF6" w:rsidRDefault="002D1AF6" w:rsidP="00D05556">
      <w:pPr>
        <w:spacing w:after="0"/>
        <w:rPr>
          <w:lang w:val="es-DO"/>
        </w:rPr>
      </w:pPr>
      <w:r w:rsidRPr="002D1AF6">
        <w:rPr>
          <w:lang w:val="es-DO"/>
        </w:rPr>
        <w:t>ONE: Oficina Nacional de Estadística</w:t>
      </w:r>
    </w:p>
    <w:p w:rsidR="002D1AF6" w:rsidRDefault="002D1AF6" w:rsidP="00D05556">
      <w:pPr>
        <w:spacing w:after="0"/>
        <w:rPr>
          <w:lang w:val="es-DO"/>
        </w:rPr>
      </w:pPr>
      <w:r>
        <w:rPr>
          <w:lang w:val="es-DO"/>
        </w:rPr>
        <w:t>PBP: Préstamo Programático de Apoyo a las Reformas de Políticas</w:t>
      </w:r>
    </w:p>
    <w:p w:rsidR="002D1AF6" w:rsidRPr="002D1AF6" w:rsidRDefault="002D1AF6" w:rsidP="00D05556">
      <w:pPr>
        <w:spacing w:after="0"/>
        <w:rPr>
          <w:lang w:val="es-DO"/>
        </w:rPr>
      </w:pPr>
      <w:r w:rsidRPr="002D1AF6">
        <w:rPr>
          <w:lang w:val="es-DO"/>
        </w:rPr>
        <w:t>PDSS: Plan de Servicios de Salud</w:t>
      </w:r>
    </w:p>
    <w:p w:rsidR="002D1AF6" w:rsidRPr="002D1AF6" w:rsidRDefault="002D1AF6" w:rsidP="00D05556">
      <w:pPr>
        <w:spacing w:after="0"/>
        <w:rPr>
          <w:lang w:val="es-DO"/>
        </w:rPr>
      </w:pPr>
      <w:r w:rsidRPr="002D1AF6">
        <w:rPr>
          <w:lang w:val="es-DO"/>
        </w:rPr>
        <w:t>PEA: Poblaci</w:t>
      </w:r>
      <w:r>
        <w:rPr>
          <w:lang w:val="es-DO"/>
        </w:rPr>
        <w:t>ón Económicamente Activa</w:t>
      </w:r>
    </w:p>
    <w:p w:rsidR="002D1AF6" w:rsidRPr="00D05556" w:rsidRDefault="002D1AF6" w:rsidP="00D05556">
      <w:pPr>
        <w:spacing w:after="0"/>
        <w:rPr>
          <w:lang w:val="es-DO"/>
        </w:rPr>
      </w:pPr>
      <w:r w:rsidRPr="00D05556">
        <w:rPr>
          <w:lang w:val="es-DO"/>
        </w:rPr>
        <w:t>PIB</w:t>
      </w:r>
      <w:r>
        <w:rPr>
          <w:lang w:val="es-DO"/>
        </w:rPr>
        <w:t>: Producto Interno Bruto</w:t>
      </w:r>
    </w:p>
    <w:p w:rsidR="002D1AF6" w:rsidRPr="002D1AF6" w:rsidRDefault="002D1AF6" w:rsidP="00D05556">
      <w:pPr>
        <w:spacing w:after="0"/>
        <w:rPr>
          <w:lang w:val="es-DO"/>
        </w:rPr>
      </w:pPr>
      <w:r w:rsidRPr="002D1AF6">
        <w:rPr>
          <w:lang w:val="es-DO"/>
        </w:rPr>
        <w:t>POD: Propuesta de Desarrollo de la Operaci</w:t>
      </w:r>
      <w:r>
        <w:rPr>
          <w:lang w:val="es-DO"/>
        </w:rPr>
        <w:t>ón</w:t>
      </w:r>
    </w:p>
    <w:p w:rsidR="002D1AF6" w:rsidRPr="002D1AF6" w:rsidRDefault="002D1AF6" w:rsidP="00D05556">
      <w:pPr>
        <w:spacing w:after="0"/>
        <w:rPr>
          <w:lang w:val="es-DO"/>
        </w:rPr>
      </w:pPr>
      <w:r w:rsidRPr="002D1AF6">
        <w:rPr>
          <w:lang w:val="es-DO"/>
        </w:rPr>
        <w:t>PPP: Poder de Paridad Adquisitiva</w:t>
      </w:r>
    </w:p>
    <w:p w:rsidR="002D1AF6" w:rsidRPr="002D1AF6" w:rsidRDefault="002D1AF6" w:rsidP="00D05556">
      <w:pPr>
        <w:spacing w:after="0"/>
        <w:rPr>
          <w:lang w:val="es-DO"/>
        </w:rPr>
      </w:pPr>
      <w:r w:rsidRPr="002D1AF6">
        <w:rPr>
          <w:lang w:val="es-DO"/>
        </w:rPr>
        <w:t>RC: Régimen Contributivo</w:t>
      </w:r>
    </w:p>
    <w:p w:rsidR="002D1AF6" w:rsidRPr="002D1AF6" w:rsidRDefault="002D1AF6" w:rsidP="00D05556">
      <w:pPr>
        <w:spacing w:after="0"/>
        <w:rPr>
          <w:lang w:val="es-DO"/>
        </w:rPr>
      </w:pPr>
      <w:r w:rsidRPr="002D1AF6">
        <w:rPr>
          <w:lang w:val="es-DO"/>
        </w:rPr>
        <w:t>RCS: Régimen Contributivo-Subsidiado</w:t>
      </w:r>
    </w:p>
    <w:p w:rsidR="002D1AF6" w:rsidRPr="002D1AF6" w:rsidRDefault="002D1AF6" w:rsidP="00D05556">
      <w:pPr>
        <w:spacing w:after="0"/>
        <w:rPr>
          <w:lang w:val="es-DO"/>
        </w:rPr>
      </w:pPr>
      <w:r w:rsidRPr="002D1AF6">
        <w:rPr>
          <w:lang w:val="es-DO"/>
        </w:rPr>
        <w:t>RD: República Dominicana</w:t>
      </w:r>
    </w:p>
    <w:p w:rsidR="002D1AF6" w:rsidRPr="002D1AF6" w:rsidRDefault="002D1AF6" w:rsidP="00D05556">
      <w:pPr>
        <w:spacing w:after="0"/>
        <w:rPr>
          <w:lang w:val="es-DO"/>
        </w:rPr>
      </w:pPr>
      <w:r w:rsidRPr="002D1AF6">
        <w:rPr>
          <w:lang w:val="es-DO"/>
        </w:rPr>
        <w:t>RH: Recurso Humano</w:t>
      </w:r>
    </w:p>
    <w:p w:rsidR="002D1AF6" w:rsidRPr="002D1AF6" w:rsidRDefault="002D1AF6" w:rsidP="00D05556">
      <w:pPr>
        <w:spacing w:after="0"/>
        <w:rPr>
          <w:lang w:val="es-DO"/>
        </w:rPr>
      </w:pPr>
      <w:r w:rsidRPr="002D1AF6">
        <w:rPr>
          <w:lang w:val="es-DO"/>
        </w:rPr>
        <w:t>RS: Régimen Subsidiado</w:t>
      </w:r>
    </w:p>
    <w:p w:rsidR="002D1AF6" w:rsidRDefault="002D1AF6" w:rsidP="00D05556">
      <w:pPr>
        <w:spacing w:after="0"/>
        <w:rPr>
          <w:lang w:val="es-DO"/>
        </w:rPr>
      </w:pPr>
      <w:r>
        <w:rPr>
          <w:lang w:val="es-DO"/>
        </w:rPr>
        <w:t>SDSS: Sistema Dominicano Seguridad Social</w:t>
      </w:r>
    </w:p>
    <w:p w:rsidR="002D1AF6" w:rsidRDefault="002D1AF6" w:rsidP="00D05556">
      <w:pPr>
        <w:spacing w:after="0"/>
        <w:rPr>
          <w:lang w:val="es-DO"/>
        </w:rPr>
      </w:pPr>
      <w:r>
        <w:rPr>
          <w:lang w:val="es-DO"/>
        </w:rPr>
        <w:t>SENASA: Seguro Nacional de Salud</w:t>
      </w:r>
    </w:p>
    <w:p w:rsidR="002D1AF6" w:rsidRDefault="002D1AF6" w:rsidP="00D05556">
      <w:pPr>
        <w:spacing w:after="0"/>
        <w:rPr>
          <w:lang w:val="es-DO"/>
        </w:rPr>
      </w:pPr>
      <w:r>
        <w:rPr>
          <w:lang w:val="es-DO"/>
        </w:rPr>
        <w:t>SISALRIL: Superintendencia de Salud y Riesgos Laborales</w:t>
      </w:r>
    </w:p>
    <w:p w:rsidR="002D1AF6" w:rsidRPr="002D1AF6" w:rsidRDefault="002D1AF6" w:rsidP="00D05556">
      <w:pPr>
        <w:spacing w:after="0"/>
        <w:rPr>
          <w:lang w:val="es-DO"/>
        </w:rPr>
      </w:pPr>
      <w:r w:rsidRPr="002D1AF6">
        <w:rPr>
          <w:lang w:val="es-DO"/>
        </w:rPr>
        <w:t>SISDOM: Sistema de Indicadores Sociales de la Rep</w:t>
      </w:r>
      <w:r>
        <w:rPr>
          <w:lang w:val="es-DO"/>
        </w:rPr>
        <w:t>ública Dominicana</w:t>
      </w:r>
    </w:p>
    <w:p w:rsidR="002D1AF6" w:rsidRPr="002D1AF6" w:rsidRDefault="002D1AF6" w:rsidP="00D05556">
      <w:pPr>
        <w:spacing w:after="0"/>
        <w:rPr>
          <w:lang w:val="es-DO"/>
        </w:rPr>
      </w:pPr>
      <w:r w:rsidRPr="002D1AF6">
        <w:rPr>
          <w:lang w:val="es-DO"/>
        </w:rPr>
        <w:t>SISPRE: Sistema de Pensiones de Reparto</w:t>
      </w:r>
      <w:r>
        <w:rPr>
          <w:lang w:val="es-DO"/>
        </w:rPr>
        <w:t xml:space="preserve"> Estatal</w:t>
      </w:r>
    </w:p>
    <w:p w:rsidR="002D1AF6" w:rsidRDefault="002D1AF6" w:rsidP="00D05556">
      <w:pPr>
        <w:spacing w:after="0"/>
        <w:rPr>
          <w:lang w:val="es-DO"/>
        </w:rPr>
      </w:pPr>
      <w:r>
        <w:rPr>
          <w:lang w:val="es-DO"/>
        </w:rPr>
        <w:t>SIUBEN: Sistema Único de Beneficiarios</w:t>
      </w:r>
    </w:p>
    <w:p w:rsidR="002D1AF6" w:rsidRPr="00D05556" w:rsidRDefault="002D1AF6" w:rsidP="00D05556">
      <w:pPr>
        <w:spacing w:after="0"/>
        <w:rPr>
          <w:lang w:val="es-DO"/>
        </w:rPr>
      </w:pPr>
      <w:r>
        <w:rPr>
          <w:lang w:val="es-DO"/>
        </w:rPr>
        <w:t>TIR: Tasa Interna de Retorno</w:t>
      </w:r>
    </w:p>
    <w:p w:rsidR="002D1AF6" w:rsidRPr="002D1AF6" w:rsidRDefault="002D1AF6" w:rsidP="00D05556">
      <w:pPr>
        <w:spacing w:after="0"/>
        <w:rPr>
          <w:lang w:val="es-DO"/>
        </w:rPr>
      </w:pPr>
      <w:r w:rsidRPr="002D1AF6">
        <w:rPr>
          <w:lang w:val="es-DO"/>
        </w:rPr>
        <w:t>VPN: Valor Presente Neto</w:t>
      </w:r>
    </w:p>
    <w:p w:rsidR="00D05556" w:rsidRPr="00D05556" w:rsidRDefault="00D05556">
      <w:pPr>
        <w:spacing w:after="0" w:line="240" w:lineRule="auto"/>
        <w:jc w:val="left"/>
        <w:rPr>
          <w:lang w:val="es-DO"/>
        </w:rPr>
      </w:pPr>
      <w:r w:rsidRPr="00D05556">
        <w:rPr>
          <w:lang w:val="es-DO"/>
        </w:rPr>
        <w:br w:type="page"/>
      </w:r>
    </w:p>
    <w:p w:rsidR="00A9745C" w:rsidRPr="008450F1" w:rsidRDefault="009F0A15" w:rsidP="00AF0916">
      <w:pPr>
        <w:pStyle w:val="Heading1"/>
        <w:spacing w:before="0" w:after="0" w:line="240" w:lineRule="auto"/>
        <w:rPr>
          <w:lang w:val="es-DO"/>
        </w:rPr>
      </w:pPr>
      <w:bookmarkStart w:id="4" w:name="_Toc401244708"/>
      <w:r w:rsidRPr="008450F1">
        <w:rPr>
          <w:lang w:val="es-DO"/>
        </w:rPr>
        <w:lastRenderedPageBreak/>
        <w:t>INTRODUCCI</w:t>
      </w:r>
      <w:r w:rsidR="00A8088E" w:rsidRPr="008450F1">
        <w:rPr>
          <w:lang w:val="es-DO"/>
        </w:rPr>
        <w:t>Ó</w:t>
      </w:r>
      <w:r w:rsidRPr="008450F1">
        <w:rPr>
          <w:lang w:val="es-DO"/>
        </w:rPr>
        <w:t>N</w:t>
      </w:r>
      <w:bookmarkEnd w:id="4"/>
    </w:p>
    <w:p w:rsidR="00A9745C" w:rsidRPr="008450F1" w:rsidRDefault="00A9745C" w:rsidP="00AF0916">
      <w:pPr>
        <w:spacing w:after="0" w:line="240" w:lineRule="auto"/>
        <w:rPr>
          <w:lang w:val="es-DO"/>
        </w:rPr>
      </w:pPr>
    </w:p>
    <w:p w:rsidR="00B575B1" w:rsidRPr="00FA5324" w:rsidRDefault="00851F8D" w:rsidP="00FA5324">
      <w:pPr>
        <w:spacing w:after="0" w:line="240" w:lineRule="auto"/>
        <w:rPr>
          <w:lang w:val="es-DO"/>
        </w:rPr>
      </w:pPr>
      <w:r w:rsidRPr="00FA5324">
        <w:rPr>
          <w:lang w:val="es-DO"/>
        </w:rPr>
        <w:t xml:space="preserve">En este documento se </w:t>
      </w:r>
      <w:r w:rsidR="00433A82" w:rsidRPr="00FA5324">
        <w:rPr>
          <w:lang w:val="es-DO"/>
        </w:rPr>
        <w:t xml:space="preserve">presenta </w:t>
      </w:r>
      <w:r w:rsidR="009B17AC" w:rsidRPr="00FA5324">
        <w:rPr>
          <w:lang w:val="es-DO"/>
        </w:rPr>
        <w:t xml:space="preserve">la evaluación </w:t>
      </w:r>
      <w:r w:rsidR="00E07CB4" w:rsidRPr="00FA5324">
        <w:rPr>
          <w:lang w:val="es-DO"/>
        </w:rPr>
        <w:t>económica</w:t>
      </w:r>
      <w:r w:rsidRPr="00FA5324">
        <w:rPr>
          <w:lang w:val="es-DO"/>
        </w:rPr>
        <w:t xml:space="preserve"> </w:t>
      </w:r>
      <w:r w:rsidR="00883C9C" w:rsidRPr="008450F1">
        <w:rPr>
          <w:i/>
          <w:lang w:val="es-DO"/>
        </w:rPr>
        <w:t xml:space="preserve">(EE) </w:t>
      </w:r>
      <w:r w:rsidR="00433A82" w:rsidRPr="00FA5324">
        <w:rPr>
          <w:lang w:val="es-DO"/>
        </w:rPr>
        <w:t xml:space="preserve">costo-beneficio </w:t>
      </w:r>
      <w:r w:rsidRPr="00FA5324">
        <w:rPr>
          <w:i/>
          <w:lang w:val="es-DO"/>
        </w:rPr>
        <w:t>ex ante</w:t>
      </w:r>
      <w:r w:rsidR="009B17AC" w:rsidRPr="00FA5324">
        <w:rPr>
          <w:i/>
          <w:lang w:val="es-DO"/>
        </w:rPr>
        <w:t xml:space="preserve"> </w:t>
      </w:r>
      <w:r w:rsidRPr="00FA5324">
        <w:rPr>
          <w:lang w:val="es-DO"/>
        </w:rPr>
        <w:t>de los principales acuerdos y desencadenantes que son parte de los dos programas r</w:t>
      </w:r>
      <w:r w:rsidR="00235F85" w:rsidRPr="00FA5324">
        <w:rPr>
          <w:lang w:val="es-DO"/>
        </w:rPr>
        <w:t>ealizados bajo la modalidad de P</w:t>
      </w:r>
      <w:r w:rsidRPr="00FA5324">
        <w:rPr>
          <w:lang w:val="es-DO"/>
        </w:rPr>
        <w:t xml:space="preserve">réstamo </w:t>
      </w:r>
      <w:r w:rsidR="00235F85" w:rsidRPr="00FA5324">
        <w:rPr>
          <w:lang w:val="es-DO"/>
        </w:rPr>
        <w:t>P</w:t>
      </w:r>
      <w:r w:rsidR="003E2761" w:rsidRPr="00FA5324">
        <w:rPr>
          <w:lang w:val="es-DO"/>
        </w:rPr>
        <w:t>rogramático</w:t>
      </w:r>
      <w:r w:rsidR="00235F85" w:rsidRPr="00FA5324">
        <w:rPr>
          <w:lang w:val="es-DO"/>
        </w:rPr>
        <w:t xml:space="preserve"> de Apoyo a Reformas de Política</w:t>
      </w:r>
      <w:r w:rsidR="002A1DD4" w:rsidRPr="00FA5324">
        <w:rPr>
          <w:lang w:val="es-DO"/>
        </w:rPr>
        <w:t xml:space="preserve"> (</w:t>
      </w:r>
      <w:r w:rsidR="00173B80" w:rsidRPr="00FA5324">
        <w:rPr>
          <w:lang w:val="es-DO"/>
        </w:rPr>
        <w:t>PB</w:t>
      </w:r>
      <w:r w:rsidR="003E2761" w:rsidRPr="00FA5324">
        <w:rPr>
          <w:lang w:val="es-DO"/>
        </w:rPr>
        <w:t>P</w:t>
      </w:r>
      <w:r w:rsidR="002A1DD4" w:rsidRPr="008450F1">
        <w:rPr>
          <w:lang w:val="es-DO"/>
        </w:rPr>
        <w:t>)</w:t>
      </w:r>
      <w:r w:rsidR="00A8088E" w:rsidRPr="008450F1">
        <w:rPr>
          <w:lang w:val="es-DO"/>
        </w:rPr>
        <w:t>. El programa “Apoyo a la Consolidación del Sector Salud y de la Seguridad Social” (</w:t>
      </w:r>
      <w:r w:rsidR="00173B80" w:rsidRPr="008450F1">
        <w:rPr>
          <w:lang w:val="es-DO"/>
        </w:rPr>
        <w:t>DR-L1073</w:t>
      </w:r>
      <w:r w:rsidR="00A8088E" w:rsidRPr="008450F1">
        <w:rPr>
          <w:lang w:val="es-DO"/>
        </w:rPr>
        <w:t>), primero de la serie,</w:t>
      </w:r>
      <w:r w:rsidR="00A8088E" w:rsidRPr="00FA5324">
        <w:rPr>
          <w:lang w:val="es-DO"/>
        </w:rPr>
        <w:t xml:space="preserve"> </w:t>
      </w:r>
      <w:r w:rsidRPr="00FA5324">
        <w:rPr>
          <w:lang w:val="es-DO"/>
        </w:rPr>
        <w:t xml:space="preserve">tiene como objeto apoyar la consolidación </w:t>
      </w:r>
      <w:r w:rsidR="00AB076E" w:rsidRPr="00FA5324">
        <w:rPr>
          <w:lang w:val="es-DO"/>
        </w:rPr>
        <w:t>de los sistemas de seguridad social y de salud</w:t>
      </w:r>
      <w:r w:rsidRPr="00FA5324">
        <w:rPr>
          <w:lang w:val="es-DO"/>
        </w:rPr>
        <w:t xml:space="preserve"> </w:t>
      </w:r>
      <w:r w:rsidR="00AB076E" w:rsidRPr="00FA5324">
        <w:rPr>
          <w:lang w:val="es-DO"/>
        </w:rPr>
        <w:t>de</w:t>
      </w:r>
      <w:r w:rsidRPr="00FA5324">
        <w:rPr>
          <w:lang w:val="es-DO"/>
        </w:rPr>
        <w:t xml:space="preserve"> </w:t>
      </w:r>
      <w:r w:rsidR="00BB5FD6" w:rsidRPr="00FA5324">
        <w:rPr>
          <w:lang w:val="es-DO"/>
        </w:rPr>
        <w:t>Repú</w:t>
      </w:r>
      <w:r w:rsidRPr="00FA5324">
        <w:rPr>
          <w:lang w:val="es-DO"/>
        </w:rPr>
        <w:t>b</w:t>
      </w:r>
      <w:r w:rsidR="00BB5FD6" w:rsidRPr="00FA5324">
        <w:rPr>
          <w:lang w:val="es-DO"/>
        </w:rPr>
        <w:t>lica Dominicana</w:t>
      </w:r>
      <w:r w:rsidR="00936D82" w:rsidRPr="00FA5324">
        <w:rPr>
          <w:lang w:val="es-DO"/>
        </w:rPr>
        <w:t xml:space="preserve"> (RD)</w:t>
      </w:r>
      <w:r w:rsidRPr="00FA5324">
        <w:rPr>
          <w:lang w:val="es-DO"/>
        </w:rPr>
        <w:t xml:space="preserve">. </w:t>
      </w:r>
      <w:r w:rsidR="00173B80" w:rsidRPr="00FA5324">
        <w:rPr>
          <w:lang w:val="es-DO"/>
        </w:rPr>
        <w:t xml:space="preserve">Las acciones </w:t>
      </w:r>
      <w:r w:rsidR="003E2761" w:rsidRPr="00FA5324">
        <w:rPr>
          <w:lang w:val="es-DO"/>
        </w:rPr>
        <w:t>de política que apoyará este PBP</w:t>
      </w:r>
      <w:r w:rsidR="00223EBC" w:rsidRPr="00FA5324">
        <w:rPr>
          <w:lang w:val="es-DO"/>
        </w:rPr>
        <w:t xml:space="preserve"> </w:t>
      </w:r>
      <w:r w:rsidR="0020224B" w:rsidRPr="00FA5324">
        <w:rPr>
          <w:lang w:val="es-DO"/>
        </w:rPr>
        <w:t>buscan</w:t>
      </w:r>
      <w:r w:rsidR="00223EBC" w:rsidRPr="00FA5324">
        <w:rPr>
          <w:spacing w:val="-2"/>
          <w:lang w:val="es-DO"/>
        </w:rPr>
        <w:t xml:space="preserve"> </w:t>
      </w:r>
      <w:r w:rsidR="0020224B" w:rsidRPr="00FA5324">
        <w:rPr>
          <w:spacing w:val="-2"/>
          <w:lang w:val="es-DO"/>
        </w:rPr>
        <w:t xml:space="preserve">incrementar </w:t>
      </w:r>
      <w:r w:rsidR="0020224B" w:rsidRPr="00FA5324">
        <w:rPr>
          <w:lang w:val="es-DO"/>
        </w:rPr>
        <w:t xml:space="preserve">en forma progresiva </w:t>
      </w:r>
      <w:r w:rsidR="00223EBC" w:rsidRPr="00FA5324">
        <w:rPr>
          <w:lang w:val="es-DO"/>
        </w:rPr>
        <w:t>la cobertura de la seguridad social y mejorar la</w:t>
      </w:r>
      <w:r w:rsidR="00235F85" w:rsidRPr="00FA5324">
        <w:rPr>
          <w:lang w:val="es-DO"/>
        </w:rPr>
        <w:t xml:space="preserve"> eficiencia del gasto en salud, mediante la profundización de la reforma que viene implementando el Gobierno de la </w:t>
      </w:r>
      <w:r w:rsidR="00235F85" w:rsidRPr="008450F1">
        <w:rPr>
          <w:szCs w:val="20"/>
          <w:lang w:val="es-DO"/>
        </w:rPr>
        <w:t>Rep</w:t>
      </w:r>
      <w:r w:rsidR="00A8088E" w:rsidRPr="008450F1">
        <w:rPr>
          <w:szCs w:val="20"/>
          <w:lang w:val="es-DO"/>
        </w:rPr>
        <w:t>ú</w:t>
      </w:r>
      <w:r w:rsidR="00235F85" w:rsidRPr="008450F1">
        <w:rPr>
          <w:szCs w:val="20"/>
          <w:lang w:val="es-DO"/>
        </w:rPr>
        <w:t>blica</w:t>
      </w:r>
      <w:r w:rsidR="00235F85" w:rsidRPr="00FA5324">
        <w:rPr>
          <w:lang w:val="es-DO"/>
        </w:rPr>
        <w:t xml:space="preserve"> Dominicana (GORD) en ambos sectores.</w:t>
      </w:r>
    </w:p>
    <w:p w:rsidR="00A9745C" w:rsidRPr="008450F1" w:rsidRDefault="00A9745C" w:rsidP="00AF0916">
      <w:pPr>
        <w:spacing w:after="0" w:line="240" w:lineRule="auto"/>
        <w:rPr>
          <w:szCs w:val="20"/>
          <w:lang w:val="es-DO"/>
        </w:rPr>
      </w:pPr>
    </w:p>
    <w:p w:rsidR="00421690" w:rsidRPr="00FA5324" w:rsidRDefault="00421690" w:rsidP="00FA5324">
      <w:pPr>
        <w:tabs>
          <w:tab w:val="num" w:pos="720"/>
        </w:tabs>
        <w:spacing w:after="0" w:line="240" w:lineRule="auto"/>
        <w:rPr>
          <w:lang w:val="es-DO"/>
        </w:rPr>
      </w:pPr>
      <w:r w:rsidRPr="00FA5324">
        <w:rPr>
          <w:lang w:val="es-DO"/>
        </w:rPr>
        <w:t>El R</w:t>
      </w:r>
      <w:r w:rsidR="00A46893" w:rsidRPr="00FA5324">
        <w:rPr>
          <w:lang w:val="es-DO"/>
        </w:rPr>
        <w:t xml:space="preserve">égimen </w:t>
      </w:r>
      <w:r w:rsidRPr="00FA5324">
        <w:rPr>
          <w:lang w:val="es-DO"/>
        </w:rPr>
        <w:t>C</w:t>
      </w:r>
      <w:r w:rsidR="00A46893" w:rsidRPr="00FA5324">
        <w:rPr>
          <w:lang w:val="es-DO"/>
        </w:rPr>
        <w:t>ontributivo (RC)</w:t>
      </w:r>
      <w:r w:rsidRPr="00FA5324">
        <w:rPr>
          <w:lang w:val="es-DO"/>
        </w:rPr>
        <w:t xml:space="preserve"> en pensiones comenzó en 2003 afiliando a un millón de trabajadores asalariados (35% de la p</w:t>
      </w:r>
      <w:r w:rsidR="00A46893" w:rsidRPr="00FA5324">
        <w:rPr>
          <w:lang w:val="es-DO"/>
        </w:rPr>
        <w:t>oblación económicamente activa</w:t>
      </w:r>
      <w:r w:rsidR="00A8088E" w:rsidRPr="008450F1">
        <w:rPr>
          <w:bCs/>
          <w:lang w:val="es-DO"/>
        </w:rPr>
        <w:t>,</w:t>
      </w:r>
      <w:r w:rsidR="00A46893" w:rsidRPr="008450F1">
        <w:rPr>
          <w:bCs/>
          <w:lang w:val="es-DO"/>
        </w:rPr>
        <w:t xml:space="preserve"> </w:t>
      </w:r>
      <w:r w:rsidRPr="00FA5324">
        <w:rPr>
          <w:lang w:val="es-DO"/>
        </w:rPr>
        <w:t>PEA</w:t>
      </w:r>
      <w:r w:rsidRPr="008450F1">
        <w:rPr>
          <w:bCs/>
          <w:lang w:val="es-DO"/>
        </w:rPr>
        <w:t>)</w:t>
      </w:r>
      <w:r w:rsidRPr="00FA5324">
        <w:rPr>
          <w:lang w:val="es-DO"/>
        </w:rPr>
        <w:t xml:space="preserve"> en el primer año. A 2013, la afiliación alcanzó a 2,7 millones (55% de la PEA). Sin embargo, el número de afiliados que efectivamente cotizan ha ido estancándose, llegando a 1.37 millones en 2013, lo que representa, como porcentaje de la PEA</w:t>
      </w:r>
      <w:r w:rsidR="00235F85" w:rsidRPr="00FA5324">
        <w:rPr>
          <w:lang w:val="es-DO"/>
        </w:rPr>
        <w:t xml:space="preserve"> ocupada</w:t>
      </w:r>
      <w:r w:rsidRPr="00FA5324">
        <w:rPr>
          <w:lang w:val="es-DO"/>
        </w:rPr>
        <w:t>, una de las cifras más bajas de la región (</w:t>
      </w:r>
      <w:r w:rsidRPr="008450F1">
        <w:rPr>
          <w:bCs/>
          <w:lang w:val="es-DO"/>
        </w:rPr>
        <w:t>3</w:t>
      </w:r>
      <w:r w:rsidR="00BC2072" w:rsidRPr="008450F1">
        <w:rPr>
          <w:bCs/>
          <w:lang w:val="es-DO"/>
        </w:rPr>
        <w:t>4</w:t>
      </w:r>
      <w:r w:rsidRPr="00FA5324">
        <w:rPr>
          <w:lang w:val="es-DO"/>
        </w:rPr>
        <w:t>%)</w:t>
      </w:r>
      <w:r w:rsidRPr="00FA5324">
        <w:rPr>
          <w:vertAlign w:val="superscript"/>
          <w:lang w:val="es-DO"/>
        </w:rPr>
        <w:footnoteReference w:id="3"/>
      </w:r>
      <w:r w:rsidRPr="00FA5324">
        <w:rPr>
          <w:lang w:val="es-DO"/>
        </w:rPr>
        <w:t xml:space="preserve">. Actualmente, </w:t>
      </w:r>
      <w:r w:rsidRPr="008450F1">
        <w:rPr>
          <w:bCs/>
          <w:lang w:val="es-DO"/>
        </w:rPr>
        <w:t>s</w:t>
      </w:r>
      <w:r w:rsidR="000C27E1" w:rsidRPr="008450F1">
        <w:rPr>
          <w:bCs/>
          <w:lang w:val="es-DO"/>
        </w:rPr>
        <w:t>ó</w:t>
      </w:r>
      <w:r w:rsidRPr="008450F1">
        <w:rPr>
          <w:bCs/>
          <w:lang w:val="es-DO"/>
        </w:rPr>
        <w:t>lo</w:t>
      </w:r>
      <w:r w:rsidRPr="00FA5324">
        <w:rPr>
          <w:lang w:val="es-DO"/>
        </w:rPr>
        <w:t xml:space="preserve"> 15% de los adultos mayores de 65 años recibe una pensión para la vejez y, de no actuarse, </w:t>
      </w:r>
      <w:r w:rsidR="00BC2072" w:rsidRPr="008450F1">
        <w:rPr>
          <w:bCs/>
          <w:lang w:val="es-DO"/>
        </w:rPr>
        <w:t>las proyecciones indican que  la cobertura seguirá siendo</w:t>
      </w:r>
      <w:r w:rsidR="00BC2072" w:rsidRPr="00FA5324">
        <w:rPr>
          <w:lang w:val="es-DO"/>
        </w:rPr>
        <w:t xml:space="preserve"> una </w:t>
      </w:r>
      <w:r w:rsidR="00BC2072" w:rsidRPr="008450F1">
        <w:rPr>
          <w:bCs/>
          <w:lang w:val="es-DO"/>
        </w:rPr>
        <w:t xml:space="preserve">de las </w:t>
      </w:r>
      <w:r w:rsidR="00A8088E" w:rsidRPr="008450F1">
        <w:rPr>
          <w:bCs/>
          <w:lang w:val="es-DO"/>
        </w:rPr>
        <w:t>menores</w:t>
      </w:r>
      <w:r w:rsidR="00BC2072" w:rsidRPr="00FA5324">
        <w:rPr>
          <w:lang w:val="es-DO"/>
        </w:rPr>
        <w:t xml:space="preserve"> </w:t>
      </w:r>
      <w:r w:rsidR="00A8088E" w:rsidRPr="00FA5324">
        <w:rPr>
          <w:lang w:val="es-DO"/>
        </w:rPr>
        <w:t>en</w:t>
      </w:r>
      <w:r w:rsidR="00BC2072" w:rsidRPr="00FA5324">
        <w:rPr>
          <w:lang w:val="es-DO"/>
        </w:rPr>
        <w:t xml:space="preserve"> </w:t>
      </w:r>
      <w:r w:rsidR="00BC2072" w:rsidRPr="008450F1">
        <w:rPr>
          <w:bCs/>
          <w:lang w:val="es-DO"/>
        </w:rPr>
        <w:t xml:space="preserve">la región </w:t>
      </w:r>
      <w:r w:rsidR="00A8088E" w:rsidRPr="008450F1">
        <w:rPr>
          <w:bCs/>
          <w:lang w:val="es-DO"/>
        </w:rPr>
        <w:t>para el</w:t>
      </w:r>
      <w:r w:rsidRPr="008450F1">
        <w:rPr>
          <w:bCs/>
          <w:lang w:val="es-DO"/>
        </w:rPr>
        <w:t xml:space="preserve"> </w:t>
      </w:r>
      <w:r w:rsidRPr="00FA5324">
        <w:rPr>
          <w:lang w:val="es-DO"/>
        </w:rPr>
        <w:t>2050</w:t>
      </w:r>
      <w:r w:rsidRPr="00FA5324">
        <w:rPr>
          <w:vertAlign w:val="superscript"/>
          <w:lang w:val="es-DO"/>
        </w:rPr>
        <w:footnoteReference w:id="4"/>
      </w:r>
      <w:r w:rsidRPr="00FA5324">
        <w:rPr>
          <w:lang w:val="es-DO"/>
        </w:rPr>
        <w:t>.</w:t>
      </w:r>
      <w:r w:rsidR="000C27E1" w:rsidRPr="00FA5324">
        <w:rPr>
          <w:lang w:val="es-DO"/>
        </w:rPr>
        <w:t xml:space="preserve"> </w:t>
      </w:r>
      <w:r w:rsidR="000C27E1" w:rsidRPr="008450F1">
        <w:rPr>
          <w:bCs/>
          <w:lang w:val="es-DO"/>
        </w:rPr>
        <w:t>Por su parte</w:t>
      </w:r>
      <w:r w:rsidRPr="00FA5324">
        <w:rPr>
          <w:lang w:val="es-DO"/>
        </w:rPr>
        <w:t xml:space="preserve">, el </w:t>
      </w:r>
      <w:r w:rsidR="000C27E1" w:rsidRPr="008450F1">
        <w:rPr>
          <w:bCs/>
          <w:lang w:val="es-DO"/>
        </w:rPr>
        <w:t>Régimen Subsidiado (</w:t>
      </w:r>
      <w:r w:rsidRPr="00FA5324">
        <w:rPr>
          <w:lang w:val="es-DO"/>
        </w:rPr>
        <w:t>RS</w:t>
      </w:r>
      <w:r w:rsidR="000C27E1" w:rsidRPr="008450F1">
        <w:rPr>
          <w:bCs/>
          <w:lang w:val="es-DO"/>
        </w:rPr>
        <w:t>)</w:t>
      </w:r>
      <w:r w:rsidRPr="00FA5324">
        <w:rPr>
          <w:lang w:val="es-DO"/>
        </w:rPr>
        <w:t xml:space="preserve"> en pensiones y el </w:t>
      </w:r>
      <w:r w:rsidR="000C27E1" w:rsidRPr="008450F1">
        <w:rPr>
          <w:bCs/>
          <w:lang w:val="es-DO"/>
        </w:rPr>
        <w:t>Régimen Contributivo-Subsidiado (</w:t>
      </w:r>
      <w:r w:rsidRPr="00FA5324">
        <w:rPr>
          <w:lang w:val="es-DO"/>
        </w:rPr>
        <w:t>RCS</w:t>
      </w:r>
      <w:r w:rsidR="000C27E1" w:rsidRPr="008450F1">
        <w:rPr>
          <w:bCs/>
          <w:lang w:val="es-DO"/>
        </w:rPr>
        <w:t>)</w:t>
      </w:r>
      <w:r w:rsidRPr="00FA5324">
        <w:rPr>
          <w:lang w:val="es-DO"/>
        </w:rPr>
        <w:t xml:space="preserve"> todavía no han iniciado su implementación.</w:t>
      </w:r>
    </w:p>
    <w:p w:rsidR="00A9745C" w:rsidRPr="008450F1" w:rsidRDefault="00A9745C" w:rsidP="00AF0916">
      <w:pPr>
        <w:tabs>
          <w:tab w:val="num" w:pos="720"/>
        </w:tabs>
        <w:spacing w:after="0" w:line="240" w:lineRule="auto"/>
        <w:rPr>
          <w:bCs/>
          <w:lang w:val="es-DO"/>
        </w:rPr>
      </w:pPr>
    </w:p>
    <w:p w:rsidR="00B575B1" w:rsidRPr="00FA5324" w:rsidRDefault="001D39C4" w:rsidP="00FA5324">
      <w:pPr>
        <w:spacing w:after="0" w:line="240" w:lineRule="auto"/>
        <w:rPr>
          <w:lang w:val="es-DO"/>
        </w:rPr>
      </w:pPr>
      <w:r>
        <w:rPr>
          <w:bCs/>
          <w:lang w:val="es-DO"/>
        </w:rPr>
        <w:t>Por otro lado, e</w:t>
      </w:r>
      <w:r w:rsidR="00B575B1" w:rsidRPr="008450F1">
        <w:rPr>
          <w:bCs/>
          <w:lang w:val="es-DO"/>
        </w:rPr>
        <w:t>xiste</w:t>
      </w:r>
      <w:r w:rsidR="00B575B1" w:rsidRPr="00FA5324">
        <w:rPr>
          <w:lang w:val="es-DO"/>
        </w:rPr>
        <w:t xml:space="preserve"> evidencia </w:t>
      </w:r>
      <w:r w:rsidR="006F7B99">
        <w:rPr>
          <w:bCs/>
          <w:lang w:val="es-DO"/>
        </w:rPr>
        <w:t xml:space="preserve">para RD </w:t>
      </w:r>
      <w:r w:rsidR="00B575B1" w:rsidRPr="00FA5324">
        <w:rPr>
          <w:lang w:val="es-DO"/>
        </w:rPr>
        <w:t>que muestra un bajo rendimiento por su inversión en salud. Las tasas de mortalidad materna de países de la región con un nivel de desarrollo económico similar a RD han logrado mejores indicadores con un gasto público per cápita en salud menor</w:t>
      </w:r>
      <w:r w:rsidR="00B575B1" w:rsidRPr="00FA5324">
        <w:rPr>
          <w:rStyle w:val="FootnoteReference"/>
          <w:lang w:val="es-DO"/>
        </w:rPr>
        <w:footnoteReference w:id="5"/>
      </w:r>
      <w:r w:rsidR="00B575B1" w:rsidRPr="00FA5324">
        <w:rPr>
          <w:lang w:val="es-DO"/>
        </w:rPr>
        <w:t>. Estimaciones DEA</w:t>
      </w:r>
      <w:r w:rsidR="00B575B1" w:rsidRPr="00FA5324">
        <w:rPr>
          <w:rStyle w:val="FootnoteReference"/>
          <w:lang w:val="es-DO"/>
        </w:rPr>
        <w:footnoteReference w:id="6"/>
      </w:r>
      <w:r w:rsidR="00B575B1" w:rsidRPr="00FA5324">
        <w:rPr>
          <w:lang w:val="es-DO"/>
        </w:rPr>
        <w:t xml:space="preserve"> de la eficiencia del gasto en salud con datos de países dentro y fuera de la región, encuentran que el gasto en salud de RD alcanza entre 30% y 83% del potencial desempeño medido por diversos indicadores de salud</w:t>
      </w:r>
      <w:r w:rsidR="00B575B1" w:rsidRPr="00FA5324">
        <w:rPr>
          <w:rStyle w:val="FootnoteReference"/>
          <w:lang w:val="es-DO"/>
        </w:rPr>
        <w:footnoteReference w:id="7"/>
      </w:r>
      <w:r w:rsidR="00B575B1" w:rsidRPr="00FA5324">
        <w:rPr>
          <w:lang w:val="es-DO"/>
        </w:rPr>
        <w:t xml:space="preserve">. Siguiendo el trabajo </w:t>
      </w:r>
      <w:r w:rsidR="0020224B" w:rsidRPr="00FA5324">
        <w:rPr>
          <w:lang w:val="es-DO"/>
        </w:rPr>
        <w:t xml:space="preserve">de Mathers et al </w:t>
      </w:r>
      <w:r w:rsidR="000C27E1" w:rsidRPr="008450F1">
        <w:rPr>
          <w:noProof/>
          <w:lang w:val="es-DO"/>
        </w:rPr>
        <w:t>(</w:t>
      </w:r>
      <w:r w:rsidR="0020224B" w:rsidRPr="00FA5324">
        <w:rPr>
          <w:lang w:val="es-DO"/>
        </w:rPr>
        <w:t>2000</w:t>
      </w:r>
      <w:r w:rsidR="000C27E1" w:rsidRPr="008450F1">
        <w:rPr>
          <w:noProof/>
          <w:lang w:val="es-DO"/>
        </w:rPr>
        <w:t>)</w:t>
      </w:r>
      <w:r w:rsidR="00B575B1" w:rsidRPr="008450F1">
        <w:rPr>
          <w:lang w:val="es-DO"/>
        </w:rPr>
        <w:t xml:space="preserve">, </w:t>
      </w:r>
      <w:r w:rsidR="006805F0">
        <w:rPr>
          <w:lang w:val="es-DO"/>
        </w:rPr>
        <w:t xml:space="preserve">fueron realizados </w:t>
      </w:r>
      <w:r w:rsidR="00B51537" w:rsidRPr="008450F1">
        <w:rPr>
          <w:lang w:val="es-DO"/>
        </w:rPr>
        <w:t>cálculos</w:t>
      </w:r>
      <w:r w:rsidR="00936D82" w:rsidRPr="00FA5324">
        <w:rPr>
          <w:lang w:val="es-DO"/>
        </w:rPr>
        <w:t xml:space="preserve"> propios de</w:t>
      </w:r>
      <w:r w:rsidR="00B575B1" w:rsidRPr="00FA5324">
        <w:rPr>
          <w:lang w:val="es-DO"/>
        </w:rPr>
        <w:t xml:space="preserve"> la frontera de eficiencia</w:t>
      </w:r>
      <w:r w:rsidR="0020224B" w:rsidRPr="00FA5324">
        <w:rPr>
          <w:lang w:val="es-DO"/>
        </w:rPr>
        <w:t xml:space="preserve"> del </w:t>
      </w:r>
      <w:r w:rsidR="00B575B1" w:rsidRPr="00FA5324">
        <w:rPr>
          <w:lang w:val="es-DO"/>
        </w:rPr>
        <w:t xml:space="preserve">gasto público en salud per cápita </w:t>
      </w:r>
      <w:r w:rsidR="006805F0">
        <w:rPr>
          <w:lang w:val="es-DO"/>
        </w:rPr>
        <w:t xml:space="preserve">utilizando data de </w:t>
      </w:r>
      <w:r w:rsidR="0020224B" w:rsidRPr="00FA5324">
        <w:rPr>
          <w:lang w:val="es-DO"/>
        </w:rPr>
        <w:t xml:space="preserve"> </w:t>
      </w:r>
      <w:r w:rsidR="00B575B1" w:rsidRPr="00FA5324">
        <w:rPr>
          <w:lang w:val="es-DO"/>
        </w:rPr>
        <w:t xml:space="preserve">168 países y la carga de enfermedad en </w:t>
      </w:r>
      <w:r w:rsidR="00936D82" w:rsidRPr="00FA5324">
        <w:rPr>
          <w:lang w:val="es-DO"/>
        </w:rPr>
        <w:t>años de vida ajustados por discapacidad (AVAD</w:t>
      </w:r>
      <w:r w:rsidR="00936D82" w:rsidRPr="008450F1">
        <w:rPr>
          <w:lang w:val="es-DO"/>
        </w:rPr>
        <w:t>)</w:t>
      </w:r>
      <w:r w:rsidR="006805F0">
        <w:rPr>
          <w:lang w:val="es-DO"/>
        </w:rPr>
        <w:t xml:space="preserve"> (ver Grafico I abajo)</w:t>
      </w:r>
      <w:r w:rsidR="00866FCD">
        <w:rPr>
          <w:lang w:val="es-DO"/>
        </w:rPr>
        <w:t>.</w:t>
      </w:r>
      <w:r w:rsidR="00866FCD" w:rsidRPr="00866FCD">
        <w:rPr>
          <w:lang w:val="es-DO"/>
        </w:rPr>
        <w:t xml:space="preserve"> </w:t>
      </w:r>
      <w:r w:rsidR="00866FCD">
        <w:rPr>
          <w:lang w:val="es-DO"/>
        </w:rPr>
        <w:t xml:space="preserve">Esta frontera </w:t>
      </w:r>
      <w:r w:rsidR="006805F0">
        <w:rPr>
          <w:lang w:val="es-DO"/>
        </w:rPr>
        <w:t>muestra</w:t>
      </w:r>
      <w:r w:rsidR="00866FCD">
        <w:rPr>
          <w:lang w:val="es-DO"/>
        </w:rPr>
        <w:t xml:space="preserve"> </w:t>
      </w:r>
      <w:r w:rsidR="006805F0">
        <w:rPr>
          <w:lang w:val="es-DO"/>
        </w:rPr>
        <w:t xml:space="preserve">la cantidad optima de </w:t>
      </w:r>
      <w:r w:rsidR="00866FCD">
        <w:rPr>
          <w:lang w:val="es-DO"/>
        </w:rPr>
        <w:t>AVAD dado un gasto público en salud per c</w:t>
      </w:r>
      <w:r w:rsidR="006805F0">
        <w:rPr>
          <w:lang w:val="es-DO"/>
        </w:rPr>
        <w:t>ápita determinado</w:t>
      </w:r>
      <w:r w:rsidR="00866FCD">
        <w:rPr>
          <w:lang w:val="es-DO"/>
        </w:rPr>
        <w:t>.</w:t>
      </w:r>
      <w:r w:rsidR="00B575B1" w:rsidRPr="008450F1">
        <w:rPr>
          <w:lang w:val="es-DO"/>
        </w:rPr>
        <w:t>RD</w:t>
      </w:r>
      <w:r w:rsidR="00B575B1" w:rsidRPr="00FA5324">
        <w:rPr>
          <w:lang w:val="es-DO"/>
        </w:rPr>
        <w:t xml:space="preserve"> dista de la frontera de eficiencia</w:t>
      </w:r>
      <w:r w:rsidR="00421690" w:rsidRPr="00FA5324">
        <w:rPr>
          <w:lang w:val="es-DO"/>
        </w:rPr>
        <w:t xml:space="preserve"> en 9152 AVAD</w:t>
      </w:r>
      <w:r w:rsidR="00421690" w:rsidRPr="00FA5324">
        <w:rPr>
          <w:rStyle w:val="FootnoteReference"/>
          <w:lang w:val="es-DO"/>
        </w:rPr>
        <w:footnoteReference w:id="8"/>
      </w:r>
      <w:r w:rsidR="0020224B" w:rsidRPr="00FA5324">
        <w:rPr>
          <w:lang w:val="es-DO"/>
        </w:rPr>
        <w:t>,</w:t>
      </w:r>
      <w:r w:rsidR="00866FCD">
        <w:rPr>
          <w:lang w:val="es-DO"/>
        </w:rPr>
        <w:t xml:space="preserve">, es decir, </w:t>
      </w:r>
      <w:r w:rsidR="00F44A8D">
        <w:rPr>
          <w:lang w:val="es-DO"/>
        </w:rPr>
        <w:t>según la frontera</w:t>
      </w:r>
      <w:r w:rsidR="00A85EFC">
        <w:rPr>
          <w:lang w:val="es-DO"/>
        </w:rPr>
        <w:t>,</w:t>
      </w:r>
      <w:r w:rsidR="00F44A8D">
        <w:rPr>
          <w:lang w:val="es-DO"/>
        </w:rPr>
        <w:t xml:space="preserve"> </w:t>
      </w:r>
      <w:r w:rsidR="00E54F1A">
        <w:rPr>
          <w:lang w:val="es-DO"/>
        </w:rPr>
        <w:t>la cantidad de</w:t>
      </w:r>
      <w:r w:rsidR="00866FCD">
        <w:rPr>
          <w:lang w:val="es-DO"/>
        </w:rPr>
        <w:t xml:space="preserve"> </w:t>
      </w:r>
      <w:r w:rsidR="00F44A8D">
        <w:rPr>
          <w:lang w:val="es-DO"/>
        </w:rPr>
        <w:t>AVAD del país</w:t>
      </w:r>
      <w:r w:rsidR="00F56641">
        <w:rPr>
          <w:lang w:val="es-DO"/>
        </w:rPr>
        <w:t>, en su má</w:t>
      </w:r>
      <w:r w:rsidR="00E54F1A">
        <w:rPr>
          <w:lang w:val="es-DO"/>
        </w:rPr>
        <w:t>xima</w:t>
      </w:r>
      <w:r w:rsidR="00F44A8D">
        <w:rPr>
          <w:lang w:val="es-DO"/>
        </w:rPr>
        <w:t xml:space="preserve"> </w:t>
      </w:r>
      <w:r w:rsidR="00E54F1A">
        <w:rPr>
          <w:lang w:val="es-DO"/>
        </w:rPr>
        <w:t>eficiencia, ser</w:t>
      </w:r>
      <w:r w:rsidR="00F56641">
        <w:rPr>
          <w:lang w:val="es-DO"/>
        </w:rPr>
        <w:t>í</w:t>
      </w:r>
      <w:r w:rsidR="00E54F1A">
        <w:rPr>
          <w:lang w:val="es-DO"/>
        </w:rPr>
        <w:t xml:space="preserve">a de </w:t>
      </w:r>
      <w:r w:rsidR="00F44A8D">
        <w:rPr>
          <w:lang w:val="es-DO"/>
        </w:rPr>
        <w:t>204</w:t>
      </w:r>
      <w:r w:rsidR="000D053D">
        <w:rPr>
          <w:lang w:val="es-DO"/>
        </w:rPr>
        <w:t>45,3</w:t>
      </w:r>
      <w:r w:rsidR="00F44A8D">
        <w:rPr>
          <w:lang w:val="es-DO"/>
        </w:rPr>
        <w:t>, y no 295</w:t>
      </w:r>
      <w:r w:rsidR="000D053D">
        <w:rPr>
          <w:lang w:val="es-DO"/>
        </w:rPr>
        <w:t>97,5</w:t>
      </w:r>
      <w:r w:rsidR="00F44A8D">
        <w:rPr>
          <w:lang w:val="es-DO"/>
        </w:rPr>
        <w:t xml:space="preserve"> como se registró en 2012</w:t>
      </w:r>
      <w:r w:rsidR="00E54F1A">
        <w:rPr>
          <w:lang w:val="es-DO"/>
        </w:rPr>
        <w:t>.</w:t>
      </w:r>
    </w:p>
    <w:p w:rsidR="00A9745C" w:rsidRPr="008450F1" w:rsidRDefault="00A9745C" w:rsidP="00AF0916">
      <w:pPr>
        <w:spacing w:after="0" w:line="240" w:lineRule="auto"/>
        <w:rPr>
          <w:lang w:val="es-DO"/>
        </w:rPr>
      </w:pPr>
    </w:p>
    <w:p w:rsidR="0020224B" w:rsidRPr="00FA5324" w:rsidRDefault="0020224B" w:rsidP="00FA5324">
      <w:pPr>
        <w:spacing w:after="0" w:line="240" w:lineRule="auto"/>
        <w:rPr>
          <w:lang w:val="es-DO"/>
        </w:rPr>
      </w:pPr>
      <w:r w:rsidRPr="00FA5324">
        <w:rPr>
          <w:lang w:val="es-DO"/>
        </w:rPr>
        <w:lastRenderedPageBreak/>
        <w:t>Asimismo, se ha documentado ineficiencia en la asignación</w:t>
      </w:r>
      <w:r w:rsidR="0085219C" w:rsidRPr="008450F1">
        <w:rPr>
          <w:bCs/>
          <w:lang w:val="es-DO"/>
        </w:rPr>
        <w:t xml:space="preserve"> del gasto</w:t>
      </w:r>
      <w:r w:rsidRPr="008450F1">
        <w:rPr>
          <w:bCs/>
          <w:lang w:val="es-DO"/>
        </w:rPr>
        <w:t xml:space="preserve">. </w:t>
      </w:r>
      <w:r w:rsidR="008A6DBC" w:rsidRPr="008450F1">
        <w:rPr>
          <w:lang w:val="es-DO"/>
        </w:rPr>
        <w:t>Por ejemplo, en</w:t>
      </w:r>
      <w:r w:rsidRPr="00FA5324">
        <w:rPr>
          <w:lang w:val="es-DO"/>
        </w:rPr>
        <w:t xml:space="preserve"> 2011, 39,65% del gasto público en salud fue dirigido a servicios curativos y sólo un 3,76% a servicios </w:t>
      </w:r>
      <w:r w:rsidR="000C27E1" w:rsidRPr="008450F1">
        <w:rPr>
          <w:lang w:val="es-DO"/>
        </w:rPr>
        <w:t>de</w:t>
      </w:r>
      <w:r w:rsidRPr="00FA5324">
        <w:rPr>
          <w:lang w:val="es-DO"/>
        </w:rPr>
        <w:t xml:space="preserve"> prevención y salud pública</w:t>
      </w:r>
      <w:r w:rsidRPr="00FA5324">
        <w:rPr>
          <w:rStyle w:val="FootnoteReference"/>
          <w:lang w:val="es-DO"/>
        </w:rPr>
        <w:footnoteReference w:id="9"/>
      </w:r>
      <w:r w:rsidR="008A6DBC" w:rsidRPr="008450F1">
        <w:rPr>
          <w:lang w:val="es-DO"/>
        </w:rPr>
        <w:t xml:space="preserve">, siendo que un gran número de las patologías que priman en el perfil epidemiológico de RD se podrían evitar con los primeros. </w:t>
      </w:r>
    </w:p>
    <w:p w:rsidR="00977B8F" w:rsidRPr="008450F1" w:rsidRDefault="00977B8F" w:rsidP="00AF0916">
      <w:pPr>
        <w:spacing w:after="0" w:line="240" w:lineRule="auto"/>
        <w:rPr>
          <w:lang w:val="es-DO"/>
        </w:rPr>
      </w:pPr>
    </w:p>
    <w:p w:rsidR="007D15C8" w:rsidRPr="00FA5324" w:rsidRDefault="007D15C8" w:rsidP="00FA5324">
      <w:pPr>
        <w:pStyle w:val="Caption"/>
        <w:keepNext/>
        <w:spacing w:after="0"/>
        <w:jc w:val="center"/>
        <w:rPr>
          <w:i w:val="0"/>
          <w:color w:val="auto"/>
          <w:lang w:val="es-DO"/>
        </w:rPr>
      </w:pPr>
      <w:bookmarkStart w:id="5" w:name="_Ref399138723"/>
      <w:r w:rsidRPr="00FA5324">
        <w:rPr>
          <w:i w:val="0"/>
          <w:color w:val="auto"/>
          <w:lang w:val="es-DO"/>
        </w:rPr>
        <w:t xml:space="preserve">Gráfico </w:t>
      </w:r>
      <w:r w:rsidR="00BC2072" w:rsidRPr="00FA5324">
        <w:rPr>
          <w:i w:val="0"/>
          <w:color w:val="auto"/>
          <w:lang w:val="es-DO"/>
        </w:rPr>
        <w:fldChar w:fldCharType="begin"/>
      </w:r>
      <w:r w:rsidR="00BC2072" w:rsidRPr="00FA5324">
        <w:rPr>
          <w:i w:val="0"/>
          <w:color w:val="auto"/>
          <w:lang w:val="es-DO"/>
        </w:rPr>
        <w:instrText xml:space="preserve"> SEQ Gráfico \* ARABIC </w:instrText>
      </w:r>
      <w:r w:rsidR="00BC2072" w:rsidRPr="00FA5324">
        <w:rPr>
          <w:i w:val="0"/>
          <w:color w:val="auto"/>
          <w:lang w:val="es-DO"/>
        </w:rPr>
        <w:fldChar w:fldCharType="separate"/>
      </w:r>
      <w:r w:rsidR="00886B6C" w:rsidRPr="00FA5324">
        <w:rPr>
          <w:i w:val="0"/>
          <w:color w:val="auto"/>
          <w:lang w:val="es-DO"/>
        </w:rPr>
        <w:t>1</w:t>
      </w:r>
      <w:r w:rsidR="00BC2072" w:rsidRPr="00FA5324">
        <w:rPr>
          <w:i w:val="0"/>
          <w:color w:val="auto"/>
          <w:lang w:val="es-DO"/>
        </w:rPr>
        <w:fldChar w:fldCharType="end"/>
      </w:r>
      <w:bookmarkEnd w:id="5"/>
      <w:r w:rsidRPr="00FA5324">
        <w:rPr>
          <w:i w:val="0"/>
          <w:color w:val="auto"/>
          <w:lang w:val="es-DO"/>
        </w:rPr>
        <w:t>. Aproximación a la frontera de eficiencia</w:t>
      </w:r>
    </w:p>
    <w:p w:rsidR="00E07CB4" w:rsidRPr="008450F1" w:rsidRDefault="00E07CB4" w:rsidP="00AF0916">
      <w:pPr>
        <w:spacing w:after="0" w:line="240" w:lineRule="auto"/>
        <w:rPr>
          <w:lang w:val="es-DO" w:bidi="x-none"/>
        </w:rPr>
      </w:pPr>
      <w:r w:rsidRPr="008450F1">
        <w:rPr>
          <w:noProof/>
          <w:lang w:val="en-US" w:eastAsia="en-US"/>
        </w:rPr>
        <w:drawing>
          <wp:inline distT="0" distB="0" distL="0" distR="0" wp14:anchorId="6D3E18F9" wp14:editId="0250F389">
            <wp:extent cx="5465459" cy="5549222"/>
            <wp:effectExtent l="0" t="0" r="1905" b="1397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7B8F" w:rsidRPr="00FA5324" w:rsidRDefault="00E07CB4" w:rsidP="00FA5324">
      <w:pPr>
        <w:pStyle w:val="Caption"/>
        <w:keepNext/>
        <w:spacing w:after="0"/>
        <w:rPr>
          <w:color w:val="auto"/>
          <w:lang w:val="es-DO"/>
        </w:rPr>
      </w:pPr>
      <w:r w:rsidRPr="00FA5324">
        <w:rPr>
          <w:color w:val="auto"/>
          <w:lang w:val="es-DO"/>
        </w:rPr>
        <w:t xml:space="preserve">Fuente: Cálculos </w:t>
      </w:r>
      <w:r w:rsidRPr="008450F1">
        <w:rPr>
          <w:color w:val="auto"/>
          <w:lang w:val="es-DO"/>
        </w:rPr>
        <w:t>propi</w:t>
      </w:r>
      <w:r w:rsidR="007A3FB4" w:rsidRPr="008450F1">
        <w:rPr>
          <w:color w:val="auto"/>
          <w:lang w:val="es-DO"/>
        </w:rPr>
        <w:t>o</w:t>
      </w:r>
      <w:r w:rsidRPr="008450F1">
        <w:rPr>
          <w:color w:val="auto"/>
          <w:lang w:val="es-DO"/>
        </w:rPr>
        <w:t>s</w:t>
      </w:r>
      <w:r w:rsidRPr="00FA5324">
        <w:rPr>
          <w:color w:val="auto"/>
          <w:lang w:val="es-DO"/>
        </w:rPr>
        <w:t xml:space="preserve"> a partir de las bases de datos de OMS consultadas en septiembre 2014 </w:t>
      </w:r>
      <w:sdt>
        <w:sdtPr>
          <w:rPr>
            <w:color w:val="auto"/>
            <w:lang w:val="es-DO"/>
          </w:rPr>
          <w:id w:val="-4137966"/>
          <w:citation/>
        </w:sdtPr>
        <w:sdtEndPr/>
        <w:sdtContent>
          <w:r w:rsidRPr="00FA5324">
            <w:rPr>
              <w:color w:val="auto"/>
              <w:lang w:val="es-DO"/>
            </w:rPr>
            <w:fldChar w:fldCharType="begin"/>
          </w:r>
          <w:r w:rsidRPr="00FA5324">
            <w:rPr>
              <w:color w:val="auto"/>
              <w:lang w:val="es-DO"/>
            </w:rPr>
            <w:instrText xml:space="preserve"> CITATION Wor12 \l 9226 </w:instrText>
          </w:r>
          <w:r w:rsidRPr="00FA5324">
            <w:rPr>
              <w:color w:val="auto"/>
              <w:lang w:val="es-DO"/>
            </w:rPr>
            <w:fldChar w:fldCharType="separate"/>
          </w:r>
          <w:r w:rsidR="00160DA0" w:rsidRPr="00FA5324">
            <w:rPr>
              <w:color w:val="auto"/>
              <w:lang w:val="es-DO"/>
            </w:rPr>
            <w:t>(World Health Organization, 2012)</w:t>
          </w:r>
          <w:r w:rsidRPr="00FA5324">
            <w:rPr>
              <w:color w:val="auto"/>
              <w:lang w:val="es-DO"/>
            </w:rPr>
            <w:fldChar w:fldCharType="end"/>
          </w:r>
        </w:sdtContent>
      </w:sdt>
      <w:sdt>
        <w:sdtPr>
          <w:rPr>
            <w:color w:val="auto"/>
            <w:lang w:val="es-DO"/>
          </w:rPr>
          <w:id w:val="794499460"/>
          <w:citation/>
        </w:sdtPr>
        <w:sdtEndPr/>
        <w:sdtContent>
          <w:r w:rsidRPr="00FA5324">
            <w:rPr>
              <w:color w:val="auto"/>
              <w:lang w:val="es-DO"/>
            </w:rPr>
            <w:fldChar w:fldCharType="begin"/>
          </w:r>
          <w:r w:rsidRPr="00FA5324">
            <w:rPr>
              <w:color w:val="auto"/>
              <w:lang w:val="es-DO"/>
            </w:rPr>
            <w:instrText xml:space="preserve"> CITATION Cou11 \l 9226 </w:instrText>
          </w:r>
          <w:r w:rsidRPr="00FA5324">
            <w:rPr>
              <w:color w:val="auto"/>
              <w:lang w:val="es-DO"/>
            </w:rPr>
            <w:fldChar w:fldCharType="separate"/>
          </w:r>
          <w:r w:rsidR="00160DA0" w:rsidRPr="00FA5324">
            <w:rPr>
              <w:color w:val="auto"/>
              <w:lang w:val="es-DO"/>
            </w:rPr>
            <w:t xml:space="preserve"> (Country Statistics, 2011)</w:t>
          </w:r>
          <w:r w:rsidRPr="00FA5324">
            <w:rPr>
              <w:color w:val="auto"/>
              <w:lang w:val="es-DO"/>
            </w:rPr>
            <w:fldChar w:fldCharType="end"/>
          </w:r>
        </w:sdtContent>
      </w:sdt>
      <w:r w:rsidR="00B92F80" w:rsidRPr="008450F1">
        <w:rPr>
          <w:color w:val="auto"/>
          <w:lang w:val="es-DO"/>
        </w:rPr>
        <w:t>.</w:t>
      </w:r>
    </w:p>
    <w:p w:rsidR="00977B8F" w:rsidRPr="008450F1" w:rsidRDefault="00977B8F" w:rsidP="00AF0916">
      <w:pPr>
        <w:spacing w:after="0" w:line="240" w:lineRule="auto"/>
        <w:rPr>
          <w:lang w:val="es-DO"/>
        </w:rPr>
      </w:pPr>
    </w:p>
    <w:p w:rsidR="009B17AC" w:rsidRPr="00FA5324" w:rsidRDefault="000573F5" w:rsidP="00FA5324">
      <w:pPr>
        <w:spacing w:after="0" w:line="240" w:lineRule="auto"/>
        <w:rPr>
          <w:lang w:val="es-DO"/>
        </w:rPr>
      </w:pPr>
      <w:r>
        <w:rPr>
          <w:szCs w:val="20"/>
          <w:lang w:val="es-DO"/>
        </w:rPr>
        <w:t xml:space="preserve">Con la finalidad de </w:t>
      </w:r>
      <w:r w:rsidR="00936D82" w:rsidRPr="00FA5324">
        <w:rPr>
          <w:lang w:val="es-DO"/>
        </w:rPr>
        <w:t xml:space="preserve">apoyar las </w:t>
      </w:r>
      <w:r>
        <w:rPr>
          <w:szCs w:val="20"/>
          <w:lang w:val="es-DO"/>
        </w:rPr>
        <w:t>acciones</w:t>
      </w:r>
      <w:r w:rsidRPr="00FA5324">
        <w:rPr>
          <w:lang w:val="es-DO"/>
        </w:rPr>
        <w:t xml:space="preserve"> prioritarias </w:t>
      </w:r>
      <w:r>
        <w:rPr>
          <w:szCs w:val="20"/>
          <w:lang w:val="es-DO"/>
        </w:rPr>
        <w:t>que viene impulsando el</w:t>
      </w:r>
      <w:r w:rsidR="00936D82" w:rsidRPr="008450F1">
        <w:rPr>
          <w:szCs w:val="20"/>
          <w:lang w:val="es-DO"/>
        </w:rPr>
        <w:t xml:space="preserve"> </w:t>
      </w:r>
      <w:r w:rsidR="00936D82" w:rsidRPr="00FA5324">
        <w:rPr>
          <w:lang w:val="es-DO"/>
        </w:rPr>
        <w:t xml:space="preserve">gobierno de RD para </w:t>
      </w:r>
      <w:r w:rsidR="00B575B1" w:rsidRPr="00FA5324">
        <w:rPr>
          <w:lang w:val="es-DO"/>
        </w:rPr>
        <w:t xml:space="preserve">abordar la problemática descrita, el </w:t>
      </w:r>
      <w:r w:rsidR="003E2761" w:rsidRPr="00FA5324">
        <w:rPr>
          <w:lang w:val="es-DO"/>
        </w:rPr>
        <w:t>PBP</w:t>
      </w:r>
      <w:r w:rsidR="00223EBC" w:rsidRPr="00FA5324">
        <w:rPr>
          <w:lang w:val="es-DO"/>
        </w:rPr>
        <w:t xml:space="preserve"> </w:t>
      </w:r>
      <w:r w:rsidR="00B575B1" w:rsidRPr="00FA5324">
        <w:rPr>
          <w:lang w:val="es-DO"/>
        </w:rPr>
        <w:t>incluye dos componentes</w:t>
      </w:r>
      <w:r w:rsidR="009B17AC" w:rsidRPr="00FA5324">
        <w:rPr>
          <w:lang w:val="es-DO"/>
        </w:rPr>
        <w:t xml:space="preserve"> relevantes para est</w:t>
      </w:r>
      <w:r w:rsidR="00EC0D79" w:rsidRPr="00FA5324">
        <w:rPr>
          <w:lang w:val="es-DO"/>
        </w:rPr>
        <w:t>a</w:t>
      </w:r>
      <w:r w:rsidR="009B17AC" w:rsidRPr="00FA5324">
        <w:rPr>
          <w:lang w:val="es-DO"/>
        </w:rPr>
        <w:t xml:space="preserve"> EE</w:t>
      </w:r>
      <w:r w:rsidR="006C5031" w:rsidRPr="00FA5324">
        <w:rPr>
          <w:lang w:val="es-DO"/>
        </w:rPr>
        <w:t>:</w:t>
      </w:r>
      <w:r w:rsidR="009B17AC" w:rsidRPr="00FA5324">
        <w:rPr>
          <w:lang w:val="es-DO"/>
        </w:rPr>
        <w:t xml:space="preserve"> </w:t>
      </w:r>
    </w:p>
    <w:p w:rsidR="00E06E27" w:rsidRDefault="00E06E27" w:rsidP="00AF0916">
      <w:pPr>
        <w:spacing w:after="0" w:line="240" w:lineRule="auto"/>
        <w:rPr>
          <w:b/>
          <w:lang w:val="es-DO"/>
        </w:rPr>
      </w:pPr>
    </w:p>
    <w:p w:rsidR="006C5031" w:rsidRPr="008450F1" w:rsidRDefault="006C5031" w:rsidP="00AF0916">
      <w:pPr>
        <w:spacing w:after="0" w:line="240" w:lineRule="auto"/>
        <w:rPr>
          <w:lang w:val="es-DO"/>
        </w:rPr>
      </w:pPr>
      <w:r w:rsidRPr="00FA5324">
        <w:rPr>
          <w:b/>
          <w:lang w:val="es-DO"/>
        </w:rPr>
        <w:lastRenderedPageBreak/>
        <w:t xml:space="preserve">Componente 2. </w:t>
      </w:r>
      <w:r w:rsidRPr="008450F1">
        <w:rPr>
          <w:b/>
          <w:lang w:val="es-DO"/>
        </w:rPr>
        <w:t xml:space="preserve">Consolidación del Sistema </w:t>
      </w:r>
      <w:r w:rsidR="003E2761" w:rsidRPr="008450F1">
        <w:rPr>
          <w:b/>
          <w:lang w:val="es-DO"/>
        </w:rPr>
        <w:t xml:space="preserve">Dominicano </w:t>
      </w:r>
      <w:r w:rsidRPr="008450F1">
        <w:rPr>
          <w:b/>
          <w:lang w:val="es-DO"/>
        </w:rPr>
        <w:t>de Seguridad Social</w:t>
      </w:r>
      <w:r w:rsidR="00AB076E" w:rsidRPr="008450F1">
        <w:rPr>
          <w:b/>
          <w:lang w:val="es-DO"/>
        </w:rPr>
        <w:t xml:space="preserve"> (SDSS)</w:t>
      </w:r>
      <w:r w:rsidR="006A6F0E" w:rsidRPr="008450F1">
        <w:rPr>
          <w:b/>
          <w:lang w:val="es-DO"/>
        </w:rPr>
        <w:t>.</w:t>
      </w:r>
      <w:r w:rsidRPr="008450F1">
        <w:rPr>
          <w:b/>
          <w:lang w:val="es-DO"/>
        </w:rPr>
        <w:t xml:space="preserve"> </w:t>
      </w:r>
      <w:r w:rsidRPr="008450F1">
        <w:rPr>
          <w:lang w:val="es-DO"/>
        </w:rPr>
        <w:t>A través de este componente se busca mejorar progresivamente la cobertura del SDSS</w:t>
      </w:r>
      <w:r w:rsidR="00235F85" w:rsidRPr="008450F1">
        <w:rPr>
          <w:lang w:val="es-DO"/>
        </w:rPr>
        <w:t>, siguiendo criterios de eficiencia,</w:t>
      </w:r>
      <w:r w:rsidRPr="008450F1">
        <w:rPr>
          <w:lang w:val="es-DO"/>
        </w:rPr>
        <w:t xml:space="preserve"> mediante medidas dirigidas a completar la implementación del sistema de pensiones en lo referente a su marco legal, aspectos operativos, sistemas de monitoreo, programas de información y educación financiera. Específicamente</w:t>
      </w:r>
      <w:r w:rsidR="00235F85" w:rsidRPr="008450F1">
        <w:rPr>
          <w:lang w:val="es-DO"/>
        </w:rPr>
        <w:t>,</w:t>
      </w:r>
      <w:r w:rsidRPr="008450F1">
        <w:rPr>
          <w:lang w:val="es-DO"/>
        </w:rPr>
        <w:t xml:space="preserve"> se promueve: (i) optimiza</w:t>
      </w:r>
      <w:r w:rsidR="006A6F0E" w:rsidRPr="008450F1">
        <w:rPr>
          <w:lang w:val="es-DO"/>
        </w:rPr>
        <w:t>r</w:t>
      </w:r>
      <w:r w:rsidRPr="008450F1">
        <w:rPr>
          <w:lang w:val="es-DO"/>
        </w:rPr>
        <w:t xml:space="preserve"> el marco legal del SDSS en lo referente al diseño de los regímenes de financiamiento de la seguridad social y el fortalecimiento de funciones de las entidades del sistema</w:t>
      </w:r>
      <w:r w:rsidR="006A6F0E" w:rsidRPr="008450F1">
        <w:rPr>
          <w:lang w:val="es-DO"/>
        </w:rPr>
        <w:t>;</w:t>
      </w:r>
      <w:r w:rsidRPr="008450F1">
        <w:rPr>
          <w:lang w:val="es-DO"/>
        </w:rPr>
        <w:t xml:space="preserve"> (ii) incremen</w:t>
      </w:r>
      <w:r w:rsidR="006A6F0E" w:rsidRPr="008450F1">
        <w:rPr>
          <w:lang w:val="es-DO"/>
        </w:rPr>
        <w:t>tar</w:t>
      </w:r>
      <w:r w:rsidRPr="008450F1">
        <w:rPr>
          <w:lang w:val="es-DO"/>
        </w:rPr>
        <w:t xml:space="preserve"> gradual de la cobertura del RS en pensiones con criterios de focalización basados en el </w:t>
      </w:r>
      <w:r w:rsidR="00B51537" w:rsidRPr="008450F1">
        <w:rPr>
          <w:lang w:val="es-DO"/>
        </w:rPr>
        <w:t>Índice</w:t>
      </w:r>
      <w:r w:rsidR="003E2761" w:rsidRPr="008450F1">
        <w:rPr>
          <w:lang w:val="es-DO"/>
        </w:rPr>
        <w:t xml:space="preserve"> de Calidad de Vida (I</w:t>
      </w:r>
      <w:r w:rsidRPr="008450F1">
        <w:rPr>
          <w:lang w:val="es-DO"/>
        </w:rPr>
        <w:t>CV</w:t>
      </w:r>
      <w:r w:rsidR="003E2761" w:rsidRPr="008450F1">
        <w:rPr>
          <w:lang w:val="es-DO"/>
        </w:rPr>
        <w:t>)</w:t>
      </w:r>
      <w:r w:rsidRPr="008450F1">
        <w:rPr>
          <w:lang w:val="es-DO"/>
        </w:rPr>
        <w:t xml:space="preserve"> del </w:t>
      </w:r>
      <w:r w:rsidR="002E5FB1" w:rsidRPr="00FA5324">
        <w:rPr>
          <w:rStyle w:val="st"/>
          <w:lang w:val="es-DO"/>
        </w:rPr>
        <w:t>Sistema Único de Beneficiarios</w:t>
      </w:r>
      <w:r w:rsidR="00A46893" w:rsidRPr="00FA5324">
        <w:rPr>
          <w:rStyle w:val="st"/>
          <w:lang w:val="es-DO"/>
        </w:rPr>
        <w:t xml:space="preserve"> (S</w:t>
      </w:r>
      <w:r w:rsidR="003E2761" w:rsidRPr="00FA5324">
        <w:rPr>
          <w:rStyle w:val="st"/>
          <w:lang w:val="es-DO"/>
        </w:rPr>
        <w:t>I</w:t>
      </w:r>
      <w:r w:rsidR="00A46893" w:rsidRPr="00FA5324">
        <w:rPr>
          <w:rStyle w:val="st"/>
          <w:lang w:val="es-DO"/>
        </w:rPr>
        <w:t>UB</w:t>
      </w:r>
      <w:r w:rsidR="003E2761" w:rsidRPr="00FA5324">
        <w:rPr>
          <w:rStyle w:val="st"/>
          <w:lang w:val="es-DO"/>
        </w:rPr>
        <w:t>EN</w:t>
      </w:r>
      <w:r w:rsidR="00A46893" w:rsidRPr="00FA5324">
        <w:rPr>
          <w:rStyle w:val="st"/>
          <w:lang w:val="es-DO"/>
        </w:rPr>
        <w:t>)</w:t>
      </w:r>
      <w:r w:rsidRPr="008450F1">
        <w:rPr>
          <w:lang w:val="es-DO"/>
        </w:rPr>
        <w:t>; (iii) organiza</w:t>
      </w:r>
      <w:r w:rsidR="00EC0D79" w:rsidRPr="008450F1">
        <w:rPr>
          <w:lang w:val="es-DO"/>
        </w:rPr>
        <w:t>r</w:t>
      </w:r>
      <w:r w:rsidRPr="008450F1">
        <w:rPr>
          <w:lang w:val="es-DO"/>
        </w:rPr>
        <w:t xml:space="preserve"> y establec</w:t>
      </w:r>
      <w:r w:rsidR="00EC0D79" w:rsidRPr="008450F1">
        <w:rPr>
          <w:lang w:val="es-DO"/>
        </w:rPr>
        <w:t xml:space="preserve">er </w:t>
      </w:r>
      <w:r w:rsidRPr="008450F1">
        <w:rPr>
          <w:lang w:val="es-DO"/>
        </w:rPr>
        <w:t>e</w:t>
      </w:r>
      <w:r w:rsidR="006A6F0E" w:rsidRPr="008450F1">
        <w:rPr>
          <w:lang w:val="es-DO"/>
        </w:rPr>
        <w:t>l</w:t>
      </w:r>
      <w:r w:rsidRPr="008450F1">
        <w:rPr>
          <w:lang w:val="es-DO"/>
        </w:rPr>
        <w:t xml:space="preserve"> nuevo marco regulatorio para el </w:t>
      </w:r>
      <w:r w:rsidR="00A46893" w:rsidRPr="008450F1">
        <w:rPr>
          <w:lang w:val="es-DO"/>
        </w:rPr>
        <w:t>Sistema de Pensiones de Reparto Estatal (</w:t>
      </w:r>
      <w:r w:rsidRPr="008450F1">
        <w:rPr>
          <w:lang w:val="es-DO"/>
        </w:rPr>
        <w:t>SISPRE</w:t>
      </w:r>
      <w:r w:rsidR="00A46893" w:rsidRPr="008450F1">
        <w:rPr>
          <w:lang w:val="es-DO"/>
        </w:rPr>
        <w:t>)</w:t>
      </w:r>
      <w:r w:rsidRPr="008450F1">
        <w:rPr>
          <w:lang w:val="es-DO"/>
        </w:rPr>
        <w:t>; (iv) impuls</w:t>
      </w:r>
      <w:r w:rsidR="00EC0D79" w:rsidRPr="008450F1">
        <w:rPr>
          <w:lang w:val="es-DO"/>
        </w:rPr>
        <w:t>ar</w:t>
      </w:r>
      <w:r w:rsidRPr="008450F1">
        <w:rPr>
          <w:lang w:val="es-DO"/>
        </w:rPr>
        <w:t xml:space="preserve"> la cobertura del RC mediante la provisión de información a los trabajadores; (v) </w:t>
      </w:r>
      <w:r w:rsidR="00EC0D79" w:rsidRPr="008450F1">
        <w:rPr>
          <w:lang w:val="es-DO"/>
        </w:rPr>
        <w:t xml:space="preserve">desarrollar </w:t>
      </w:r>
      <w:r w:rsidRPr="008450F1">
        <w:rPr>
          <w:lang w:val="es-DO"/>
        </w:rPr>
        <w:t>un sistema de monitoreo integral del SDSS para uniformizar criterios y evitar la dispersión de esfuerzos de las entidades del sistema; y (vi) foment</w:t>
      </w:r>
      <w:r w:rsidR="00EC0D79" w:rsidRPr="008450F1">
        <w:rPr>
          <w:lang w:val="es-DO"/>
        </w:rPr>
        <w:t>ar</w:t>
      </w:r>
      <w:r w:rsidRPr="008450F1">
        <w:rPr>
          <w:lang w:val="es-DO"/>
        </w:rPr>
        <w:t xml:space="preserve"> una cultura previsional y financiera en la población.</w:t>
      </w:r>
    </w:p>
    <w:p w:rsidR="00977B8F" w:rsidRPr="00FA5324" w:rsidRDefault="00977B8F" w:rsidP="00FA5324">
      <w:pPr>
        <w:spacing w:after="0" w:line="240" w:lineRule="auto"/>
        <w:rPr>
          <w:lang w:val="es-DO"/>
        </w:rPr>
      </w:pPr>
    </w:p>
    <w:p w:rsidR="006C5031" w:rsidRPr="00FA5324" w:rsidRDefault="006C5031" w:rsidP="00FA5324">
      <w:pPr>
        <w:spacing w:after="0" w:line="240" w:lineRule="auto"/>
        <w:rPr>
          <w:lang w:val="es-DO"/>
        </w:rPr>
      </w:pPr>
      <w:r w:rsidRPr="008450F1">
        <w:rPr>
          <w:b/>
          <w:lang w:val="es-DO"/>
        </w:rPr>
        <w:t>Componente 3. Mejora de la eficiencia</w:t>
      </w:r>
      <w:r w:rsidRPr="00FA5324">
        <w:rPr>
          <w:b/>
          <w:lang w:val="es-DO"/>
        </w:rPr>
        <w:t xml:space="preserve"> del Sistema Nacional de Salud.</w:t>
      </w:r>
      <w:r w:rsidRPr="00FA5324">
        <w:rPr>
          <w:lang w:val="es-DO"/>
        </w:rPr>
        <w:t xml:space="preserve"> Este componente apoya la expedición de medidas normativas y la aplicación de herramientas gerenciales que impulsen y faciliten la ejecución de las estrategias prioritarias dirigidas a mejorar la eficiencia del gasto en salud. Específicamente, </w:t>
      </w:r>
      <w:r w:rsidR="00713C8D">
        <w:rPr>
          <w:lang w:val="es-DO"/>
        </w:rPr>
        <w:t>se</w:t>
      </w:r>
      <w:r w:rsidR="00713C8D" w:rsidRPr="00FA5324">
        <w:rPr>
          <w:lang w:val="es-DO"/>
        </w:rPr>
        <w:t xml:space="preserve"> </w:t>
      </w:r>
      <w:r w:rsidRPr="00FA5324">
        <w:rPr>
          <w:lang w:val="es-DO"/>
        </w:rPr>
        <w:t>promueve: (</w:t>
      </w:r>
      <w:r w:rsidRPr="008450F1">
        <w:rPr>
          <w:lang w:val="es-DO"/>
        </w:rPr>
        <w:t>i) fortalecer la rectoría apoyando</w:t>
      </w:r>
      <w:r w:rsidRPr="00FA5324">
        <w:rPr>
          <w:lang w:val="es-DO"/>
        </w:rPr>
        <w:t xml:space="preserve"> el diseño e implementación de una nueva estructura organizacional y funcional del Ministerio de Salud Pública (MSP) enfocada en la función rectora, junto con un correspondiente plan estratégico</w:t>
      </w:r>
      <w:r w:rsidR="00A46893" w:rsidRPr="00FA5324">
        <w:rPr>
          <w:lang w:val="es-DO"/>
        </w:rPr>
        <w:t>;</w:t>
      </w:r>
      <w:r w:rsidRPr="00FA5324">
        <w:rPr>
          <w:lang w:val="es-DO"/>
        </w:rPr>
        <w:t xml:space="preserve"> </w:t>
      </w:r>
      <w:r w:rsidRPr="008450F1">
        <w:rPr>
          <w:lang w:val="es-DO"/>
        </w:rPr>
        <w:t>(ii)</w:t>
      </w:r>
      <w:r w:rsidRPr="00FA5324">
        <w:rPr>
          <w:lang w:val="es-DO"/>
        </w:rPr>
        <w:t xml:space="preserve"> dar soporte a la constitución de redes integradas de salud con enfoque de atención primaria por medio de la generación de la normativa necesaria y la facilitación de los procesos de operacionalización del modelo; (iii) impulsar la legitimización y difusión de la política de calidad para dar paso hacia la implementación de sus disposiciones; (iv) impulsar la promulgación de la Ley de Carrera Sanitaria para que se pueda proseguir a su reglamentación y operacionalización; (v) fortalecer la capacidad del </w:t>
      </w:r>
      <w:r w:rsidR="00BA779C" w:rsidRPr="008450F1">
        <w:rPr>
          <w:lang w:val="es-DO"/>
        </w:rPr>
        <w:t>Seguro Nacional de Salud (</w:t>
      </w:r>
      <w:r w:rsidRPr="00FA5324">
        <w:rPr>
          <w:lang w:val="es-DO"/>
        </w:rPr>
        <w:t>SENASA</w:t>
      </w:r>
      <w:r w:rsidR="00BA779C" w:rsidRPr="008450F1">
        <w:rPr>
          <w:lang w:val="es-DO"/>
        </w:rPr>
        <w:t>)</w:t>
      </w:r>
      <w:r w:rsidRPr="00FA5324">
        <w:rPr>
          <w:lang w:val="es-DO"/>
        </w:rPr>
        <w:t xml:space="preserve"> para generar análisis actuariales </w:t>
      </w:r>
      <w:r w:rsidRPr="008450F1">
        <w:rPr>
          <w:lang w:val="es-DO"/>
        </w:rPr>
        <w:t>monitore</w:t>
      </w:r>
      <w:r w:rsidR="00B82B14">
        <w:rPr>
          <w:lang w:val="es-DO"/>
        </w:rPr>
        <w:t>en</w:t>
      </w:r>
      <w:r w:rsidRPr="00FA5324">
        <w:rPr>
          <w:lang w:val="es-DO"/>
        </w:rPr>
        <w:t xml:space="preserve"> la evolución del perfil de riesgo y costos</w:t>
      </w:r>
      <w:r w:rsidRPr="008450F1">
        <w:rPr>
          <w:lang w:val="es-DO"/>
        </w:rPr>
        <w:t>,</w:t>
      </w:r>
      <w:r w:rsidR="00EC0D79" w:rsidRPr="008450F1">
        <w:rPr>
          <w:lang w:val="es-DO"/>
        </w:rPr>
        <w:t xml:space="preserve"> </w:t>
      </w:r>
      <w:r w:rsidRPr="00FA5324">
        <w:rPr>
          <w:lang w:val="es-DO"/>
        </w:rPr>
        <w:t>y realizar una efectiva programación financiera; y (vi) actualizar el plan de beneficios para contar con respuestas costo efectivas a la doble carga de enfermedad.</w:t>
      </w:r>
    </w:p>
    <w:p w:rsidR="00977B8F" w:rsidRPr="008450F1" w:rsidRDefault="00977B8F" w:rsidP="00AF0916">
      <w:pPr>
        <w:spacing w:after="0" w:line="240" w:lineRule="auto"/>
        <w:rPr>
          <w:lang w:val="es-DO"/>
        </w:rPr>
      </w:pPr>
    </w:p>
    <w:p w:rsidR="009B17AC" w:rsidRPr="00FA5324" w:rsidRDefault="00936D82" w:rsidP="00FA5324">
      <w:pPr>
        <w:spacing w:after="0" w:line="240" w:lineRule="auto"/>
        <w:rPr>
          <w:lang w:val="es-DO"/>
        </w:rPr>
      </w:pPr>
      <w:r w:rsidRPr="00FA5324">
        <w:rPr>
          <w:lang w:val="es-DO"/>
        </w:rPr>
        <w:t xml:space="preserve">Esta </w:t>
      </w:r>
      <w:r w:rsidR="009B17AC" w:rsidRPr="00FA5324">
        <w:rPr>
          <w:lang w:val="es-DO"/>
        </w:rPr>
        <w:t xml:space="preserve">EE </w:t>
      </w:r>
      <w:r w:rsidR="00921703" w:rsidRPr="00FA5324">
        <w:rPr>
          <w:lang w:val="es-DO"/>
        </w:rPr>
        <w:t>compara</w:t>
      </w:r>
      <w:r w:rsidR="009B17AC" w:rsidRPr="00FA5324">
        <w:rPr>
          <w:lang w:val="es-DO"/>
        </w:rPr>
        <w:t xml:space="preserve"> los beneficios y costos</w:t>
      </w:r>
      <w:r w:rsidRPr="00FA5324">
        <w:rPr>
          <w:lang w:val="es-DO"/>
        </w:rPr>
        <w:t xml:space="preserve"> monetarios</w:t>
      </w:r>
      <w:r w:rsidR="009B17AC" w:rsidRPr="00FA5324">
        <w:rPr>
          <w:lang w:val="es-DO"/>
        </w:rPr>
        <w:t xml:space="preserve"> de estos componentes, tomando en cuenta las actividades descritas en la matriz de políticas y las metas trazadas en la matriz de resultados. </w:t>
      </w:r>
    </w:p>
    <w:p w:rsidR="00246B20" w:rsidRPr="00FA5324" w:rsidRDefault="00246B20" w:rsidP="00FA5324">
      <w:pPr>
        <w:spacing w:after="0" w:line="240" w:lineRule="auto"/>
        <w:rPr>
          <w:lang w:val="es-DO"/>
        </w:rPr>
      </w:pPr>
      <w:r w:rsidRPr="00FA5324">
        <w:rPr>
          <w:lang w:val="es-DO"/>
        </w:rPr>
        <w:br w:type="page"/>
      </w:r>
    </w:p>
    <w:p w:rsidR="0081606C" w:rsidRPr="00FA5324" w:rsidRDefault="009F0A15" w:rsidP="00FA5324">
      <w:pPr>
        <w:pStyle w:val="Heading1"/>
        <w:spacing w:before="0" w:after="0" w:line="240" w:lineRule="auto"/>
        <w:rPr>
          <w:lang w:val="es-DO"/>
        </w:rPr>
      </w:pPr>
      <w:bookmarkStart w:id="6" w:name="_Toc401244709"/>
      <w:r w:rsidRPr="00FA5324">
        <w:rPr>
          <w:lang w:val="es-DO"/>
        </w:rPr>
        <w:lastRenderedPageBreak/>
        <w:t xml:space="preserve">SUPUESTOS Y </w:t>
      </w:r>
      <w:r w:rsidRPr="008450F1">
        <w:rPr>
          <w:lang w:val="es-DO"/>
        </w:rPr>
        <w:t>METODOLOG</w:t>
      </w:r>
      <w:r w:rsidR="007A3FB4" w:rsidRPr="008450F1">
        <w:rPr>
          <w:lang w:val="es-DO"/>
        </w:rPr>
        <w:t>Í</w:t>
      </w:r>
      <w:r w:rsidRPr="008450F1">
        <w:rPr>
          <w:lang w:val="es-DO"/>
        </w:rPr>
        <w:t>A</w:t>
      </w:r>
      <w:bookmarkEnd w:id="6"/>
    </w:p>
    <w:p w:rsidR="00977B8F" w:rsidRPr="008450F1" w:rsidRDefault="00977B8F" w:rsidP="00AF0916">
      <w:pPr>
        <w:pStyle w:val="Heading2"/>
        <w:spacing w:before="0" w:after="0" w:line="240" w:lineRule="auto"/>
        <w:rPr>
          <w:lang w:val="es-DO"/>
        </w:rPr>
      </w:pPr>
    </w:p>
    <w:p w:rsidR="009F0A15" w:rsidRPr="00FA5324" w:rsidRDefault="009D28B6" w:rsidP="00FA5324">
      <w:pPr>
        <w:pStyle w:val="Heading2"/>
        <w:spacing w:before="0" w:after="0" w:line="240" w:lineRule="auto"/>
        <w:rPr>
          <w:lang w:val="es-DO"/>
        </w:rPr>
      </w:pPr>
      <w:bookmarkStart w:id="7" w:name="_Toc401244710"/>
      <w:r w:rsidRPr="00FA5324">
        <w:rPr>
          <w:lang w:val="es-DO"/>
        </w:rPr>
        <w:t xml:space="preserve">A. </w:t>
      </w:r>
      <w:r w:rsidR="009F0A15" w:rsidRPr="00FA5324">
        <w:rPr>
          <w:lang w:val="es-DO"/>
        </w:rPr>
        <w:t>Supuesto</w:t>
      </w:r>
      <w:r w:rsidR="009F0A15" w:rsidRPr="00FA5324">
        <w:rPr>
          <w:b w:val="0"/>
          <w:lang w:val="es-DO"/>
        </w:rPr>
        <w:t>s</w:t>
      </w:r>
      <w:bookmarkEnd w:id="7"/>
      <w:r w:rsidR="009F0A15" w:rsidRPr="00FA5324">
        <w:rPr>
          <w:b w:val="0"/>
          <w:lang w:val="es-DO"/>
        </w:rPr>
        <w:t xml:space="preserve"> </w:t>
      </w:r>
    </w:p>
    <w:p w:rsidR="00977B8F" w:rsidRPr="008450F1" w:rsidRDefault="00977B8F" w:rsidP="00AF0916">
      <w:pPr>
        <w:spacing w:after="0" w:line="240" w:lineRule="auto"/>
        <w:rPr>
          <w:lang w:val="es-DO"/>
        </w:rPr>
      </w:pPr>
    </w:p>
    <w:p w:rsidR="0033175B" w:rsidRPr="00FA5324" w:rsidRDefault="0081606C" w:rsidP="00FA5324">
      <w:pPr>
        <w:spacing w:after="0" w:line="240" w:lineRule="auto"/>
        <w:rPr>
          <w:lang w:val="es-DO"/>
        </w:rPr>
      </w:pPr>
      <w:r w:rsidRPr="00FA5324">
        <w:rPr>
          <w:lang w:val="es-DO"/>
        </w:rPr>
        <w:t xml:space="preserve">La presente </w:t>
      </w:r>
      <w:r w:rsidR="00EC0D79" w:rsidRPr="008450F1">
        <w:rPr>
          <w:lang w:val="es-DO"/>
        </w:rPr>
        <w:t>EE</w:t>
      </w:r>
      <w:r w:rsidRPr="00FA5324">
        <w:rPr>
          <w:lang w:val="es-DO"/>
        </w:rPr>
        <w:t xml:space="preserve"> tiene como propósito </w:t>
      </w:r>
      <w:r w:rsidR="00BC704E" w:rsidRPr="00FA5324">
        <w:rPr>
          <w:lang w:val="es-DO"/>
        </w:rPr>
        <w:t>comparar los beneficios</w:t>
      </w:r>
      <w:r w:rsidR="00B3041F" w:rsidRPr="00FA5324">
        <w:rPr>
          <w:lang w:val="es-DO"/>
        </w:rPr>
        <w:t xml:space="preserve"> </w:t>
      </w:r>
      <w:r w:rsidR="00BC704E" w:rsidRPr="00FA5324">
        <w:rPr>
          <w:lang w:val="es-DO"/>
        </w:rPr>
        <w:t xml:space="preserve">y costos </w:t>
      </w:r>
      <w:r w:rsidR="00B3041F" w:rsidRPr="00FA5324">
        <w:rPr>
          <w:lang w:val="es-DO"/>
        </w:rPr>
        <w:t>monetarios</w:t>
      </w:r>
      <w:r w:rsidR="00BC704E" w:rsidRPr="00FA5324">
        <w:rPr>
          <w:lang w:val="es-DO"/>
        </w:rPr>
        <w:t xml:space="preserve"> </w:t>
      </w:r>
      <w:r w:rsidRPr="00FA5324">
        <w:rPr>
          <w:lang w:val="es-DO"/>
        </w:rPr>
        <w:t xml:space="preserve">de implementar las medidas </w:t>
      </w:r>
      <w:r w:rsidR="003E2761" w:rsidRPr="00FA5324">
        <w:rPr>
          <w:lang w:val="es-DO"/>
        </w:rPr>
        <w:t>que son condiciones del PBP</w:t>
      </w:r>
      <w:r w:rsidRPr="00FA5324">
        <w:rPr>
          <w:lang w:val="es-DO"/>
        </w:rPr>
        <w:t xml:space="preserve"> </w:t>
      </w:r>
      <w:r w:rsidR="0033573A" w:rsidRPr="00FA5324">
        <w:rPr>
          <w:lang w:val="es-DO"/>
        </w:rPr>
        <w:t xml:space="preserve">(Alternativa 1) </w:t>
      </w:r>
      <w:r w:rsidRPr="00FA5324">
        <w:rPr>
          <w:lang w:val="es-DO"/>
        </w:rPr>
        <w:t xml:space="preserve">frente a la opción de </w:t>
      </w:r>
      <w:r w:rsidR="0033573A" w:rsidRPr="00FA5324">
        <w:rPr>
          <w:lang w:val="es-DO"/>
        </w:rPr>
        <w:t xml:space="preserve">no </w:t>
      </w:r>
      <w:r w:rsidR="001D6C39" w:rsidRPr="008450F1">
        <w:rPr>
          <w:lang w:val="es-DO"/>
        </w:rPr>
        <w:t xml:space="preserve">tomar </w:t>
      </w:r>
      <w:r w:rsidR="00EC0D79" w:rsidRPr="008450F1">
        <w:rPr>
          <w:lang w:val="es-DO"/>
        </w:rPr>
        <w:t>dichas</w:t>
      </w:r>
      <w:r w:rsidR="0033573A" w:rsidRPr="008450F1">
        <w:rPr>
          <w:lang w:val="es-DO"/>
        </w:rPr>
        <w:t xml:space="preserve"> </w:t>
      </w:r>
      <w:r w:rsidR="00EC0D79" w:rsidRPr="008450F1">
        <w:rPr>
          <w:lang w:val="es-DO"/>
        </w:rPr>
        <w:t xml:space="preserve">medidas </w:t>
      </w:r>
      <w:r w:rsidR="0033573A" w:rsidRPr="008450F1">
        <w:rPr>
          <w:lang w:val="es-DO"/>
        </w:rPr>
        <w:t>(Alternativa 2)</w:t>
      </w:r>
      <w:r w:rsidRPr="008450F1">
        <w:rPr>
          <w:lang w:val="es-DO"/>
        </w:rPr>
        <w:t>.</w:t>
      </w:r>
      <w:r w:rsidR="0033573A" w:rsidRPr="00FA5324">
        <w:rPr>
          <w:lang w:val="es-DO"/>
        </w:rPr>
        <w:t xml:space="preserve"> En la alternativa 1 se asume que los desencadenantes y acuerdos del PB</w:t>
      </w:r>
      <w:r w:rsidR="003E2761" w:rsidRPr="00FA5324">
        <w:rPr>
          <w:lang w:val="es-DO"/>
        </w:rPr>
        <w:t>P</w:t>
      </w:r>
      <w:r w:rsidR="0033573A" w:rsidRPr="00FA5324">
        <w:rPr>
          <w:lang w:val="es-DO"/>
        </w:rPr>
        <w:t xml:space="preserve"> consignados en la matriz de política son efectivamente realizados y que se cumplen las metas descritas en la matriz de resultados. </w:t>
      </w:r>
      <w:r w:rsidR="0033573A" w:rsidRPr="008450F1">
        <w:rPr>
          <w:lang w:val="es-DO"/>
        </w:rPr>
        <w:t>Est</w:t>
      </w:r>
      <w:r w:rsidR="001D6C39" w:rsidRPr="008450F1">
        <w:rPr>
          <w:lang w:val="es-DO"/>
        </w:rPr>
        <w:t>os</w:t>
      </w:r>
      <w:r w:rsidR="0033573A" w:rsidRPr="008450F1">
        <w:rPr>
          <w:lang w:val="es-DO"/>
        </w:rPr>
        <w:t xml:space="preserve"> supuesto</w:t>
      </w:r>
      <w:r w:rsidR="001D6C39" w:rsidRPr="008450F1">
        <w:rPr>
          <w:lang w:val="es-DO"/>
        </w:rPr>
        <w:t>s</w:t>
      </w:r>
      <w:r w:rsidR="0033573A" w:rsidRPr="008450F1">
        <w:rPr>
          <w:lang w:val="es-DO"/>
        </w:rPr>
        <w:t xml:space="preserve"> s</w:t>
      </w:r>
      <w:r w:rsidR="001D6C39" w:rsidRPr="008450F1">
        <w:rPr>
          <w:lang w:val="es-DO"/>
        </w:rPr>
        <w:t>on</w:t>
      </w:r>
      <w:r w:rsidR="0033573A" w:rsidRPr="008450F1">
        <w:rPr>
          <w:lang w:val="es-DO"/>
        </w:rPr>
        <w:t xml:space="preserve"> admisible</w:t>
      </w:r>
      <w:r w:rsidR="001D6C39" w:rsidRPr="008450F1">
        <w:rPr>
          <w:lang w:val="es-DO"/>
        </w:rPr>
        <w:t>s</w:t>
      </w:r>
      <w:r w:rsidR="0033573A" w:rsidRPr="00FA5324">
        <w:rPr>
          <w:lang w:val="es-DO"/>
        </w:rPr>
        <w:t xml:space="preserve"> en parte porque se ha realizado una identificación y mitigación de los riesgos del proyecto. En la alternativa 2 se asume </w:t>
      </w:r>
      <w:r w:rsidR="00936D82" w:rsidRPr="00FA5324">
        <w:rPr>
          <w:lang w:val="es-DO"/>
        </w:rPr>
        <w:t xml:space="preserve">que las tendencias actuales de nivel de ahorro previsional y de gasto en salud se mantienen </w:t>
      </w:r>
      <w:r w:rsidR="0033573A" w:rsidRPr="00FA5324">
        <w:rPr>
          <w:lang w:val="es-DO"/>
        </w:rPr>
        <w:t xml:space="preserve">y </w:t>
      </w:r>
      <w:r w:rsidR="001D6C39" w:rsidRPr="008450F1">
        <w:rPr>
          <w:lang w:val="es-DO"/>
        </w:rPr>
        <w:t xml:space="preserve">que </w:t>
      </w:r>
      <w:r w:rsidR="0033573A" w:rsidRPr="00FA5324">
        <w:rPr>
          <w:lang w:val="es-DO"/>
        </w:rPr>
        <w:t>es posible proyectarlas en el tiempo. Esto implica que no se realizarán grandes cambios políticos o administrativos en el funcionamiento de</w:t>
      </w:r>
      <w:r w:rsidR="00AB076E" w:rsidRPr="00FA5324">
        <w:rPr>
          <w:lang w:val="es-DO"/>
        </w:rPr>
        <w:t xml:space="preserve"> los sistemas de seguridad social y salud.</w:t>
      </w:r>
    </w:p>
    <w:p w:rsidR="00977B8F" w:rsidRPr="008450F1" w:rsidRDefault="00977B8F" w:rsidP="00AF0916">
      <w:pPr>
        <w:spacing w:after="0" w:line="240" w:lineRule="auto"/>
        <w:rPr>
          <w:lang w:val="es-DO"/>
        </w:rPr>
      </w:pPr>
    </w:p>
    <w:p w:rsidR="002E5FB1" w:rsidRPr="00FA5324" w:rsidRDefault="00A80352" w:rsidP="00FA5324">
      <w:pPr>
        <w:spacing w:after="0" w:line="240" w:lineRule="auto"/>
        <w:rPr>
          <w:lang w:val="es-DO"/>
        </w:rPr>
      </w:pPr>
      <w:r w:rsidRPr="00FA5324">
        <w:rPr>
          <w:lang w:val="es-DO"/>
        </w:rPr>
        <w:t>Los beneficios y costos</w:t>
      </w:r>
      <w:r w:rsidR="00B3041F" w:rsidRPr="00FA5324">
        <w:rPr>
          <w:lang w:val="es-DO"/>
        </w:rPr>
        <w:t xml:space="preserve"> de los componentes </w:t>
      </w:r>
      <w:r w:rsidR="00730261" w:rsidRPr="00FA5324">
        <w:rPr>
          <w:lang w:val="es-DO"/>
        </w:rPr>
        <w:t>del proyecto</w:t>
      </w:r>
      <w:r w:rsidRPr="00FA5324">
        <w:rPr>
          <w:lang w:val="es-DO"/>
        </w:rPr>
        <w:t xml:space="preserve">, </w:t>
      </w:r>
      <w:r w:rsidR="00730261" w:rsidRPr="00FA5324">
        <w:rPr>
          <w:lang w:val="es-DO"/>
        </w:rPr>
        <w:t xml:space="preserve">bajo </w:t>
      </w:r>
      <w:r w:rsidRPr="00FA5324">
        <w:rPr>
          <w:lang w:val="es-DO"/>
        </w:rPr>
        <w:t xml:space="preserve">una perspectiva social, se identificaron aplicando un marco conceptual que se basa en modelos teóricos actualmente aceptados y </w:t>
      </w:r>
      <w:r w:rsidR="001D6C39" w:rsidRPr="008450F1">
        <w:rPr>
          <w:lang w:val="es-DO"/>
        </w:rPr>
        <w:t xml:space="preserve">realizando </w:t>
      </w:r>
      <w:r w:rsidRPr="00FA5324">
        <w:rPr>
          <w:lang w:val="es-DO"/>
        </w:rPr>
        <w:t>una revisión de EE similares.</w:t>
      </w:r>
      <w:r w:rsidR="0061037C" w:rsidRPr="00FA5324">
        <w:rPr>
          <w:lang w:val="es-DO"/>
        </w:rPr>
        <w:t xml:space="preserve"> </w:t>
      </w:r>
      <w:r w:rsidR="009F0A15" w:rsidRPr="00FA5324">
        <w:rPr>
          <w:lang w:val="es-DO"/>
        </w:rPr>
        <w:t xml:space="preserve">Se parte </w:t>
      </w:r>
      <w:r w:rsidR="002A1DD4" w:rsidRPr="00FA5324">
        <w:rPr>
          <w:lang w:val="es-DO"/>
        </w:rPr>
        <w:t xml:space="preserve">de </w:t>
      </w:r>
      <w:r w:rsidR="009F0A15" w:rsidRPr="00FA5324">
        <w:rPr>
          <w:lang w:val="es-DO"/>
        </w:rPr>
        <w:t>que los desembolsos buscan apoyar el desarrollo de las reformas sociales más que</w:t>
      </w:r>
      <w:r w:rsidR="002A1DD4" w:rsidRPr="00FA5324">
        <w:rPr>
          <w:lang w:val="es-DO"/>
        </w:rPr>
        <w:t xml:space="preserve"> la realización de</w:t>
      </w:r>
      <w:r w:rsidR="009F0A15" w:rsidRPr="00FA5324">
        <w:rPr>
          <w:lang w:val="es-DO"/>
        </w:rPr>
        <w:t xml:space="preserve"> intervenciones concretas</w:t>
      </w:r>
      <w:r w:rsidR="001D6C39" w:rsidRPr="008450F1">
        <w:rPr>
          <w:lang w:val="es-DO"/>
        </w:rPr>
        <w:t>.</w:t>
      </w:r>
      <w:r w:rsidR="009F0A15" w:rsidRPr="008450F1">
        <w:rPr>
          <w:lang w:val="es-DO"/>
        </w:rPr>
        <w:t xml:space="preserve"> </w:t>
      </w:r>
      <w:r w:rsidR="001D6C39" w:rsidRPr="008450F1">
        <w:rPr>
          <w:lang w:val="es-DO"/>
        </w:rPr>
        <w:t>E</w:t>
      </w:r>
      <w:r w:rsidR="009F0A15" w:rsidRPr="008450F1">
        <w:rPr>
          <w:lang w:val="es-DO"/>
        </w:rPr>
        <w:t>sto</w:t>
      </w:r>
      <w:r w:rsidR="009F0A15" w:rsidRPr="00FA5324">
        <w:rPr>
          <w:lang w:val="es-DO"/>
        </w:rPr>
        <w:t xml:space="preserve"> conlleva a que el costo del préstamo se deslinde del costo total de llevar a cabo las acciones necesarias para implementar estas políticas. </w:t>
      </w:r>
      <w:r w:rsidR="0061037C" w:rsidRPr="00FA5324">
        <w:rPr>
          <w:lang w:val="es-DO"/>
        </w:rPr>
        <w:t xml:space="preserve">Para cada uno de los costos y beneficios incrementales se revisó la literatura en búsqueda de valores de referencia que permitiesen </w:t>
      </w:r>
      <w:r w:rsidR="0061037C" w:rsidRPr="008450F1">
        <w:rPr>
          <w:lang w:val="es-DO"/>
        </w:rPr>
        <w:t>cuantificar</w:t>
      </w:r>
      <w:r w:rsidR="0061037C" w:rsidRPr="00FA5324">
        <w:rPr>
          <w:lang w:val="es-DO"/>
        </w:rPr>
        <w:t xml:space="preserve"> los efectos directos de las intervenciones, los costos y </w:t>
      </w:r>
      <w:r w:rsidR="001D6C39" w:rsidRPr="008450F1">
        <w:rPr>
          <w:lang w:val="es-DO"/>
        </w:rPr>
        <w:t xml:space="preserve">los </w:t>
      </w:r>
      <w:r w:rsidR="0061037C" w:rsidRPr="00FA5324">
        <w:rPr>
          <w:lang w:val="es-DO"/>
        </w:rPr>
        <w:t>beneficios incrementales.</w:t>
      </w:r>
      <w:r w:rsidRPr="00FA5324">
        <w:rPr>
          <w:lang w:val="es-DO"/>
        </w:rPr>
        <w:t xml:space="preserve"> </w:t>
      </w:r>
      <w:r w:rsidR="0033175B" w:rsidRPr="00FA5324">
        <w:rPr>
          <w:lang w:val="es-DO"/>
        </w:rPr>
        <w:t xml:space="preserve">Los costos y beneficios </w:t>
      </w:r>
      <w:r w:rsidR="008A6DBC" w:rsidRPr="008450F1">
        <w:rPr>
          <w:lang w:val="es-DO"/>
        </w:rPr>
        <w:t>se valoran</w:t>
      </w:r>
      <w:r w:rsidR="0033175B" w:rsidRPr="00FA5324">
        <w:rPr>
          <w:lang w:val="es-DO"/>
        </w:rPr>
        <w:t xml:space="preserve"> en pesos dominicanos de 2014.</w:t>
      </w:r>
      <w:r w:rsidR="001D6C39" w:rsidRPr="008450F1">
        <w:rPr>
          <w:lang w:val="es-DO"/>
        </w:rPr>
        <w:t xml:space="preserve"> </w:t>
      </w:r>
      <w:r w:rsidR="007E70A2" w:rsidRPr="008450F1">
        <w:rPr>
          <w:lang w:val="es-DO"/>
        </w:rPr>
        <w:t>Siguiendo</w:t>
      </w:r>
      <w:r w:rsidR="002E5FB1" w:rsidRPr="008450F1">
        <w:rPr>
          <w:lang w:val="es-DO"/>
        </w:rPr>
        <w:t xml:space="preserve"> la convención del BID, la tasa de descuento utilizada es del 12%. </w:t>
      </w:r>
    </w:p>
    <w:p w:rsidR="00977B8F" w:rsidRPr="008450F1" w:rsidRDefault="00977B8F" w:rsidP="00AF0916">
      <w:pPr>
        <w:spacing w:after="0" w:line="240" w:lineRule="auto"/>
        <w:rPr>
          <w:lang w:val="es-DO"/>
        </w:rPr>
      </w:pPr>
    </w:p>
    <w:p w:rsidR="00401AED" w:rsidRPr="00FA5324" w:rsidRDefault="008A6DBC" w:rsidP="00FA5324">
      <w:pPr>
        <w:spacing w:after="0" w:line="240" w:lineRule="auto"/>
        <w:rPr>
          <w:lang w:val="es-DO"/>
        </w:rPr>
      </w:pPr>
      <w:r w:rsidRPr="008450F1">
        <w:rPr>
          <w:lang w:val="es-DO"/>
        </w:rPr>
        <w:t>Se espera que el logro de gran parte de los beneficios se dará más allá</w:t>
      </w:r>
      <w:r w:rsidRPr="00FA5324">
        <w:rPr>
          <w:lang w:val="es-DO"/>
        </w:rPr>
        <w:t xml:space="preserve"> del </w:t>
      </w:r>
      <w:r w:rsidRPr="008450F1">
        <w:rPr>
          <w:lang w:val="es-DO"/>
        </w:rPr>
        <w:t xml:space="preserve">cierre de la operación. </w:t>
      </w:r>
      <w:r w:rsidR="002E5FB1" w:rsidRPr="00FA5324">
        <w:rPr>
          <w:lang w:val="es-DO"/>
        </w:rPr>
        <w:t xml:space="preserve">Para la evaluación de </w:t>
      </w:r>
      <w:r w:rsidRPr="008450F1">
        <w:rPr>
          <w:lang w:val="es-DO"/>
        </w:rPr>
        <w:t>este tipo de</w:t>
      </w:r>
      <w:r w:rsidRPr="00FA5324">
        <w:rPr>
          <w:lang w:val="es-DO"/>
        </w:rPr>
        <w:t xml:space="preserve"> </w:t>
      </w:r>
      <w:r w:rsidR="002E5FB1" w:rsidRPr="00FA5324">
        <w:rPr>
          <w:lang w:val="es-DO"/>
        </w:rPr>
        <w:t xml:space="preserve">intervenciones se </w:t>
      </w:r>
      <w:r w:rsidRPr="008450F1">
        <w:rPr>
          <w:lang w:val="es-DO"/>
        </w:rPr>
        <w:t xml:space="preserve">suele </w:t>
      </w:r>
      <w:r w:rsidR="002E5FB1" w:rsidRPr="008450F1">
        <w:rPr>
          <w:lang w:val="es-DO"/>
        </w:rPr>
        <w:t>emple</w:t>
      </w:r>
      <w:r w:rsidR="00A46893" w:rsidRPr="008450F1">
        <w:rPr>
          <w:lang w:val="es-DO"/>
        </w:rPr>
        <w:t>a</w:t>
      </w:r>
      <w:r w:rsidRPr="008450F1">
        <w:rPr>
          <w:lang w:val="es-DO"/>
        </w:rPr>
        <w:t>r</w:t>
      </w:r>
      <w:r w:rsidR="00A46893" w:rsidRPr="00FA5324">
        <w:rPr>
          <w:lang w:val="es-DO"/>
        </w:rPr>
        <w:t xml:space="preserve"> horizontes temporales largos,</w:t>
      </w:r>
      <w:r w:rsidR="002E5FB1" w:rsidRPr="00FA5324">
        <w:rPr>
          <w:lang w:val="es-DO"/>
        </w:rPr>
        <w:t xml:space="preserve"> </w:t>
      </w:r>
      <w:r w:rsidRPr="008450F1">
        <w:rPr>
          <w:lang w:val="es-DO"/>
        </w:rPr>
        <w:t>hasta</w:t>
      </w:r>
      <w:r w:rsidR="0033573A" w:rsidRPr="00FA5324">
        <w:rPr>
          <w:lang w:val="es-DO"/>
        </w:rPr>
        <w:t xml:space="preserve"> de 40 años </w:t>
      </w:r>
      <w:sdt>
        <w:sdtPr>
          <w:rPr>
            <w:lang w:val="es-DO"/>
          </w:rPr>
          <w:id w:val="-1343543360"/>
          <w:citation/>
        </w:sdtPr>
        <w:sdtEndPr/>
        <w:sdtContent>
          <w:r w:rsidR="0033573A" w:rsidRPr="00FA5324">
            <w:rPr>
              <w:lang w:val="es-DO"/>
            </w:rPr>
            <w:fldChar w:fldCharType="begin"/>
          </w:r>
          <w:r w:rsidR="0033573A" w:rsidRPr="00FA5324">
            <w:rPr>
              <w:lang w:val="es-DO"/>
            </w:rPr>
            <w:instrText xml:space="preserve"> CITATION Bos13 \l 9226 </w:instrText>
          </w:r>
          <w:r w:rsidR="0033573A" w:rsidRPr="00FA5324">
            <w:rPr>
              <w:lang w:val="es-DO"/>
            </w:rPr>
            <w:fldChar w:fldCharType="separate"/>
          </w:r>
          <w:r w:rsidR="00160DA0" w:rsidRPr="00FA5324">
            <w:rPr>
              <w:lang w:val="es-DO"/>
            </w:rPr>
            <w:t>(Bosch, Melguizo, &amp; Pagés, 2013)</w:t>
          </w:r>
          <w:r w:rsidR="0033573A" w:rsidRPr="00FA5324">
            <w:rPr>
              <w:lang w:val="es-DO"/>
            </w:rPr>
            <w:fldChar w:fldCharType="end"/>
          </w:r>
        </w:sdtContent>
      </w:sdt>
      <w:r w:rsidR="002E5FB1" w:rsidRPr="00FA5324">
        <w:rPr>
          <w:lang w:val="es-DO"/>
        </w:rPr>
        <w:t xml:space="preserve">. </w:t>
      </w:r>
      <w:r w:rsidRPr="008450F1">
        <w:rPr>
          <w:lang w:val="es-DO"/>
        </w:rPr>
        <w:t>Sin embargo, teniendo</w:t>
      </w:r>
      <w:r w:rsidRPr="00FA5324">
        <w:rPr>
          <w:lang w:val="es-DO"/>
        </w:rPr>
        <w:t xml:space="preserve"> </w:t>
      </w:r>
      <w:r w:rsidR="002E5FB1" w:rsidRPr="00FA5324">
        <w:rPr>
          <w:lang w:val="es-DO"/>
        </w:rPr>
        <w:t xml:space="preserve">en cuenta la tasa de descuento </w:t>
      </w:r>
      <w:r w:rsidR="0085219C" w:rsidRPr="008450F1">
        <w:rPr>
          <w:lang w:val="es-DO"/>
        </w:rPr>
        <w:t>en esta EE</w:t>
      </w:r>
      <w:r w:rsidR="001D6C39" w:rsidRPr="008450F1">
        <w:rPr>
          <w:lang w:val="es-DO"/>
        </w:rPr>
        <w:t>,</w:t>
      </w:r>
      <w:r w:rsidR="0085219C" w:rsidRPr="00FA5324">
        <w:rPr>
          <w:lang w:val="es-DO"/>
        </w:rPr>
        <w:t xml:space="preserve"> </w:t>
      </w:r>
      <w:r w:rsidR="002E5FB1" w:rsidRPr="00FA5324">
        <w:rPr>
          <w:lang w:val="es-DO"/>
        </w:rPr>
        <w:t xml:space="preserve">el horizonte temporal </w:t>
      </w:r>
      <w:r w:rsidR="007E70A2" w:rsidRPr="00FA5324">
        <w:rPr>
          <w:lang w:val="es-DO"/>
        </w:rPr>
        <w:t>adoptado</w:t>
      </w:r>
      <w:r w:rsidR="002E5FB1" w:rsidRPr="00FA5324">
        <w:rPr>
          <w:lang w:val="es-DO"/>
        </w:rPr>
        <w:t xml:space="preserve"> es de 20 años</w:t>
      </w:r>
      <w:r w:rsidR="007D35E9" w:rsidRPr="008450F1">
        <w:rPr>
          <w:lang w:val="es-DO"/>
        </w:rPr>
        <w:t>,</w:t>
      </w:r>
      <w:r w:rsidR="002E5FB1" w:rsidRPr="00FA5324">
        <w:rPr>
          <w:lang w:val="es-DO"/>
        </w:rPr>
        <w:t xml:space="preserve"> pues </w:t>
      </w:r>
      <w:r w:rsidR="007D35E9" w:rsidRPr="008450F1">
        <w:rPr>
          <w:lang w:val="es-DO"/>
        </w:rPr>
        <w:t xml:space="preserve">flujos posteriores </w:t>
      </w:r>
      <w:r w:rsidR="002E5FB1" w:rsidRPr="008450F1">
        <w:rPr>
          <w:lang w:val="es-DO"/>
        </w:rPr>
        <w:t>tiene</w:t>
      </w:r>
      <w:r w:rsidR="007D35E9" w:rsidRPr="008450F1">
        <w:rPr>
          <w:lang w:val="es-DO"/>
        </w:rPr>
        <w:t>n</w:t>
      </w:r>
      <w:r w:rsidR="002E5FB1" w:rsidRPr="008450F1">
        <w:rPr>
          <w:lang w:val="es-DO"/>
        </w:rPr>
        <w:t xml:space="preserve"> </w:t>
      </w:r>
      <w:r w:rsidR="007D35E9" w:rsidRPr="008450F1">
        <w:rPr>
          <w:lang w:val="es-DO"/>
        </w:rPr>
        <w:t>muy</w:t>
      </w:r>
      <w:r w:rsidR="007D35E9" w:rsidRPr="00FA5324">
        <w:rPr>
          <w:lang w:val="es-DO"/>
        </w:rPr>
        <w:t xml:space="preserve"> </w:t>
      </w:r>
      <w:r w:rsidR="002E5FB1" w:rsidRPr="00FA5324">
        <w:rPr>
          <w:lang w:val="es-DO"/>
        </w:rPr>
        <w:t xml:space="preserve">poco impacto sobre el </w:t>
      </w:r>
      <w:r w:rsidR="00E06E27">
        <w:rPr>
          <w:lang w:val="es-DO"/>
        </w:rPr>
        <w:t>Valor Presente Neto (</w:t>
      </w:r>
      <w:r w:rsidR="002E5FB1" w:rsidRPr="00FA5324">
        <w:rPr>
          <w:lang w:val="es-DO"/>
        </w:rPr>
        <w:t>VPN</w:t>
      </w:r>
      <w:r w:rsidR="00E06E27">
        <w:rPr>
          <w:lang w:val="es-DO"/>
        </w:rPr>
        <w:t>)</w:t>
      </w:r>
      <w:r w:rsidR="002E5FB1" w:rsidRPr="00FA5324">
        <w:rPr>
          <w:lang w:val="es-DO"/>
        </w:rPr>
        <w:t xml:space="preserve"> </w:t>
      </w:r>
      <w:sdt>
        <w:sdtPr>
          <w:rPr>
            <w:lang w:val="es-DO"/>
          </w:rPr>
          <w:id w:val="-1505588005"/>
          <w:citation/>
        </w:sdtPr>
        <w:sdtEndPr/>
        <w:sdtContent>
          <w:r w:rsidR="002E5FB1" w:rsidRPr="00FA5324">
            <w:rPr>
              <w:lang w:val="es-DO"/>
            </w:rPr>
            <w:fldChar w:fldCharType="begin"/>
          </w:r>
          <w:r w:rsidR="002E5FB1" w:rsidRPr="00FA5324">
            <w:rPr>
              <w:lang w:val="es-DO"/>
            </w:rPr>
            <w:instrText xml:space="preserve"> CITATION Mej12 \l 9226 </w:instrText>
          </w:r>
          <w:r w:rsidR="002E5FB1" w:rsidRPr="00FA5324">
            <w:rPr>
              <w:lang w:val="es-DO"/>
            </w:rPr>
            <w:fldChar w:fldCharType="separate"/>
          </w:r>
          <w:r w:rsidR="00160DA0" w:rsidRPr="00FA5324">
            <w:rPr>
              <w:lang w:val="es-DO"/>
            </w:rPr>
            <w:t>(Mejía, Winters, Alvarez, Corral, &amp; Diez Roux, 2012)</w:t>
          </w:r>
          <w:r w:rsidR="002E5FB1" w:rsidRPr="00FA5324">
            <w:rPr>
              <w:lang w:val="es-DO"/>
            </w:rPr>
            <w:fldChar w:fldCharType="end"/>
          </w:r>
        </w:sdtContent>
      </w:sdt>
      <w:r w:rsidR="002E5FB1" w:rsidRPr="00FA5324">
        <w:rPr>
          <w:lang w:val="es-DO"/>
        </w:rPr>
        <w:t xml:space="preserve">. </w:t>
      </w:r>
    </w:p>
    <w:p w:rsidR="00977B8F" w:rsidRPr="008450F1" w:rsidRDefault="00977B8F" w:rsidP="00AF0916">
      <w:pPr>
        <w:spacing w:after="0" w:line="240" w:lineRule="auto"/>
        <w:rPr>
          <w:lang w:val="es-DO"/>
        </w:rPr>
      </w:pPr>
    </w:p>
    <w:p w:rsidR="0033573A" w:rsidRPr="00FA5324" w:rsidRDefault="0033175B" w:rsidP="00FA5324">
      <w:pPr>
        <w:spacing w:after="0" w:line="240" w:lineRule="auto"/>
        <w:rPr>
          <w:lang w:val="es-DO"/>
        </w:rPr>
      </w:pPr>
      <w:r w:rsidRPr="00FA5324">
        <w:rPr>
          <w:lang w:val="es-DO"/>
        </w:rPr>
        <w:t>Reconociendo</w:t>
      </w:r>
      <w:r w:rsidR="00A80352" w:rsidRPr="00FA5324">
        <w:rPr>
          <w:lang w:val="es-DO"/>
        </w:rPr>
        <w:t xml:space="preserve"> que los supuestos respecto a los beneficios y</w:t>
      </w:r>
      <w:r w:rsidR="00A80352" w:rsidRPr="008450F1">
        <w:rPr>
          <w:lang w:val="es-DO"/>
        </w:rPr>
        <w:t xml:space="preserve"> </w:t>
      </w:r>
      <w:r w:rsidR="00E6288B" w:rsidRPr="008450F1">
        <w:rPr>
          <w:lang w:val="es-DO"/>
        </w:rPr>
        <w:t>los</w:t>
      </w:r>
      <w:r w:rsidR="00E6288B" w:rsidRPr="00FA5324">
        <w:rPr>
          <w:lang w:val="es-DO"/>
        </w:rPr>
        <w:t xml:space="preserve"> </w:t>
      </w:r>
      <w:r w:rsidR="00A80352" w:rsidRPr="00FA5324">
        <w:rPr>
          <w:lang w:val="es-DO"/>
        </w:rPr>
        <w:t xml:space="preserve">costos </w:t>
      </w:r>
      <w:r w:rsidR="00E07CB4" w:rsidRPr="00FA5324">
        <w:rPr>
          <w:lang w:val="es-DO"/>
        </w:rPr>
        <w:t>están</w:t>
      </w:r>
      <w:r w:rsidR="00A80352" w:rsidRPr="00FA5324">
        <w:rPr>
          <w:lang w:val="es-DO"/>
        </w:rPr>
        <w:t xml:space="preserve"> sujetos a una importante incertidumbre pues muchos detalles de la operación que modifican la magnitud del impacto serán definidos posteriormente por el país</w:t>
      </w:r>
      <w:r w:rsidR="00401AED" w:rsidRPr="00FA5324">
        <w:rPr>
          <w:lang w:val="es-DO"/>
        </w:rPr>
        <w:t>, en</w:t>
      </w:r>
      <w:r w:rsidR="0033573A" w:rsidRPr="00FA5324">
        <w:rPr>
          <w:lang w:val="es-DO"/>
        </w:rPr>
        <w:t xml:space="preserve"> el análisis d</w:t>
      </w:r>
      <w:r w:rsidR="00A80352" w:rsidRPr="00FA5324">
        <w:rPr>
          <w:lang w:val="es-DO"/>
        </w:rPr>
        <w:t>e sensibilidad se ponen a</w:t>
      </w:r>
      <w:r w:rsidR="0033573A" w:rsidRPr="00FA5324">
        <w:rPr>
          <w:lang w:val="es-DO"/>
        </w:rPr>
        <w:t xml:space="preserve"> </w:t>
      </w:r>
      <w:r w:rsidR="00A80352" w:rsidRPr="00FA5324">
        <w:rPr>
          <w:lang w:val="es-DO"/>
        </w:rPr>
        <w:t>prueba la magnitud y dirección</w:t>
      </w:r>
      <w:r w:rsidR="0098703F" w:rsidRPr="00FA5324">
        <w:rPr>
          <w:lang w:val="es-DO"/>
        </w:rPr>
        <w:t xml:space="preserve"> de los resultados del caso</w:t>
      </w:r>
      <w:r w:rsidR="00A80352" w:rsidRPr="00FA5324">
        <w:rPr>
          <w:lang w:val="es-DO"/>
        </w:rPr>
        <w:t xml:space="preserve"> base</w:t>
      </w:r>
      <w:r w:rsidR="0098703F" w:rsidRPr="00FA5324">
        <w:rPr>
          <w:lang w:val="es-DO"/>
        </w:rPr>
        <w:t>,</w:t>
      </w:r>
      <w:r w:rsidR="00A80352" w:rsidRPr="00FA5324">
        <w:rPr>
          <w:lang w:val="es-DO"/>
        </w:rPr>
        <w:t xml:space="preserve"> simulando distintos escenarios con modificaciones </w:t>
      </w:r>
      <w:r w:rsidR="00D10540" w:rsidRPr="00FA5324">
        <w:rPr>
          <w:lang w:val="es-DO"/>
        </w:rPr>
        <w:t>de la tasa de des</w:t>
      </w:r>
      <w:r w:rsidR="00D22560" w:rsidRPr="00FA5324">
        <w:rPr>
          <w:lang w:val="es-DO"/>
        </w:rPr>
        <w:t>c</w:t>
      </w:r>
      <w:r w:rsidR="00D10540" w:rsidRPr="00FA5324">
        <w:rPr>
          <w:lang w:val="es-DO"/>
        </w:rPr>
        <w:t xml:space="preserve">uento, </w:t>
      </w:r>
      <w:r w:rsidR="00E6288B" w:rsidRPr="008450F1">
        <w:rPr>
          <w:lang w:val="es-DO"/>
        </w:rPr>
        <w:t xml:space="preserve">del </w:t>
      </w:r>
      <w:r w:rsidR="00D10540" w:rsidRPr="00FA5324">
        <w:rPr>
          <w:lang w:val="es-DO"/>
        </w:rPr>
        <w:t>horizonte temporal</w:t>
      </w:r>
      <w:r w:rsidR="00D22560" w:rsidRPr="00FA5324">
        <w:rPr>
          <w:lang w:val="es-DO"/>
        </w:rPr>
        <w:t xml:space="preserve"> y de</w:t>
      </w:r>
      <w:r w:rsidR="0098703F" w:rsidRPr="00FA5324">
        <w:rPr>
          <w:lang w:val="es-DO"/>
        </w:rPr>
        <w:t xml:space="preserve"> </w:t>
      </w:r>
      <w:r w:rsidR="00A80352" w:rsidRPr="00FA5324">
        <w:rPr>
          <w:lang w:val="es-DO"/>
        </w:rPr>
        <w:t xml:space="preserve">los parámetros </w:t>
      </w:r>
      <w:r w:rsidR="00D22560" w:rsidRPr="00FA5324">
        <w:rPr>
          <w:lang w:val="es-DO"/>
        </w:rPr>
        <w:t xml:space="preserve">para calcular los </w:t>
      </w:r>
      <w:r w:rsidRPr="00FA5324">
        <w:rPr>
          <w:lang w:val="es-DO"/>
        </w:rPr>
        <w:t xml:space="preserve">beneficios y </w:t>
      </w:r>
      <w:r w:rsidR="00D22560" w:rsidRPr="00FA5324">
        <w:rPr>
          <w:lang w:val="es-DO"/>
        </w:rPr>
        <w:t xml:space="preserve">los </w:t>
      </w:r>
      <w:r w:rsidRPr="00FA5324">
        <w:rPr>
          <w:lang w:val="es-DO"/>
        </w:rPr>
        <w:t>costos</w:t>
      </w:r>
      <w:r w:rsidR="00D75FFB" w:rsidRPr="00FA5324">
        <w:rPr>
          <w:lang w:val="es-DO"/>
        </w:rPr>
        <w:t>.</w:t>
      </w:r>
    </w:p>
    <w:p w:rsidR="00977B8F" w:rsidRPr="008450F1" w:rsidRDefault="00977B8F" w:rsidP="00AF0916">
      <w:pPr>
        <w:pStyle w:val="Heading2"/>
        <w:spacing w:before="0" w:after="0" w:line="240" w:lineRule="auto"/>
        <w:ind w:left="0"/>
        <w:rPr>
          <w:lang w:val="es-DO"/>
        </w:rPr>
      </w:pPr>
    </w:p>
    <w:p w:rsidR="001A7E3B" w:rsidRPr="00FA5324" w:rsidRDefault="009D28B6" w:rsidP="00FA5324">
      <w:pPr>
        <w:pStyle w:val="Heading2"/>
        <w:spacing w:before="0" w:after="0" w:line="240" w:lineRule="auto"/>
        <w:rPr>
          <w:lang w:val="es-DO"/>
        </w:rPr>
      </w:pPr>
      <w:bookmarkStart w:id="8" w:name="_Toc401244711"/>
      <w:r w:rsidRPr="00FA5324">
        <w:rPr>
          <w:lang w:val="es-DO"/>
        </w:rPr>
        <w:t>B. Beneficios y Costos</w:t>
      </w:r>
      <w:bookmarkEnd w:id="8"/>
    </w:p>
    <w:p w:rsidR="00977B8F" w:rsidRPr="008450F1" w:rsidRDefault="00977B8F" w:rsidP="00AF0916">
      <w:pPr>
        <w:pStyle w:val="Heading3"/>
        <w:spacing w:before="0" w:line="240" w:lineRule="auto"/>
        <w:rPr>
          <w:rFonts w:ascii="Times New Roman" w:hAnsi="Times New Roman"/>
          <w:color w:val="auto"/>
          <w:lang w:val="es-DO"/>
        </w:rPr>
      </w:pPr>
    </w:p>
    <w:p w:rsidR="009D28B6" w:rsidRPr="00FA5324" w:rsidRDefault="009D28B6" w:rsidP="00FA5324">
      <w:pPr>
        <w:pStyle w:val="Heading3"/>
        <w:spacing w:before="0" w:line="240" w:lineRule="auto"/>
        <w:rPr>
          <w:rFonts w:ascii="Times New Roman" w:hAnsi="Times New Roman"/>
          <w:color w:val="auto"/>
          <w:lang w:val="es-DO"/>
        </w:rPr>
      </w:pPr>
      <w:bookmarkStart w:id="9" w:name="_Toc401244712"/>
      <w:r w:rsidRPr="00FA5324">
        <w:rPr>
          <w:rFonts w:ascii="Times New Roman" w:hAnsi="Times New Roman"/>
          <w:color w:val="auto"/>
          <w:lang w:val="es-DO"/>
        </w:rPr>
        <w:t xml:space="preserve">1. </w:t>
      </w:r>
      <w:r w:rsidR="00401AED" w:rsidRPr="00FA5324">
        <w:rPr>
          <w:rFonts w:ascii="Times New Roman" w:hAnsi="Times New Roman"/>
          <w:color w:val="auto"/>
          <w:lang w:val="es-DO"/>
        </w:rPr>
        <w:t>Componente consolidación del SDSS</w:t>
      </w:r>
      <w:bookmarkEnd w:id="9"/>
    </w:p>
    <w:p w:rsidR="00977B8F" w:rsidRPr="008450F1" w:rsidRDefault="00977B8F" w:rsidP="00AF0916">
      <w:pPr>
        <w:pStyle w:val="Heading4"/>
        <w:spacing w:before="0" w:after="0" w:line="240" w:lineRule="auto"/>
        <w:rPr>
          <w:rFonts w:ascii="Times New Roman" w:hAnsi="Times New Roman"/>
          <w:color w:val="auto"/>
          <w:u w:val="single"/>
          <w:lang w:val="es-DO"/>
        </w:rPr>
      </w:pPr>
    </w:p>
    <w:p w:rsidR="009D28B6" w:rsidRPr="00FA5324" w:rsidRDefault="00A94E81" w:rsidP="00FA5324">
      <w:pPr>
        <w:pStyle w:val="Heading4"/>
        <w:spacing w:before="0" w:after="0" w:line="240" w:lineRule="auto"/>
        <w:rPr>
          <w:rFonts w:ascii="Times New Roman" w:hAnsi="Times New Roman"/>
          <w:color w:val="auto"/>
          <w:u w:val="single"/>
          <w:lang w:val="es-DO"/>
        </w:rPr>
      </w:pPr>
      <w:r w:rsidRPr="00FA5324">
        <w:rPr>
          <w:rFonts w:ascii="Times New Roman" w:hAnsi="Times New Roman"/>
          <w:color w:val="auto"/>
          <w:u w:val="single"/>
          <w:lang w:val="es-DO"/>
        </w:rPr>
        <w:t>Identificación</w:t>
      </w:r>
      <w:r w:rsidR="009D28B6" w:rsidRPr="00FA5324">
        <w:rPr>
          <w:rFonts w:ascii="Times New Roman" w:hAnsi="Times New Roman"/>
          <w:color w:val="auto"/>
          <w:u w:val="single"/>
          <w:lang w:val="es-DO"/>
        </w:rPr>
        <w:t xml:space="preserve"> de beneficios y costos</w:t>
      </w:r>
    </w:p>
    <w:p w:rsidR="00977B8F" w:rsidRPr="008450F1" w:rsidRDefault="00977B8F" w:rsidP="00AF0916">
      <w:pPr>
        <w:spacing w:after="0" w:line="240" w:lineRule="auto"/>
        <w:rPr>
          <w:lang w:val="es-DO"/>
        </w:rPr>
      </w:pPr>
    </w:p>
    <w:p w:rsidR="00624FAB" w:rsidRPr="00FA5324" w:rsidRDefault="00921703" w:rsidP="00FA5324">
      <w:pPr>
        <w:spacing w:after="0" w:line="240" w:lineRule="auto"/>
        <w:rPr>
          <w:lang w:val="es-DO"/>
        </w:rPr>
      </w:pPr>
      <w:r w:rsidRPr="00FA5324">
        <w:rPr>
          <w:lang w:val="es-DO"/>
        </w:rPr>
        <w:t xml:space="preserve">El componente de apoyo a la seguridad social está dirigido a mejorar la cobertura </w:t>
      </w:r>
      <w:r w:rsidRPr="008450F1">
        <w:rPr>
          <w:lang w:val="es-DO"/>
        </w:rPr>
        <w:t>de</w:t>
      </w:r>
      <w:r w:rsidR="00E6288B" w:rsidRPr="008450F1">
        <w:rPr>
          <w:lang w:val="es-DO"/>
        </w:rPr>
        <w:t>l RS</w:t>
      </w:r>
      <w:r w:rsidR="00E6288B" w:rsidRPr="00FA5324">
        <w:rPr>
          <w:lang w:val="es-DO"/>
        </w:rPr>
        <w:t xml:space="preserve"> y </w:t>
      </w:r>
      <w:r w:rsidR="00E6288B" w:rsidRPr="008450F1">
        <w:rPr>
          <w:lang w:val="es-DO"/>
        </w:rPr>
        <w:t>del RC</w:t>
      </w:r>
      <w:r w:rsidRPr="00FA5324">
        <w:rPr>
          <w:lang w:val="es-DO"/>
        </w:rPr>
        <w:t xml:space="preserve">, y a lograr la eficiencia </w:t>
      </w:r>
      <w:r w:rsidR="0033175B" w:rsidRPr="00FA5324">
        <w:rPr>
          <w:lang w:val="es-DO"/>
        </w:rPr>
        <w:t>del</w:t>
      </w:r>
      <w:r w:rsidRPr="00FA5324">
        <w:rPr>
          <w:lang w:val="es-DO"/>
        </w:rPr>
        <w:t xml:space="preserve"> sistema pensional en el sentido de disminuir las distorsiones al mercado laboral. </w:t>
      </w:r>
      <w:r w:rsidR="00235F85" w:rsidRPr="00FA5324">
        <w:rPr>
          <w:lang w:val="es-DO"/>
        </w:rPr>
        <w:t xml:space="preserve">Para este análisis se </w:t>
      </w:r>
      <w:r w:rsidR="00235F85" w:rsidRPr="008450F1">
        <w:rPr>
          <w:lang w:val="es-DO"/>
        </w:rPr>
        <w:t>aproxim</w:t>
      </w:r>
      <w:r w:rsidR="00E4655D" w:rsidRPr="008450F1">
        <w:rPr>
          <w:lang w:val="es-DO"/>
        </w:rPr>
        <w:t>ó</w:t>
      </w:r>
      <w:r w:rsidR="00235F85" w:rsidRPr="008450F1">
        <w:rPr>
          <w:lang w:val="es-DO"/>
        </w:rPr>
        <w:t xml:space="preserve"> </w:t>
      </w:r>
      <w:r w:rsidR="008A6DBC" w:rsidRPr="008450F1">
        <w:rPr>
          <w:lang w:val="es-DO"/>
        </w:rPr>
        <w:t>el</w:t>
      </w:r>
      <w:r w:rsidR="00235F85" w:rsidRPr="00FA5324">
        <w:rPr>
          <w:lang w:val="es-DO"/>
        </w:rPr>
        <w:t xml:space="preserve"> beneficio </w:t>
      </w:r>
      <w:r w:rsidRPr="00FA5324">
        <w:rPr>
          <w:lang w:val="es-DO"/>
        </w:rPr>
        <w:t xml:space="preserve">en el aumento de </w:t>
      </w:r>
      <w:r w:rsidR="0098703F" w:rsidRPr="00FA5324">
        <w:rPr>
          <w:lang w:val="es-DO"/>
        </w:rPr>
        <w:t xml:space="preserve">la </w:t>
      </w:r>
      <w:r w:rsidRPr="00FA5324">
        <w:rPr>
          <w:lang w:val="es-DO"/>
        </w:rPr>
        <w:t xml:space="preserve">cobertura </w:t>
      </w:r>
      <w:r w:rsidR="00E6288B" w:rsidRPr="008450F1">
        <w:rPr>
          <w:lang w:val="es-DO"/>
        </w:rPr>
        <w:t>del RC</w:t>
      </w:r>
      <w:r w:rsidRPr="008450F1">
        <w:rPr>
          <w:lang w:val="es-DO"/>
        </w:rPr>
        <w:t xml:space="preserve"> </w:t>
      </w:r>
      <w:r w:rsidR="003A3DA2" w:rsidRPr="008450F1">
        <w:rPr>
          <w:lang w:val="es-DO"/>
        </w:rPr>
        <w:t xml:space="preserve">como </w:t>
      </w:r>
      <w:r w:rsidR="00235F85" w:rsidRPr="008450F1">
        <w:rPr>
          <w:lang w:val="es-DO"/>
        </w:rPr>
        <w:t>e</w:t>
      </w:r>
      <w:r w:rsidRPr="008450F1">
        <w:rPr>
          <w:lang w:val="es-DO"/>
        </w:rPr>
        <w:t>l</w:t>
      </w:r>
      <w:r w:rsidRPr="00FA5324">
        <w:rPr>
          <w:lang w:val="es-DO"/>
        </w:rPr>
        <w:t xml:space="preserve"> incremento en el crecimiento del PIB que se obtiene</w:t>
      </w:r>
      <w:r w:rsidR="00235F85" w:rsidRPr="00FA5324">
        <w:rPr>
          <w:lang w:val="es-DO"/>
        </w:rPr>
        <w:t xml:space="preserve"> </w:t>
      </w:r>
      <w:r w:rsidR="007D35E9" w:rsidRPr="008450F1">
        <w:rPr>
          <w:lang w:val="es-DO"/>
        </w:rPr>
        <w:t>al profundizar</w:t>
      </w:r>
      <w:r w:rsidR="007D35E9" w:rsidRPr="00FA5324">
        <w:rPr>
          <w:lang w:val="es-DO"/>
        </w:rPr>
        <w:t xml:space="preserve"> un </w:t>
      </w:r>
      <w:r w:rsidR="007D35E9" w:rsidRPr="008450F1">
        <w:rPr>
          <w:lang w:val="es-DO"/>
        </w:rPr>
        <w:t>sistema</w:t>
      </w:r>
      <w:r w:rsidR="007D35E9" w:rsidRPr="00FA5324">
        <w:rPr>
          <w:lang w:val="es-DO"/>
        </w:rPr>
        <w:t xml:space="preserve"> de ahorro </w:t>
      </w:r>
      <w:r w:rsidR="007D35E9" w:rsidRPr="008450F1">
        <w:rPr>
          <w:lang w:val="es-DO"/>
        </w:rPr>
        <w:t>individual</w:t>
      </w:r>
      <w:r w:rsidR="00235F85" w:rsidRPr="00FA5324">
        <w:rPr>
          <w:lang w:val="es-DO"/>
        </w:rPr>
        <w:t>. L</w:t>
      </w:r>
      <w:r w:rsidRPr="00FA5324">
        <w:rPr>
          <w:lang w:val="es-DO"/>
        </w:rPr>
        <w:t>a relación entre ahorro pensional y mayor c</w:t>
      </w:r>
      <w:r w:rsidR="00235F85" w:rsidRPr="00FA5324">
        <w:rPr>
          <w:lang w:val="es-DO"/>
        </w:rPr>
        <w:t xml:space="preserve">recimiento del PIB ha sido </w:t>
      </w:r>
      <w:r w:rsidRPr="00FA5324">
        <w:rPr>
          <w:lang w:val="es-DO"/>
        </w:rPr>
        <w:t>documentada en la literatura mediante modelo</w:t>
      </w:r>
      <w:r w:rsidR="00401AED" w:rsidRPr="00FA5324">
        <w:rPr>
          <w:lang w:val="es-DO"/>
        </w:rPr>
        <w:t>s</w:t>
      </w:r>
      <w:r w:rsidRPr="00FA5324">
        <w:rPr>
          <w:lang w:val="es-DO"/>
        </w:rPr>
        <w:t xml:space="preserve"> </w:t>
      </w:r>
      <w:r w:rsidRPr="00FA5324">
        <w:rPr>
          <w:lang w:val="es-DO"/>
        </w:rPr>
        <w:lastRenderedPageBreak/>
        <w:t xml:space="preserve">teóricos y estudios empíricos </w:t>
      </w:r>
      <w:sdt>
        <w:sdtPr>
          <w:rPr>
            <w:lang w:val="es-DO"/>
          </w:rPr>
          <w:id w:val="-1567332613"/>
          <w:citation/>
        </w:sdtPr>
        <w:sdtEndPr/>
        <w:sdtContent>
          <w:r w:rsidRPr="00FA5324">
            <w:rPr>
              <w:lang w:val="es-DO"/>
            </w:rPr>
            <w:fldChar w:fldCharType="begin"/>
          </w:r>
          <w:r w:rsidRPr="00FA5324">
            <w:rPr>
              <w:lang w:val="es-DO"/>
            </w:rPr>
            <w:instrText xml:space="preserve"> CITATION Pow13 \l 9226 </w:instrText>
          </w:r>
          <w:r w:rsidRPr="00FA5324">
            <w:rPr>
              <w:lang w:val="es-DO"/>
            </w:rPr>
            <w:fldChar w:fldCharType="separate"/>
          </w:r>
          <w:r w:rsidR="00160DA0" w:rsidRPr="00FA5324">
            <w:rPr>
              <w:lang w:val="es-DO"/>
            </w:rPr>
            <w:t>(Powell, 2013)</w:t>
          </w:r>
          <w:r w:rsidRPr="00FA5324">
            <w:rPr>
              <w:lang w:val="es-DO"/>
            </w:rPr>
            <w:fldChar w:fldCharType="end"/>
          </w:r>
        </w:sdtContent>
      </w:sdt>
      <w:r w:rsidR="00235F85" w:rsidRPr="00FA5324">
        <w:rPr>
          <w:lang w:val="es-DO"/>
        </w:rPr>
        <w:t>, (Corbo y Schmidt Hebbel 2003)</w:t>
      </w:r>
      <w:r w:rsidR="00235F85" w:rsidRPr="00FA5324">
        <w:rPr>
          <w:rStyle w:val="FootnoteReference"/>
          <w:lang w:val="es-DO"/>
        </w:rPr>
        <w:footnoteReference w:id="10"/>
      </w:r>
      <w:r w:rsidRPr="00FA5324">
        <w:rPr>
          <w:lang w:val="es-DO"/>
        </w:rPr>
        <w:t xml:space="preserve">. </w:t>
      </w:r>
      <w:r w:rsidR="00401AED" w:rsidRPr="00FA5324">
        <w:rPr>
          <w:lang w:val="es-DO"/>
        </w:rPr>
        <w:t>Los costos de cada actividad se expresan como los costos incrementales de l</w:t>
      </w:r>
      <w:r w:rsidR="0098703F" w:rsidRPr="00FA5324">
        <w:rPr>
          <w:lang w:val="es-DO"/>
        </w:rPr>
        <w:t xml:space="preserve">levarlas </w:t>
      </w:r>
      <w:r w:rsidR="00401AED" w:rsidRPr="00FA5324">
        <w:rPr>
          <w:lang w:val="es-DO"/>
        </w:rPr>
        <w:t xml:space="preserve">a cabo. La </w:t>
      </w:r>
      <w:r w:rsidR="007D15C8" w:rsidRPr="00FA5324">
        <w:rPr>
          <w:lang w:val="es-DO"/>
        </w:rPr>
        <w:fldChar w:fldCharType="begin"/>
      </w:r>
      <w:r w:rsidR="007D15C8" w:rsidRPr="00FA5324">
        <w:rPr>
          <w:lang w:val="es-DO"/>
        </w:rPr>
        <w:instrText xml:space="preserve"> REF _Ref399138778 \h</w:instrText>
      </w:r>
      <w:r w:rsidR="007D15C8" w:rsidRPr="008450F1">
        <w:rPr>
          <w:lang w:val="es-DO"/>
        </w:rPr>
        <w:instrText xml:space="preserve"> </w:instrText>
      </w:r>
      <w:r w:rsidR="00C62A67" w:rsidRPr="008450F1">
        <w:rPr>
          <w:lang w:val="es-DO"/>
        </w:rPr>
        <w:instrText xml:space="preserve"> \* MERGEFORMAT</w:instrText>
      </w:r>
      <w:r w:rsidR="00C62A67" w:rsidRPr="00FA5324">
        <w:rPr>
          <w:lang w:val="es-DO"/>
        </w:rPr>
        <w:instrText xml:space="preserve"> </w:instrText>
      </w:r>
      <w:r w:rsidR="007D15C8" w:rsidRPr="00FA5324">
        <w:rPr>
          <w:lang w:val="es-DO"/>
        </w:rPr>
      </w:r>
      <w:r w:rsidR="007D15C8" w:rsidRPr="00FA5324">
        <w:rPr>
          <w:lang w:val="es-DO"/>
        </w:rPr>
        <w:fldChar w:fldCharType="separate"/>
      </w:r>
      <w:r w:rsidR="007A3FB4" w:rsidRPr="00FA5324">
        <w:rPr>
          <w:lang w:val="es-DO"/>
        </w:rPr>
        <w:t>Tabla 1</w:t>
      </w:r>
      <w:r w:rsidR="007D15C8" w:rsidRPr="00FA5324">
        <w:rPr>
          <w:lang w:val="es-DO"/>
        </w:rPr>
        <w:fldChar w:fldCharType="end"/>
      </w:r>
      <w:r w:rsidR="00401AED" w:rsidRPr="00FA5324">
        <w:rPr>
          <w:lang w:val="es-DO"/>
        </w:rPr>
        <w:t xml:space="preserve"> describe los beneficios y costos de este componente. </w:t>
      </w:r>
    </w:p>
    <w:p w:rsidR="00977B8F" w:rsidRPr="008450F1" w:rsidRDefault="00977B8F" w:rsidP="00AF0916">
      <w:pPr>
        <w:pStyle w:val="Caption"/>
        <w:keepNext/>
        <w:spacing w:after="0"/>
        <w:jc w:val="center"/>
        <w:rPr>
          <w:i w:val="0"/>
          <w:color w:val="auto"/>
          <w:lang w:val="es-DO"/>
        </w:rPr>
      </w:pPr>
      <w:bookmarkStart w:id="10" w:name="_Ref399138778"/>
    </w:p>
    <w:p w:rsidR="007D15C8" w:rsidRPr="00FA5324" w:rsidRDefault="007D15C8" w:rsidP="00FA5324">
      <w:pPr>
        <w:pStyle w:val="Caption"/>
        <w:keepNext/>
        <w:spacing w:after="0"/>
        <w:jc w:val="center"/>
        <w:rPr>
          <w:i w:val="0"/>
          <w:color w:val="auto"/>
          <w:lang w:val="es-DO"/>
        </w:rPr>
      </w:pPr>
      <w:r w:rsidRPr="00FA5324">
        <w:rPr>
          <w:i w:val="0"/>
          <w:color w:val="auto"/>
          <w:lang w:val="es-DO"/>
        </w:rPr>
        <w:t xml:space="preserve">Tabla </w:t>
      </w:r>
      <w:r w:rsidR="00BC2072" w:rsidRPr="00FA5324">
        <w:rPr>
          <w:i w:val="0"/>
          <w:color w:val="auto"/>
          <w:lang w:val="es-DO"/>
        </w:rPr>
        <w:fldChar w:fldCharType="begin"/>
      </w:r>
      <w:r w:rsidR="00BC2072" w:rsidRPr="008450F1">
        <w:rPr>
          <w:i w:val="0"/>
          <w:color w:val="auto"/>
          <w:lang w:val="es-DO"/>
        </w:rPr>
        <w:instrText xml:space="preserve"> SEQ Tabla \* ARABIC </w:instrText>
      </w:r>
      <w:r w:rsidR="00BC2072" w:rsidRPr="00FA5324">
        <w:rPr>
          <w:i w:val="0"/>
          <w:color w:val="auto"/>
          <w:lang w:val="es-DO"/>
        </w:rPr>
        <w:fldChar w:fldCharType="separate"/>
      </w:r>
      <w:r w:rsidR="00A04D48" w:rsidRPr="00FA5324">
        <w:rPr>
          <w:i w:val="0"/>
          <w:color w:val="auto"/>
          <w:lang w:val="es-DO"/>
        </w:rPr>
        <w:t>1</w:t>
      </w:r>
      <w:r w:rsidR="00BC2072" w:rsidRPr="00FA5324">
        <w:rPr>
          <w:i w:val="0"/>
          <w:color w:val="auto"/>
          <w:lang w:val="es-DO"/>
        </w:rPr>
        <w:fldChar w:fldCharType="end"/>
      </w:r>
      <w:bookmarkEnd w:id="10"/>
      <w:r w:rsidR="007A3FB4" w:rsidRPr="008450F1">
        <w:rPr>
          <w:i w:val="0"/>
          <w:noProof/>
          <w:color w:val="auto"/>
          <w:lang w:val="es-DO"/>
        </w:rPr>
        <w:t>.</w:t>
      </w:r>
      <w:r w:rsidRPr="00FA5324">
        <w:rPr>
          <w:i w:val="0"/>
          <w:color w:val="auto"/>
          <w:lang w:val="es-DO"/>
        </w:rPr>
        <w:t xml:space="preserve"> Marco conceptual para la EE del Componente 2 </w:t>
      </w:r>
      <w:r w:rsidR="00B92F80" w:rsidRPr="008450F1">
        <w:rPr>
          <w:i w:val="0"/>
          <w:color w:val="auto"/>
          <w:lang w:val="es-DO"/>
        </w:rPr>
        <w:t>“</w:t>
      </w:r>
      <w:r w:rsidRPr="00FA5324">
        <w:rPr>
          <w:i w:val="0"/>
          <w:color w:val="auto"/>
          <w:lang w:val="es-DO"/>
        </w:rPr>
        <w:t>Apoyo a la Consolidación del Sistema de Seguridad Social</w:t>
      </w:r>
      <w:r w:rsidR="00B92F80" w:rsidRPr="008450F1">
        <w:rPr>
          <w:i w:val="0"/>
          <w:color w:val="auto"/>
          <w:lang w:val="es-DO"/>
        </w:rPr>
        <w:t>”</w:t>
      </w:r>
    </w:p>
    <w:tbl>
      <w:tblPr>
        <w:tblStyle w:val="TableGrid"/>
        <w:tblW w:w="5000" w:type="pct"/>
        <w:tblLook w:val="04A0" w:firstRow="1" w:lastRow="0" w:firstColumn="1" w:lastColumn="0" w:noHBand="0" w:noVBand="1"/>
      </w:tblPr>
      <w:tblGrid>
        <w:gridCol w:w="2573"/>
        <w:gridCol w:w="2142"/>
        <w:gridCol w:w="2597"/>
        <w:gridCol w:w="2077"/>
      </w:tblGrid>
      <w:tr w:rsidR="00C62A67" w:rsidRPr="008450F1" w:rsidTr="00FA5324">
        <w:trPr>
          <w:trHeight w:val="300"/>
        </w:trPr>
        <w:tc>
          <w:tcPr>
            <w:tcW w:w="1390" w:type="pct"/>
            <w:shd w:val="clear" w:color="auto" w:fill="AEAAAA" w:themeFill="background2" w:themeFillShade="BF"/>
            <w:noWrap/>
            <w:vAlign w:val="center"/>
            <w:hideMark/>
          </w:tcPr>
          <w:p w:rsidR="00624FAB" w:rsidRPr="00FA5324" w:rsidRDefault="00624FAB" w:rsidP="00FA5324">
            <w:pPr>
              <w:pStyle w:val="Tabla"/>
              <w:jc w:val="center"/>
              <w:rPr>
                <w:rFonts w:ascii="Times New Roman" w:hAnsi="Times New Roman"/>
                <w:b/>
                <w:color w:val="auto"/>
                <w:lang w:val="es-DO"/>
              </w:rPr>
            </w:pPr>
            <w:r w:rsidRPr="00FA5324">
              <w:rPr>
                <w:rFonts w:ascii="Times New Roman" w:hAnsi="Times New Roman"/>
                <w:b/>
                <w:color w:val="auto"/>
                <w:lang w:val="es-DO"/>
              </w:rPr>
              <w:t>Actividad</w:t>
            </w:r>
          </w:p>
        </w:tc>
        <w:tc>
          <w:tcPr>
            <w:tcW w:w="1160" w:type="pct"/>
            <w:shd w:val="clear" w:color="auto" w:fill="AEAAAA" w:themeFill="background2" w:themeFillShade="BF"/>
            <w:noWrap/>
            <w:vAlign w:val="center"/>
            <w:hideMark/>
          </w:tcPr>
          <w:p w:rsidR="00624FAB" w:rsidRPr="00FA5324" w:rsidRDefault="00401AED" w:rsidP="00FA5324">
            <w:pPr>
              <w:pStyle w:val="Tabla"/>
              <w:jc w:val="center"/>
              <w:rPr>
                <w:rFonts w:ascii="Times New Roman" w:hAnsi="Times New Roman"/>
                <w:b/>
                <w:color w:val="auto"/>
                <w:lang w:val="es-DO"/>
              </w:rPr>
            </w:pPr>
            <w:r w:rsidRPr="00FA5324">
              <w:rPr>
                <w:rFonts w:ascii="Times New Roman" w:hAnsi="Times New Roman"/>
                <w:b/>
                <w:color w:val="auto"/>
                <w:lang w:val="es-DO"/>
              </w:rPr>
              <w:t>Beneficio</w:t>
            </w:r>
            <w:r w:rsidR="00624FAB" w:rsidRPr="00FA5324">
              <w:rPr>
                <w:rFonts w:ascii="Times New Roman" w:hAnsi="Times New Roman"/>
                <w:b/>
                <w:color w:val="auto"/>
                <w:lang w:val="es-DO"/>
              </w:rPr>
              <w:t xml:space="preserve"> directo</w:t>
            </w:r>
          </w:p>
        </w:tc>
        <w:tc>
          <w:tcPr>
            <w:tcW w:w="1402" w:type="pct"/>
            <w:shd w:val="clear" w:color="auto" w:fill="AEAAAA" w:themeFill="background2" w:themeFillShade="BF"/>
            <w:noWrap/>
            <w:vAlign w:val="center"/>
            <w:hideMark/>
          </w:tcPr>
          <w:p w:rsidR="00624FAB" w:rsidRPr="00FA5324" w:rsidRDefault="00624FAB" w:rsidP="00FA5324">
            <w:pPr>
              <w:pStyle w:val="Tabla"/>
              <w:jc w:val="center"/>
              <w:rPr>
                <w:rFonts w:ascii="Times New Roman" w:hAnsi="Times New Roman"/>
                <w:b/>
                <w:color w:val="auto"/>
                <w:lang w:val="es-DO"/>
              </w:rPr>
            </w:pPr>
            <w:r w:rsidRPr="00FA5324">
              <w:rPr>
                <w:rFonts w:ascii="Times New Roman" w:hAnsi="Times New Roman"/>
                <w:b/>
                <w:color w:val="auto"/>
                <w:lang w:val="es-DO"/>
              </w:rPr>
              <w:t>Costo incremental</w:t>
            </w:r>
          </w:p>
        </w:tc>
        <w:tc>
          <w:tcPr>
            <w:tcW w:w="1048" w:type="pct"/>
            <w:shd w:val="clear" w:color="auto" w:fill="AEAAAA" w:themeFill="background2" w:themeFillShade="BF"/>
            <w:noWrap/>
            <w:vAlign w:val="center"/>
            <w:hideMark/>
          </w:tcPr>
          <w:p w:rsidR="00624FAB" w:rsidRPr="00FA5324" w:rsidRDefault="00624FAB" w:rsidP="00FA5324">
            <w:pPr>
              <w:pStyle w:val="Tabla"/>
              <w:jc w:val="center"/>
              <w:rPr>
                <w:rFonts w:ascii="Times New Roman" w:hAnsi="Times New Roman"/>
                <w:b/>
                <w:color w:val="auto"/>
                <w:lang w:val="es-DO"/>
              </w:rPr>
            </w:pPr>
            <w:r w:rsidRPr="00FA5324">
              <w:rPr>
                <w:rFonts w:ascii="Times New Roman" w:hAnsi="Times New Roman"/>
                <w:b/>
                <w:color w:val="auto"/>
                <w:lang w:val="es-DO"/>
              </w:rPr>
              <w:t>Beneficio incremental</w:t>
            </w:r>
          </w:p>
        </w:tc>
      </w:tr>
      <w:tr w:rsidR="00C62A67" w:rsidRPr="008450F1" w:rsidTr="00AF0916">
        <w:trPr>
          <w:trHeight w:val="900"/>
        </w:trPr>
        <w:tc>
          <w:tcPr>
            <w:tcW w:w="1390" w:type="pc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Inicio de las pensiones del RS focalizadas mediante SIUBEN</w:t>
            </w:r>
          </w:p>
        </w:tc>
        <w:tc>
          <w:tcPr>
            <w:tcW w:w="1160" w:type="pc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Menor distorsión en el mercado de trabajo y por consiguiente mayor formalidad</w:t>
            </w:r>
          </w:p>
        </w:tc>
        <w:tc>
          <w:tcPr>
            <w:tcW w:w="1402" w:type="pc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Costo administrativo de otorgar las pensiones</w:t>
            </w:r>
          </w:p>
        </w:tc>
        <w:tc>
          <w:tcPr>
            <w:tcW w:w="1048" w:type="pct"/>
            <w:vMerge w:val="restart"/>
            <w:vAlign w:val="center"/>
            <w:hideMark/>
          </w:tcPr>
          <w:p w:rsidR="00624FAB" w:rsidRPr="00FA5324" w:rsidRDefault="005A43A3" w:rsidP="00AF0916">
            <w:pPr>
              <w:pStyle w:val="Tabla"/>
              <w:rPr>
                <w:rFonts w:ascii="Times New Roman" w:hAnsi="Times New Roman"/>
                <w:color w:val="auto"/>
                <w:lang w:val="es-DO"/>
              </w:rPr>
            </w:pPr>
            <w:r w:rsidRPr="008450F1">
              <w:rPr>
                <w:rFonts w:ascii="Times New Roman" w:hAnsi="Times New Roman"/>
                <w:color w:val="auto"/>
                <w:lang w:val="es-DO"/>
              </w:rPr>
              <w:t>Mayor crecimiento por una mayor formalidad y una profundización de</w:t>
            </w:r>
            <w:r w:rsidR="00BA779C" w:rsidRPr="008450F1">
              <w:rPr>
                <w:rFonts w:ascii="Times New Roman" w:hAnsi="Times New Roman"/>
                <w:color w:val="auto"/>
                <w:lang w:val="es-DO"/>
              </w:rPr>
              <w:t>l</w:t>
            </w:r>
            <w:r w:rsidRPr="008450F1">
              <w:rPr>
                <w:rFonts w:ascii="Times New Roman" w:hAnsi="Times New Roman"/>
                <w:color w:val="auto"/>
                <w:lang w:val="es-DO"/>
              </w:rPr>
              <w:t xml:space="preserve"> mercado financiero y de capitales</w:t>
            </w:r>
          </w:p>
        </w:tc>
      </w:tr>
      <w:tr w:rsidR="00C62A67" w:rsidRPr="008450F1" w:rsidTr="00AF0916">
        <w:trPr>
          <w:trHeight w:val="300"/>
        </w:trPr>
        <w:tc>
          <w:tcPr>
            <w:tcW w:w="1390" w:type="pct"/>
            <w:vAlign w:val="center"/>
            <w:hideMark/>
          </w:tcPr>
          <w:p w:rsidR="00624FAB" w:rsidRPr="00FA5324" w:rsidRDefault="00F1405C" w:rsidP="00AF0916">
            <w:pPr>
              <w:pStyle w:val="Tabla"/>
              <w:rPr>
                <w:rFonts w:ascii="Times New Roman" w:hAnsi="Times New Roman"/>
                <w:color w:val="auto"/>
                <w:lang w:val="es-DO"/>
              </w:rPr>
            </w:pPr>
            <w:r w:rsidRPr="00FA5324">
              <w:rPr>
                <w:rFonts w:ascii="Times New Roman" w:hAnsi="Times New Roman"/>
                <w:color w:val="auto"/>
                <w:lang w:val="es-DO"/>
              </w:rPr>
              <w:t xml:space="preserve">Ajustes normativos al SDSS dirigidos a aumentar </w:t>
            </w:r>
            <w:r w:rsidR="00BA779C" w:rsidRPr="008450F1">
              <w:rPr>
                <w:rFonts w:ascii="Times New Roman" w:hAnsi="Times New Roman"/>
                <w:color w:val="auto"/>
                <w:lang w:val="es-DO"/>
              </w:rPr>
              <w:t xml:space="preserve">la </w:t>
            </w:r>
            <w:r w:rsidRPr="00FA5324">
              <w:rPr>
                <w:rFonts w:ascii="Times New Roman" w:hAnsi="Times New Roman"/>
                <w:color w:val="auto"/>
                <w:lang w:val="es-DO"/>
              </w:rPr>
              <w:t xml:space="preserve">cobertura y </w:t>
            </w:r>
            <w:r w:rsidR="00BA779C" w:rsidRPr="008450F1">
              <w:rPr>
                <w:rFonts w:ascii="Times New Roman" w:hAnsi="Times New Roman"/>
                <w:color w:val="auto"/>
                <w:lang w:val="es-DO"/>
              </w:rPr>
              <w:t xml:space="preserve">la </w:t>
            </w:r>
            <w:r w:rsidRPr="00FA5324">
              <w:rPr>
                <w:rFonts w:ascii="Times New Roman" w:hAnsi="Times New Roman"/>
                <w:color w:val="auto"/>
                <w:lang w:val="es-DO"/>
              </w:rPr>
              <w:t>formalidad</w:t>
            </w:r>
          </w:p>
        </w:tc>
        <w:tc>
          <w:tcPr>
            <w:tcW w:w="1160" w:type="pct"/>
            <w:vMerge w:val="restar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 xml:space="preserve">Incremento en la afiliación al sistema, disminución de la elusión y por consiguiente mayor </w:t>
            </w:r>
            <w:r w:rsidR="00F1405C" w:rsidRPr="00FA5324">
              <w:rPr>
                <w:rFonts w:ascii="Times New Roman" w:hAnsi="Times New Roman"/>
                <w:color w:val="auto"/>
                <w:lang w:val="es-DO"/>
              </w:rPr>
              <w:t xml:space="preserve"> formalidad y mayor </w:t>
            </w:r>
            <w:r w:rsidRPr="00FA5324">
              <w:rPr>
                <w:rFonts w:ascii="Times New Roman" w:hAnsi="Times New Roman"/>
                <w:color w:val="auto"/>
                <w:lang w:val="es-DO"/>
              </w:rPr>
              <w:t>ahorro previsional</w:t>
            </w:r>
          </w:p>
        </w:tc>
        <w:tc>
          <w:tcPr>
            <w:tcW w:w="1402" w:type="pct"/>
            <w:vMerge w:val="restar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Análisis del Ministerio de Hacienda han encontrado que estas dos medidas serían fiscalmente neutras</w:t>
            </w:r>
            <w:r w:rsidR="00AD3458" w:rsidRPr="008450F1">
              <w:rPr>
                <w:rFonts w:ascii="Times New Roman" w:hAnsi="Times New Roman"/>
                <w:color w:val="auto"/>
                <w:lang w:val="es-DO"/>
              </w:rPr>
              <w:t>, por lo que tampoco representarían un costo incremental</w:t>
            </w:r>
            <w:r w:rsidRPr="00FA5324">
              <w:rPr>
                <w:rFonts w:ascii="Times New Roman" w:hAnsi="Times New Roman"/>
                <w:color w:val="auto"/>
                <w:lang w:val="es-DO"/>
              </w:rPr>
              <w:t>.</w:t>
            </w:r>
          </w:p>
        </w:tc>
        <w:tc>
          <w:tcPr>
            <w:tcW w:w="1048" w:type="pct"/>
            <w:vMerge/>
            <w:vAlign w:val="center"/>
            <w:hideMark/>
          </w:tcPr>
          <w:p w:rsidR="00624FAB" w:rsidRPr="00FA5324" w:rsidRDefault="00624FAB" w:rsidP="00AF0916">
            <w:pPr>
              <w:pStyle w:val="Tabla"/>
              <w:rPr>
                <w:rFonts w:ascii="Times New Roman" w:hAnsi="Times New Roman"/>
                <w:color w:val="auto"/>
                <w:lang w:val="es-DO"/>
              </w:rPr>
            </w:pPr>
          </w:p>
        </w:tc>
      </w:tr>
      <w:tr w:rsidR="00C62A67" w:rsidRPr="008450F1" w:rsidTr="00AF0916">
        <w:trPr>
          <w:trHeight w:val="300"/>
        </w:trPr>
        <w:tc>
          <w:tcPr>
            <w:tcW w:w="1390" w:type="pc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Integración del SISPRE al sistema pensional</w:t>
            </w:r>
            <w:r w:rsidR="00F1405C" w:rsidRPr="00FA5324">
              <w:rPr>
                <w:rFonts w:ascii="Times New Roman" w:hAnsi="Times New Roman"/>
                <w:color w:val="auto"/>
                <w:lang w:val="es-DO"/>
              </w:rPr>
              <w:t xml:space="preserve"> y </w:t>
            </w:r>
            <w:r w:rsidR="00F1405C" w:rsidRPr="008450F1">
              <w:rPr>
                <w:rFonts w:ascii="Times New Roman" w:hAnsi="Times New Roman"/>
                <w:color w:val="auto"/>
                <w:lang w:val="es-DO"/>
              </w:rPr>
              <w:t>elimina</w:t>
            </w:r>
            <w:r w:rsidR="00BA779C" w:rsidRPr="008450F1">
              <w:rPr>
                <w:rFonts w:ascii="Times New Roman" w:hAnsi="Times New Roman"/>
                <w:color w:val="auto"/>
                <w:lang w:val="es-DO"/>
              </w:rPr>
              <w:t>ción de</w:t>
            </w:r>
            <w:r w:rsidR="00F1405C" w:rsidRPr="00FA5324">
              <w:rPr>
                <w:rFonts w:ascii="Times New Roman" w:hAnsi="Times New Roman"/>
                <w:color w:val="auto"/>
                <w:lang w:val="es-DO"/>
              </w:rPr>
              <w:t xml:space="preserve"> vacíos legales en la Ley 87-01</w:t>
            </w:r>
          </w:p>
        </w:tc>
        <w:tc>
          <w:tcPr>
            <w:tcW w:w="1160" w:type="pct"/>
            <w:vMerge/>
            <w:vAlign w:val="center"/>
            <w:hideMark/>
          </w:tcPr>
          <w:p w:rsidR="00624FAB" w:rsidRPr="00FA5324" w:rsidRDefault="00624FAB" w:rsidP="00AF0916">
            <w:pPr>
              <w:pStyle w:val="Tabla"/>
              <w:rPr>
                <w:rFonts w:ascii="Times New Roman" w:hAnsi="Times New Roman"/>
                <w:color w:val="auto"/>
                <w:lang w:val="es-DO"/>
              </w:rPr>
            </w:pPr>
          </w:p>
        </w:tc>
        <w:tc>
          <w:tcPr>
            <w:tcW w:w="1402" w:type="pct"/>
            <w:vMerge/>
            <w:vAlign w:val="center"/>
            <w:hideMark/>
          </w:tcPr>
          <w:p w:rsidR="00624FAB" w:rsidRPr="00FA5324" w:rsidRDefault="00624FAB" w:rsidP="00AF0916">
            <w:pPr>
              <w:pStyle w:val="Tabla"/>
              <w:rPr>
                <w:rFonts w:ascii="Times New Roman" w:hAnsi="Times New Roman"/>
                <w:color w:val="auto"/>
                <w:lang w:val="es-DO"/>
              </w:rPr>
            </w:pPr>
          </w:p>
        </w:tc>
        <w:tc>
          <w:tcPr>
            <w:tcW w:w="1048" w:type="pct"/>
            <w:vMerge/>
            <w:vAlign w:val="center"/>
            <w:hideMark/>
          </w:tcPr>
          <w:p w:rsidR="00624FAB" w:rsidRPr="00FA5324" w:rsidRDefault="00624FAB" w:rsidP="00AF0916">
            <w:pPr>
              <w:pStyle w:val="Tabla"/>
              <w:rPr>
                <w:rFonts w:ascii="Times New Roman" w:hAnsi="Times New Roman"/>
                <w:color w:val="auto"/>
                <w:lang w:val="es-DO"/>
              </w:rPr>
            </w:pPr>
          </w:p>
        </w:tc>
      </w:tr>
      <w:tr w:rsidR="00C62A67" w:rsidRPr="008450F1" w:rsidTr="00AF0916">
        <w:trPr>
          <w:trHeight w:val="600"/>
        </w:trPr>
        <w:tc>
          <w:tcPr>
            <w:tcW w:w="1390" w:type="pc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 xml:space="preserve">Implementación del </w:t>
            </w:r>
            <w:r w:rsidR="00BA779C" w:rsidRPr="008450F1">
              <w:rPr>
                <w:rFonts w:ascii="Times New Roman" w:hAnsi="Times New Roman"/>
                <w:color w:val="auto"/>
                <w:lang w:val="es-DO"/>
              </w:rPr>
              <w:t>sistema</w:t>
            </w:r>
            <w:r w:rsidRPr="00FA5324">
              <w:rPr>
                <w:rFonts w:ascii="Times New Roman" w:hAnsi="Times New Roman"/>
                <w:color w:val="auto"/>
                <w:lang w:val="es-DO"/>
              </w:rPr>
              <w:t xml:space="preserve"> de monitoreo para el SDSS</w:t>
            </w:r>
          </w:p>
        </w:tc>
        <w:tc>
          <w:tcPr>
            <w:tcW w:w="1160" w:type="pct"/>
            <w:vMerge/>
            <w:vAlign w:val="center"/>
            <w:hideMark/>
          </w:tcPr>
          <w:p w:rsidR="00624FAB" w:rsidRPr="00FA5324" w:rsidRDefault="00624FAB" w:rsidP="00AF0916">
            <w:pPr>
              <w:pStyle w:val="Tabla"/>
              <w:rPr>
                <w:rFonts w:ascii="Times New Roman" w:hAnsi="Times New Roman"/>
                <w:color w:val="auto"/>
                <w:lang w:val="es-DO"/>
              </w:rPr>
            </w:pPr>
          </w:p>
        </w:tc>
        <w:tc>
          <w:tcPr>
            <w:tcW w:w="1402" w:type="pc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Costo de funcionamiento del sistema de monitoreo</w:t>
            </w:r>
          </w:p>
        </w:tc>
        <w:tc>
          <w:tcPr>
            <w:tcW w:w="1048" w:type="pct"/>
            <w:vMerge/>
            <w:vAlign w:val="center"/>
            <w:hideMark/>
          </w:tcPr>
          <w:p w:rsidR="00624FAB" w:rsidRPr="00FA5324" w:rsidRDefault="00624FAB" w:rsidP="00AF0916">
            <w:pPr>
              <w:pStyle w:val="Tabla"/>
              <w:rPr>
                <w:rFonts w:ascii="Times New Roman" w:hAnsi="Times New Roman"/>
                <w:color w:val="auto"/>
                <w:lang w:val="es-DO"/>
              </w:rPr>
            </w:pPr>
          </w:p>
        </w:tc>
      </w:tr>
      <w:tr w:rsidR="00C62A67" w:rsidRPr="008450F1" w:rsidTr="00AF0916">
        <w:trPr>
          <w:trHeight w:val="1200"/>
        </w:trPr>
        <w:tc>
          <w:tcPr>
            <w:tcW w:w="1390" w:type="pct"/>
            <w:vAlign w:val="center"/>
            <w:hideMark/>
          </w:tcPr>
          <w:p w:rsidR="00624FAB" w:rsidRPr="00FA5324" w:rsidRDefault="00624FAB" w:rsidP="00AF0916">
            <w:pPr>
              <w:pStyle w:val="Tabla"/>
              <w:rPr>
                <w:rFonts w:ascii="Times New Roman" w:hAnsi="Times New Roman"/>
                <w:color w:val="auto"/>
                <w:lang w:val="es-DO"/>
              </w:rPr>
            </w:pPr>
            <w:r w:rsidRPr="008450F1">
              <w:rPr>
                <w:rFonts w:ascii="Times New Roman" w:hAnsi="Times New Roman"/>
                <w:color w:val="auto"/>
                <w:lang w:val="es-DO"/>
              </w:rPr>
              <w:t>Facilita</w:t>
            </w:r>
            <w:r w:rsidR="00BA779C" w:rsidRPr="008450F1">
              <w:rPr>
                <w:rFonts w:ascii="Times New Roman" w:hAnsi="Times New Roman"/>
                <w:color w:val="auto"/>
                <w:lang w:val="es-DO"/>
              </w:rPr>
              <w:t>ción d</w:t>
            </w:r>
            <w:r w:rsidRPr="008450F1">
              <w:rPr>
                <w:rFonts w:ascii="Times New Roman" w:hAnsi="Times New Roman"/>
                <w:color w:val="auto"/>
                <w:lang w:val="es-DO"/>
              </w:rPr>
              <w:t>el</w:t>
            </w:r>
            <w:r w:rsidRPr="00FA5324">
              <w:rPr>
                <w:rFonts w:ascii="Times New Roman" w:hAnsi="Times New Roman"/>
                <w:color w:val="auto"/>
                <w:lang w:val="es-DO"/>
              </w:rPr>
              <w:t xml:space="preserve"> control de la ciudadanía sobre las cotizaciones de su empleador</w:t>
            </w:r>
          </w:p>
        </w:tc>
        <w:tc>
          <w:tcPr>
            <w:tcW w:w="1160" w:type="pct"/>
            <w:vMerge/>
            <w:vAlign w:val="center"/>
            <w:hideMark/>
          </w:tcPr>
          <w:p w:rsidR="00624FAB" w:rsidRPr="00FA5324" w:rsidRDefault="00624FAB" w:rsidP="00AF0916">
            <w:pPr>
              <w:pStyle w:val="Tabla"/>
              <w:rPr>
                <w:rFonts w:ascii="Times New Roman" w:hAnsi="Times New Roman"/>
                <w:color w:val="auto"/>
                <w:lang w:val="es-DO"/>
              </w:rPr>
            </w:pPr>
          </w:p>
        </w:tc>
        <w:tc>
          <w:tcPr>
            <w:tcW w:w="1402" w:type="pc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Costo de funcionamiento del sistema informático para consultar la cotización del empleador</w:t>
            </w:r>
          </w:p>
        </w:tc>
        <w:tc>
          <w:tcPr>
            <w:tcW w:w="1048" w:type="pct"/>
            <w:vMerge/>
            <w:vAlign w:val="center"/>
            <w:hideMark/>
          </w:tcPr>
          <w:p w:rsidR="00624FAB" w:rsidRPr="00FA5324" w:rsidRDefault="00624FAB" w:rsidP="00AF0916">
            <w:pPr>
              <w:pStyle w:val="Tabla"/>
              <w:rPr>
                <w:rFonts w:ascii="Times New Roman" w:hAnsi="Times New Roman"/>
                <w:color w:val="auto"/>
                <w:lang w:val="es-DO"/>
              </w:rPr>
            </w:pPr>
          </w:p>
        </w:tc>
      </w:tr>
      <w:tr w:rsidR="00C62A67" w:rsidRPr="008450F1" w:rsidTr="00AF0916">
        <w:trPr>
          <w:trHeight w:val="600"/>
        </w:trPr>
        <w:tc>
          <w:tcPr>
            <w:tcW w:w="1390" w:type="pct"/>
            <w:vMerge w:val="restar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Mejor información a la ciudadanía: calculadora de pensiones y puntos de información en todo el país</w:t>
            </w:r>
          </w:p>
        </w:tc>
        <w:tc>
          <w:tcPr>
            <w:tcW w:w="1160" w:type="pct"/>
            <w:vMerge/>
            <w:vAlign w:val="center"/>
            <w:hideMark/>
          </w:tcPr>
          <w:p w:rsidR="00624FAB" w:rsidRPr="00FA5324" w:rsidRDefault="00624FAB" w:rsidP="00AF0916">
            <w:pPr>
              <w:pStyle w:val="Tabla"/>
              <w:rPr>
                <w:rFonts w:ascii="Times New Roman" w:hAnsi="Times New Roman"/>
                <w:color w:val="auto"/>
                <w:lang w:val="es-DO"/>
              </w:rPr>
            </w:pPr>
          </w:p>
        </w:tc>
        <w:tc>
          <w:tcPr>
            <w:tcW w:w="1402" w:type="pc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Costo de funcionamiento de las calculadora</w:t>
            </w:r>
          </w:p>
        </w:tc>
        <w:tc>
          <w:tcPr>
            <w:tcW w:w="1048" w:type="pct"/>
            <w:vMerge/>
            <w:vAlign w:val="center"/>
            <w:hideMark/>
          </w:tcPr>
          <w:p w:rsidR="00624FAB" w:rsidRPr="00FA5324" w:rsidRDefault="00624FAB" w:rsidP="00AF0916">
            <w:pPr>
              <w:pStyle w:val="Tabla"/>
              <w:rPr>
                <w:rFonts w:ascii="Times New Roman" w:hAnsi="Times New Roman"/>
                <w:color w:val="auto"/>
                <w:lang w:val="es-DO"/>
              </w:rPr>
            </w:pPr>
          </w:p>
        </w:tc>
      </w:tr>
      <w:tr w:rsidR="00C62A67" w:rsidRPr="008450F1" w:rsidTr="00FA5324">
        <w:trPr>
          <w:trHeight w:val="600"/>
        </w:trPr>
        <w:tc>
          <w:tcPr>
            <w:tcW w:w="1390" w:type="pct"/>
            <w:vMerge/>
            <w:vAlign w:val="center"/>
            <w:hideMark/>
          </w:tcPr>
          <w:p w:rsidR="00624FAB" w:rsidRPr="00FA5324" w:rsidRDefault="00624FAB" w:rsidP="00AF0916">
            <w:pPr>
              <w:pStyle w:val="Tabla"/>
              <w:rPr>
                <w:rFonts w:ascii="Times New Roman" w:hAnsi="Times New Roman"/>
                <w:color w:val="auto"/>
                <w:lang w:val="es-DO"/>
              </w:rPr>
            </w:pPr>
          </w:p>
        </w:tc>
        <w:tc>
          <w:tcPr>
            <w:tcW w:w="1160" w:type="pct"/>
            <w:vMerge/>
            <w:vAlign w:val="center"/>
            <w:hideMark/>
          </w:tcPr>
          <w:p w:rsidR="00624FAB" w:rsidRPr="00FA5324" w:rsidRDefault="00624FAB" w:rsidP="00AF0916">
            <w:pPr>
              <w:pStyle w:val="Tabla"/>
              <w:rPr>
                <w:rFonts w:ascii="Times New Roman" w:hAnsi="Times New Roman"/>
                <w:color w:val="auto"/>
                <w:lang w:val="es-DO"/>
              </w:rPr>
            </w:pPr>
          </w:p>
        </w:tc>
        <w:tc>
          <w:tcPr>
            <w:tcW w:w="1402" w:type="pc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Costo de funcionamiento de los sitios de información</w:t>
            </w:r>
          </w:p>
        </w:tc>
        <w:tc>
          <w:tcPr>
            <w:tcW w:w="1048" w:type="pct"/>
            <w:vMerge/>
            <w:vAlign w:val="center"/>
            <w:hideMark/>
          </w:tcPr>
          <w:p w:rsidR="00624FAB" w:rsidRPr="00FA5324" w:rsidRDefault="00624FAB" w:rsidP="00AF0916">
            <w:pPr>
              <w:pStyle w:val="Tabla"/>
              <w:rPr>
                <w:rFonts w:ascii="Times New Roman" w:hAnsi="Times New Roman"/>
                <w:color w:val="auto"/>
                <w:lang w:val="es-DO"/>
              </w:rPr>
            </w:pPr>
          </w:p>
        </w:tc>
      </w:tr>
      <w:tr w:rsidR="00C62A67" w:rsidRPr="008450F1" w:rsidTr="00AF0916">
        <w:trPr>
          <w:trHeight w:val="1020"/>
        </w:trPr>
        <w:tc>
          <w:tcPr>
            <w:tcW w:w="1390" w:type="pct"/>
            <w:vAlign w:val="center"/>
            <w:hideMark/>
          </w:tcPr>
          <w:p w:rsidR="00624FAB" w:rsidRPr="00FA5324" w:rsidRDefault="00624FAB" w:rsidP="00AF0916">
            <w:pPr>
              <w:pStyle w:val="Tabla"/>
              <w:rPr>
                <w:rFonts w:ascii="Times New Roman" w:hAnsi="Times New Roman"/>
                <w:color w:val="auto"/>
                <w:lang w:val="es-DO"/>
              </w:rPr>
            </w:pPr>
            <w:r w:rsidRPr="008450F1">
              <w:rPr>
                <w:rFonts w:ascii="Times New Roman" w:hAnsi="Times New Roman"/>
                <w:color w:val="auto"/>
                <w:lang w:val="es-DO"/>
              </w:rPr>
              <w:t>Mejor</w:t>
            </w:r>
            <w:r w:rsidR="00BA779C" w:rsidRPr="008450F1">
              <w:rPr>
                <w:rFonts w:ascii="Times New Roman" w:hAnsi="Times New Roman"/>
                <w:color w:val="auto"/>
                <w:lang w:val="es-DO"/>
              </w:rPr>
              <w:t>a de</w:t>
            </w:r>
            <w:r w:rsidR="00BA779C" w:rsidRPr="00FA5324">
              <w:rPr>
                <w:rFonts w:ascii="Times New Roman" w:hAnsi="Times New Roman"/>
                <w:color w:val="auto"/>
                <w:lang w:val="es-DO"/>
              </w:rPr>
              <w:t xml:space="preserve"> la</w:t>
            </w:r>
            <w:r w:rsidRPr="00FA5324">
              <w:rPr>
                <w:rFonts w:ascii="Times New Roman" w:hAnsi="Times New Roman"/>
                <w:color w:val="auto"/>
                <w:lang w:val="es-DO"/>
              </w:rPr>
              <w:t xml:space="preserve"> cultura previsional</w:t>
            </w:r>
          </w:p>
        </w:tc>
        <w:tc>
          <w:tcPr>
            <w:tcW w:w="1160" w:type="pct"/>
            <w:vMerge/>
            <w:vAlign w:val="center"/>
            <w:hideMark/>
          </w:tcPr>
          <w:p w:rsidR="00624FAB" w:rsidRPr="00FA5324" w:rsidRDefault="00624FAB" w:rsidP="00AF0916">
            <w:pPr>
              <w:pStyle w:val="Tabla"/>
              <w:rPr>
                <w:rFonts w:ascii="Times New Roman" w:hAnsi="Times New Roman"/>
                <w:color w:val="auto"/>
                <w:lang w:val="es-DO"/>
              </w:rPr>
            </w:pPr>
          </w:p>
        </w:tc>
        <w:tc>
          <w:tcPr>
            <w:tcW w:w="1402" w:type="pct"/>
            <w:vAlign w:val="center"/>
            <w:hideMark/>
          </w:tcPr>
          <w:p w:rsidR="00624FAB" w:rsidRPr="00FA5324" w:rsidRDefault="00624FAB" w:rsidP="00AF0916">
            <w:pPr>
              <w:pStyle w:val="Tabla"/>
              <w:rPr>
                <w:rFonts w:ascii="Times New Roman" w:hAnsi="Times New Roman"/>
                <w:color w:val="auto"/>
                <w:lang w:val="es-DO"/>
              </w:rPr>
            </w:pPr>
            <w:r w:rsidRPr="00FA5324">
              <w:rPr>
                <w:rFonts w:ascii="Times New Roman" w:hAnsi="Times New Roman"/>
                <w:color w:val="auto"/>
                <w:lang w:val="es-DO"/>
              </w:rPr>
              <w:t>Costo de ejecución del acuerdo nacional por la cultura previsional</w:t>
            </w:r>
          </w:p>
        </w:tc>
        <w:tc>
          <w:tcPr>
            <w:tcW w:w="1048" w:type="pct"/>
            <w:vMerge/>
            <w:vAlign w:val="center"/>
            <w:hideMark/>
          </w:tcPr>
          <w:p w:rsidR="00624FAB" w:rsidRPr="00FA5324" w:rsidRDefault="00624FAB" w:rsidP="00AF0916">
            <w:pPr>
              <w:pStyle w:val="Tabla"/>
              <w:rPr>
                <w:rFonts w:ascii="Times New Roman" w:hAnsi="Times New Roman"/>
                <w:color w:val="auto"/>
                <w:lang w:val="es-DO"/>
              </w:rPr>
            </w:pPr>
          </w:p>
        </w:tc>
      </w:tr>
    </w:tbl>
    <w:p w:rsidR="00624FAB" w:rsidRPr="00FA5324" w:rsidRDefault="00624FAB" w:rsidP="00FA5324">
      <w:pPr>
        <w:pStyle w:val="Caption"/>
        <w:keepNext/>
        <w:spacing w:after="0"/>
        <w:jc w:val="left"/>
        <w:rPr>
          <w:color w:val="auto"/>
          <w:lang w:val="es-DO"/>
        </w:rPr>
      </w:pPr>
      <w:r w:rsidRPr="00FA5324">
        <w:rPr>
          <w:color w:val="auto"/>
          <w:lang w:val="es-DO"/>
        </w:rPr>
        <w:t xml:space="preserve">Fuente: elaboración propia a </w:t>
      </w:r>
      <w:r w:rsidRPr="008450F1">
        <w:rPr>
          <w:color w:val="auto"/>
          <w:lang w:val="es-DO"/>
        </w:rPr>
        <w:t>par</w:t>
      </w:r>
      <w:r w:rsidR="009E58DA" w:rsidRPr="008450F1">
        <w:rPr>
          <w:color w:val="auto"/>
          <w:lang w:val="es-DO"/>
        </w:rPr>
        <w:t>t</w:t>
      </w:r>
      <w:r w:rsidRPr="008450F1">
        <w:rPr>
          <w:color w:val="auto"/>
          <w:lang w:val="es-DO"/>
        </w:rPr>
        <w:t>ir de</w:t>
      </w:r>
      <w:r w:rsidR="009E58DA" w:rsidRPr="008450F1">
        <w:rPr>
          <w:color w:val="auto"/>
          <w:lang w:val="es-DO"/>
        </w:rPr>
        <w:t xml:space="preserve"> </w:t>
      </w:r>
      <w:r w:rsidRPr="008450F1">
        <w:rPr>
          <w:color w:val="auto"/>
          <w:lang w:val="es-DO"/>
        </w:rPr>
        <w:t>l</w:t>
      </w:r>
      <w:r w:rsidR="009E58DA" w:rsidRPr="008450F1">
        <w:rPr>
          <w:color w:val="auto"/>
          <w:lang w:val="es-DO"/>
        </w:rPr>
        <w:t>a</w:t>
      </w:r>
      <w:r w:rsidRPr="008450F1">
        <w:rPr>
          <w:color w:val="auto"/>
          <w:lang w:val="es-DO"/>
        </w:rPr>
        <w:t xml:space="preserve"> </w:t>
      </w:r>
      <w:r w:rsidR="009E58DA" w:rsidRPr="008450F1">
        <w:rPr>
          <w:color w:val="auto"/>
          <w:lang w:val="es-DO"/>
        </w:rPr>
        <w:t>Propuesta de Desarrollo de la Operación (</w:t>
      </w:r>
      <w:r w:rsidRPr="00FA5324">
        <w:rPr>
          <w:color w:val="auto"/>
          <w:lang w:val="es-DO"/>
        </w:rPr>
        <w:t>POD</w:t>
      </w:r>
      <w:r w:rsidR="009E58DA" w:rsidRPr="008450F1">
        <w:rPr>
          <w:color w:val="auto"/>
          <w:lang w:val="es-DO"/>
        </w:rPr>
        <w:t>)</w:t>
      </w:r>
      <w:r w:rsidRPr="008450F1">
        <w:rPr>
          <w:color w:val="auto"/>
          <w:lang w:val="es-DO"/>
        </w:rPr>
        <w:t>,</w:t>
      </w:r>
      <w:r w:rsidRPr="00FA5324">
        <w:rPr>
          <w:color w:val="auto"/>
          <w:lang w:val="es-DO"/>
        </w:rPr>
        <w:t xml:space="preserve"> la matriz de política y la matriz de resultados</w:t>
      </w:r>
      <w:r w:rsidR="00BA779C" w:rsidRPr="008450F1">
        <w:rPr>
          <w:color w:val="auto"/>
          <w:lang w:val="es-DO"/>
        </w:rPr>
        <w:t xml:space="preserve"> del préstamo</w:t>
      </w:r>
      <w:r w:rsidR="00B92F80" w:rsidRPr="008450F1">
        <w:rPr>
          <w:color w:val="auto"/>
          <w:lang w:val="es-DO"/>
        </w:rPr>
        <w:t>.</w:t>
      </w:r>
    </w:p>
    <w:p w:rsidR="00977B8F" w:rsidRPr="008450F1" w:rsidRDefault="00977B8F" w:rsidP="00AF0916">
      <w:pPr>
        <w:pStyle w:val="Heading4"/>
        <w:spacing w:before="0" w:after="0" w:line="240" w:lineRule="auto"/>
        <w:rPr>
          <w:rFonts w:ascii="Times New Roman" w:hAnsi="Times New Roman"/>
          <w:color w:val="auto"/>
          <w:u w:val="single"/>
          <w:lang w:val="es-DO"/>
        </w:rPr>
      </w:pPr>
    </w:p>
    <w:p w:rsidR="0033175B" w:rsidRPr="00FA5324" w:rsidRDefault="0061037C" w:rsidP="00FA5324">
      <w:pPr>
        <w:pStyle w:val="Heading4"/>
        <w:spacing w:before="0" w:after="0" w:line="240" w:lineRule="auto"/>
        <w:rPr>
          <w:rFonts w:ascii="Times New Roman" w:hAnsi="Times New Roman"/>
          <w:color w:val="auto"/>
          <w:u w:val="single"/>
          <w:lang w:val="es-DO"/>
        </w:rPr>
      </w:pPr>
      <w:r w:rsidRPr="00FA5324">
        <w:rPr>
          <w:rFonts w:ascii="Times New Roman" w:hAnsi="Times New Roman"/>
          <w:color w:val="auto"/>
          <w:u w:val="single"/>
          <w:lang w:val="es-DO"/>
        </w:rPr>
        <w:t>Valoración de beneficios y costos</w:t>
      </w:r>
    </w:p>
    <w:p w:rsidR="00977B8F" w:rsidRPr="008450F1" w:rsidRDefault="00977B8F" w:rsidP="00AF0916">
      <w:pPr>
        <w:spacing w:after="0" w:line="240" w:lineRule="auto"/>
        <w:rPr>
          <w:lang w:val="es-DO"/>
        </w:rPr>
      </w:pPr>
    </w:p>
    <w:p w:rsidR="007D35E9" w:rsidRPr="00FA5324" w:rsidRDefault="003A3DA2" w:rsidP="00FA5324">
      <w:pPr>
        <w:spacing w:after="0" w:line="240" w:lineRule="auto"/>
        <w:rPr>
          <w:lang w:val="es-DO"/>
        </w:rPr>
      </w:pPr>
      <w:r w:rsidRPr="008450F1">
        <w:rPr>
          <w:lang w:val="es-DO"/>
        </w:rPr>
        <w:t>La</w:t>
      </w:r>
      <w:r w:rsidR="009657AA" w:rsidRPr="008450F1">
        <w:rPr>
          <w:lang w:val="es-DO"/>
        </w:rPr>
        <w:t xml:space="preserve"> literatura </w:t>
      </w:r>
      <w:r w:rsidR="00E4655D" w:rsidRPr="008450F1">
        <w:rPr>
          <w:lang w:val="es-DO"/>
        </w:rPr>
        <w:t xml:space="preserve">disponible </w:t>
      </w:r>
      <w:r w:rsidR="009657AA" w:rsidRPr="008450F1">
        <w:rPr>
          <w:lang w:val="es-DO"/>
        </w:rPr>
        <w:t>sobre pensiones</w:t>
      </w:r>
      <w:r w:rsidRPr="008450F1">
        <w:rPr>
          <w:lang w:val="es-DO"/>
        </w:rPr>
        <w:t xml:space="preserve"> documenta el impacto beneficioso del</w:t>
      </w:r>
      <w:r w:rsidR="009657AA" w:rsidRPr="008450F1">
        <w:rPr>
          <w:lang w:val="es-DO"/>
        </w:rPr>
        <w:t xml:space="preserve"> sistema de pensiones en la economía </w:t>
      </w:r>
      <w:sdt>
        <w:sdtPr>
          <w:rPr>
            <w:lang w:val="es-DO"/>
          </w:rPr>
          <w:id w:val="1279606553"/>
          <w:citation/>
        </w:sdtPr>
        <w:sdtEndPr/>
        <w:sdtContent>
          <w:r w:rsidR="009657AA" w:rsidRPr="00FA5324">
            <w:rPr>
              <w:lang w:val="es-DO"/>
            </w:rPr>
            <w:fldChar w:fldCharType="begin"/>
          </w:r>
          <w:r w:rsidR="009657AA" w:rsidRPr="008450F1">
            <w:rPr>
              <w:lang w:val="es-DO"/>
            </w:rPr>
            <w:instrText xml:space="preserve"> CITATION Bos13 \l 9226 </w:instrText>
          </w:r>
          <w:r w:rsidR="009657AA" w:rsidRPr="00FA5324">
            <w:rPr>
              <w:lang w:val="es-DO"/>
            </w:rPr>
            <w:fldChar w:fldCharType="separate"/>
          </w:r>
          <w:r w:rsidR="00160DA0" w:rsidRPr="00FA5324">
            <w:rPr>
              <w:lang w:val="es-DO"/>
            </w:rPr>
            <w:t>(Bosch, Melguizo, &amp; Pagés, 2013)</w:t>
          </w:r>
          <w:r w:rsidR="009657AA" w:rsidRPr="00FA5324">
            <w:rPr>
              <w:lang w:val="es-DO"/>
            </w:rPr>
            <w:fldChar w:fldCharType="end"/>
          </w:r>
        </w:sdtContent>
      </w:sdt>
      <w:r w:rsidR="009657AA" w:rsidRPr="008450F1">
        <w:rPr>
          <w:lang w:val="es-DO"/>
        </w:rPr>
        <w:t xml:space="preserve">. </w:t>
      </w:r>
      <w:r w:rsidRPr="008450F1">
        <w:rPr>
          <w:lang w:val="es-DO"/>
        </w:rPr>
        <w:t>Un</w:t>
      </w:r>
      <w:r w:rsidR="009657AA" w:rsidRPr="008450F1">
        <w:rPr>
          <w:lang w:val="es-DO"/>
        </w:rPr>
        <w:t xml:space="preserve"> estudio de los caso</w:t>
      </w:r>
      <w:r w:rsidR="007D35E9" w:rsidRPr="008450F1">
        <w:rPr>
          <w:lang w:val="es-DO"/>
        </w:rPr>
        <w:t>s</w:t>
      </w:r>
      <w:r w:rsidR="009657AA" w:rsidRPr="008450F1">
        <w:rPr>
          <w:lang w:val="es-DO"/>
        </w:rPr>
        <w:t xml:space="preserve"> de diferentes países que han pasado de sistemas de reparto a sistemas de capitalización individual muestra un impacto positivo de estas reformas en el crecimiento </w:t>
      </w:r>
      <w:sdt>
        <w:sdtPr>
          <w:rPr>
            <w:lang w:val="es-DO"/>
          </w:rPr>
          <w:id w:val="-80613776"/>
          <w:citation/>
        </w:sdtPr>
        <w:sdtEndPr/>
        <w:sdtContent>
          <w:r w:rsidR="006A0393" w:rsidRPr="008450F1">
            <w:rPr>
              <w:lang w:val="es-DO"/>
            </w:rPr>
            <w:fldChar w:fldCharType="begin"/>
          </w:r>
          <w:r w:rsidR="006A0393" w:rsidRPr="008450F1">
            <w:rPr>
              <w:lang w:val="es-DO"/>
            </w:rPr>
            <w:instrText xml:space="preserve"> CITATION Acu13 \l 9226 </w:instrText>
          </w:r>
          <w:r w:rsidR="006A0393" w:rsidRPr="008450F1">
            <w:rPr>
              <w:lang w:val="es-DO"/>
            </w:rPr>
            <w:fldChar w:fldCharType="separate"/>
          </w:r>
          <w:r w:rsidR="00160DA0" w:rsidRPr="008450F1">
            <w:rPr>
              <w:noProof/>
              <w:lang w:val="es-DO"/>
            </w:rPr>
            <w:t>(Acuña, Villar, Villagómez, Fuentes, &amp; Secada, 2013)</w:t>
          </w:r>
          <w:r w:rsidR="006A0393" w:rsidRPr="008450F1">
            <w:rPr>
              <w:lang w:val="es-DO"/>
            </w:rPr>
            <w:fldChar w:fldCharType="end"/>
          </w:r>
        </w:sdtContent>
      </w:sdt>
      <w:r w:rsidR="00682DB4">
        <w:rPr>
          <w:rStyle w:val="FootnoteReference"/>
          <w:lang w:val="es-DO"/>
        </w:rPr>
        <w:footnoteReference w:id="11"/>
      </w:r>
      <w:r w:rsidR="009657AA" w:rsidRPr="008450F1">
        <w:rPr>
          <w:lang w:val="es-DO"/>
        </w:rPr>
        <w:t>. Este impacto de las reformas pensionales puede darse por tres canales: (1) mercado laboral, (2) mercado financiero</w:t>
      </w:r>
      <w:r w:rsidR="006A0393" w:rsidRPr="008450F1">
        <w:rPr>
          <w:lang w:val="es-DO"/>
        </w:rPr>
        <w:t xml:space="preserve"> </w:t>
      </w:r>
      <w:r w:rsidR="009657AA" w:rsidRPr="008450F1">
        <w:rPr>
          <w:lang w:val="es-DO"/>
        </w:rPr>
        <w:t>y de capitales</w:t>
      </w:r>
      <w:r w:rsidR="00E4655D" w:rsidRPr="008450F1">
        <w:rPr>
          <w:lang w:val="es-DO"/>
        </w:rPr>
        <w:t>,</w:t>
      </w:r>
      <w:r w:rsidR="009657AA" w:rsidRPr="008450F1">
        <w:rPr>
          <w:lang w:val="es-DO"/>
        </w:rPr>
        <w:t xml:space="preserve"> y (3) ahorro (Ver </w:t>
      </w:r>
      <w:r w:rsidR="00E4655D" w:rsidRPr="008450F1">
        <w:rPr>
          <w:lang w:val="es-DO"/>
        </w:rPr>
        <w:fldChar w:fldCharType="begin"/>
      </w:r>
      <w:r w:rsidR="00E4655D" w:rsidRPr="008450F1">
        <w:rPr>
          <w:lang w:val="es-DO"/>
        </w:rPr>
        <w:instrText xml:space="preserve"> REF _Ref400537023 \h </w:instrText>
      </w:r>
      <w:r w:rsidR="00C62A67" w:rsidRPr="008450F1">
        <w:rPr>
          <w:lang w:val="es-DO"/>
        </w:rPr>
        <w:instrText xml:space="preserve"> \* MERGEFORMAT </w:instrText>
      </w:r>
      <w:r w:rsidR="00E4655D" w:rsidRPr="008450F1">
        <w:rPr>
          <w:lang w:val="es-DO"/>
        </w:rPr>
      </w:r>
      <w:r w:rsidR="00E4655D" w:rsidRPr="008450F1">
        <w:rPr>
          <w:lang w:val="es-DO"/>
        </w:rPr>
        <w:fldChar w:fldCharType="separate"/>
      </w:r>
      <w:r w:rsidR="00A04D48" w:rsidRPr="008450F1">
        <w:rPr>
          <w:lang w:val="es-DO"/>
        </w:rPr>
        <w:t xml:space="preserve">Gráfico </w:t>
      </w:r>
      <w:r w:rsidR="00A04D48" w:rsidRPr="008450F1">
        <w:rPr>
          <w:noProof/>
          <w:lang w:val="es-DO"/>
        </w:rPr>
        <w:t>2</w:t>
      </w:r>
      <w:r w:rsidR="00E4655D" w:rsidRPr="008450F1">
        <w:rPr>
          <w:lang w:val="es-DO"/>
        </w:rPr>
        <w:fldChar w:fldCharType="end"/>
      </w:r>
      <w:r w:rsidR="009657AA" w:rsidRPr="008450F1">
        <w:rPr>
          <w:lang w:val="es-DO"/>
        </w:rPr>
        <w:t>)</w:t>
      </w:r>
      <w:r w:rsidR="00B51537" w:rsidRPr="008450F1">
        <w:rPr>
          <w:lang w:val="es-DO"/>
        </w:rPr>
        <w:t>.</w:t>
      </w:r>
      <w:r w:rsidR="00751DF1" w:rsidRPr="00FA5324">
        <w:rPr>
          <w:lang w:val="es-DO"/>
        </w:rPr>
        <w:t xml:space="preserve"> </w:t>
      </w:r>
      <w:r w:rsidR="00A51948" w:rsidRPr="00FA5324">
        <w:rPr>
          <w:lang w:val="es-DO"/>
        </w:rPr>
        <w:t>S</w:t>
      </w:r>
      <w:r w:rsidR="0061037C" w:rsidRPr="00FA5324">
        <w:rPr>
          <w:lang w:val="es-DO"/>
        </w:rPr>
        <w:t xml:space="preserve">e estima que </w:t>
      </w:r>
      <w:r w:rsidR="00751DF1" w:rsidRPr="00FA5324">
        <w:rPr>
          <w:lang w:val="es-DO"/>
        </w:rPr>
        <w:t xml:space="preserve">si todos los países de Latinoamérica realizan </w:t>
      </w:r>
      <w:r w:rsidR="00751DF1" w:rsidRPr="00FA5324">
        <w:rPr>
          <w:lang w:val="es-DO"/>
        </w:rPr>
        <w:lastRenderedPageBreak/>
        <w:t>las reformas adecuadas</w:t>
      </w:r>
      <w:r w:rsidR="00515EA5" w:rsidRPr="00FA5324">
        <w:rPr>
          <w:rStyle w:val="FootnoteReference"/>
          <w:lang w:val="es-DO"/>
        </w:rPr>
        <w:footnoteReference w:id="12"/>
      </w:r>
      <w:r w:rsidR="00A51948" w:rsidRPr="00FA5324">
        <w:rPr>
          <w:lang w:val="es-DO"/>
        </w:rPr>
        <w:t xml:space="preserve">, </w:t>
      </w:r>
      <w:r w:rsidR="00751DF1" w:rsidRPr="00FA5324">
        <w:rPr>
          <w:lang w:val="es-DO"/>
        </w:rPr>
        <w:t>su crecimiento puede aumentar en dos puntos porcentuales cada año hasta un 6%</w:t>
      </w:r>
      <w:r w:rsidR="0061037C" w:rsidRPr="00FA5324">
        <w:rPr>
          <w:lang w:val="es-DO"/>
        </w:rPr>
        <w:t xml:space="preserve">. </w:t>
      </w:r>
      <w:r w:rsidR="00E3462C" w:rsidRPr="00FA5324">
        <w:rPr>
          <w:lang w:val="es-DO"/>
        </w:rPr>
        <w:t>E</w:t>
      </w:r>
      <w:r w:rsidR="0061037C" w:rsidRPr="00FA5324">
        <w:rPr>
          <w:lang w:val="es-DO"/>
        </w:rPr>
        <w:t>studios</w:t>
      </w:r>
      <w:r w:rsidR="00D10540" w:rsidRPr="00FA5324">
        <w:rPr>
          <w:lang w:val="es-DO"/>
        </w:rPr>
        <w:t xml:space="preserve"> empíricos</w:t>
      </w:r>
      <w:r w:rsidR="00E3462C" w:rsidRPr="00FA5324">
        <w:rPr>
          <w:lang w:val="es-DO"/>
        </w:rPr>
        <w:t xml:space="preserve"> </w:t>
      </w:r>
      <w:r w:rsidR="00515EA5" w:rsidRPr="00FA5324">
        <w:rPr>
          <w:lang w:val="es-DO"/>
        </w:rPr>
        <w:t xml:space="preserve">de los </w:t>
      </w:r>
      <w:r w:rsidR="00D10540" w:rsidRPr="00FA5324">
        <w:rPr>
          <w:lang w:val="es-DO"/>
        </w:rPr>
        <w:t>sistemas previs</w:t>
      </w:r>
      <w:r w:rsidR="00515EA5" w:rsidRPr="00FA5324">
        <w:rPr>
          <w:lang w:val="es-DO"/>
        </w:rPr>
        <w:t xml:space="preserve">ionales en varios países </w:t>
      </w:r>
      <w:r w:rsidR="00E3462C" w:rsidRPr="00FA5324">
        <w:rPr>
          <w:lang w:val="es-DO"/>
        </w:rPr>
        <w:t>han</w:t>
      </w:r>
      <w:r w:rsidR="0061037C" w:rsidRPr="00FA5324">
        <w:rPr>
          <w:lang w:val="es-DO"/>
        </w:rPr>
        <w:t xml:space="preserve"> </w:t>
      </w:r>
      <w:r w:rsidR="007E70A2" w:rsidRPr="00FA5324">
        <w:rPr>
          <w:lang w:val="es-DO"/>
        </w:rPr>
        <w:t>encontrado</w:t>
      </w:r>
      <w:r w:rsidR="0061037C" w:rsidRPr="00FA5324">
        <w:rPr>
          <w:lang w:val="es-DO"/>
        </w:rPr>
        <w:t xml:space="preserve"> que </w:t>
      </w:r>
      <w:r w:rsidR="00E3462C" w:rsidRPr="00FA5324">
        <w:rPr>
          <w:lang w:val="es-DO"/>
        </w:rPr>
        <w:t>el crecimiento del PIB está</w:t>
      </w:r>
      <w:r w:rsidR="00A51948" w:rsidRPr="00FA5324">
        <w:rPr>
          <w:lang w:val="es-DO"/>
        </w:rPr>
        <w:t xml:space="preserve"> </w:t>
      </w:r>
      <w:r w:rsidR="00E3462C" w:rsidRPr="00FA5324">
        <w:rPr>
          <w:lang w:val="es-DO"/>
        </w:rPr>
        <w:t>correlacionado con el nivel de ahorro previsional</w:t>
      </w:r>
      <w:sdt>
        <w:sdtPr>
          <w:rPr>
            <w:lang w:val="es-DO"/>
          </w:rPr>
          <w:id w:val="257958527"/>
          <w:citation/>
        </w:sdtPr>
        <w:sdtEndPr/>
        <w:sdtContent>
          <w:r w:rsidR="00E3462C" w:rsidRPr="00FA5324">
            <w:rPr>
              <w:lang w:val="es-DO"/>
            </w:rPr>
            <w:fldChar w:fldCharType="begin"/>
          </w:r>
          <w:r w:rsidR="00E3462C" w:rsidRPr="00FA5324">
            <w:rPr>
              <w:lang w:val="es-DO"/>
            </w:rPr>
            <w:instrText xml:space="preserve"> CITATION Mun11 \l 9226 </w:instrText>
          </w:r>
          <w:r w:rsidR="00E3462C" w:rsidRPr="00FA5324">
            <w:rPr>
              <w:lang w:val="es-DO"/>
            </w:rPr>
            <w:fldChar w:fldCharType="separate"/>
          </w:r>
          <w:r w:rsidR="00160DA0" w:rsidRPr="00FA5324">
            <w:rPr>
              <w:lang w:val="es-DO"/>
            </w:rPr>
            <w:t xml:space="preserve"> (Mungoma, 2011)</w:t>
          </w:r>
          <w:r w:rsidR="00E3462C" w:rsidRPr="00FA5324">
            <w:rPr>
              <w:lang w:val="es-DO"/>
            </w:rPr>
            <w:fldChar w:fldCharType="end"/>
          </w:r>
        </w:sdtContent>
      </w:sdt>
      <w:r w:rsidR="00515EA5" w:rsidRPr="00FA5324">
        <w:rPr>
          <w:lang w:val="es-DO"/>
        </w:rPr>
        <w:t xml:space="preserve"> </w:t>
      </w:r>
      <w:r w:rsidR="00BA779C" w:rsidRPr="008450F1">
        <w:rPr>
          <w:lang w:val="es-DO"/>
        </w:rPr>
        <w:t>(</w:t>
      </w:r>
      <w:r w:rsidRPr="008450F1">
        <w:rPr>
          <w:lang w:val="es-DO"/>
        </w:rPr>
        <w:t>V</w:t>
      </w:r>
      <w:r w:rsidR="00515EA5" w:rsidRPr="008450F1">
        <w:rPr>
          <w:lang w:val="es-DO"/>
        </w:rPr>
        <w:t xml:space="preserve">er </w:t>
      </w:r>
      <w:r w:rsidR="007D15C8" w:rsidRPr="008450F1">
        <w:rPr>
          <w:lang w:val="es-DO"/>
        </w:rPr>
        <w:fldChar w:fldCharType="begin"/>
      </w:r>
      <w:r w:rsidR="007D15C8" w:rsidRPr="008450F1">
        <w:rPr>
          <w:lang w:val="es-DO"/>
        </w:rPr>
        <w:instrText xml:space="preserve"> REF _Ref399138826 \h </w:instrText>
      </w:r>
      <w:r w:rsidR="00C62A67" w:rsidRPr="008450F1">
        <w:rPr>
          <w:lang w:val="es-DO"/>
        </w:rPr>
        <w:instrText xml:space="preserve"> \* MERGEFORMAT </w:instrText>
      </w:r>
      <w:r w:rsidR="007D15C8" w:rsidRPr="008450F1">
        <w:rPr>
          <w:lang w:val="es-DO"/>
        </w:rPr>
      </w:r>
      <w:r w:rsidR="007D15C8" w:rsidRPr="008450F1">
        <w:rPr>
          <w:lang w:val="es-DO"/>
        </w:rPr>
        <w:fldChar w:fldCharType="separate"/>
      </w:r>
      <w:r w:rsidR="00A62C7B" w:rsidRPr="008450F1">
        <w:rPr>
          <w:lang w:val="es-DO"/>
        </w:rPr>
        <w:t>Anexo 1</w:t>
      </w:r>
      <w:r w:rsidR="00BA779C" w:rsidRPr="008450F1">
        <w:rPr>
          <w:lang w:val="es-DO"/>
        </w:rPr>
        <w:t>.</w:t>
      </w:r>
      <w:r w:rsidR="00A62C7B" w:rsidRPr="008450F1">
        <w:rPr>
          <w:lang w:val="es-DO"/>
        </w:rPr>
        <w:t xml:space="preserve"> Revisión de la literatura: cuantificación de beneficios</w:t>
      </w:r>
      <w:r w:rsidR="00BA779C" w:rsidRPr="008450F1">
        <w:rPr>
          <w:lang w:val="es-DO"/>
        </w:rPr>
        <w:t xml:space="preserve"> de</w:t>
      </w:r>
      <w:r w:rsidR="00A62C7B" w:rsidRPr="008450F1">
        <w:rPr>
          <w:lang w:val="es-DO"/>
        </w:rPr>
        <w:t xml:space="preserve"> intervenciones en Seguridad Social</w:t>
      </w:r>
      <w:r w:rsidR="007D15C8" w:rsidRPr="008450F1">
        <w:rPr>
          <w:lang w:val="es-DO"/>
        </w:rPr>
        <w:fldChar w:fldCharType="end"/>
      </w:r>
      <w:r w:rsidR="00BA779C" w:rsidRPr="008450F1">
        <w:rPr>
          <w:lang w:val="es-DO"/>
        </w:rPr>
        <w:t>)</w:t>
      </w:r>
      <w:r w:rsidR="0061037C" w:rsidRPr="008450F1">
        <w:rPr>
          <w:lang w:val="es-DO"/>
        </w:rPr>
        <w:t>.</w:t>
      </w:r>
      <w:r w:rsidR="0024750E" w:rsidRPr="00FA5324">
        <w:rPr>
          <w:lang w:val="es-DO"/>
        </w:rPr>
        <w:t xml:space="preserve"> </w:t>
      </w:r>
    </w:p>
    <w:p w:rsidR="00A510C8" w:rsidRPr="008450F1" w:rsidRDefault="007D35E9" w:rsidP="00AF0916">
      <w:pPr>
        <w:spacing w:after="0" w:line="240" w:lineRule="auto"/>
        <w:rPr>
          <w:lang w:val="es-DO"/>
        </w:rPr>
      </w:pPr>
      <w:r w:rsidRPr="008450F1">
        <w:rPr>
          <w:lang w:val="es-DO"/>
        </w:rPr>
        <w:t>Debe resaltarse que estos cálculos son aproximaciones que orientan en el orden de magnitud de los beneficios potenciales</w:t>
      </w:r>
      <w:r w:rsidR="00CA005B" w:rsidRPr="008450F1">
        <w:rPr>
          <w:lang w:val="es-DO"/>
        </w:rPr>
        <w:t>, basado</w:t>
      </w:r>
      <w:r w:rsidR="00E4655D" w:rsidRPr="008450F1">
        <w:rPr>
          <w:lang w:val="es-DO"/>
        </w:rPr>
        <w:t>s</w:t>
      </w:r>
      <w:r w:rsidR="00CA005B" w:rsidRPr="008450F1">
        <w:rPr>
          <w:lang w:val="es-DO"/>
        </w:rPr>
        <w:t xml:space="preserve"> en los mejores datos disponibles en la literatura. L</w:t>
      </w:r>
      <w:r w:rsidR="0024750E" w:rsidRPr="008450F1">
        <w:rPr>
          <w:lang w:val="es-DO"/>
        </w:rPr>
        <w:t>a estimación de los beneficios del componente previsional de la operación se realiza a</w:t>
      </w:r>
      <w:r w:rsidR="006A0393" w:rsidRPr="008450F1">
        <w:rPr>
          <w:lang w:val="es-DO"/>
        </w:rPr>
        <w:t xml:space="preserve"> </w:t>
      </w:r>
      <w:r w:rsidR="0024750E" w:rsidRPr="008450F1">
        <w:rPr>
          <w:lang w:val="es-DO"/>
        </w:rPr>
        <w:t>partir de cada uno de los canales que se detalla a continuación:</w:t>
      </w:r>
    </w:p>
    <w:p w:rsidR="00977B8F" w:rsidRPr="008450F1" w:rsidRDefault="00977B8F" w:rsidP="00AF0916">
      <w:pPr>
        <w:spacing w:after="0" w:line="240" w:lineRule="auto"/>
        <w:rPr>
          <w:lang w:val="es-DO"/>
        </w:rPr>
      </w:pPr>
    </w:p>
    <w:p w:rsidR="00E4655D" w:rsidRPr="008450F1" w:rsidRDefault="00E4655D" w:rsidP="00AF0916">
      <w:pPr>
        <w:pStyle w:val="Caption"/>
        <w:keepNext/>
        <w:spacing w:after="0"/>
        <w:jc w:val="center"/>
        <w:rPr>
          <w:i w:val="0"/>
          <w:color w:val="auto"/>
          <w:lang w:val="es-DO"/>
        </w:rPr>
      </w:pPr>
      <w:bookmarkStart w:id="11" w:name="_Ref400537023"/>
      <w:r w:rsidRPr="008450F1">
        <w:rPr>
          <w:i w:val="0"/>
          <w:color w:val="auto"/>
          <w:lang w:val="es-DO"/>
        </w:rPr>
        <w:t xml:space="preserve">Gráfico </w:t>
      </w:r>
      <w:r w:rsidR="00BC2072" w:rsidRPr="008450F1">
        <w:rPr>
          <w:i w:val="0"/>
          <w:color w:val="auto"/>
          <w:lang w:val="es-DO"/>
        </w:rPr>
        <w:fldChar w:fldCharType="begin"/>
      </w:r>
      <w:r w:rsidR="00BC2072" w:rsidRPr="008450F1">
        <w:rPr>
          <w:i w:val="0"/>
          <w:color w:val="auto"/>
          <w:lang w:val="es-DO"/>
        </w:rPr>
        <w:instrText xml:space="preserve"> SEQ Gráfico \* ARABIC </w:instrText>
      </w:r>
      <w:r w:rsidR="00BC2072" w:rsidRPr="008450F1">
        <w:rPr>
          <w:i w:val="0"/>
          <w:color w:val="auto"/>
          <w:lang w:val="es-DO"/>
        </w:rPr>
        <w:fldChar w:fldCharType="separate"/>
      </w:r>
      <w:r w:rsidR="00886B6C" w:rsidRPr="008450F1">
        <w:rPr>
          <w:i w:val="0"/>
          <w:noProof/>
          <w:color w:val="auto"/>
          <w:lang w:val="es-DO"/>
        </w:rPr>
        <w:t>2</w:t>
      </w:r>
      <w:r w:rsidR="00BC2072" w:rsidRPr="008450F1">
        <w:rPr>
          <w:i w:val="0"/>
          <w:noProof/>
          <w:color w:val="auto"/>
          <w:lang w:val="es-DO"/>
        </w:rPr>
        <w:fldChar w:fldCharType="end"/>
      </w:r>
      <w:bookmarkEnd w:id="11"/>
      <w:r w:rsidRPr="008450F1">
        <w:rPr>
          <w:i w:val="0"/>
          <w:color w:val="auto"/>
          <w:lang w:val="es-DO"/>
        </w:rPr>
        <w:t>. Efectos macroeconómicos del sistema de capitalización individual</w:t>
      </w:r>
    </w:p>
    <w:p w:rsidR="009657AA" w:rsidRPr="008450F1" w:rsidRDefault="009657AA" w:rsidP="00AF0916">
      <w:pPr>
        <w:spacing w:after="0" w:line="240" w:lineRule="auto"/>
        <w:jc w:val="center"/>
        <w:rPr>
          <w:lang w:val="es-DO"/>
        </w:rPr>
      </w:pPr>
      <w:r w:rsidRPr="008450F1">
        <w:rPr>
          <w:noProof/>
          <w:lang w:val="en-US" w:eastAsia="en-US"/>
        </w:rPr>
        <w:drawing>
          <wp:inline distT="0" distB="0" distL="0" distR="0" wp14:anchorId="26385599" wp14:editId="5A388B6C">
            <wp:extent cx="4864608" cy="404008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4503"/>
                    <a:stretch/>
                  </pic:blipFill>
                  <pic:spPr bwMode="auto">
                    <a:xfrm>
                      <a:off x="0" y="0"/>
                      <a:ext cx="4900555" cy="4069941"/>
                    </a:xfrm>
                    <a:prstGeom prst="rect">
                      <a:avLst/>
                    </a:prstGeom>
                    <a:noFill/>
                    <a:ln>
                      <a:noFill/>
                    </a:ln>
                    <a:extLst>
                      <a:ext uri="{53640926-AAD7-44D8-BBD7-CCE9431645EC}">
                        <a14:shadowObscured xmlns:a14="http://schemas.microsoft.com/office/drawing/2010/main"/>
                      </a:ext>
                    </a:extLst>
                  </pic:spPr>
                </pic:pic>
              </a:graphicData>
            </a:graphic>
          </wp:inline>
        </w:drawing>
      </w:r>
    </w:p>
    <w:p w:rsidR="009657AA" w:rsidRPr="008450F1" w:rsidRDefault="009657AA" w:rsidP="00AF0916">
      <w:pPr>
        <w:spacing w:after="0" w:line="240" w:lineRule="auto"/>
        <w:jc w:val="center"/>
        <w:rPr>
          <w:i/>
          <w:sz w:val="18"/>
          <w:lang w:val="es-DO"/>
        </w:rPr>
      </w:pPr>
      <w:r w:rsidRPr="008450F1">
        <w:rPr>
          <w:i/>
          <w:sz w:val="18"/>
          <w:lang w:val="es-DO"/>
        </w:rPr>
        <w:t xml:space="preserve">Fuente: tomado de </w:t>
      </w:r>
      <w:sdt>
        <w:sdtPr>
          <w:rPr>
            <w:i/>
            <w:sz w:val="18"/>
            <w:lang w:val="es-DO"/>
          </w:rPr>
          <w:id w:val="1128046882"/>
          <w:citation/>
        </w:sdtPr>
        <w:sdtEndPr/>
        <w:sdtContent>
          <w:r w:rsidR="006A0393" w:rsidRPr="008450F1">
            <w:rPr>
              <w:i/>
              <w:sz w:val="18"/>
              <w:lang w:val="es-DO"/>
            </w:rPr>
            <w:fldChar w:fldCharType="begin"/>
          </w:r>
          <w:r w:rsidR="006A0393" w:rsidRPr="008450F1">
            <w:rPr>
              <w:i/>
              <w:sz w:val="18"/>
              <w:lang w:val="es-DO"/>
            </w:rPr>
            <w:instrText xml:space="preserve"> CITATION Acu13 \l 9226 </w:instrText>
          </w:r>
          <w:r w:rsidR="006A0393" w:rsidRPr="008450F1">
            <w:rPr>
              <w:i/>
              <w:sz w:val="18"/>
              <w:lang w:val="es-DO"/>
            </w:rPr>
            <w:fldChar w:fldCharType="separate"/>
          </w:r>
          <w:r w:rsidR="00160DA0" w:rsidRPr="008450F1">
            <w:rPr>
              <w:i/>
              <w:noProof/>
              <w:sz w:val="18"/>
              <w:lang w:val="es-DO"/>
            </w:rPr>
            <w:t>(Acuña, Villar, Villagómez, Fuentes, &amp; Secada, 2013)</w:t>
          </w:r>
          <w:r w:rsidR="006A0393" w:rsidRPr="008450F1">
            <w:rPr>
              <w:i/>
              <w:sz w:val="18"/>
              <w:lang w:val="es-DO"/>
            </w:rPr>
            <w:fldChar w:fldCharType="end"/>
          </w:r>
        </w:sdtContent>
      </w:sdt>
    </w:p>
    <w:p w:rsidR="00977B8F" w:rsidRPr="008450F1" w:rsidRDefault="00977B8F" w:rsidP="00AF0916">
      <w:pPr>
        <w:pStyle w:val="Heading5"/>
        <w:spacing w:before="0" w:after="0" w:line="240" w:lineRule="auto"/>
        <w:rPr>
          <w:rFonts w:ascii="Times New Roman" w:hAnsi="Times New Roman"/>
          <w:color w:val="auto"/>
          <w:sz w:val="22"/>
          <w:u w:val="single"/>
          <w:lang w:val="es-DO"/>
        </w:rPr>
      </w:pPr>
    </w:p>
    <w:p w:rsidR="00A510C8" w:rsidRPr="008450F1" w:rsidRDefault="00A510C8" w:rsidP="00AF0916">
      <w:pPr>
        <w:pStyle w:val="Heading5"/>
        <w:spacing w:before="0" w:after="0" w:line="240" w:lineRule="auto"/>
        <w:rPr>
          <w:rFonts w:ascii="Times New Roman" w:hAnsi="Times New Roman"/>
          <w:color w:val="auto"/>
          <w:sz w:val="22"/>
          <w:u w:val="single"/>
          <w:lang w:val="es-DO"/>
        </w:rPr>
      </w:pPr>
      <w:r w:rsidRPr="008450F1">
        <w:rPr>
          <w:rFonts w:ascii="Times New Roman" w:hAnsi="Times New Roman"/>
          <w:color w:val="auto"/>
          <w:sz w:val="22"/>
          <w:u w:val="single"/>
          <w:lang w:val="es-DO"/>
        </w:rPr>
        <w:t>Canal 1</w:t>
      </w:r>
      <w:r w:rsidR="006A0393" w:rsidRPr="008450F1">
        <w:rPr>
          <w:rFonts w:ascii="Times New Roman" w:hAnsi="Times New Roman"/>
          <w:color w:val="auto"/>
          <w:sz w:val="22"/>
          <w:u w:val="single"/>
          <w:lang w:val="es-DO"/>
        </w:rPr>
        <w:t>.</w:t>
      </w:r>
      <w:r w:rsidRPr="008450F1">
        <w:rPr>
          <w:rFonts w:ascii="Times New Roman" w:hAnsi="Times New Roman"/>
          <w:color w:val="auto"/>
          <w:sz w:val="22"/>
          <w:u w:val="single"/>
          <w:lang w:val="es-DO"/>
        </w:rPr>
        <w:t xml:space="preserve"> Mercado Laboral</w:t>
      </w:r>
    </w:p>
    <w:p w:rsidR="00811B4C" w:rsidRPr="008450F1" w:rsidRDefault="00811B4C" w:rsidP="00AF0916">
      <w:pPr>
        <w:spacing w:after="0" w:line="240" w:lineRule="auto"/>
        <w:rPr>
          <w:lang w:val="es-DO"/>
        </w:rPr>
      </w:pPr>
    </w:p>
    <w:p w:rsidR="0024750E" w:rsidRPr="008450F1" w:rsidRDefault="00A510C8" w:rsidP="00AF0916">
      <w:pPr>
        <w:spacing w:after="0" w:line="240" w:lineRule="auto"/>
        <w:rPr>
          <w:lang w:val="es-DO"/>
        </w:rPr>
      </w:pPr>
      <w:r w:rsidRPr="008450F1">
        <w:rPr>
          <w:lang w:val="es-DO"/>
        </w:rPr>
        <w:t>En lo que se refiere al mercado laboral, la valorización</w:t>
      </w:r>
      <w:r w:rsidR="00085F12" w:rsidRPr="008450F1">
        <w:rPr>
          <w:lang w:val="es-DO"/>
        </w:rPr>
        <w:t xml:space="preserve"> del beneficio de la seguridad social </w:t>
      </w:r>
      <w:r w:rsidRPr="008450F1">
        <w:rPr>
          <w:lang w:val="es-DO"/>
        </w:rPr>
        <w:t xml:space="preserve">y </w:t>
      </w:r>
      <w:r w:rsidR="00085F12" w:rsidRPr="008450F1">
        <w:rPr>
          <w:lang w:val="es-DO"/>
        </w:rPr>
        <w:t xml:space="preserve">el diseño de los mecanismos de financiamiento de las contribuciones es clave para reducir distorsiones en el mercado de trabajo y aumentar </w:t>
      </w:r>
      <w:r w:rsidR="00547BBD" w:rsidRPr="008450F1">
        <w:rPr>
          <w:lang w:val="es-DO"/>
        </w:rPr>
        <w:t xml:space="preserve">la </w:t>
      </w:r>
      <w:r w:rsidR="00085F12" w:rsidRPr="008450F1">
        <w:rPr>
          <w:lang w:val="es-DO"/>
        </w:rPr>
        <w:t>formalidad.</w:t>
      </w:r>
      <w:r w:rsidRPr="008450F1">
        <w:rPr>
          <w:lang w:val="es-DO"/>
        </w:rPr>
        <w:t xml:space="preserve"> De acuerdo a la literatura </w:t>
      </w:r>
      <w:sdt>
        <w:sdtPr>
          <w:rPr>
            <w:lang w:val="es-DO"/>
          </w:rPr>
          <w:id w:val="2135744111"/>
          <w:citation/>
        </w:sdtPr>
        <w:sdtEndPr/>
        <w:sdtContent>
          <w:r w:rsidR="006A0393" w:rsidRPr="008450F1">
            <w:rPr>
              <w:lang w:val="es-DO"/>
            </w:rPr>
            <w:fldChar w:fldCharType="begin"/>
          </w:r>
          <w:r w:rsidR="00E4655D" w:rsidRPr="008450F1">
            <w:rPr>
              <w:lang w:val="es-DO"/>
            </w:rPr>
            <w:instrText xml:space="preserve">CITATION Bus12 \t  \l 9226 </w:instrText>
          </w:r>
          <w:r w:rsidR="006A0393" w:rsidRPr="008450F1">
            <w:rPr>
              <w:lang w:val="es-DO"/>
            </w:rPr>
            <w:fldChar w:fldCharType="separate"/>
          </w:r>
          <w:r w:rsidR="00160DA0" w:rsidRPr="008450F1">
            <w:rPr>
              <w:noProof/>
              <w:lang w:val="es-DO"/>
            </w:rPr>
            <w:t>(Busso, Fazio, &amp; Levy, 2012)</w:t>
          </w:r>
          <w:r w:rsidR="006A0393" w:rsidRPr="008450F1">
            <w:rPr>
              <w:lang w:val="es-DO"/>
            </w:rPr>
            <w:fldChar w:fldCharType="end"/>
          </w:r>
        </w:sdtContent>
      </w:sdt>
      <w:r w:rsidRPr="008450F1">
        <w:rPr>
          <w:lang w:val="es-DO"/>
        </w:rPr>
        <w:t xml:space="preserve">, mayor formalidad genera mayor productividad laboral y esta </w:t>
      </w:r>
      <w:r w:rsidR="00547BBD" w:rsidRPr="008450F1">
        <w:rPr>
          <w:lang w:val="es-DO"/>
        </w:rPr>
        <w:t xml:space="preserve">a su vez genera </w:t>
      </w:r>
      <w:r w:rsidRPr="008450F1">
        <w:rPr>
          <w:lang w:val="es-DO"/>
        </w:rPr>
        <w:t xml:space="preserve">mayor empleo. </w:t>
      </w:r>
      <w:r w:rsidR="0024750E" w:rsidRPr="008450F1">
        <w:rPr>
          <w:lang w:val="es-DO"/>
        </w:rPr>
        <w:t>V</w:t>
      </w:r>
      <w:r w:rsidR="00A51948" w:rsidRPr="008450F1">
        <w:rPr>
          <w:lang w:val="es-DO"/>
        </w:rPr>
        <w:t>arios</w:t>
      </w:r>
      <w:r w:rsidR="00A51948" w:rsidRPr="00FA5324">
        <w:rPr>
          <w:lang w:val="es-DO"/>
        </w:rPr>
        <w:t xml:space="preserve"> estudios</w:t>
      </w:r>
      <w:r w:rsidR="0061037C" w:rsidRPr="00FA5324">
        <w:rPr>
          <w:lang w:val="es-DO"/>
        </w:rPr>
        <w:t xml:space="preserve"> reportan una correlación positiva entre la educación, el acceso a </w:t>
      </w:r>
      <w:r w:rsidR="00EE1E29">
        <w:rPr>
          <w:lang w:val="es-DO"/>
        </w:rPr>
        <w:t xml:space="preserve">la </w:t>
      </w:r>
      <w:r w:rsidR="0061037C" w:rsidRPr="00FA5324">
        <w:rPr>
          <w:lang w:val="es-DO"/>
        </w:rPr>
        <w:t>información,</w:t>
      </w:r>
      <w:r w:rsidR="0061037C" w:rsidRPr="008450F1">
        <w:rPr>
          <w:lang w:val="es-DO"/>
        </w:rPr>
        <w:t xml:space="preserve"> </w:t>
      </w:r>
      <w:r w:rsidR="00547BBD" w:rsidRPr="008450F1">
        <w:rPr>
          <w:lang w:val="es-DO"/>
        </w:rPr>
        <w:t>la</w:t>
      </w:r>
      <w:r w:rsidR="00547BBD" w:rsidRPr="00FA5324">
        <w:rPr>
          <w:lang w:val="es-DO"/>
        </w:rPr>
        <w:t xml:space="preserve"> </w:t>
      </w:r>
      <w:r w:rsidR="0061037C" w:rsidRPr="00FA5324">
        <w:rPr>
          <w:lang w:val="es-DO"/>
        </w:rPr>
        <w:t>cultura previsional</w:t>
      </w:r>
      <w:r w:rsidR="00547BBD" w:rsidRPr="008450F1">
        <w:rPr>
          <w:lang w:val="es-DO"/>
        </w:rPr>
        <w:t>,</w:t>
      </w:r>
      <w:r w:rsidR="0061037C" w:rsidRPr="00FA5324">
        <w:rPr>
          <w:lang w:val="es-DO"/>
        </w:rPr>
        <w:t xml:space="preserve"> y la afiliación y </w:t>
      </w:r>
      <w:r w:rsidR="00547BBD" w:rsidRPr="008450F1">
        <w:rPr>
          <w:lang w:val="es-DO"/>
        </w:rPr>
        <w:t xml:space="preserve">la </w:t>
      </w:r>
      <w:r w:rsidR="0061037C" w:rsidRPr="00FA5324">
        <w:rPr>
          <w:lang w:val="es-DO"/>
        </w:rPr>
        <w:t xml:space="preserve">cotización a los fondos de pensiones. </w:t>
      </w:r>
      <w:r w:rsidR="00547BBD" w:rsidRPr="008450F1">
        <w:rPr>
          <w:lang w:val="es-DO"/>
        </w:rPr>
        <w:t>Por ejemplo, s</w:t>
      </w:r>
      <w:r w:rsidR="00D24FA3" w:rsidRPr="008450F1">
        <w:rPr>
          <w:lang w:val="es-DO"/>
        </w:rPr>
        <w:t>e report</w:t>
      </w:r>
      <w:r w:rsidR="00547BBD" w:rsidRPr="008450F1">
        <w:rPr>
          <w:lang w:val="es-DO"/>
        </w:rPr>
        <w:t>ó</w:t>
      </w:r>
      <w:r w:rsidR="00D24FA3" w:rsidRPr="00FA5324">
        <w:rPr>
          <w:lang w:val="es-DO"/>
        </w:rPr>
        <w:t xml:space="preserve"> una correlación positiva</w:t>
      </w:r>
      <w:r w:rsidR="000E22D3" w:rsidRPr="008450F1">
        <w:rPr>
          <w:lang w:val="es-DO"/>
        </w:rPr>
        <w:t xml:space="preserve"> </w:t>
      </w:r>
      <w:r w:rsidR="00547BBD" w:rsidRPr="008450F1">
        <w:rPr>
          <w:lang w:val="es-DO"/>
        </w:rPr>
        <w:t xml:space="preserve">en uno de los casos en </w:t>
      </w:r>
      <w:r w:rsidR="000E22D3" w:rsidRPr="00FA5324">
        <w:rPr>
          <w:lang w:val="es-DO"/>
        </w:rPr>
        <w:t>que luego de un seminario</w:t>
      </w:r>
      <w:r w:rsidR="00EE1E29">
        <w:rPr>
          <w:lang w:val="es-DO"/>
        </w:rPr>
        <w:t>,</w:t>
      </w:r>
      <w:r w:rsidR="000E22D3" w:rsidRPr="00FA5324">
        <w:rPr>
          <w:lang w:val="es-DO"/>
        </w:rPr>
        <w:t xml:space="preserve"> un 45% de los asistentes</w:t>
      </w:r>
      <w:r w:rsidR="00D24FA3" w:rsidRPr="00FA5324">
        <w:rPr>
          <w:lang w:val="es-DO"/>
        </w:rPr>
        <w:t xml:space="preserve"> </w:t>
      </w:r>
      <w:r w:rsidR="00D10540" w:rsidRPr="00FA5324">
        <w:rPr>
          <w:lang w:val="es-DO"/>
        </w:rPr>
        <w:lastRenderedPageBreak/>
        <w:t>incrementó</w:t>
      </w:r>
      <w:r w:rsidR="000E22D3" w:rsidRPr="00FA5324">
        <w:rPr>
          <w:lang w:val="es-DO"/>
        </w:rPr>
        <w:t xml:space="preserve"> su ahorro pensional </w:t>
      </w:r>
      <w:sdt>
        <w:sdtPr>
          <w:rPr>
            <w:lang w:val="es-DO"/>
          </w:rPr>
          <w:id w:val="124362544"/>
          <w:citation/>
        </w:sdtPr>
        <w:sdtEndPr/>
        <w:sdtContent>
          <w:r w:rsidR="00985386" w:rsidRPr="008450F1">
            <w:rPr>
              <w:lang w:val="es-DO"/>
            </w:rPr>
            <w:fldChar w:fldCharType="begin"/>
          </w:r>
          <w:r w:rsidR="00985386" w:rsidRPr="008450F1">
            <w:rPr>
              <w:lang w:val="es-DO"/>
            </w:rPr>
            <w:instrText xml:space="preserve"> CITATION Oeh08 \l 9226 </w:instrText>
          </w:r>
          <w:r w:rsidR="00985386" w:rsidRPr="008450F1">
            <w:rPr>
              <w:lang w:val="es-DO"/>
            </w:rPr>
            <w:fldChar w:fldCharType="separate"/>
          </w:r>
          <w:r w:rsidR="00160DA0" w:rsidRPr="008450F1">
            <w:rPr>
              <w:noProof/>
              <w:lang w:val="es-DO"/>
            </w:rPr>
            <w:t>(Oehler &amp; Werner, 2008)</w:t>
          </w:r>
          <w:r w:rsidR="00985386" w:rsidRPr="008450F1">
            <w:rPr>
              <w:lang w:val="es-DO"/>
            </w:rPr>
            <w:fldChar w:fldCharType="end"/>
          </w:r>
        </w:sdtContent>
      </w:sdt>
      <w:r w:rsidR="000E22D3" w:rsidRPr="008450F1">
        <w:rPr>
          <w:lang w:val="es-DO"/>
        </w:rPr>
        <w:t xml:space="preserve">. </w:t>
      </w:r>
      <w:r w:rsidR="001222B2" w:rsidRPr="008450F1">
        <w:rPr>
          <w:lang w:val="es-DO"/>
        </w:rPr>
        <w:t xml:space="preserve">De acuerdo a la matriz de resultados se espera que la operación incremente </w:t>
      </w:r>
      <w:r w:rsidR="00796708" w:rsidRPr="008450F1">
        <w:rPr>
          <w:lang w:val="es-DO"/>
        </w:rPr>
        <w:t>en 4 puntos porcentuales, en el término de tres años, el nivel de formalidad debido a</w:t>
      </w:r>
      <w:r w:rsidR="00796708" w:rsidRPr="00FA5324">
        <w:rPr>
          <w:lang w:val="es-DO"/>
        </w:rPr>
        <w:t xml:space="preserve"> un </w:t>
      </w:r>
      <w:r w:rsidR="00796708" w:rsidRPr="008450F1">
        <w:rPr>
          <w:lang w:val="es-DO"/>
        </w:rPr>
        <w:t>mejor acceso a la información y a la educación previsional</w:t>
      </w:r>
      <w:r w:rsidR="001222B2" w:rsidRPr="008450F1">
        <w:rPr>
          <w:lang w:val="es-DO"/>
        </w:rPr>
        <w:t>.</w:t>
      </w:r>
    </w:p>
    <w:p w:rsidR="00811B4C" w:rsidRPr="008450F1" w:rsidRDefault="00811B4C" w:rsidP="00AF0916">
      <w:pPr>
        <w:spacing w:after="0" w:line="240" w:lineRule="auto"/>
        <w:rPr>
          <w:lang w:val="es-DO"/>
        </w:rPr>
      </w:pPr>
    </w:p>
    <w:p w:rsidR="001222B2" w:rsidRPr="008450F1" w:rsidRDefault="00935BE1" w:rsidP="00AF0916">
      <w:pPr>
        <w:spacing w:after="0" w:line="240" w:lineRule="auto"/>
        <w:rPr>
          <w:lang w:val="es-DO"/>
        </w:rPr>
      </w:pPr>
      <w:commentRangeStart w:id="12"/>
      <w:r w:rsidRPr="008450F1">
        <w:rPr>
          <w:lang w:val="es-DO"/>
        </w:rPr>
        <w:t xml:space="preserve">En </w:t>
      </w:r>
      <w:r w:rsidR="0067563A" w:rsidRPr="008450F1">
        <w:rPr>
          <w:lang w:val="es-DO"/>
        </w:rPr>
        <w:t xml:space="preserve">países como </w:t>
      </w:r>
      <w:r w:rsidRPr="008450F1">
        <w:rPr>
          <w:lang w:val="es-DO"/>
        </w:rPr>
        <w:t>Chile</w:t>
      </w:r>
      <w:r w:rsidR="0067563A" w:rsidRPr="008450F1">
        <w:rPr>
          <w:lang w:val="es-DO"/>
        </w:rPr>
        <w:t>, donde se realizó una reforma estructural del sistema de pensiones</w:t>
      </w:r>
      <w:r w:rsidR="00796708" w:rsidRPr="008450F1">
        <w:rPr>
          <w:lang w:val="es-DO"/>
        </w:rPr>
        <w:t>,</w:t>
      </w:r>
      <w:r w:rsidRPr="008450F1">
        <w:rPr>
          <w:lang w:val="es-DO"/>
        </w:rPr>
        <w:t xml:space="preserve"> el impacto </w:t>
      </w:r>
      <w:r w:rsidR="0067563A" w:rsidRPr="008450F1">
        <w:rPr>
          <w:lang w:val="es-DO"/>
        </w:rPr>
        <w:t xml:space="preserve">de la reforma </w:t>
      </w:r>
      <w:r w:rsidR="00796708" w:rsidRPr="008450F1">
        <w:rPr>
          <w:lang w:val="es-DO"/>
        </w:rPr>
        <w:t>(</w:t>
      </w:r>
      <w:r w:rsidR="0067563A" w:rsidRPr="008450F1">
        <w:rPr>
          <w:lang w:val="es-DO"/>
        </w:rPr>
        <w:t>vía mercado laboral</w:t>
      </w:r>
      <w:r w:rsidR="00796708" w:rsidRPr="008450F1">
        <w:rPr>
          <w:lang w:val="es-DO"/>
        </w:rPr>
        <w:t>)</w:t>
      </w:r>
      <w:r w:rsidR="0067563A" w:rsidRPr="008450F1">
        <w:rPr>
          <w:lang w:val="es-DO"/>
        </w:rPr>
        <w:t xml:space="preserve"> sobre el </w:t>
      </w:r>
      <w:r w:rsidRPr="008450F1">
        <w:rPr>
          <w:lang w:val="es-DO"/>
        </w:rPr>
        <w:t xml:space="preserve">crecimiento </w:t>
      </w:r>
      <w:r w:rsidR="0067563A" w:rsidRPr="008450F1">
        <w:rPr>
          <w:lang w:val="es-DO"/>
        </w:rPr>
        <w:t xml:space="preserve">de la economía se estima en </w:t>
      </w:r>
      <w:r w:rsidRPr="008450F1">
        <w:rPr>
          <w:lang w:val="es-DO"/>
        </w:rPr>
        <w:t xml:space="preserve">0,08 </w:t>
      </w:r>
      <w:r w:rsidR="0067563A" w:rsidRPr="008450F1">
        <w:rPr>
          <w:lang w:val="es-DO"/>
        </w:rPr>
        <w:t>puntos porcentuales en el transcurso de 20 años</w:t>
      </w:r>
      <w:r w:rsidR="00796708" w:rsidRPr="008450F1">
        <w:rPr>
          <w:lang w:val="es-DO"/>
        </w:rPr>
        <w:t>.</w:t>
      </w:r>
      <w:r w:rsidR="0067563A" w:rsidRPr="008450F1">
        <w:rPr>
          <w:lang w:val="es-DO"/>
        </w:rPr>
        <w:t xml:space="preserve"> </w:t>
      </w:r>
      <w:commentRangeEnd w:id="12"/>
      <w:r w:rsidR="006805F0">
        <w:rPr>
          <w:rStyle w:val="CommentReference"/>
        </w:rPr>
        <w:commentReference w:id="12"/>
      </w:r>
      <w:r w:rsidR="001840E8">
        <w:rPr>
          <w:rStyle w:val="FootnoteReference"/>
          <w:lang w:val="es-DO"/>
        </w:rPr>
        <w:footnoteReference w:id="13"/>
      </w:r>
      <w:r w:rsidR="00796708" w:rsidRPr="008450F1">
        <w:rPr>
          <w:lang w:val="es-DO"/>
        </w:rPr>
        <w:t>E</w:t>
      </w:r>
      <w:r w:rsidR="0067563A" w:rsidRPr="008450F1">
        <w:rPr>
          <w:lang w:val="es-DO"/>
        </w:rPr>
        <w:t xml:space="preserve">n </w:t>
      </w:r>
      <w:r w:rsidR="00796708" w:rsidRPr="008450F1">
        <w:rPr>
          <w:lang w:val="es-DO"/>
        </w:rPr>
        <w:t xml:space="preserve">este mismo periodo, </w:t>
      </w:r>
      <w:r w:rsidR="0067563A" w:rsidRPr="008450F1">
        <w:rPr>
          <w:lang w:val="es-DO"/>
        </w:rPr>
        <w:t>el porcentaje de cotizantes sobre ocupados se incrementó en un 1</w:t>
      </w:r>
      <w:r w:rsidR="008D2912" w:rsidRPr="008450F1">
        <w:rPr>
          <w:lang w:val="es-DO"/>
        </w:rPr>
        <w:t>0</w:t>
      </w:r>
      <w:r w:rsidR="0067563A" w:rsidRPr="008450F1">
        <w:rPr>
          <w:lang w:val="es-DO"/>
        </w:rPr>
        <w:t>%. P</w:t>
      </w:r>
      <w:r w:rsidRPr="008450F1">
        <w:rPr>
          <w:lang w:val="es-DO"/>
        </w:rPr>
        <w:t>or lo tanto</w:t>
      </w:r>
      <w:r w:rsidR="00796708" w:rsidRPr="008450F1">
        <w:rPr>
          <w:lang w:val="es-DO"/>
        </w:rPr>
        <w:t>,</w:t>
      </w:r>
      <w:r w:rsidRPr="008450F1">
        <w:rPr>
          <w:lang w:val="es-DO"/>
        </w:rPr>
        <w:t xml:space="preserve"> </w:t>
      </w:r>
      <w:r w:rsidR="0067563A" w:rsidRPr="008450F1">
        <w:rPr>
          <w:lang w:val="es-DO"/>
        </w:rPr>
        <w:t xml:space="preserve">se tiene </w:t>
      </w:r>
      <w:r w:rsidRPr="008450F1">
        <w:rPr>
          <w:lang w:val="es-DO"/>
        </w:rPr>
        <w:t xml:space="preserve">una razón de crecimiento del producto </w:t>
      </w:r>
      <w:r w:rsidR="0067563A" w:rsidRPr="008450F1">
        <w:rPr>
          <w:lang w:val="es-DO"/>
        </w:rPr>
        <w:t xml:space="preserve">debido </w:t>
      </w:r>
      <w:r w:rsidRPr="008450F1">
        <w:rPr>
          <w:lang w:val="es-DO"/>
        </w:rPr>
        <w:t>a</w:t>
      </w:r>
      <w:r w:rsidR="00796708" w:rsidRPr="008450F1">
        <w:rPr>
          <w:lang w:val="es-DO"/>
        </w:rPr>
        <w:t>l crecimiento de la</w:t>
      </w:r>
      <w:r w:rsidRPr="008450F1">
        <w:rPr>
          <w:lang w:val="es-DO"/>
        </w:rPr>
        <w:t xml:space="preserve"> formalidad de</w:t>
      </w:r>
      <w:r w:rsidR="00796708" w:rsidRPr="008450F1">
        <w:rPr>
          <w:lang w:val="es-DO"/>
        </w:rPr>
        <w:t xml:space="preserve"> 0,8% </w:t>
      </w:r>
      <m:oMath>
        <m:d>
          <m:dPr>
            <m:ctrlPr>
              <w:rPr>
                <w:rFonts w:ascii="Cambria Math" w:hAnsi="Cambria Math"/>
                <w:lang w:val="es-DO"/>
              </w:rPr>
            </m:ctrlPr>
          </m:dPr>
          <m:e>
            <m:f>
              <m:fPr>
                <m:ctrlPr>
                  <w:rPr>
                    <w:rFonts w:ascii="Cambria Math" w:hAnsi="Cambria Math"/>
                    <w:i/>
                    <w:lang w:val="es-DO"/>
                  </w:rPr>
                </m:ctrlPr>
              </m:fPr>
              <m:num>
                <m:r>
                  <w:rPr>
                    <w:rFonts w:ascii="Cambria Math" w:hAnsi="Cambria Math"/>
                    <w:lang w:val="es-DO"/>
                  </w:rPr>
                  <m:t>0.08%</m:t>
                </m:r>
              </m:num>
              <m:den>
                <m:r>
                  <w:rPr>
                    <w:rFonts w:ascii="Cambria Math" w:hAnsi="Cambria Math"/>
                    <w:lang w:val="es-DO"/>
                  </w:rPr>
                  <m:t>10%</m:t>
                </m:r>
              </m:den>
            </m:f>
          </m:e>
        </m:d>
      </m:oMath>
      <w:r w:rsidR="0067563A" w:rsidRPr="008450F1">
        <w:rPr>
          <w:lang w:val="es-DO"/>
        </w:rPr>
        <w:t>. Para realizar un análisis</w:t>
      </w:r>
      <w:r w:rsidR="0067563A" w:rsidRPr="00FA5324">
        <w:rPr>
          <w:lang w:val="es-DO"/>
        </w:rPr>
        <w:t xml:space="preserve"> conservador </w:t>
      </w:r>
      <w:r w:rsidR="0067563A" w:rsidRPr="008450F1">
        <w:rPr>
          <w:lang w:val="es-DO"/>
        </w:rPr>
        <w:t xml:space="preserve">se emplea </w:t>
      </w:r>
      <w:r w:rsidR="00CD262F" w:rsidRPr="008450F1">
        <w:rPr>
          <w:lang w:val="es-DO"/>
        </w:rPr>
        <w:t>el 3</w:t>
      </w:r>
      <w:r w:rsidRPr="008450F1">
        <w:rPr>
          <w:lang w:val="es-DO"/>
        </w:rPr>
        <w:t xml:space="preserve">0% </w:t>
      </w:r>
      <w:r w:rsidR="0067563A" w:rsidRPr="008450F1">
        <w:rPr>
          <w:lang w:val="es-DO"/>
        </w:rPr>
        <w:t>(</w:t>
      </w:r>
      <w:r w:rsidR="00CD262F" w:rsidRPr="008450F1">
        <w:rPr>
          <w:lang w:val="es-DO"/>
        </w:rPr>
        <w:t>0,24</w:t>
      </w:r>
      <w:r w:rsidR="008D2912" w:rsidRPr="008450F1">
        <w:rPr>
          <w:lang w:val="es-DO"/>
        </w:rPr>
        <w:t>%</w:t>
      </w:r>
      <w:r w:rsidR="0067563A" w:rsidRPr="008450F1">
        <w:rPr>
          <w:lang w:val="es-DO"/>
        </w:rPr>
        <w:t xml:space="preserve">) </w:t>
      </w:r>
      <w:r w:rsidR="0067563A" w:rsidRPr="00FA5324">
        <w:rPr>
          <w:lang w:val="es-DO"/>
        </w:rPr>
        <w:t xml:space="preserve">de </w:t>
      </w:r>
      <w:r w:rsidR="0067563A" w:rsidRPr="008450F1">
        <w:rPr>
          <w:lang w:val="es-DO"/>
        </w:rPr>
        <w:t>crecimiento del PIB p</w:t>
      </w:r>
      <w:r w:rsidRPr="008450F1">
        <w:rPr>
          <w:lang w:val="es-DO"/>
        </w:rPr>
        <w:t>or cada punto de aumento</w:t>
      </w:r>
      <w:r w:rsidR="0067563A" w:rsidRPr="008450F1">
        <w:rPr>
          <w:lang w:val="es-DO"/>
        </w:rPr>
        <w:t xml:space="preserve"> de cotizantes sobre ocupados.</w:t>
      </w:r>
    </w:p>
    <w:p w:rsidR="00811B4C" w:rsidRPr="008450F1" w:rsidRDefault="00811B4C" w:rsidP="00AF0916">
      <w:pPr>
        <w:spacing w:after="0" w:line="240" w:lineRule="auto"/>
        <w:rPr>
          <w:lang w:val="es-DO"/>
        </w:rPr>
      </w:pPr>
    </w:p>
    <w:p w:rsidR="0024750E" w:rsidRPr="008450F1" w:rsidRDefault="0024750E" w:rsidP="00AF0916">
      <w:pPr>
        <w:pStyle w:val="Heading5"/>
        <w:spacing w:before="0" w:after="0" w:line="240" w:lineRule="auto"/>
        <w:rPr>
          <w:rFonts w:ascii="Times New Roman" w:hAnsi="Times New Roman"/>
          <w:color w:val="auto"/>
          <w:sz w:val="22"/>
          <w:u w:val="single"/>
          <w:lang w:val="es-DO"/>
        </w:rPr>
      </w:pPr>
      <w:r w:rsidRPr="008450F1">
        <w:rPr>
          <w:rFonts w:ascii="Times New Roman" w:hAnsi="Times New Roman"/>
          <w:color w:val="auto"/>
          <w:sz w:val="22"/>
          <w:u w:val="single"/>
          <w:lang w:val="es-DO"/>
        </w:rPr>
        <w:t>Canal 2</w:t>
      </w:r>
      <w:r w:rsidR="00050D1A" w:rsidRPr="008450F1">
        <w:rPr>
          <w:rFonts w:ascii="Times New Roman" w:hAnsi="Times New Roman"/>
          <w:color w:val="auto"/>
          <w:sz w:val="22"/>
          <w:u w:val="single"/>
          <w:lang w:val="es-DO"/>
        </w:rPr>
        <w:t>.</w:t>
      </w:r>
      <w:r w:rsidRPr="008450F1">
        <w:rPr>
          <w:rFonts w:ascii="Times New Roman" w:hAnsi="Times New Roman"/>
          <w:color w:val="auto"/>
          <w:sz w:val="22"/>
          <w:u w:val="single"/>
          <w:lang w:val="es-DO"/>
        </w:rPr>
        <w:t xml:space="preserve"> Mercado Financiero</w:t>
      </w:r>
      <w:r w:rsidR="00050D1A" w:rsidRPr="008450F1">
        <w:rPr>
          <w:rFonts w:ascii="Times New Roman" w:hAnsi="Times New Roman"/>
          <w:color w:val="auto"/>
          <w:sz w:val="22"/>
          <w:u w:val="single"/>
          <w:lang w:val="es-DO"/>
        </w:rPr>
        <w:t xml:space="preserve"> </w:t>
      </w:r>
      <w:r w:rsidRPr="008450F1">
        <w:rPr>
          <w:rFonts w:ascii="Times New Roman" w:hAnsi="Times New Roman"/>
          <w:color w:val="auto"/>
          <w:sz w:val="22"/>
          <w:u w:val="single"/>
          <w:lang w:val="es-DO"/>
        </w:rPr>
        <w:t>y de Capitales</w:t>
      </w:r>
    </w:p>
    <w:p w:rsidR="00811B4C" w:rsidRPr="008450F1" w:rsidRDefault="00811B4C" w:rsidP="00AF0916">
      <w:pPr>
        <w:spacing w:after="0" w:line="240" w:lineRule="auto"/>
        <w:rPr>
          <w:lang w:val="es-DO"/>
        </w:rPr>
      </w:pPr>
    </w:p>
    <w:p w:rsidR="0024750E" w:rsidRPr="008450F1" w:rsidRDefault="0024750E" w:rsidP="00AF0916">
      <w:pPr>
        <w:spacing w:after="0" w:line="240" w:lineRule="auto"/>
        <w:rPr>
          <w:lang w:val="es-DO"/>
        </w:rPr>
      </w:pPr>
      <w:r w:rsidRPr="008450F1">
        <w:rPr>
          <w:lang w:val="es-DO"/>
        </w:rPr>
        <w:t xml:space="preserve">Dado que el ahorro pensional se invierte a través del mercado de capitales, </w:t>
      </w:r>
      <w:r w:rsidR="00811B4C" w:rsidRPr="008450F1">
        <w:rPr>
          <w:lang w:val="es-DO"/>
        </w:rPr>
        <w:t xml:space="preserve">al contribuir a su profundidad en términos de volumen y liquidez </w:t>
      </w:r>
      <w:r w:rsidRPr="008450F1">
        <w:rPr>
          <w:lang w:val="es-DO"/>
        </w:rPr>
        <w:t xml:space="preserve">se genera </w:t>
      </w:r>
      <w:r w:rsidRPr="00FA5324">
        <w:rPr>
          <w:lang w:val="es-DO"/>
        </w:rPr>
        <w:t xml:space="preserve">un </w:t>
      </w:r>
      <w:r w:rsidRPr="008450F1">
        <w:rPr>
          <w:lang w:val="es-DO"/>
        </w:rPr>
        <w:t xml:space="preserve">impacto positivo sobre la asignación de recursos en el mercado. Los requerimientos de participación de los fondos hacen también el mercado más transparente y ayuda a mejorar </w:t>
      </w:r>
      <w:r w:rsidR="0093490B" w:rsidRPr="008450F1">
        <w:rPr>
          <w:lang w:val="es-DO"/>
        </w:rPr>
        <w:t xml:space="preserve">los </w:t>
      </w:r>
      <w:r w:rsidRPr="008450F1">
        <w:rPr>
          <w:lang w:val="es-DO"/>
        </w:rPr>
        <w:t xml:space="preserve">gobiernos corporativos de las empresas en </w:t>
      </w:r>
      <w:r w:rsidR="00811B4C" w:rsidRPr="008450F1">
        <w:rPr>
          <w:lang w:val="es-DO"/>
        </w:rPr>
        <w:t xml:space="preserve">que se invierten los </w:t>
      </w:r>
      <w:r w:rsidR="002A3938" w:rsidRPr="008450F1">
        <w:rPr>
          <w:lang w:val="es-DO"/>
        </w:rPr>
        <w:t>f</w:t>
      </w:r>
      <w:r w:rsidRPr="008450F1">
        <w:rPr>
          <w:lang w:val="es-DO"/>
        </w:rPr>
        <w:t xml:space="preserve">ondos de </w:t>
      </w:r>
      <w:r w:rsidR="002A3938" w:rsidRPr="008450F1">
        <w:rPr>
          <w:lang w:val="es-DO"/>
        </w:rPr>
        <w:t>p</w:t>
      </w:r>
      <w:r w:rsidRPr="008450F1">
        <w:rPr>
          <w:lang w:val="es-DO"/>
        </w:rPr>
        <w:t>ensiones. Los cambios propuestos en RD al aumentar las cotizaciones deben aumenta</w:t>
      </w:r>
      <w:r w:rsidR="00237C92" w:rsidRPr="008450F1">
        <w:rPr>
          <w:lang w:val="es-DO"/>
        </w:rPr>
        <w:t>r</w:t>
      </w:r>
      <w:r w:rsidRPr="008450F1">
        <w:rPr>
          <w:lang w:val="es-DO"/>
        </w:rPr>
        <w:t xml:space="preserve"> el ahorro pensional.</w:t>
      </w:r>
    </w:p>
    <w:p w:rsidR="00811B4C" w:rsidRPr="008450F1" w:rsidRDefault="00811B4C" w:rsidP="00AF0916">
      <w:pPr>
        <w:spacing w:after="0" w:line="240" w:lineRule="auto"/>
        <w:rPr>
          <w:lang w:val="es-DO"/>
        </w:rPr>
      </w:pPr>
    </w:p>
    <w:p w:rsidR="00A670E0" w:rsidRPr="00FA5324" w:rsidRDefault="00C70C65" w:rsidP="00FA5324">
      <w:pPr>
        <w:spacing w:after="0" w:line="240" w:lineRule="auto"/>
        <w:rPr>
          <w:lang w:val="es-DO"/>
        </w:rPr>
      </w:pPr>
      <w:commentRangeStart w:id="13"/>
      <w:r w:rsidRPr="008450F1">
        <w:rPr>
          <w:lang w:val="es-DO"/>
        </w:rPr>
        <w:t xml:space="preserve">Para los países donde </w:t>
      </w:r>
      <w:r w:rsidR="002A3938" w:rsidRPr="008450F1">
        <w:rPr>
          <w:lang w:val="es-DO"/>
        </w:rPr>
        <w:t xml:space="preserve">los fondos de pensiones </w:t>
      </w:r>
      <w:r w:rsidRPr="008450F1">
        <w:rPr>
          <w:lang w:val="es-DO"/>
        </w:rPr>
        <w:t>no existían y ahora son un porcentaje del PIB</w:t>
      </w:r>
      <w:r w:rsidR="00237C92" w:rsidRPr="008450F1">
        <w:rPr>
          <w:lang w:val="es-DO"/>
        </w:rPr>
        <w:t>,</w:t>
      </w:r>
      <w:r w:rsidRPr="008450F1">
        <w:rPr>
          <w:lang w:val="es-DO"/>
        </w:rPr>
        <w:t xml:space="preserve"> </w:t>
      </w:r>
      <w:r w:rsidR="00A670E0" w:rsidRPr="008450F1">
        <w:rPr>
          <w:lang w:val="es-DO"/>
        </w:rPr>
        <w:t xml:space="preserve">se encuentra que el </w:t>
      </w:r>
      <w:r w:rsidR="00A670E0" w:rsidRPr="00FA5324">
        <w:rPr>
          <w:lang w:val="es-DO"/>
        </w:rPr>
        <w:t>increm</w:t>
      </w:r>
      <w:r w:rsidR="00050D1A" w:rsidRPr="00FA5324">
        <w:rPr>
          <w:lang w:val="es-DO"/>
        </w:rPr>
        <w:t>e</w:t>
      </w:r>
      <w:r w:rsidR="00A670E0" w:rsidRPr="00FA5324">
        <w:rPr>
          <w:lang w:val="es-DO"/>
        </w:rPr>
        <w:t xml:space="preserve">nto </w:t>
      </w:r>
      <w:r w:rsidR="00A670E0" w:rsidRPr="008450F1">
        <w:rPr>
          <w:lang w:val="es-DO"/>
        </w:rPr>
        <w:t>en el PIB logrado por este canal fluctúa entre 0,13% y 0,36%</w:t>
      </w:r>
      <w:r w:rsidRPr="008450F1">
        <w:rPr>
          <w:lang w:val="es-DO"/>
        </w:rPr>
        <w:t>.</w:t>
      </w:r>
      <w:r w:rsidR="00A670E0" w:rsidRPr="008450F1">
        <w:rPr>
          <w:lang w:val="es-DO"/>
        </w:rPr>
        <w:t xml:space="preserve"> </w:t>
      </w:r>
      <w:commentRangeEnd w:id="13"/>
      <w:r w:rsidR="00E279E1">
        <w:rPr>
          <w:rStyle w:val="CommentReference"/>
        </w:rPr>
        <w:commentReference w:id="13"/>
      </w:r>
      <w:r w:rsidR="001840E8">
        <w:rPr>
          <w:rStyle w:val="FootnoteReference"/>
          <w:lang w:val="es-DO"/>
        </w:rPr>
        <w:footnoteReference w:id="14"/>
      </w:r>
      <w:r w:rsidR="00B51537" w:rsidRPr="008450F1">
        <w:rPr>
          <w:lang w:val="es-DO"/>
        </w:rPr>
        <w:t>El capital de los</w:t>
      </w:r>
      <w:r w:rsidRPr="008450F1">
        <w:rPr>
          <w:lang w:val="es-DO"/>
        </w:rPr>
        <w:t xml:space="preserve"> fondos de pensiones como porcentaje del P</w:t>
      </w:r>
      <w:r w:rsidR="005A2399" w:rsidRPr="008450F1">
        <w:rPr>
          <w:lang w:val="es-DO"/>
        </w:rPr>
        <w:t>I</w:t>
      </w:r>
      <w:r w:rsidRPr="008450F1">
        <w:rPr>
          <w:lang w:val="es-DO"/>
        </w:rPr>
        <w:t>B para estos países es variable</w:t>
      </w:r>
      <w:r w:rsidR="00237C92" w:rsidRPr="008450F1">
        <w:rPr>
          <w:lang w:val="es-DO"/>
        </w:rPr>
        <w:t>.</w:t>
      </w:r>
      <w:r w:rsidRPr="008450F1">
        <w:rPr>
          <w:lang w:val="es-DO"/>
        </w:rPr>
        <w:t xml:space="preserve"> </w:t>
      </w:r>
      <w:r w:rsidR="00237C92" w:rsidRPr="008450F1">
        <w:rPr>
          <w:lang w:val="es-DO"/>
        </w:rPr>
        <w:t xml:space="preserve">En </w:t>
      </w:r>
      <w:r w:rsidR="00A670E0" w:rsidRPr="008450F1">
        <w:rPr>
          <w:lang w:val="es-DO"/>
        </w:rPr>
        <w:t xml:space="preserve">el caso de Chile alcanza un 60%, en el caso de Perú y Colombia se acerca al </w:t>
      </w:r>
      <w:r w:rsidR="00A670E0" w:rsidRPr="00FA5324">
        <w:rPr>
          <w:lang w:val="es-DO"/>
        </w:rPr>
        <w:t>20</w:t>
      </w:r>
      <w:r w:rsidR="00A670E0" w:rsidRPr="008450F1">
        <w:rPr>
          <w:lang w:val="es-DO"/>
        </w:rPr>
        <w:t>% y en el caso de México</w:t>
      </w:r>
      <w:r w:rsidR="00237C92" w:rsidRPr="008450F1">
        <w:rPr>
          <w:lang w:val="es-DO"/>
        </w:rPr>
        <w:t xml:space="preserve"> alcanza</w:t>
      </w:r>
      <w:r w:rsidR="00A670E0" w:rsidRPr="008450F1">
        <w:rPr>
          <w:lang w:val="es-DO"/>
        </w:rPr>
        <w:t xml:space="preserve"> al 10%.</w:t>
      </w:r>
      <w:r w:rsidRPr="008450F1">
        <w:rPr>
          <w:lang w:val="es-DO"/>
        </w:rPr>
        <w:t xml:space="preserve"> A</w:t>
      </w:r>
      <w:r w:rsidR="00050D1A" w:rsidRPr="008450F1">
        <w:rPr>
          <w:lang w:val="es-DO"/>
        </w:rPr>
        <w:t xml:space="preserve"> </w:t>
      </w:r>
      <w:r w:rsidRPr="008450F1">
        <w:rPr>
          <w:lang w:val="es-DO"/>
        </w:rPr>
        <w:t>partir de estos estudios de caso</w:t>
      </w:r>
      <w:r w:rsidR="00A670E0" w:rsidRPr="008450F1">
        <w:rPr>
          <w:lang w:val="es-DO"/>
        </w:rPr>
        <w:t xml:space="preserve"> </w:t>
      </w:r>
      <w:r w:rsidRPr="008450F1">
        <w:rPr>
          <w:lang w:val="es-DO"/>
        </w:rPr>
        <w:t xml:space="preserve">se pueden realizar unos supuestos conservadores </w:t>
      </w:r>
      <w:r w:rsidR="00B51537" w:rsidRPr="008450F1">
        <w:rPr>
          <w:lang w:val="es-DO"/>
        </w:rPr>
        <w:t>sobre</w:t>
      </w:r>
      <w:r w:rsidRPr="008450F1">
        <w:rPr>
          <w:lang w:val="es-DO"/>
        </w:rPr>
        <w:t xml:space="preserve"> el </w:t>
      </w:r>
      <w:r w:rsidR="00B51537" w:rsidRPr="008450F1">
        <w:rPr>
          <w:lang w:val="es-DO"/>
        </w:rPr>
        <w:t>incremento</w:t>
      </w:r>
      <w:r w:rsidRPr="008450F1">
        <w:rPr>
          <w:lang w:val="es-DO"/>
        </w:rPr>
        <w:t xml:space="preserve"> en el PIB que se espera en </w:t>
      </w:r>
      <w:r w:rsidR="00050D1A" w:rsidRPr="008450F1">
        <w:rPr>
          <w:lang w:val="es-DO"/>
        </w:rPr>
        <w:t>RD</w:t>
      </w:r>
      <w:r w:rsidRPr="008450F1">
        <w:rPr>
          <w:lang w:val="es-DO"/>
        </w:rPr>
        <w:t xml:space="preserve"> con mayor financiarizaci</w:t>
      </w:r>
      <w:r w:rsidR="00050D1A" w:rsidRPr="008450F1">
        <w:rPr>
          <w:lang w:val="es-DO"/>
        </w:rPr>
        <w:t>ó</w:t>
      </w:r>
      <w:r w:rsidRPr="008450F1">
        <w:rPr>
          <w:lang w:val="es-DO"/>
        </w:rPr>
        <w:t>n del ahorro previsional. E</w:t>
      </w:r>
      <w:r w:rsidR="00A670E0" w:rsidRPr="008450F1">
        <w:rPr>
          <w:lang w:val="es-DO"/>
        </w:rPr>
        <w:t xml:space="preserve">n términos relativos al tamaño del </w:t>
      </w:r>
      <w:r w:rsidR="002A3938" w:rsidRPr="008450F1">
        <w:rPr>
          <w:lang w:val="es-DO"/>
        </w:rPr>
        <w:t>fondo de pensiones</w:t>
      </w:r>
      <w:r w:rsidR="00237C92" w:rsidRPr="008450F1">
        <w:rPr>
          <w:lang w:val="es-DO"/>
        </w:rPr>
        <w:t xml:space="preserve">, </w:t>
      </w:r>
      <w:r w:rsidR="00A670E0" w:rsidRPr="008450F1">
        <w:rPr>
          <w:lang w:val="es-DO"/>
        </w:rPr>
        <w:t>el menor impacto sería e</w:t>
      </w:r>
      <w:r w:rsidR="00237C92" w:rsidRPr="008450F1">
        <w:rPr>
          <w:lang w:val="es-DO"/>
        </w:rPr>
        <w:t>n el caso de</w:t>
      </w:r>
      <w:r w:rsidR="00A670E0" w:rsidRPr="008450F1">
        <w:rPr>
          <w:lang w:val="es-DO"/>
        </w:rPr>
        <w:t xml:space="preserve"> Chile con un aporte de 0,2% con un fondo que hoy alcanza cerca del 60% del PIB. Por lo tanto, se puede estimar que </w:t>
      </w:r>
      <w:r w:rsidR="005A2399" w:rsidRPr="008450F1">
        <w:rPr>
          <w:lang w:val="es-DO"/>
        </w:rPr>
        <w:t xml:space="preserve">al canalizar los </w:t>
      </w:r>
      <w:r w:rsidR="00A670E0" w:rsidRPr="008450F1">
        <w:rPr>
          <w:lang w:val="es-DO"/>
        </w:rPr>
        <w:t xml:space="preserve">recursos </w:t>
      </w:r>
      <w:r w:rsidR="005A2399" w:rsidRPr="008450F1">
        <w:rPr>
          <w:lang w:val="es-DO"/>
        </w:rPr>
        <w:t>del ahorro previ</w:t>
      </w:r>
      <w:r w:rsidR="00C02BD6" w:rsidRPr="008450F1">
        <w:rPr>
          <w:lang w:val="es-DO"/>
        </w:rPr>
        <w:t>s</w:t>
      </w:r>
      <w:r w:rsidR="005A2399" w:rsidRPr="008450F1">
        <w:rPr>
          <w:lang w:val="es-DO"/>
        </w:rPr>
        <w:t xml:space="preserve">ional </w:t>
      </w:r>
      <w:r w:rsidR="00A670E0" w:rsidRPr="008450F1">
        <w:rPr>
          <w:lang w:val="es-DO"/>
        </w:rPr>
        <w:t xml:space="preserve">a través del mercado </w:t>
      </w:r>
      <w:r w:rsidR="00237C92" w:rsidRPr="008450F1">
        <w:rPr>
          <w:lang w:val="es-DO"/>
        </w:rPr>
        <w:t xml:space="preserve">financiero y de capitales </w:t>
      </w:r>
      <w:r w:rsidR="00A670E0" w:rsidRPr="008450F1">
        <w:rPr>
          <w:lang w:val="es-DO"/>
        </w:rPr>
        <w:t>puede eventualmente significar un aporte al PIB de</w:t>
      </w:r>
      <w:r w:rsidR="00237C92" w:rsidRPr="008450F1">
        <w:rPr>
          <w:lang w:val="es-DO"/>
        </w:rPr>
        <w:t xml:space="preserve"> 0,</w:t>
      </w:r>
      <w:r w:rsidR="00237C92" w:rsidRPr="008450F1" w:rsidDel="00AB058A">
        <w:rPr>
          <w:lang w:val="es-DO"/>
        </w:rPr>
        <w:t xml:space="preserve"> </w:t>
      </w:r>
      <w:r w:rsidR="00237C92" w:rsidRPr="008450F1">
        <w:rPr>
          <w:lang w:val="es-DO"/>
        </w:rPr>
        <w:t>33%</w:t>
      </w:r>
      <w:r w:rsidR="00A670E0" w:rsidRPr="008450F1">
        <w:rPr>
          <w:lang w:val="es-DO"/>
        </w:rPr>
        <w:t xml:space="preserve"> </w:t>
      </w:r>
      <m:oMath>
        <m:d>
          <m:dPr>
            <m:ctrlPr>
              <w:rPr>
                <w:rFonts w:ascii="Cambria Math" w:hAnsi="Cambria Math"/>
                <w:i/>
                <w:lang w:val="es-DO"/>
              </w:rPr>
            </m:ctrlPr>
          </m:dPr>
          <m:e>
            <m:f>
              <m:fPr>
                <m:ctrlPr>
                  <w:rPr>
                    <w:rFonts w:ascii="Cambria Math" w:hAnsi="Cambria Math"/>
                    <w:i/>
                    <w:lang w:val="es-DO"/>
                  </w:rPr>
                </m:ctrlPr>
              </m:fPr>
              <m:num>
                <m:r>
                  <w:rPr>
                    <w:rFonts w:ascii="Cambria Math" w:hAnsi="Cambria Math"/>
                    <w:lang w:val="es-DO"/>
                  </w:rPr>
                  <m:t>0.2%</m:t>
                </m:r>
              </m:num>
              <m:den>
                <m:r>
                  <w:rPr>
                    <w:rFonts w:ascii="Cambria Math" w:hAnsi="Cambria Math"/>
                    <w:lang w:val="es-DO"/>
                  </w:rPr>
                  <m:t>60%</m:t>
                </m:r>
              </m:den>
            </m:f>
          </m:e>
        </m:d>
        <m:r>
          <w:rPr>
            <w:rFonts w:ascii="Cambria Math" w:hAnsi="Cambria Math"/>
            <w:lang w:val="es-DO"/>
          </w:rPr>
          <m:t>.</m:t>
        </m:r>
      </m:oMath>
      <w:r w:rsidR="00A670E0" w:rsidRPr="008450F1">
        <w:rPr>
          <w:lang w:val="es-DO"/>
        </w:rPr>
        <w:t xml:space="preserve"> </w:t>
      </w:r>
      <w:r w:rsidR="00237C92" w:rsidRPr="008450F1">
        <w:rPr>
          <w:lang w:val="es-DO"/>
        </w:rPr>
        <w:t>P</w:t>
      </w:r>
      <w:r w:rsidR="00A670E0" w:rsidRPr="008450F1">
        <w:rPr>
          <w:lang w:val="es-DO"/>
        </w:rPr>
        <w:t xml:space="preserve">ara </w:t>
      </w:r>
      <w:r w:rsidR="005A2399" w:rsidRPr="008450F1">
        <w:rPr>
          <w:lang w:val="es-DO"/>
        </w:rPr>
        <w:t xml:space="preserve">un </w:t>
      </w:r>
      <w:r w:rsidR="00B51537" w:rsidRPr="008450F1">
        <w:rPr>
          <w:lang w:val="es-DO"/>
        </w:rPr>
        <w:t>análisis</w:t>
      </w:r>
      <w:r w:rsidR="005A2399" w:rsidRPr="008450F1">
        <w:rPr>
          <w:lang w:val="es-DO"/>
        </w:rPr>
        <w:t xml:space="preserve"> aún más conservador se</w:t>
      </w:r>
      <w:r w:rsidR="00A670E0" w:rsidRPr="008450F1">
        <w:rPr>
          <w:lang w:val="es-DO"/>
        </w:rPr>
        <w:t xml:space="preserve"> tomar</w:t>
      </w:r>
      <w:r w:rsidR="00050D1A" w:rsidRPr="008450F1">
        <w:rPr>
          <w:lang w:val="es-DO"/>
        </w:rPr>
        <w:t>á</w:t>
      </w:r>
      <w:r w:rsidR="00A670E0" w:rsidRPr="008450F1">
        <w:rPr>
          <w:lang w:val="es-DO"/>
        </w:rPr>
        <w:t xml:space="preserve"> un impacto equivalente al </w:t>
      </w:r>
      <w:r w:rsidR="00AB058A" w:rsidRPr="008450F1">
        <w:rPr>
          <w:lang w:val="es-DO"/>
        </w:rPr>
        <w:t>3</w:t>
      </w:r>
      <w:r w:rsidR="00A670E0" w:rsidRPr="008450F1">
        <w:rPr>
          <w:lang w:val="es-DO"/>
        </w:rPr>
        <w:t>0% de la aproximación anterior, es decir</w:t>
      </w:r>
      <w:r w:rsidR="002A3938" w:rsidRPr="008450F1">
        <w:rPr>
          <w:lang w:val="es-DO"/>
        </w:rPr>
        <w:t>,</w:t>
      </w:r>
      <w:r w:rsidR="00A670E0" w:rsidRPr="008450F1">
        <w:rPr>
          <w:lang w:val="es-DO"/>
        </w:rPr>
        <w:t xml:space="preserve"> de </w:t>
      </w:r>
      <w:r w:rsidR="005A2399" w:rsidRPr="008450F1">
        <w:rPr>
          <w:lang w:val="es-DO"/>
        </w:rPr>
        <w:t>0,</w:t>
      </w:r>
      <w:r w:rsidR="00AB058A" w:rsidRPr="008450F1">
        <w:rPr>
          <w:lang w:val="es-DO"/>
        </w:rPr>
        <w:t>1</w:t>
      </w:r>
      <w:r w:rsidR="005A2399" w:rsidRPr="008450F1">
        <w:rPr>
          <w:lang w:val="es-DO"/>
        </w:rPr>
        <w:t>%</w:t>
      </w:r>
      <w:r w:rsidR="00A670E0" w:rsidRPr="008450F1">
        <w:rPr>
          <w:lang w:val="es-DO"/>
        </w:rPr>
        <w:t xml:space="preserve"> por cada </w:t>
      </w:r>
      <w:r w:rsidR="00A670E0" w:rsidRPr="00FA5324">
        <w:rPr>
          <w:lang w:val="es-DO"/>
        </w:rPr>
        <w:t xml:space="preserve">un punto porcentual </w:t>
      </w:r>
      <w:r w:rsidR="00A670E0" w:rsidRPr="008450F1">
        <w:rPr>
          <w:lang w:val="es-DO"/>
        </w:rPr>
        <w:t>de</w:t>
      </w:r>
      <w:r w:rsidR="005A2399" w:rsidRPr="008450F1">
        <w:rPr>
          <w:lang w:val="es-DO"/>
        </w:rPr>
        <w:t xml:space="preserve"> ahorro </w:t>
      </w:r>
      <w:r w:rsidR="002A3938" w:rsidRPr="008450F1">
        <w:rPr>
          <w:lang w:val="es-DO"/>
        </w:rPr>
        <w:t>de los fondos de pensiones</w:t>
      </w:r>
      <w:r w:rsidR="00237C92" w:rsidRPr="008450F1">
        <w:rPr>
          <w:lang w:val="es-DO"/>
        </w:rPr>
        <w:t xml:space="preserve"> </w:t>
      </w:r>
      <w:r w:rsidR="00A670E0" w:rsidRPr="008450F1">
        <w:rPr>
          <w:lang w:val="es-DO"/>
        </w:rPr>
        <w:t>como porcentaje del PIB.</w:t>
      </w:r>
    </w:p>
    <w:p w:rsidR="00811B4C" w:rsidRPr="008450F1" w:rsidRDefault="00811B4C" w:rsidP="00AF0916">
      <w:pPr>
        <w:spacing w:after="0" w:line="240" w:lineRule="auto"/>
        <w:rPr>
          <w:lang w:val="es-DO"/>
        </w:rPr>
      </w:pPr>
    </w:p>
    <w:p w:rsidR="005A2399" w:rsidRPr="008450F1" w:rsidRDefault="005A2399" w:rsidP="00AF0916">
      <w:pPr>
        <w:spacing w:after="0" w:line="240" w:lineRule="auto"/>
        <w:rPr>
          <w:lang w:val="es-DO"/>
        </w:rPr>
      </w:pPr>
      <w:r w:rsidRPr="008450F1">
        <w:rPr>
          <w:lang w:val="es-DO"/>
        </w:rPr>
        <w:t>El ahorro se estim</w:t>
      </w:r>
      <w:r w:rsidR="00005565" w:rsidRPr="008450F1">
        <w:rPr>
          <w:lang w:val="es-DO"/>
        </w:rPr>
        <w:t>ó</w:t>
      </w:r>
      <w:r w:rsidRPr="008450F1">
        <w:rPr>
          <w:lang w:val="es-DO"/>
        </w:rPr>
        <w:t xml:space="preserve"> </w:t>
      </w:r>
      <w:r w:rsidR="002A3938" w:rsidRPr="008450F1">
        <w:rPr>
          <w:lang w:val="es-DO"/>
        </w:rPr>
        <w:t xml:space="preserve">mediante un modelo lineal </w:t>
      </w:r>
      <w:r w:rsidRPr="008450F1">
        <w:rPr>
          <w:lang w:val="es-DO"/>
        </w:rPr>
        <w:t>a</w:t>
      </w:r>
      <w:r w:rsidR="00005565" w:rsidRPr="008450F1">
        <w:rPr>
          <w:lang w:val="es-DO"/>
        </w:rPr>
        <w:t xml:space="preserve"> </w:t>
      </w:r>
      <w:r w:rsidRPr="008450F1">
        <w:rPr>
          <w:lang w:val="es-DO"/>
        </w:rPr>
        <w:t>partir de la serie histórica de cotizan</w:t>
      </w:r>
      <w:r w:rsidR="00005565" w:rsidRPr="008450F1">
        <w:rPr>
          <w:lang w:val="es-DO"/>
        </w:rPr>
        <w:t>t</w:t>
      </w:r>
      <w:r w:rsidRPr="008450F1">
        <w:rPr>
          <w:lang w:val="es-DO"/>
        </w:rPr>
        <w:t xml:space="preserve">es y </w:t>
      </w:r>
      <w:r w:rsidR="002A3938" w:rsidRPr="008450F1">
        <w:rPr>
          <w:lang w:val="es-DO"/>
        </w:rPr>
        <w:t xml:space="preserve">de </w:t>
      </w:r>
      <w:r w:rsidRPr="008450F1">
        <w:rPr>
          <w:lang w:val="es-DO"/>
        </w:rPr>
        <w:t>ahorro en los fondos de pensiones</w:t>
      </w:r>
      <w:r w:rsidR="002A3938" w:rsidRPr="008450F1">
        <w:rPr>
          <w:lang w:val="es-DO"/>
        </w:rPr>
        <w:t>.</w:t>
      </w:r>
      <w:r w:rsidRPr="008450F1">
        <w:rPr>
          <w:lang w:val="es-DO"/>
        </w:rPr>
        <w:t xml:space="preserve"> </w:t>
      </w:r>
      <w:r w:rsidR="002A3938" w:rsidRPr="008450F1">
        <w:rPr>
          <w:lang w:val="es-DO"/>
        </w:rPr>
        <w:t xml:space="preserve">Se tomó </w:t>
      </w:r>
      <w:r w:rsidRPr="008450F1">
        <w:rPr>
          <w:lang w:val="es-DO"/>
        </w:rPr>
        <w:t xml:space="preserve">como variable dependiente el ahorro como porcentaje del PIB y como variable </w:t>
      </w:r>
      <w:r w:rsidR="00B51537" w:rsidRPr="008450F1">
        <w:rPr>
          <w:lang w:val="es-DO"/>
        </w:rPr>
        <w:t>independiente</w:t>
      </w:r>
      <w:r w:rsidRPr="008450F1">
        <w:rPr>
          <w:lang w:val="es-DO"/>
        </w:rPr>
        <w:t xml:space="preserve"> el acumulado de las personas cotizantes (la sumatoria de los cotizantes de todos los periodos anteriores hasta el periodo actual)</w:t>
      </w:r>
      <w:r w:rsidR="002A3938" w:rsidRPr="008450F1">
        <w:rPr>
          <w:lang w:val="es-DO"/>
        </w:rPr>
        <w:t>.</w:t>
      </w:r>
      <w:r w:rsidRPr="008450F1">
        <w:rPr>
          <w:lang w:val="es-DO"/>
        </w:rPr>
        <w:t xml:space="preserve"> </w:t>
      </w:r>
      <w:r w:rsidR="002A3938" w:rsidRPr="008450F1">
        <w:rPr>
          <w:lang w:val="es-DO"/>
        </w:rPr>
        <w:t>El</w:t>
      </w:r>
      <w:r w:rsidRPr="008450F1">
        <w:rPr>
          <w:lang w:val="es-DO"/>
        </w:rPr>
        <w:t xml:space="preserve"> modelo tiene un</w:t>
      </w:r>
      <w:r w:rsidR="002A3938" w:rsidRPr="008450F1">
        <w:rPr>
          <w:lang w:val="es-DO"/>
        </w:rPr>
        <w:t>a buena capacidad explicativa</w:t>
      </w:r>
      <w:r w:rsidRPr="008450F1">
        <w:rPr>
          <w:lang w:val="es-DO"/>
        </w:rPr>
        <w:t xml:space="preserve"> (</w:t>
      </w:r>
      <w:r w:rsidR="002A3938" w:rsidRPr="008450F1">
        <w:rPr>
          <w:lang w:val="es-DO"/>
        </w:rPr>
        <w:t>R</w:t>
      </w:r>
      <w:r w:rsidRPr="008450F1">
        <w:rPr>
          <w:vertAlign w:val="superscript"/>
          <w:lang w:val="es-DO"/>
        </w:rPr>
        <w:t xml:space="preserve">2 </w:t>
      </w:r>
      <w:r w:rsidRPr="008450F1">
        <w:rPr>
          <w:lang w:val="es-DO"/>
        </w:rPr>
        <w:t>= 0.996).</w:t>
      </w:r>
    </w:p>
    <w:p w:rsidR="00811B4C" w:rsidRPr="008450F1" w:rsidRDefault="00811B4C" w:rsidP="00AF0916">
      <w:pPr>
        <w:spacing w:after="0" w:line="240" w:lineRule="auto"/>
        <w:rPr>
          <w:lang w:val="es-DO"/>
        </w:rPr>
      </w:pPr>
    </w:p>
    <w:p w:rsidR="0024750E" w:rsidRPr="008450F1" w:rsidRDefault="0024750E" w:rsidP="00AF0916">
      <w:pPr>
        <w:pStyle w:val="Heading5"/>
        <w:spacing w:before="0" w:after="0" w:line="240" w:lineRule="auto"/>
        <w:rPr>
          <w:rFonts w:ascii="Times New Roman" w:hAnsi="Times New Roman"/>
          <w:color w:val="auto"/>
          <w:sz w:val="22"/>
          <w:u w:val="single"/>
          <w:lang w:val="es-DO"/>
        </w:rPr>
      </w:pPr>
      <w:r w:rsidRPr="008450F1">
        <w:rPr>
          <w:rFonts w:ascii="Times New Roman" w:hAnsi="Times New Roman"/>
          <w:color w:val="auto"/>
          <w:sz w:val="22"/>
          <w:u w:val="single"/>
          <w:lang w:val="es-DO"/>
        </w:rPr>
        <w:t>Canal 3</w:t>
      </w:r>
      <w:r w:rsidR="00005565" w:rsidRPr="008450F1">
        <w:rPr>
          <w:rFonts w:ascii="Times New Roman" w:hAnsi="Times New Roman"/>
          <w:color w:val="auto"/>
          <w:sz w:val="22"/>
          <w:u w:val="single"/>
          <w:lang w:val="es-DO"/>
        </w:rPr>
        <w:t>.</w:t>
      </w:r>
      <w:r w:rsidRPr="008450F1">
        <w:rPr>
          <w:rFonts w:ascii="Times New Roman" w:hAnsi="Times New Roman"/>
          <w:color w:val="auto"/>
          <w:sz w:val="22"/>
          <w:u w:val="single"/>
          <w:lang w:val="es-DO"/>
        </w:rPr>
        <w:t xml:space="preserve"> </w:t>
      </w:r>
      <w:r w:rsidRPr="00FA5324">
        <w:rPr>
          <w:rFonts w:ascii="Times New Roman" w:hAnsi="Times New Roman"/>
          <w:color w:val="auto"/>
          <w:sz w:val="22"/>
          <w:u w:val="single"/>
          <w:lang w:val="es-DO"/>
        </w:rPr>
        <w:t>Ahorro</w:t>
      </w:r>
    </w:p>
    <w:p w:rsidR="00811B4C" w:rsidRPr="008450F1" w:rsidRDefault="00811B4C" w:rsidP="00AF0916">
      <w:pPr>
        <w:spacing w:after="0" w:line="240" w:lineRule="auto"/>
        <w:rPr>
          <w:lang w:val="es-DO"/>
        </w:rPr>
      </w:pPr>
    </w:p>
    <w:p w:rsidR="0024750E" w:rsidRPr="008450F1" w:rsidRDefault="0024750E" w:rsidP="00AF0916">
      <w:pPr>
        <w:spacing w:after="0" w:line="240" w:lineRule="auto"/>
        <w:rPr>
          <w:lang w:val="es-DO"/>
        </w:rPr>
      </w:pPr>
      <w:r w:rsidRPr="008450F1">
        <w:rPr>
          <w:lang w:val="es-DO"/>
        </w:rPr>
        <w:t xml:space="preserve">El mayor ahorro en sí </w:t>
      </w:r>
      <w:r w:rsidRPr="004759CA">
        <w:rPr>
          <w:rFonts w:ascii="referencias" w:hAnsi="referencias"/>
          <w:lang w:val="es-DO"/>
        </w:rPr>
        <w:t>mismo</w:t>
      </w:r>
      <w:r w:rsidRPr="008450F1">
        <w:rPr>
          <w:lang w:val="es-DO"/>
        </w:rPr>
        <w:t xml:space="preserve"> </w:t>
      </w:r>
      <w:r w:rsidR="00B51537" w:rsidRPr="008450F1">
        <w:rPr>
          <w:lang w:val="es-DO"/>
        </w:rPr>
        <w:t>tiene</w:t>
      </w:r>
      <w:r w:rsidRPr="008450F1">
        <w:rPr>
          <w:lang w:val="es-DO"/>
        </w:rPr>
        <w:t xml:space="preserve"> un impacto sobre el crecimiento al tener </w:t>
      </w:r>
      <w:r w:rsidR="002A3938" w:rsidRPr="008450F1">
        <w:rPr>
          <w:lang w:val="es-DO"/>
        </w:rPr>
        <w:t xml:space="preserve">el país </w:t>
      </w:r>
      <w:r w:rsidRPr="008450F1">
        <w:rPr>
          <w:lang w:val="es-DO"/>
        </w:rPr>
        <w:t xml:space="preserve">mayores recursos disponibles para el financiamiento de proyectos. En este sentido es importante el efecto neto </w:t>
      </w:r>
      <w:r w:rsidR="002A3938" w:rsidRPr="008450F1">
        <w:rPr>
          <w:lang w:val="es-DO"/>
        </w:rPr>
        <w:t xml:space="preserve">de las </w:t>
      </w:r>
      <w:r w:rsidR="002A3938" w:rsidRPr="008450F1">
        <w:rPr>
          <w:lang w:val="es-DO"/>
        </w:rPr>
        <w:lastRenderedPageBreak/>
        <w:t xml:space="preserve">medidas a implementar </w:t>
      </w:r>
      <w:r w:rsidRPr="008450F1">
        <w:rPr>
          <w:lang w:val="es-DO"/>
        </w:rPr>
        <w:t>sobre el ahorro. Es decir</w:t>
      </w:r>
      <w:r w:rsidR="002A3938" w:rsidRPr="008450F1">
        <w:rPr>
          <w:lang w:val="es-DO"/>
        </w:rPr>
        <w:t>,</w:t>
      </w:r>
      <w:r w:rsidRPr="008450F1">
        <w:rPr>
          <w:lang w:val="es-DO"/>
        </w:rPr>
        <w:t xml:space="preserve"> el desahorro </w:t>
      </w:r>
      <w:r w:rsidR="00152EE6" w:rsidRPr="008450F1">
        <w:rPr>
          <w:lang w:val="es-DO"/>
        </w:rPr>
        <w:t xml:space="preserve">(reducción del ahorro) </w:t>
      </w:r>
      <w:r w:rsidRPr="008450F1">
        <w:rPr>
          <w:lang w:val="es-DO"/>
        </w:rPr>
        <w:t xml:space="preserve">por </w:t>
      </w:r>
      <w:r w:rsidR="00152EE6" w:rsidRPr="008450F1">
        <w:rPr>
          <w:lang w:val="es-DO"/>
        </w:rPr>
        <w:t xml:space="preserve">la implementación de </w:t>
      </w:r>
      <w:r w:rsidRPr="008450F1">
        <w:rPr>
          <w:lang w:val="es-DO"/>
        </w:rPr>
        <w:t xml:space="preserve">las pensiones subsidiadas y por </w:t>
      </w:r>
      <w:r w:rsidR="00152EE6" w:rsidRPr="008450F1">
        <w:rPr>
          <w:lang w:val="es-DO"/>
        </w:rPr>
        <w:t>la disminución del</w:t>
      </w:r>
      <w:r w:rsidRPr="008450F1">
        <w:rPr>
          <w:lang w:val="es-DO"/>
        </w:rPr>
        <w:t xml:space="preserve"> ahorro voluntario frente al ahorro obligatorio. Para este an</w:t>
      </w:r>
      <w:r w:rsidR="00005565" w:rsidRPr="008450F1">
        <w:rPr>
          <w:lang w:val="es-DO"/>
        </w:rPr>
        <w:t>á</w:t>
      </w:r>
      <w:r w:rsidRPr="008450F1">
        <w:rPr>
          <w:lang w:val="es-DO"/>
        </w:rPr>
        <w:t xml:space="preserve">lisis se </w:t>
      </w:r>
      <w:r w:rsidR="002C735D" w:rsidRPr="008450F1">
        <w:rPr>
          <w:lang w:val="es-DO"/>
        </w:rPr>
        <w:t xml:space="preserve">considera </w:t>
      </w:r>
      <w:r w:rsidR="00005565" w:rsidRPr="008450F1">
        <w:rPr>
          <w:lang w:val="es-DO"/>
        </w:rPr>
        <w:t>í</w:t>
      </w:r>
      <w:r w:rsidR="002C735D" w:rsidRPr="008450F1">
        <w:rPr>
          <w:lang w:val="es-DO"/>
        </w:rPr>
        <w:t>nfimo el gasto en pensiones subsidiadas (</w:t>
      </w:r>
      <w:r w:rsidR="00664D27" w:rsidRPr="008450F1">
        <w:rPr>
          <w:lang w:val="es-DO"/>
        </w:rPr>
        <w:t>menos del 0.017% del PIB</w:t>
      </w:r>
      <w:r w:rsidR="00152EE6" w:rsidRPr="008450F1">
        <w:rPr>
          <w:lang w:val="es-DO"/>
        </w:rPr>
        <w:t>;</w:t>
      </w:r>
      <w:r w:rsidR="00664D27" w:rsidRPr="008450F1">
        <w:rPr>
          <w:lang w:val="es-DO"/>
        </w:rPr>
        <w:t xml:space="preserve"> de todas maneras este costo es considerado dentro de los costos del componente</w:t>
      </w:r>
      <w:r w:rsidR="002C735D" w:rsidRPr="008450F1">
        <w:rPr>
          <w:lang w:val="es-DO"/>
        </w:rPr>
        <w:t xml:space="preserve">) y se asume el supuesto conservador </w:t>
      </w:r>
      <w:r w:rsidR="00A670E0" w:rsidRPr="008450F1">
        <w:rPr>
          <w:lang w:val="es-DO"/>
        </w:rPr>
        <w:t>de que todo el ahorro obligatorio es contra</w:t>
      </w:r>
      <w:r w:rsidR="00005565" w:rsidRPr="008450F1">
        <w:rPr>
          <w:lang w:val="es-DO"/>
        </w:rPr>
        <w:t>r</w:t>
      </w:r>
      <w:r w:rsidR="00A670E0" w:rsidRPr="008450F1">
        <w:rPr>
          <w:lang w:val="es-DO"/>
        </w:rPr>
        <w:t xml:space="preserve">restado por la disminución en el ahorro </w:t>
      </w:r>
      <w:r w:rsidR="00B51537" w:rsidRPr="008450F1">
        <w:rPr>
          <w:lang w:val="es-DO"/>
        </w:rPr>
        <w:t>voluntario</w:t>
      </w:r>
      <w:r w:rsidR="00A670E0" w:rsidRPr="008450F1">
        <w:rPr>
          <w:lang w:val="es-DO"/>
        </w:rPr>
        <w:t>.</w:t>
      </w:r>
    </w:p>
    <w:p w:rsidR="00811B4C" w:rsidRPr="008450F1" w:rsidRDefault="00811B4C" w:rsidP="00AF0916">
      <w:pPr>
        <w:spacing w:after="0" w:line="240" w:lineRule="auto"/>
        <w:rPr>
          <w:lang w:val="es-DO"/>
        </w:rPr>
      </w:pPr>
    </w:p>
    <w:p w:rsidR="00520CF8" w:rsidRPr="00FA5324" w:rsidRDefault="00520CF8" w:rsidP="00FA5324">
      <w:pPr>
        <w:spacing w:after="0" w:line="240" w:lineRule="auto"/>
        <w:rPr>
          <w:lang w:val="es-DO"/>
        </w:rPr>
      </w:pPr>
      <w:r w:rsidRPr="008450F1">
        <w:rPr>
          <w:lang w:val="es-DO"/>
        </w:rPr>
        <w:t xml:space="preserve">La </w:t>
      </w:r>
      <w:r w:rsidR="007D15C8" w:rsidRPr="008450F1">
        <w:rPr>
          <w:lang w:val="es-DO"/>
        </w:rPr>
        <w:fldChar w:fldCharType="begin"/>
      </w:r>
      <w:r w:rsidR="007D15C8" w:rsidRPr="008450F1">
        <w:rPr>
          <w:lang w:val="es-DO"/>
        </w:rPr>
        <w:instrText xml:space="preserve"> REF _Ref399139071 \h </w:instrText>
      </w:r>
      <w:r w:rsidR="00C62A67" w:rsidRPr="008450F1">
        <w:rPr>
          <w:lang w:val="es-DO"/>
        </w:rPr>
        <w:instrText xml:space="preserve"> \* MERGEFORMAT </w:instrText>
      </w:r>
      <w:r w:rsidR="007D15C8" w:rsidRPr="008450F1">
        <w:rPr>
          <w:lang w:val="es-DO"/>
        </w:rPr>
      </w:r>
      <w:r w:rsidR="007D15C8" w:rsidRPr="008450F1">
        <w:rPr>
          <w:lang w:val="es-DO"/>
        </w:rPr>
        <w:fldChar w:fldCharType="separate"/>
      </w:r>
      <w:r w:rsidR="00D0140E" w:rsidRPr="008450F1">
        <w:rPr>
          <w:lang w:val="es-DO"/>
        </w:rPr>
        <w:t xml:space="preserve">Tabla </w:t>
      </w:r>
      <w:r w:rsidR="00D0140E" w:rsidRPr="008450F1">
        <w:rPr>
          <w:noProof/>
          <w:lang w:val="es-DO"/>
        </w:rPr>
        <w:t>2</w:t>
      </w:r>
      <w:r w:rsidR="007D15C8" w:rsidRPr="008450F1">
        <w:rPr>
          <w:lang w:val="es-DO"/>
        </w:rPr>
        <w:fldChar w:fldCharType="end"/>
      </w:r>
      <w:r w:rsidR="00D10540" w:rsidRPr="00FA5324">
        <w:rPr>
          <w:lang w:val="es-DO"/>
        </w:rPr>
        <w:t xml:space="preserve"> </w:t>
      </w:r>
      <w:r w:rsidRPr="00FA5324">
        <w:rPr>
          <w:lang w:val="es-DO"/>
        </w:rPr>
        <w:t xml:space="preserve">presenta los valores de los parámetros empleados como beneficios para el análisis del componente 2. </w:t>
      </w:r>
    </w:p>
    <w:p w:rsidR="00811B4C" w:rsidRPr="008450F1" w:rsidRDefault="00811B4C" w:rsidP="00AF0916">
      <w:pPr>
        <w:pStyle w:val="Caption"/>
        <w:keepNext/>
        <w:spacing w:after="0"/>
        <w:jc w:val="center"/>
        <w:rPr>
          <w:i w:val="0"/>
          <w:color w:val="auto"/>
          <w:lang w:val="es-DO"/>
        </w:rPr>
      </w:pPr>
      <w:bookmarkStart w:id="14" w:name="_Ref399139071"/>
    </w:p>
    <w:p w:rsidR="007D15C8" w:rsidRPr="00FA5324" w:rsidRDefault="007D15C8" w:rsidP="00FA5324">
      <w:pPr>
        <w:pStyle w:val="Caption"/>
        <w:keepNext/>
        <w:spacing w:after="0"/>
        <w:jc w:val="center"/>
        <w:rPr>
          <w:i w:val="0"/>
          <w:color w:val="auto"/>
          <w:lang w:val="es-DO"/>
        </w:rPr>
      </w:pPr>
      <w:r w:rsidRPr="00FA5324">
        <w:rPr>
          <w:i w:val="0"/>
          <w:color w:val="auto"/>
          <w:lang w:val="es-DO"/>
        </w:rPr>
        <w:t xml:space="preserve">Tabla </w:t>
      </w:r>
      <w:r w:rsidR="00BC2072" w:rsidRPr="00FA5324">
        <w:rPr>
          <w:i w:val="0"/>
          <w:color w:val="auto"/>
          <w:lang w:val="es-DO"/>
        </w:rPr>
        <w:fldChar w:fldCharType="begin"/>
      </w:r>
      <w:r w:rsidR="00BC2072" w:rsidRPr="00FA5324">
        <w:rPr>
          <w:i w:val="0"/>
          <w:color w:val="auto"/>
          <w:lang w:val="es-DO"/>
        </w:rPr>
        <w:instrText xml:space="preserve"> SEQ Tabla \* ARABIC </w:instrText>
      </w:r>
      <w:r w:rsidR="00BC2072" w:rsidRPr="00FA5324">
        <w:rPr>
          <w:i w:val="0"/>
          <w:color w:val="auto"/>
          <w:lang w:val="es-DO"/>
        </w:rPr>
        <w:fldChar w:fldCharType="separate"/>
      </w:r>
      <w:r w:rsidR="00A04D48" w:rsidRPr="00FA5324">
        <w:rPr>
          <w:i w:val="0"/>
          <w:color w:val="auto"/>
          <w:lang w:val="es-DO"/>
        </w:rPr>
        <w:t>2</w:t>
      </w:r>
      <w:r w:rsidR="00BC2072" w:rsidRPr="00FA5324">
        <w:rPr>
          <w:i w:val="0"/>
          <w:color w:val="auto"/>
          <w:lang w:val="es-DO"/>
        </w:rPr>
        <w:fldChar w:fldCharType="end"/>
      </w:r>
      <w:bookmarkEnd w:id="14"/>
      <w:r w:rsidRPr="00FA5324">
        <w:rPr>
          <w:i w:val="0"/>
          <w:color w:val="auto"/>
          <w:lang w:val="es-DO"/>
        </w:rPr>
        <w:t>. Parámetros identificados para el cálculo de los beneficios económicos del componente 2</w:t>
      </w:r>
    </w:p>
    <w:tbl>
      <w:tblPr>
        <w:tblStyle w:val="TableGrid"/>
        <w:tblW w:w="9209" w:type="dxa"/>
        <w:jc w:val="center"/>
        <w:tblLook w:val="04A0" w:firstRow="1" w:lastRow="0" w:firstColumn="1" w:lastColumn="0" w:noHBand="0" w:noVBand="1"/>
      </w:tblPr>
      <w:tblGrid>
        <w:gridCol w:w="2965"/>
        <w:gridCol w:w="2610"/>
        <w:gridCol w:w="3634"/>
      </w:tblGrid>
      <w:tr w:rsidR="00C62A67" w:rsidRPr="008450F1" w:rsidTr="00FA5324">
        <w:trPr>
          <w:tblHeader/>
          <w:jc w:val="center"/>
        </w:trPr>
        <w:tc>
          <w:tcPr>
            <w:tcW w:w="2965" w:type="dxa"/>
            <w:shd w:val="clear" w:color="auto" w:fill="AEAAAA" w:themeFill="background2" w:themeFillShade="BF"/>
            <w:vAlign w:val="center"/>
          </w:tcPr>
          <w:p w:rsidR="00520CF8" w:rsidRPr="00FA5324" w:rsidRDefault="00520CF8" w:rsidP="00AF0916">
            <w:pPr>
              <w:pStyle w:val="Tabla"/>
              <w:jc w:val="center"/>
              <w:rPr>
                <w:rFonts w:ascii="Times New Roman" w:hAnsi="Times New Roman"/>
                <w:b/>
                <w:color w:val="auto"/>
                <w:lang w:val="es-DO"/>
              </w:rPr>
            </w:pPr>
            <w:r w:rsidRPr="00FA5324">
              <w:rPr>
                <w:rFonts w:ascii="Times New Roman" w:hAnsi="Times New Roman"/>
                <w:b/>
                <w:color w:val="auto"/>
                <w:lang w:val="es-DO"/>
              </w:rPr>
              <w:t>Parámetro</w:t>
            </w:r>
          </w:p>
        </w:tc>
        <w:tc>
          <w:tcPr>
            <w:tcW w:w="2610" w:type="dxa"/>
            <w:shd w:val="clear" w:color="auto" w:fill="AEAAAA" w:themeFill="background2" w:themeFillShade="BF"/>
            <w:vAlign w:val="center"/>
          </w:tcPr>
          <w:p w:rsidR="00520CF8" w:rsidRPr="00FA5324" w:rsidRDefault="00520CF8" w:rsidP="00AF0916">
            <w:pPr>
              <w:pStyle w:val="Tabla"/>
              <w:jc w:val="center"/>
              <w:rPr>
                <w:rFonts w:ascii="Times New Roman" w:hAnsi="Times New Roman"/>
                <w:b/>
                <w:color w:val="auto"/>
                <w:lang w:val="es-DO"/>
              </w:rPr>
            </w:pPr>
            <w:r w:rsidRPr="00FA5324">
              <w:rPr>
                <w:rFonts w:ascii="Times New Roman" w:hAnsi="Times New Roman"/>
                <w:b/>
                <w:color w:val="auto"/>
                <w:lang w:val="es-DO"/>
              </w:rPr>
              <w:t>Valor</w:t>
            </w:r>
          </w:p>
        </w:tc>
        <w:tc>
          <w:tcPr>
            <w:tcW w:w="3634" w:type="dxa"/>
            <w:shd w:val="clear" w:color="auto" w:fill="AEAAAA" w:themeFill="background2" w:themeFillShade="BF"/>
            <w:vAlign w:val="center"/>
          </w:tcPr>
          <w:p w:rsidR="00520CF8" w:rsidRPr="00FA5324" w:rsidRDefault="00520CF8" w:rsidP="00AF0916">
            <w:pPr>
              <w:pStyle w:val="Tabla"/>
              <w:jc w:val="center"/>
              <w:rPr>
                <w:rFonts w:ascii="Times New Roman" w:hAnsi="Times New Roman"/>
                <w:b/>
                <w:color w:val="auto"/>
                <w:lang w:val="es-DO"/>
              </w:rPr>
            </w:pPr>
            <w:r w:rsidRPr="00FA5324">
              <w:rPr>
                <w:rFonts w:ascii="Times New Roman" w:hAnsi="Times New Roman"/>
                <w:b/>
                <w:color w:val="auto"/>
                <w:lang w:val="es-DO"/>
              </w:rPr>
              <w:t>Fuente</w:t>
            </w:r>
          </w:p>
        </w:tc>
      </w:tr>
      <w:tr w:rsidR="00C62A67" w:rsidRPr="008450F1" w:rsidTr="00FA5324">
        <w:trPr>
          <w:jc w:val="center"/>
        </w:trPr>
        <w:tc>
          <w:tcPr>
            <w:tcW w:w="2965" w:type="dxa"/>
            <w:vAlign w:val="center"/>
          </w:tcPr>
          <w:p w:rsidR="00FD7A00" w:rsidRPr="00FA5324" w:rsidDel="00432C90" w:rsidRDefault="00FD7A00" w:rsidP="00AF0916">
            <w:pPr>
              <w:pStyle w:val="Tabla"/>
              <w:rPr>
                <w:rFonts w:ascii="Times New Roman" w:hAnsi="Times New Roman"/>
                <w:color w:val="auto"/>
                <w:lang w:val="es-DO"/>
              </w:rPr>
            </w:pPr>
            <w:r w:rsidRPr="008450F1">
              <w:rPr>
                <w:rFonts w:ascii="Times New Roman" w:hAnsi="Times New Roman"/>
                <w:color w:val="auto"/>
                <w:lang w:val="es-DO"/>
              </w:rPr>
              <w:t>Incremento en cotizantes como porcentaje de los ocupados en tres años</w:t>
            </w:r>
          </w:p>
        </w:tc>
        <w:tc>
          <w:tcPr>
            <w:tcW w:w="2610" w:type="dxa"/>
            <w:vAlign w:val="center"/>
          </w:tcPr>
          <w:p w:rsidR="00FD7A00" w:rsidRPr="008450F1" w:rsidDel="00432C90" w:rsidRDefault="00085F12" w:rsidP="00AF0916">
            <w:pPr>
              <w:pStyle w:val="Tabla"/>
              <w:rPr>
                <w:rFonts w:ascii="Times New Roman" w:hAnsi="Times New Roman"/>
                <w:color w:val="auto"/>
                <w:lang w:val="es-DO"/>
              </w:rPr>
            </w:pPr>
            <w:r w:rsidRPr="008450F1">
              <w:rPr>
                <w:rFonts w:ascii="Times New Roman" w:hAnsi="Times New Roman"/>
                <w:color w:val="auto"/>
                <w:lang w:val="es-DO"/>
              </w:rPr>
              <w:t>4</w:t>
            </w:r>
            <w:r w:rsidR="00FD7A00" w:rsidRPr="008450F1">
              <w:rPr>
                <w:rFonts w:ascii="Times New Roman" w:hAnsi="Times New Roman"/>
                <w:color w:val="auto"/>
                <w:lang w:val="es-DO"/>
              </w:rPr>
              <w:t>%</w:t>
            </w:r>
          </w:p>
        </w:tc>
        <w:tc>
          <w:tcPr>
            <w:tcW w:w="3634" w:type="dxa"/>
            <w:vAlign w:val="center"/>
          </w:tcPr>
          <w:p w:rsidR="00FD7A00" w:rsidRPr="00FA5324" w:rsidRDefault="00FD7A00" w:rsidP="00AF0916">
            <w:pPr>
              <w:pStyle w:val="Tabla"/>
              <w:rPr>
                <w:rFonts w:ascii="Times New Roman" w:hAnsi="Times New Roman"/>
                <w:color w:val="auto"/>
                <w:lang w:val="es-DO"/>
              </w:rPr>
            </w:pPr>
            <w:r w:rsidRPr="008450F1">
              <w:rPr>
                <w:rFonts w:ascii="Times New Roman" w:hAnsi="Times New Roman"/>
                <w:color w:val="auto"/>
                <w:lang w:val="es-DO"/>
              </w:rPr>
              <w:t>Matriz de resultados</w:t>
            </w:r>
          </w:p>
        </w:tc>
      </w:tr>
      <w:tr w:rsidR="00C62A67" w:rsidRPr="008450F1" w:rsidTr="00FA5324">
        <w:trPr>
          <w:jc w:val="center"/>
        </w:trPr>
        <w:tc>
          <w:tcPr>
            <w:tcW w:w="2965" w:type="dxa"/>
            <w:vAlign w:val="center"/>
          </w:tcPr>
          <w:p w:rsidR="00520CF8" w:rsidRPr="00FA5324" w:rsidRDefault="00FD7A00" w:rsidP="00AF0916">
            <w:pPr>
              <w:pStyle w:val="Tabla"/>
              <w:rPr>
                <w:rFonts w:ascii="Times New Roman" w:hAnsi="Times New Roman"/>
                <w:color w:val="auto"/>
                <w:lang w:val="es-DO"/>
              </w:rPr>
            </w:pPr>
            <w:r w:rsidRPr="008450F1">
              <w:rPr>
                <w:rFonts w:ascii="Times New Roman" w:hAnsi="Times New Roman"/>
                <w:color w:val="auto"/>
                <w:lang w:val="es-DO"/>
              </w:rPr>
              <w:t>A</w:t>
            </w:r>
            <w:r w:rsidR="00520CF8" w:rsidRPr="008450F1">
              <w:rPr>
                <w:rFonts w:ascii="Times New Roman" w:hAnsi="Times New Roman"/>
                <w:color w:val="auto"/>
                <w:lang w:val="es-DO"/>
              </w:rPr>
              <w:t xml:space="preserve">horro previsional </w:t>
            </w:r>
            <w:r w:rsidR="00D24FA3" w:rsidRPr="008450F1">
              <w:rPr>
                <w:rFonts w:ascii="Times New Roman" w:hAnsi="Times New Roman"/>
                <w:color w:val="auto"/>
                <w:lang w:val="es-DO"/>
              </w:rPr>
              <w:t>cómo</w:t>
            </w:r>
            <w:r w:rsidR="00520CF8" w:rsidRPr="008450F1">
              <w:rPr>
                <w:rFonts w:ascii="Times New Roman" w:hAnsi="Times New Roman"/>
                <w:color w:val="auto"/>
                <w:lang w:val="es-DO"/>
              </w:rPr>
              <w:t xml:space="preserve"> %</w:t>
            </w:r>
            <w:r w:rsidR="00520CF8" w:rsidRPr="00FA5324">
              <w:rPr>
                <w:rFonts w:ascii="Times New Roman" w:hAnsi="Times New Roman"/>
                <w:color w:val="auto"/>
                <w:lang w:val="es-DO"/>
              </w:rPr>
              <w:t xml:space="preserve"> del </w:t>
            </w:r>
            <w:r w:rsidR="00520CF8" w:rsidRPr="008450F1">
              <w:rPr>
                <w:rFonts w:ascii="Times New Roman" w:hAnsi="Times New Roman"/>
                <w:color w:val="auto"/>
                <w:lang w:val="es-DO"/>
              </w:rPr>
              <w:t>PIB</w:t>
            </w:r>
            <w:r w:rsidR="00B57188">
              <w:rPr>
                <w:rStyle w:val="FootnoteReference"/>
                <w:rFonts w:ascii="Times New Roman" w:hAnsi="Times New Roman"/>
                <w:color w:val="auto"/>
                <w:lang w:val="es-DO"/>
              </w:rPr>
              <w:footnoteReference w:id="15"/>
            </w:r>
          </w:p>
        </w:tc>
        <w:tc>
          <w:tcPr>
            <w:tcW w:w="2610" w:type="dxa"/>
            <w:vAlign w:val="center"/>
          </w:tcPr>
          <w:p w:rsidR="00432C90" w:rsidRPr="00FA5324" w:rsidRDefault="00432C90" w:rsidP="00AF0916">
            <w:pPr>
              <w:pStyle w:val="Tabla"/>
              <w:rPr>
                <w:rFonts w:ascii="Times New Roman" w:hAnsi="Times New Roman"/>
                <w:color w:val="auto"/>
                <w:lang w:val="es-DO"/>
              </w:rPr>
            </w:pPr>
            <w:r w:rsidRPr="008450F1">
              <w:rPr>
                <w:rFonts w:ascii="Times New Roman" w:hAnsi="Times New Roman"/>
                <w:color w:val="auto"/>
                <w:lang w:val="es-DO"/>
              </w:rPr>
              <w:t>=  0.00000000909 * ‘</w:t>
            </w:r>
            <w:r w:rsidR="00B51537" w:rsidRPr="008450F1">
              <w:rPr>
                <w:rFonts w:ascii="Times New Roman" w:hAnsi="Times New Roman"/>
                <w:color w:val="auto"/>
                <w:lang w:val="es-DO"/>
              </w:rPr>
              <w:t>Número</w:t>
            </w:r>
            <w:r w:rsidRPr="008450F1">
              <w:rPr>
                <w:rFonts w:ascii="Times New Roman" w:hAnsi="Times New Roman"/>
                <w:color w:val="auto"/>
                <w:lang w:val="es-DO"/>
              </w:rPr>
              <w:t xml:space="preserve"> de Cotizantes Anuales Acumulado’ + 0.027836631</w:t>
            </w:r>
          </w:p>
        </w:tc>
        <w:tc>
          <w:tcPr>
            <w:tcW w:w="3634" w:type="dxa"/>
            <w:vAlign w:val="center"/>
          </w:tcPr>
          <w:p w:rsidR="00520CF8" w:rsidRPr="00FA5324" w:rsidRDefault="00432C90" w:rsidP="00AF0916">
            <w:pPr>
              <w:pStyle w:val="Tabla"/>
              <w:rPr>
                <w:rFonts w:ascii="Times New Roman" w:hAnsi="Times New Roman"/>
                <w:b/>
                <w:color w:val="auto"/>
                <w:lang w:val="es-DO"/>
              </w:rPr>
            </w:pPr>
            <w:r w:rsidRPr="008450F1">
              <w:rPr>
                <w:rFonts w:ascii="Times New Roman" w:hAnsi="Times New Roman"/>
                <w:color w:val="auto"/>
                <w:lang w:val="es-DO"/>
              </w:rPr>
              <w:t>Correlaci</w:t>
            </w:r>
            <w:r w:rsidR="00005565" w:rsidRPr="008450F1">
              <w:rPr>
                <w:rFonts w:ascii="Times New Roman" w:hAnsi="Times New Roman"/>
                <w:color w:val="auto"/>
                <w:lang w:val="es-DO"/>
              </w:rPr>
              <w:t>ó</w:t>
            </w:r>
            <w:r w:rsidRPr="008450F1">
              <w:rPr>
                <w:rFonts w:ascii="Times New Roman" w:hAnsi="Times New Roman"/>
                <w:color w:val="auto"/>
                <w:lang w:val="es-DO"/>
              </w:rPr>
              <w:t>n a partir de los datos hist</w:t>
            </w:r>
            <w:r w:rsidR="00005565" w:rsidRPr="008450F1">
              <w:rPr>
                <w:rFonts w:ascii="Times New Roman" w:hAnsi="Times New Roman"/>
                <w:color w:val="auto"/>
                <w:lang w:val="es-DO"/>
              </w:rPr>
              <w:t>ó</w:t>
            </w:r>
            <w:r w:rsidRPr="008450F1">
              <w:rPr>
                <w:rFonts w:ascii="Times New Roman" w:hAnsi="Times New Roman"/>
                <w:color w:val="auto"/>
                <w:lang w:val="es-DO"/>
              </w:rPr>
              <w:t>ricos</w:t>
            </w:r>
          </w:p>
        </w:tc>
      </w:tr>
      <w:tr w:rsidR="00C62A67" w:rsidRPr="008450F1" w:rsidTr="00FA5324">
        <w:trPr>
          <w:jc w:val="center"/>
        </w:trPr>
        <w:tc>
          <w:tcPr>
            <w:tcW w:w="2965" w:type="dxa"/>
            <w:vAlign w:val="center"/>
          </w:tcPr>
          <w:p w:rsidR="00232BB3" w:rsidRPr="00FA5324" w:rsidDel="00A5757E" w:rsidRDefault="00152EE6" w:rsidP="00AF0916">
            <w:pPr>
              <w:pStyle w:val="Tabla"/>
              <w:rPr>
                <w:rFonts w:ascii="Times New Roman" w:hAnsi="Times New Roman"/>
                <w:color w:val="auto"/>
                <w:lang w:val="es-DO"/>
              </w:rPr>
            </w:pPr>
            <w:r w:rsidRPr="008450F1">
              <w:rPr>
                <w:rFonts w:ascii="Times New Roman" w:hAnsi="Times New Roman"/>
                <w:color w:val="auto"/>
                <w:lang w:val="es-DO"/>
              </w:rPr>
              <w:t>C</w:t>
            </w:r>
            <w:r w:rsidR="00232BB3" w:rsidRPr="008450F1">
              <w:rPr>
                <w:rFonts w:ascii="Times New Roman" w:hAnsi="Times New Roman"/>
                <w:color w:val="auto"/>
                <w:lang w:val="es-DO"/>
              </w:rPr>
              <w:t xml:space="preserve">recimiento del PIB por cada punto porcentual de incremento en el </w:t>
            </w:r>
            <w:r w:rsidR="00B51537" w:rsidRPr="008450F1">
              <w:rPr>
                <w:rFonts w:ascii="Times New Roman" w:hAnsi="Times New Roman"/>
                <w:color w:val="auto"/>
                <w:lang w:val="es-DO"/>
              </w:rPr>
              <w:t>número</w:t>
            </w:r>
            <w:r w:rsidR="00232BB3" w:rsidRPr="008450F1">
              <w:rPr>
                <w:rFonts w:ascii="Times New Roman" w:hAnsi="Times New Roman"/>
                <w:color w:val="auto"/>
                <w:lang w:val="es-DO"/>
              </w:rPr>
              <w:t xml:space="preserve"> de cotizantes sobre ocupados</w:t>
            </w:r>
          </w:p>
        </w:tc>
        <w:tc>
          <w:tcPr>
            <w:tcW w:w="2610" w:type="dxa"/>
            <w:vAlign w:val="center"/>
          </w:tcPr>
          <w:p w:rsidR="00232BB3" w:rsidRPr="00FA5324" w:rsidDel="00432C90" w:rsidRDefault="00CD262F" w:rsidP="00AF0916">
            <w:pPr>
              <w:pStyle w:val="Tabla"/>
              <w:rPr>
                <w:rFonts w:ascii="Times New Roman" w:hAnsi="Times New Roman"/>
                <w:color w:val="auto"/>
                <w:lang w:val="es-DO"/>
              </w:rPr>
            </w:pPr>
            <w:r w:rsidRPr="00FA5324">
              <w:rPr>
                <w:rFonts w:ascii="Times New Roman" w:hAnsi="Times New Roman"/>
                <w:color w:val="auto"/>
                <w:lang w:val="es-DO"/>
              </w:rPr>
              <w:t>0.</w:t>
            </w:r>
            <w:r w:rsidRPr="008450F1">
              <w:rPr>
                <w:rFonts w:ascii="Times New Roman" w:hAnsi="Times New Roman"/>
                <w:color w:val="auto"/>
                <w:lang w:val="es-DO"/>
              </w:rPr>
              <w:t>24</w:t>
            </w:r>
            <w:r w:rsidR="008D2912" w:rsidRPr="008450F1">
              <w:rPr>
                <w:rFonts w:ascii="Times New Roman" w:hAnsi="Times New Roman"/>
                <w:color w:val="auto"/>
                <w:lang w:val="es-DO"/>
              </w:rPr>
              <w:t>%</w:t>
            </w:r>
          </w:p>
        </w:tc>
        <w:tc>
          <w:tcPr>
            <w:tcW w:w="3634" w:type="dxa"/>
            <w:vAlign w:val="center"/>
          </w:tcPr>
          <w:p w:rsidR="00232BB3" w:rsidRPr="00FA5324" w:rsidDel="00432C90" w:rsidRDefault="00232BB3" w:rsidP="00AF0916">
            <w:pPr>
              <w:pStyle w:val="Tabla"/>
              <w:rPr>
                <w:rFonts w:ascii="Times New Roman" w:hAnsi="Times New Roman"/>
                <w:color w:val="auto"/>
                <w:lang w:val="es-DO"/>
              </w:rPr>
            </w:pPr>
            <w:r w:rsidRPr="008450F1">
              <w:rPr>
                <w:rFonts w:ascii="Times New Roman" w:hAnsi="Times New Roman"/>
                <w:color w:val="auto"/>
                <w:lang w:val="es-DO"/>
              </w:rPr>
              <w:t xml:space="preserve">Se emplea el </w:t>
            </w:r>
            <w:r w:rsidR="00CD262F" w:rsidRPr="008450F1">
              <w:rPr>
                <w:rFonts w:ascii="Times New Roman" w:hAnsi="Times New Roman"/>
                <w:color w:val="auto"/>
                <w:lang w:val="es-DO"/>
              </w:rPr>
              <w:t>3</w:t>
            </w:r>
            <w:r w:rsidRPr="008450F1">
              <w:rPr>
                <w:rFonts w:ascii="Times New Roman" w:hAnsi="Times New Roman"/>
                <w:color w:val="auto"/>
                <w:lang w:val="es-DO"/>
              </w:rPr>
              <w:t>0% del valor estimado para Chile, con un crecimiento del PIB por causa de Canal 2 de 0.08% y un incremento de los cotizantes sobre los ocupados del 1</w:t>
            </w:r>
            <w:r w:rsidR="00AB058A" w:rsidRPr="008450F1">
              <w:rPr>
                <w:rFonts w:ascii="Times New Roman" w:hAnsi="Times New Roman"/>
                <w:color w:val="auto"/>
                <w:lang w:val="es-DO"/>
              </w:rPr>
              <w:t>0</w:t>
            </w:r>
            <w:r w:rsidRPr="008450F1">
              <w:rPr>
                <w:rFonts w:ascii="Times New Roman" w:hAnsi="Times New Roman"/>
                <w:color w:val="auto"/>
                <w:lang w:val="es-DO"/>
              </w:rPr>
              <w:t>%</w:t>
            </w:r>
          </w:p>
        </w:tc>
      </w:tr>
      <w:tr w:rsidR="00C62A67" w:rsidRPr="008450F1" w:rsidTr="00FA5324">
        <w:trPr>
          <w:jc w:val="center"/>
        </w:trPr>
        <w:tc>
          <w:tcPr>
            <w:tcW w:w="2965" w:type="dxa"/>
            <w:vAlign w:val="center"/>
          </w:tcPr>
          <w:p w:rsidR="00432C90" w:rsidRPr="00FA5324" w:rsidRDefault="00152EE6" w:rsidP="00AF0916">
            <w:pPr>
              <w:pStyle w:val="Tabla"/>
              <w:rPr>
                <w:rFonts w:ascii="Times New Roman" w:hAnsi="Times New Roman"/>
                <w:color w:val="auto"/>
                <w:lang w:val="es-DO"/>
              </w:rPr>
            </w:pPr>
            <w:r w:rsidRPr="008450F1">
              <w:rPr>
                <w:rFonts w:ascii="Times New Roman" w:hAnsi="Times New Roman"/>
                <w:color w:val="auto"/>
                <w:lang w:val="es-DO"/>
              </w:rPr>
              <w:t>C</w:t>
            </w:r>
            <w:r w:rsidR="00FD7A00" w:rsidRPr="008450F1">
              <w:rPr>
                <w:rFonts w:ascii="Times New Roman" w:hAnsi="Times New Roman"/>
                <w:color w:val="auto"/>
                <w:lang w:val="es-DO"/>
              </w:rPr>
              <w:t>recimiento del PIB por cada punto porcentual de</w:t>
            </w:r>
            <w:r w:rsidR="00FD7A00" w:rsidRPr="00FA5324">
              <w:rPr>
                <w:rFonts w:ascii="Times New Roman" w:hAnsi="Times New Roman"/>
                <w:color w:val="auto"/>
                <w:lang w:val="es-DO"/>
              </w:rPr>
              <w:t xml:space="preserve"> ahorro previ</w:t>
            </w:r>
            <w:r w:rsidR="00005565" w:rsidRPr="00FA5324">
              <w:rPr>
                <w:rFonts w:ascii="Times New Roman" w:hAnsi="Times New Roman"/>
                <w:color w:val="auto"/>
                <w:lang w:val="es-DO"/>
              </w:rPr>
              <w:t>s</w:t>
            </w:r>
            <w:r w:rsidR="00FD7A00" w:rsidRPr="00FA5324">
              <w:rPr>
                <w:rFonts w:ascii="Times New Roman" w:hAnsi="Times New Roman"/>
                <w:color w:val="auto"/>
                <w:lang w:val="es-DO"/>
              </w:rPr>
              <w:t xml:space="preserve">ional </w:t>
            </w:r>
            <w:r w:rsidR="00FD7A00" w:rsidRPr="008450F1">
              <w:rPr>
                <w:rFonts w:ascii="Times New Roman" w:hAnsi="Times New Roman"/>
                <w:color w:val="auto"/>
                <w:lang w:val="es-DO"/>
              </w:rPr>
              <w:t>como porcentaje</w:t>
            </w:r>
            <w:r w:rsidR="00FD7A00" w:rsidRPr="00FA5324">
              <w:rPr>
                <w:rFonts w:ascii="Times New Roman" w:hAnsi="Times New Roman"/>
                <w:color w:val="auto"/>
                <w:lang w:val="es-DO"/>
              </w:rPr>
              <w:t xml:space="preserve"> del PIB</w:t>
            </w:r>
          </w:p>
        </w:tc>
        <w:tc>
          <w:tcPr>
            <w:tcW w:w="2610" w:type="dxa"/>
            <w:vAlign w:val="center"/>
          </w:tcPr>
          <w:p w:rsidR="00432C90" w:rsidRPr="00FA5324" w:rsidDel="00432C90" w:rsidRDefault="008D2912" w:rsidP="00AF0916">
            <w:pPr>
              <w:pStyle w:val="Tabla"/>
              <w:rPr>
                <w:rFonts w:ascii="Times New Roman" w:hAnsi="Times New Roman"/>
                <w:color w:val="auto"/>
                <w:lang w:val="es-DO"/>
              </w:rPr>
            </w:pPr>
            <w:r w:rsidRPr="008450F1">
              <w:rPr>
                <w:rFonts w:ascii="Times New Roman" w:hAnsi="Times New Roman"/>
                <w:color w:val="auto"/>
                <w:lang w:val="es-DO"/>
              </w:rPr>
              <w:t>0.</w:t>
            </w:r>
            <w:r w:rsidR="00CD262F" w:rsidRPr="008450F1">
              <w:rPr>
                <w:rFonts w:ascii="Times New Roman" w:hAnsi="Times New Roman"/>
                <w:color w:val="auto"/>
                <w:lang w:val="es-DO"/>
              </w:rPr>
              <w:t>1</w:t>
            </w:r>
            <w:r w:rsidRPr="008450F1">
              <w:rPr>
                <w:rFonts w:ascii="Times New Roman" w:hAnsi="Times New Roman"/>
                <w:color w:val="auto"/>
                <w:lang w:val="es-DO"/>
              </w:rPr>
              <w:t>%</w:t>
            </w:r>
          </w:p>
        </w:tc>
        <w:tc>
          <w:tcPr>
            <w:tcW w:w="3634" w:type="dxa"/>
            <w:vAlign w:val="center"/>
          </w:tcPr>
          <w:p w:rsidR="00432C90" w:rsidRPr="00FA5324" w:rsidDel="00432C90" w:rsidRDefault="00FD7A00" w:rsidP="00AF0916">
            <w:pPr>
              <w:pStyle w:val="Tabla"/>
              <w:rPr>
                <w:rFonts w:ascii="Times New Roman" w:hAnsi="Times New Roman"/>
                <w:color w:val="auto"/>
                <w:lang w:val="es-DO"/>
              </w:rPr>
            </w:pPr>
            <w:r w:rsidRPr="008450F1">
              <w:rPr>
                <w:rFonts w:ascii="Times New Roman" w:hAnsi="Times New Roman"/>
                <w:color w:val="auto"/>
                <w:lang w:val="es-DO"/>
              </w:rPr>
              <w:t xml:space="preserve">Se emplea el </w:t>
            </w:r>
            <w:r w:rsidR="00CD262F" w:rsidRPr="008450F1">
              <w:rPr>
                <w:rFonts w:ascii="Times New Roman" w:hAnsi="Times New Roman"/>
                <w:color w:val="auto"/>
                <w:lang w:val="es-DO"/>
              </w:rPr>
              <w:t>3</w:t>
            </w:r>
            <w:r w:rsidRPr="008450F1">
              <w:rPr>
                <w:rFonts w:ascii="Times New Roman" w:hAnsi="Times New Roman"/>
                <w:color w:val="auto"/>
                <w:lang w:val="es-DO"/>
              </w:rPr>
              <w:t>0% del valor estimado para Chile, con un crecimiento del PIB por causa de Canal 2 de 0.2% y un porcentaje de ahorro como parte del PIB del 60%</w:t>
            </w:r>
          </w:p>
        </w:tc>
      </w:tr>
    </w:tbl>
    <w:p w:rsidR="00AE05DA" w:rsidRPr="008450F1" w:rsidRDefault="008B4A04" w:rsidP="00AF0916">
      <w:pPr>
        <w:spacing w:after="0" w:line="240" w:lineRule="auto"/>
        <w:ind w:left="720" w:hanging="720"/>
        <w:jc w:val="left"/>
        <w:rPr>
          <w:i/>
          <w:sz w:val="18"/>
          <w:lang w:val="es-DO"/>
        </w:rPr>
      </w:pPr>
      <w:r w:rsidRPr="008450F1">
        <w:rPr>
          <w:i/>
          <w:sz w:val="18"/>
          <w:lang w:val="es-DO"/>
        </w:rPr>
        <w:t>Fuente: elaboración propia con base en la revisión</w:t>
      </w:r>
      <w:r w:rsidR="006834EB" w:rsidRPr="008450F1">
        <w:rPr>
          <w:i/>
          <w:sz w:val="18"/>
          <w:lang w:val="es-DO"/>
        </w:rPr>
        <w:t>.</w:t>
      </w:r>
    </w:p>
    <w:p w:rsidR="00811B4C" w:rsidRPr="008450F1" w:rsidRDefault="00811B4C" w:rsidP="00AF0916">
      <w:pPr>
        <w:pStyle w:val="Heading5"/>
        <w:spacing w:before="0" w:after="0" w:line="240" w:lineRule="auto"/>
        <w:rPr>
          <w:rFonts w:ascii="Times New Roman" w:hAnsi="Times New Roman"/>
          <w:b/>
          <w:color w:val="auto"/>
          <w:sz w:val="22"/>
          <w:u w:val="single"/>
          <w:lang w:val="es-DO"/>
        </w:rPr>
      </w:pPr>
    </w:p>
    <w:p w:rsidR="005A2399" w:rsidRPr="008450F1" w:rsidRDefault="005A2399" w:rsidP="00AF0916">
      <w:pPr>
        <w:pStyle w:val="Heading5"/>
        <w:spacing w:before="0" w:after="0" w:line="240" w:lineRule="auto"/>
        <w:rPr>
          <w:rFonts w:ascii="Times New Roman" w:hAnsi="Times New Roman"/>
          <w:b/>
          <w:color w:val="auto"/>
          <w:sz w:val="22"/>
          <w:u w:val="single"/>
          <w:lang w:val="es-DO"/>
        </w:rPr>
      </w:pPr>
      <w:r w:rsidRPr="008450F1">
        <w:rPr>
          <w:rFonts w:ascii="Times New Roman" w:hAnsi="Times New Roman"/>
          <w:b/>
          <w:color w:val="auto"/>
          <w:sz w:val="22"/>
          <w:u w:val="single"/>
          <w:lang w:val="es-DO"/>
        </w:rPr>
        <w:t>Costos</w:t>
      </w:r>
    </w:p>
    <w:p w:rsidR="00811B4C" w:rsidRPr="00FA5324" w:rsidRDefault="00811B4C" w:rsidP="00FA5324">
      <w:pPr>
        <w:spacing w:after="0" w:line="240" w:lineRule="auto"/>
        <w:rPr>
          <w:lang w:val="es-DO"/>
        </w:rPr>
      </w:pPr>
    </w:p>
    <w:p w:rsidR="0051371E" w:rsidRPr="00FA5324" w:rsidRDefault="0061037C" w:rsidP="00FA5324">
      <w:pPr>
        <w:spacing w:after="0" w:line="240" w:lineRule="auto"/>
        <w:rPr>
          <w:lang w:val="es-DO"/>
        </w:rPr>
      </w:pPr>
      <w:r w:rsidRPr="00FA5324">
        <w:rPr>
          <w:lang w:val="es-DO"/>
        </w:rPr>
        <w:t xml:space="preserve">Para valorar los costos </w:t>
      </w:r>
      <w:r w:rsidR="00B769F4" w:rsidRPr="00FA5324">
        <w:rPr>
          <w:lang w:val="es-DO"/>
        </w:rPr>
        <w:t>se busc</w:t>
      </w:r>
      <w:r w:rsidR="00D10540" w:rsidRPr="00FA5324">
        <w:rPr>
          <w:lang w:val="es-DO"/>
        </w:rPr>
        <w:t>ó</w:t>
      </w:r>
      <w:r w:rsidR="00B769F4" w:rsidRPr="00FA5324">
        <w:rPr>
          <w:lang w:val="es-DO"/>
        </w:rPr>
        <w:t xml:space="preserve"> </w:t>
      </w:r>
      <w:r w:rsidR="001C2A42" w:rsidRPr="008450F1">
        <w:rPr>
          <w:lang w:val="es-DO"/>
        </w:rPr>
        <w:t xml:space="preserve">el presupuesto del último año </w:t>
      </w:r>
      <w:r w:rsidR="00B769F4" w:rsidRPr="00FA5324">
        <w:rPr>
          <w:lang w:val="es-DO"/>
        </w:rPr>
        <w:t xml:space="preserve">en </w:t>
      </w:r>
      <w:r w:rsidR="00D10540" w:rsidRPr="00FA5324">
        <w:rPr>
          <w:lang w:val="es-DO"/>
        </w:rPr>
        <w:t>los</w:t>
      </w:r>
      <w:r w:rsidR="00B769F4" w:rsidRPr="00FA5324">
        <w:rPr>
          <w:lang w:val="es-DO"/>
        </w:rPr>
        <w:t xml:space="preserve"> </w:t>
      </w:r>
      <w:r w:rsidR="003A2E41" w:rsidRPr="00FA5324">
        <w:rPr>
          <w:lang w:val="es-DO"/>
        </w:rPr>
        <w:t>sitios</w:t>
      </w:r>
      <w:r w:rsidR="00B769F4" w:rsidRPr="00FA5324">
        <w:rPr>
          <w:lang w:val="es-DO"/>
        </w:rPr>
        <w:t xml:space="preserve"> web de las instituciones del sistema de seguridad social de varios países </w:t>
      </w:r>
      <w:r w:rsidR="00D0140E" w:rsidRPr="008450F1">
        <w:rPr>
          <w:lang w:val="es-DO"/>
        </w:rPr>
        <w:t>l</w:t>
      </w:r>
      <w:r w:rsidR="00B769F4" w:rsidRPr="008450F1">
        <w:rPr>
          <w:lang w:val="es-DO"/>
        </w:rPr>
        <w:t>atino</w:t>
      </w:r>
      <w:r w:rsidR="00D0140E" w:rsidRPr="008450F1">
        <w:rPr>
          <w:lang w:val="es-DO"/>
        </w:rPr>
        <w:t>a</w:t>
      </w:r>
      <w:r w:rsidR="00B769F4" w:rsidRPr="008450F1">
        <w:rPr>
          <w:lang w:val="es-DO"/>
        </w:rPr>
        <w:t>mericanos</w:t>
      </w:r>
      <w:r w:rsidR="001C2A42" w:rsidRPr="008450F1">
        <w:rPr>
          <w:lang w:val="es-DO"/>
        </w:rPr>
        <w:t>.</w:t>
      </w:r>
      <w:r w:rsidR="00B769F4" w:rsidRPr="008450F1">
        <w:rPr>
          <w:lang w:val="es-DO"/>
        </w:rPr>
        <w:t xml:space="preserve"> </w:t>
      </w:r>
      <w:r w:rsidR="001C2A42" w:rsidRPr="008450F1">
        <w:rPr>
          <w:lang w:val="es-DO"/>
        </w:rPr>
        <w:t>Dentro</w:t>
      </w:r>
      <w:r w:rsidR="001C2A42" w:rsidRPr="00FA5324">
        <w:rPr>
          <w:lang w:val="es-DO"/>
        </w:rPr>
        <w:t xml:space="preserve"> </w:t>
      </w:r>
      <w:r w:rsidR="00B769F4" w:rsidRPr="00FA5324">
        <w:rPr>
          <w:lang w:val="es-DO"/>
        </w:rPr>
        <w:t xml:space="preserve">de este se buscaron las actividades que pudiesen ser equiparables con las </w:t>
      </w:r>
      <w:r w:rsidR="001C2A42" w:rsidRPr="008450F1">
        <w:rPr>
          <w:lang w:val="es-DO"/>
        </w:rPr>
        <w:t xml:space="preserve">actividades </w:t>
      </w:r>
      <w:r w:rsidR="00B769F4" w:rsidRPr="00FA5324">
        <w:rPr>
          <w:lang w:val="es-DO"/>
        </w:rPr>
        <w:t xml:space="preserve">de la operación. </w:t>
      </w:r>
      <w:r w:rsidR="007E70A2" w:rsidRPr="00FA5324">
        <w:rPr>
          <w:lang w:val="es-DO"/>
        </w:rPr>
        <w:t>También</w:t>
      </w:r>
      <w:r w:rsidR="003A2E41" w:rsidRPr="00FA5324">
        <w:rPr>
          <w:lang w:val="es-DO"/>
        </w:rPr>
        <w:t xml:space="preserve"> se </w:t>
      </w:r>
      <w:r w:rsidR="003A2E41" w:rsidRPr="008450F1">
        <w:rPr>
          <w:lang w:val="es-DO"/>
        </w:rPr>
        <w:t>busc</w:t>
      </w:r>
      <w:r w:rsidR="00D0140E" w:rsidRPr="008450F1">
        <w:rPr>
          <w:lang w:val="es-DO"/>
        </w:rPr>
        <w:t>aron</w:t>
      </w:r>
      <w:r w:rsidR="00D0140E" w:rsidRPr="00FA5324">
        <w:rPr>
          <w:lang w:val="es-DO"/>
        </w:rPr>
        <w:t xml:space="preserve"> </w:t>
      </w:r>
      <w:r w:rsidR="00B769F4" w:rsidRPr="00FA5324">
        <w:rPr>
          <w:lang w:val="es-DO"/>
        </w:rPr>
        <w:t xml:space="preserve">proyectos del BID que tuvieran </w:t>
      </w:r>
      <w:r w:rsidR="001C2A42" w:rsidRPr="00FA5324">
        <w:rPr>
          <w:lang w:val="es-DO"/>
        </w:rPr>
        <w:t>intervenciones similares</w:t>
      </w:r>
      <w:r w:rsidR="001C2A42" w:rsidRPr="008450F1">
        <w:rPr>
          <w:lang w:val="es-DO"/>
        </w:rPr>
        <w:t xml:space="preserve"> </w:t>
      </w:r>
      <w:r w:rsidR="00B769F4" w:rsidRPr="008450F1">
        <w:rPr>
          <w:lang w:val="es-DO"/>
        </w:rPr>
        <w:t>costead</w:t>
      </w:r>
      <w:r w:rsidR="001C2A42" w:rsidRPr="008450F1">
        <w:rPr>
          <w:lang w:val="es-DO"/>
        </w:rPr>
        <w:t>a</w:t>
      </w:r>
      <w:r w:rsidR="00B769F4" w:rsidRPr="008450F1">
        <w:rPr>
          <w:lang w:val="es-DO"/>
        </w:rPr>
        <w:t>s</w:t>
      </w:r>
      <w:r w:rsidR="005D22B2" w:rsidRPr="00FA5324">
        <w:rPr>
          <w:lang w:val="es-DO"/>
        </w:rPr>
        <w:t xml:space="preserve">. </w:t>
      </w:r>
      <w:r w:rsidR="00A50345" w:rsidRPr="00FA5324">
        <w:rPr>
          <w:lang w:val="es-DO"/>
        </w:rPr>
        <w:t xml:space="preserve">En la </w:t>
      </w:r>
      <w:r w:rsidR="00875AEB" w:rsidRPr="00FA5324">
        <w:rPr>
          <w:lang w:val="es-DO"/>
        </w:rPr>
        <w:t xml:space="preserve">Tabla 3 </w:t>
      </w:r>
      <w:r w:rsidR="00A50345" w:rsidRPr="00FA5324">
        <w:rPr>
          <w:lang w:val="es-DO"/>
        </w:rPr>
        <w:t xml:space="preserve">se presentan los </w:t>
      </w:r>
      <w:r w:rsidR="007E70A2" w:rsidRPr="00FA5324">
        <w:rPr>
          <w:lang w:val="es-DO"/>
        </w:rPr>
        <w:t>parámetros</w:t>
      </w:r>
      <w:r w:rsidR="00A50345" w:rsidRPr="00FA5324">
        <w:rPr>
          <w:lang w:val="es-DO"/>
        </w:rPr>
        <w:t xml:space="preserve"> de costos empleados en el modelo a partir de la </w:t>
      </w:r>
      <w:r w:rsidR="003A2E41" w:rsidRPr="00FA5324">
        <w:rPr>
          <w:lang w:val="es-DO"/>
        </w:rPr>
        <w:t>revisión</w:t>
      </w:r>
      <w:r w:rsidR="00A50345" w:rsidRPr="00FA5324">
        <w:rPr>
          <w:lang w:val="es-DO"/>
        </w:rPr>
        <w:t xml:space="preserve"> de </w:t>
      </w:r>
      <w:r w:rsidR="00A50345" w:rsidRPr="008450F1">
        <w:rPr>
          <w:lang w:val="es-DO"/>
        </w:rPr>
        <w:t>referen</w:t>
      </w:r>
      <w:r w:rsidR="001C2A42" w:rsidRPr="008450F1">
        <w:rPr>
          <w:lang w:val="es-DO"/>
        </w:rPr>
        <w:t>cia</w:t>
      </w:r>
      <w:r w:rsidR="00A50345" w:rsidRPr="008450F1">
        <w:rPr>
          <w:lang w:val="es-DO"/>
        </w:rPr>
        <w:t>s</w:t>
      </w:r>
      <w:r w:rsidR="00A50345" w:rsidRPr="00FA5324">
        <w:rPr>
          <w:lang w:val="es-DO"/>
        </w:rPr>
        <w:t xml:space="preserve"> internacionales.</w:t>
      </w:r>
      <w:r w:rsidR="006970E0" w:rsidRPr="00FA5324">
        <w:rPr>
          <w:lang w:val="es-DO"/>
        </w:rPr>
        <w:t xml:space="preserve"> </w:t>
      </w:r>
    </w:p>
    <w:p w:rsidR="00811B4C" w:rsidRPr="008450F1" w:rsidRDefault="00811B4C" w:rsidP="00AF0916">
      <w:pPr>
        <w:spacing w:after="0" w:line="240" w:lineRule="auto"/>
        <w:rPr>
          <w:lang w:val="es-DO"/>
        </w:rPr>
      </w:pPr>
    </w:p>
    <w:p w:rsidR="006970E0" w:rsidRPr="00FA5324" w:rsidRDefault="003A2E41" w:rsidP="00FA5324">
      <w:pPr>
        <w:spacing w:after="0" w:line="240" w:lineRule="auto"/>
        <w:rPr>
          <w:lang w:val="es-DO"/>
        </w:rPr>
      </w:pPr>
      <w:r w:rsidRPr="00FA5324">
        <w:rPr>
          <w:lang w:val="es-DO"/>
        </w:rPr>
        <w:t>La mayorí</w:t>
      </w:r>
      <w:r w:rsidR="006970E0" w:rsidRPr="00FA5324">
        <w:rPr>
          <w:lang w:val="es-DO"/>
        </w:rPr>
        <w:t xml:space="preserve">a de los costos se obtuvieron de Colombia por la disponibilidad de información y </w:t>
      </w:r>
      <w:r w:rsidR="001C2A42" w:rsidRPr="008450F1">
        <w:rPr>
          <w:lang w:val="es-DO"/>
        </w:rPr>
        <w:t xml:space="preserve">la </w:t>
      </w:r>
      <w:r w:rsidR="006970E0" w:rsidRPr="00FA5324">
        <w:rPr>
          <w:lang w:val="es-DO"/>
        </w:rPr>
        <w:t>comparabilidad de los sistemas.</w:t>
      </w:r>
      <w:r w:rsidR="001C2A42" w:rsidRPr="008450F1">
        <w:rPr>
          <w:rStyle w:val="FootnoteReference"/>
          <w:lang w:val="es-DO"/>
        </w:rPr>
        <w:footnoteReference w:id="16"/>
      </w:r>
      <w:r w:rsidR="006970E0" w:rsidRPr="00FA5324">
        <w:rPr>
          <w:lang w:val="es-DO"/>
        </w:rPr>
        <w:t xml:space="preserve"> Algunos datos se obtuvieron de Chile. </w:t>
      </w:r>
      <w:r w:rsidR="001C2A42" w:rsidRPr="008450F1">
        <w:rPr>
          <w:lang w:val="es-DO"/>
        </w:rPr>
        <w:t>Para la estimación, l</w:t>
      </w:r>
      <w:r w:rsidR="006970E0" w:rsidRPr="008450F1">
        <w:rPr>
          <w:lang w:val="es-DO"/>
        </w:rPr>
        <w:t>os</w:t>
      </w:r>
      <w:r w:rsidR="006970E0" w:rsidRPr="00FA5324">
        <w:rPr>
          <w:lang w:val="es-DO"/>
        </w:rPr>
        <w:t xml:space="preserve"> costos se convirtieron primero a dólares empleando la equivalencia por paridad adquisitiva </w:t>
      </w:r>
      <w:r w:rsidR="00D0140E" w:rsidRPr="008450F1">
        <w:rPr>
          <w:lang w:val="es-DO"/>
        </w:rPr>
        <w:t>-</w:t>
      </w:r>
      <w:r w:rsidR="006970E0" w:rsidRPr="00FA5324">
        <w:rPr>
          <w:lang w:val="es-DO"/>
        </w:rPr>
        <w:t xml:space="preserve">PPP-, se indexaron al año 2015 según el </w:t>
      </w:r>
      <w:r w:rsidR="00174625" w:rsidRPr="008450F1">
        <w:rPr>
          <w:lang w:val="es-DO"/>
        </w:rPr>
        <w:t>Índice de Precio al Consumidor (</w:t>
      </w:r>
      <w:r w:rsidR="006970E0" w:rsidRPr="00FA5324">
        <w:rPr>
          <w:lang w:val="es-DO"/>
        </w:rPr>
        <w:t>IPC</w:t>
      </w:r>
      <w:r w:rsidR="00174625" w:rsidRPr="008450F1">
        <w:rPr>
          <w:lang w:val="es-DO"/>
        </w:rPr>
        <w:t>)</w:t>
      </w:r>
      <w:r w:rsidR="006970E0" w:rsidRPr="00FA5324">
        <w:rPr>
          <w:lang w:val="es-DO"/>
        </w:rPr>
        <w:t xml:space="preserve"> de Estados Unidos y </w:t>
      </w:r>
      <w:r w:rsidR="00523B46" w:rsidRPr="008450F1">
        <w:rPr>
          <w:lang w:val="es-DO"/>
        </w:rPr>
        <w:t xml:space="preserve">luego </w:t>
      </w:r>
      <w:r w:rsidR="006970E0" w:rsidRPr="00FA5324">
        <w:rPr>
          <w:lang w:val="es-DO"/>
        </w:rPr>
        <w:t xml:space="preserve">se convirtieron a </w:t>
      </w:r>
      <w:r w:rsidR="00174625" w:rsidRPr="008450F1">
        <w:rPr>
          <w:lang w:val="es-DO"/>
        </w:rPr>
        <w:t>pesos dominicanos (</w:t>
      </w:r>
      <w:r w:rsidR="006970E0" w:rsidRPr="00FA5324">
        <w:rPr>
          <w:lang w:val="es-DO"/>
        </w:rPr>
        <w:t>DOP</w:t>
      </w:r>
      <w:r w:rsidR="00174625" w:rsidRPr="008450F1">
        <w:rPr>
          <w:lang w:val="es-DO"/>
        </w:rPr>
        <w:t>)</w:t>
      </w:r>
      <w:r w:rsidR="006970E0" w:rsidRPr="00FA5324">
        <w:rPr>
          <w:lang w:val="es-DO"/>
        </w:rPr>
        <w:t xml:space="preserve"> empleando la tasa de PPP. En la </w:t>
      </w:r>
      <w:r w:rsidR="007D15C8" w:rsidRPr="008450F1">
        <w:rPr>
          <w:lang w:val="es-DO"/>
        </w:rPr>
        <w:fldChar w:fldCharType="begin"/>
      </w:r>
      <w:r w:rsidR="007D15C8" w:rsidRPr="008450F1">
        <w:rPr>
          <w:lang w:val="es-DO"/>
        </w:rPr>
        <w:instrText xml:space="preserve"> REF _Ref399139140 \h </w:instrText>
      </w:r>
      <w:r w:rsidR="00C62A67" w:rsidRPr="008450F1">
        <w:rPr>
          <w:lang w:val="es-DO"/>
        </w:rPr>
        <w:instrText xml:space="preserve"> \* MERGEFORMAT </w:instrText>
      </w:r>
      <w:r w:rsidR="007D15C8" w:rsidRPr="008450F1">
        <w:rPr>
          <w:lang w:val="es-DO"/>
        </w:rPr>
      </w:r>
      <w:r w:rsidR="007D15C8" w:rsidRPr="008450F1">
        <w:rPr>
          <w:lang w:val="es-DO"/>
        </w:rPr>
        <w:fldChar w:fldCharType="separate"/>
      </w:r>
      <w:r w:rsidR="00A04D48" w:rsidRPr="008450F1">
        <w:rPr>
          <w:lang w:val="es-DO"/>
        </w:rPr>
        <w:t xml:space="preserve">Tabla </w:t>
      </w:r>
      <w:r w:rsidR="00A04D48" w:rsidRPr="008450F1">
        <w:rPr>
          <w:noProof/>
          <w:lang w:val="es-DO"/>
        </w:rPr>
        <w:t>3</w:t>
      </w:r>
      <w:r w:rsidR="007D15C8" w:rsidRPr="008450F1">
        <w:rPr>
          <w:lang w:val="es-DO"/>
        </w:rPr>
        <w:fldChar w:fldCharType="end"/>
      </w:r>
      <w:r w:rsidR="006970E0" w:rsidRPr="00FA5324">
        <w:rPr>
          <w:lang w:val="es-DO"/>
        </w:rPr>
        <w:t xml:space="preserve"> se detallan los parámetros de costos empleados.</w:t>
      </w:r>
    </w:p>
    <w:p w:rsidR="0051371E" w:rsidRPr="00FA5324" w:rsidRDefault="0051371E" w:rsidP="00FA5324">
      <w:pPr>
        <w:spacing w:after="0" w:line="240" w:lineRule="auto"/>
        <w:rPr>
          <w:lang w:val="es-DO"/>
        </w:rPr>
      </w:pPr>
    </w:p>
    <w:p w:rsidR="00A26346" w:rsidRPr="00FA5324" w:rsidRDefault="00A26346" w:rsidP="00FA5324">
      <w:pPr>
        <w:spacing w:after="0" w:line="240" w:lineRule="auto"/>
        <w:rPr>
          <w:lang w:val="es-DO"/>
        </w:rPr>
        <w:sectPr w:rsidR="00A26346" w:rsidRPr="00FA5324" w:rsidSect="009D28B6">
          <w:pgSz w:w="12240" w:h="15840"/>
          <w:pgMar w:top="1440" w:right="1440" w:bottom="1440" w:left="1627" w:header="720" w:footer="720" w:gutter="0"/>
          <w:cols w:space="720"/>
          <w:docGrid w:linePitch="299"/>
        </w:sectPr>
      </w:pPr>
    </w:p>
    <w:p w:rsidR="007D15C8" w:rsidRPr="00FA5324" w:rsidRDefault="007D15C8" w:rsidP="00FA5324">
      <w:pPr>
        <w:pStyle w:val="Caption"/>
        <w:keepNext/>
        <w:spacing w:after="0"/>
        <w:jc w:val="center"/>
        <w:rPr>
          <w:i w:val="0"/>
          <w:color w:val="auto"/>
          <w:lang w:val="es-DO"/>
        </w:rPr>
      </w:pPr>
      <w:bookmarkStart w:id="15" w:name="_Ref399139140"/>
      <w:r w:rsidRPr="00FA5324">
        <w:rPr>
          <w:i w:val="0"/>
          <w:color w:val="auto"/>
          <w:lang w:val="es-DO"/>
        </w:rPr>
        <w:lastRenderedPageBreak/>
        <w:t xml:space="preserve">Tabla </w:t>
      </w:r>
      <w:r w:rsidR="00BC2072" w:rsidRPr="00FA5324">
        <w:rPr>
          <w:i w:val="0"/>
          <w:color w:val="auto"/>
          <w:lang w:val="es-DO"/>
        </w:rPr>
        <w:fldChar w:fldCharType="begin"/>
      </w:r>
      <w:r w:rsidR="00BC2072" w:rsidRPr="00FA5324">
        <w:rPr>
          <w:i w:val="0"/>
          <w:color w:val="auto"/>
          <w:lang w:val="es-DO"/>
        </w:rPr>
        <w:instrText xml:space="preserve"> SEQ Tabla \* ARABIC </w:instrText>
      </w:r>
      <w:r w:rsidR="00BC2072" w:rsidRPr="00FA5324">
        <w:rPr>
          <w:i w:val="0"/>
          <w:color w:val="auto"/>
          <w:lang w:val="es-DO"/>
        </w:rPr>
        <w:fldChar w:fldCharType="separate"/>
      </w:r>
      <w:r w:rsidR="00A04D48" w:rsidRPr="00FA5324">
        <w:rPr>
          <w:i w:val="0"/>
          <w:color w:val="auto"/>
          <w:lang w:val="es-DO"/>
        </w:rPr>
        <w:t>3</w:t>
      </w:r>
      <w:r w:rsidR="00BC2072" w:rsidRPr="00FA5324">
        <w:rPr>
          <w:i w:val="0"/>
          <w:color w:val="auto"/>
          <w:lang w:val="es-DO"/>
        </w:rPr>
        <w:fldChar w:fldCharType="end"/>
      </w:r>
      <w:bookmarkEnd w:id="15"/>
      <w:r w:rsidRPr="00FA5324">
        <w:rPr>
          <w:i w:val="0"/>
          <w:color w:val="auto"/>
          <w:lang w:val="es-DO"/>
        </w:rPr>
        <w:t>. Componente II parámetros de costos empleados en el modelo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4"/>
        <w:gridCol w:w="2387"/>
        <w:gridCol w:w="1627"/>
        <w:gridCol w:w="5109"/>
        <w:gridCol w:w="1543"/>
      </w:tblGrid>
      <w:tr w:rsidR="00C62A67" w:rsidRPr="008450F1" w:rsidTr="00FA5324">
        <w:trPr>
          <w:trHeight w:val="300"/>
          <w:tblHeader/>
        </w:trPr>
        <w:tc>
          <w:tcPr>
            <w:tcW w:w="929" w:type="pct"/>
            <w:shd w:val="clear" w:color="auto" w:fill="AEAAAA" w:themeFill="background2" w:themeFillShade="BF"/>
            <w:noWrap/>
            <w:vAlign w:val="center"/>
          </w:tcPr>
          <w:p w:rsidR="0051371E" w:rsidRPr="00FA5324" w:rsidRDefault="0051371E" w:rsidP="00AF0916">
            <w:pPr>
              <w:pStyle w:val="Tabla"/>
              <w:jc w:val="center"/>
              <w:rPr>
                <w:rFonts w:ascii="Times New Roman" w:hAnsi="Times New Roman"/>
                <w:b/>
                <w:color w:val="auto"/>
                <w:lang w:val="es-DO"/>
              </w:rPr>
            </w:pPr>
            <w:r w:rsidRPr="00FA5324">
              <w:rPr>
                <w:rFonts w:ascii="Times New Roman" w:hAnsi="Times New Roman"/>
                <w:b/>
                <w:color w:val="auto"/>
                <w:lang w:val="es-DO"/>
              </w:rPr>
              <w:t>Costo Incremental</w:t>
            </w:r>
          </w:p>
        </w:tc>
        <w:tc>
          <w:tcPr>
            <w:tcW w:w="911" w:type="pct"/>
            <w:shd w:val="clear" w:color="auto" w:fill="AEAAAA" w:themeFill="background2" w:themeFillShade="BF"/>
            <w:noWrap/>
            <w:vAlign w:val="center"/>
          </w:tcPr>
          <w:p w:rsidR="0051371E" w:rsidRPr="00FA5324" w:rsidRDefault="0051371E" w:rsidP="00AF0916">
            <w:pPr>
              <w:pStyle w:val="Tabla"/>
              <w:jc w:val="center"/>
              <w:rPr>
                <w:rFonts w:ascii="Times New Roman" w:hAnsi="Times New Roman"/>
                <w:b/>
                <w:color w:val="auto"/>
                <w:lang w:val="es-DO"/>
              </w:rPr>
            </w:pPr>
            <w:r w:rsidRPr="00FA5324">
              <w:rPr>
                <w:rFonts w:ascii="Times New Roman" w:hAnsi="Times New Roman"/>
                <w:b/>
                <w:color w:val="auto"/>
                <w:lang w:val="es-DO"/>
              </w:rPr>
              <w:t>Costo anual Millones de DOP constantes de 2015</w:t>
            </w:r>
          </w:p>
        </w:tc>
        <w:tc>
          <w:tcPr>
            <w:tcW w:w="621" w:type="pct"/>
            <w:shd w:val="clear" w:color="auto" w:fill="AEAAAA" w:themeFill="background2" w:themeFillShade="BF"/>
            <w:noWrap/>
            <w:vAlign w:val="center"/>
          </w:tcPr>
          <w:p w:rsidR="0051371E" w:rsidRPr="00FA5324" w:rsidRDefault="0051371E" w:rsidP="00AF0916">
            <w:pPr>
              <w:pStyle w:val="Tabla"/>
              <w:jc w:val="center"/>
              <w:rPr>
                <w:rFonts w:ascii="Times New Roman" w:hAnsi="Times New Roman"/>
                <w:b/>
                <w:color w:val="auto"/>
                <w:lang w:val="es-DO"/>
              </w:rPr>
            </w:pPr>
            <w:r w:rsidRPr="00FA5324">
              <w:rPr>
                <w:rFonts w:ascii="Times New Roman" w:hAnsi="Times New Roman"/>
                <w:b/>
                <w:color w:val="auto"/>
                <w:lang w:val="es-DO"/>
              </w:rPr>
              <w:t xml:space="preserve">Año </w:t>
            </w:r>
            <w:r w:rsidR="00174625" w:rsidRPr="008450F1">
              <w:rPr>
                <w:rFonts w:ascii="Times New Roman" w:hAnsi="Times New Roman"/>
                <w:b/>
                <w:color w:val="auto"/>
                <w:lang w:val="es-DO"/>
              </w:rPr>
              <w:t xml:space="preserve">- </w:t>
            </w:r>
            <w:r w:rsidRPr="00FA5324">
              <w:rPr>
                <w:rFonts w:ascii="Times New Roman" w:hAnsi="Times New Roman"/>
                <w:b/>
                <w:color w:val="auto"/>
                <w:lang w:val="es-DO"/>
              </w:rPr>
              <w:t>País</w:t>
            </w:r>
          </w:p>
        </w:tc>
        <w:tc>
          <w:tcPr>
            <w:tcW w:w="1950" w:type="pct"/>
            <w:shd w:val="clear" w:color="auto" w:fill="AEAAAA" w:themeFill="background2" w:themeFillShade="BF"/>
            <w:noWrap/>
            <w:vAlign w:val="center"/>
          </w:tcPr>
          <w:p w:rsidR="0051371E" w:rsidRPr="00FA5324" w:rsidRDefault="0051371E" w:rsidP="00AF0916">
            <w:pPr>
              <w:pStyle w:val="Tabla"/>
              <w:jc w:val="center"/>
              <w:rPr>
                <w:rFonts w:ascii="Times New Roman" w:hAnsi="Times New Roman"/>
                <w:b/>
                <w:color w:val="auto"/>
                <w:u w:val="single"/>
                <w:lang w:val="es-DO"/>
              </w:rPr>
            </w:pPr>
            <w:r w:rsidRPr="00FA5324">
              <w:rPr>
                <w:rFonts w:ascii="Times New Roman" w:hAnsi="Times New Roman"/>
                <w:b/>
                <w:color w:val="auto"/>
                <w:lang w:val="es-DO"/>
              </w:rPr>
              <w:t>Fuente</w:t>
            </w:r>
          </w:p>
        </w:tc>
        <w:tc>
          <w:tcPr>
            <w:tcW w:w="589" w:type="pct"/>
            <w:shd w:val="clear" w:color="auto" w:fill="AEAAAA" w:themeFill="background2" w:themeFillShade="BF"/>
            <w:noWrap/>
            <w:vAlign w:val="center"/>
          </w:tcPr>
          <w:p w:rsidR="0051371E" w:rsidRPr="00FA5324" w:rsidRDefault="0051371E" w:rsidP="00AF0916">
            <w:pPr>
              <w:pStyle w:val="Tabla"/>
              <w:jc w:val="center"/>
              <w:rPr>
                <w:rFonts w:ascii="Times New Roman" w:hAnsi="Times New Roman"/>
                <w:b/>
                <w:color w:val="auto"/>
                <w:lang w:val="es-DO"/>
              </w:rPr>
            </w:pPr>
            <w:r w:rsidRPr="00FA5324">
              <w:rPr>
                <w:rFonts w:ascii="Times New Roman" w:hAnsi="Times New Roman"/>
                <w:b/>
                <w:color w:val="auto"/>
                <w:lang w:val="es-DO"/>
              </w:rPr>
              <w:t>Notas</w:t>
            </w:r>
          </w:p>
        </w:tc>
      </w:tr>
      <w:tr w:rsidR="00C62A67" w:rsidRPr="008450F1" w:rsidTr="00FA5324">
        <w:trPr>
          <w:trHeight w:val="300"/>
        </w:trPr>
        <w:tc>
          <w:tcPr>
            <w:tcW w:w="929"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r w:rsidRPr="00FA5324">
              <w:rPr>
                <w:rFonts w:ascii="Times New Roman" w:hAnsi="Times New Roman"/>
                <w:color w:val="auto"/>
                <w:lang w:val="es-DO"/>
              </w:rPr>
              <w:t>Costo administ</w:t>
            </w:r>
            <w:r w:rsidR="00637C3A" w:rsidRPr="00FA5324">
              <w:rPr>
                <w:rFonts w:ascii="Times New Roman" w:hAnsi="Times New Roman"/>
                <w:color w:val="auto"/>
                <w:lang w:val="es-DO"/>
              </w:rPr>
              <w:t>rativo de otorgar las pensiones</w:t>
            </w:r>
          </w:p>
        </w:tc>
        <w:tc>
          <w:tcPr>
            <w:tcW w:w="911" w:type="pct"/>
            <w:shd w:val="clear" w:color="auto" w:fill="auto"/>
            <w:noWrap/>
            <w:vAlign w:val="center"/>
            <w:hideMark/>
          </w:tcPr>
          <w:p w:rsidR="001E261A" w:rsidRPr="008450F1" w:rsidRDefault="003A2E41" w:rsidP="00AF0916">
            <w:pPr>
              <w:pStyle w:val="Tabla"/>
              <w:jc w:val="both"/>
              <w:rPr>
                <w:rFonts w:ascii="Times New Roman" w:hAnsi="Times New Roman"/>
                <w:color w:val="auto"/>
                <w:lang w:val="es-DO"/>
              </w:rPr>
            </w:pPr>
            <w:r w:rsidRPr="00FA5324">
              <w:rPr>
                <w:rFonts w:ascii="Times New Roman" w:hAnsi="Times New Roman"/>
                <w:color w:val="auto"/>
                <w:lang w:val="es-DO"/>
              </w:rPr>
              <w:t>Monto de los beneficios entregados anualmente</w:t>
            </w:r>
            <w:r w:rsidR="001E261A" w:rsidRPr="008450F1">
              <w:rPr>
                <w:rFonts w:ascii="Times New Roman" w:hAnsi="Times New Roman"/>
                <w:color w:val="auto"/>
                <w:lang w:val="es-DO"/>
              </w:rPr>
              <w:t>:</w:t>
            </w:r>
          </w:p>
          <w:p w:rsidR="001E261A" w:rsidRPr="008450F1" w:rsidRDefault="003A2E41" w:rsidP="00AF0916">
            <w:pPr>
              <w:pStyle w:val="Tabla"/>
              <w:jc w:val="both"/>
              <w:rPr>
                <w:rFonts w:ascii="Times New Roman" w:hAnsi="Times New Roman"/>
                <w:color w:val="auto"/>
                <w:lang w:val="es-DO"/>
              </w:rPr>
            </w:pPr>
            <w:r w:rsidRPr="00FA5324">
              <w:rPr>
                <w:rFonts w:ascii="Times New Roman" w:hAnsi="Times New Roman"/>
                <w:color w:val="auto"/>
                <w:lang w:val="es-DO"/>
              </w:rPr>
              <w:t xml:space="preserve">$18 </w:t>
            </w:r>
            <w:r w:rsidR="001E261A" w:rsidRPr="008450F1">
              <w:rPr>
                <w:rFonts w:ascii="Times New Roman" w:hAnsi="Times New Roman"/>
                <w:color w:val="auto"/>
                <w:lang w:val="es-DO"/>
              </w:rPr>
              <w:t>b</w:t>
            </w:r>
            <w:r w:rsidRPr="008450F1">
              <w:rPr>
                <w:rFonts w:ascii="Times New Roman" w:hAnsi="Times New Roman"/>
                <w:color w:val="auto"/>
                <w:lang w:val="es-DO"/>
              </w:rPr>
              <w:t>illones</w:t>
            </w:r>
            <w:r w:rsidR="001E261A" w:rsidRPr="008450F1">
              <w:rPr>
                <w:rFonts w:ascii="Times New Roman" w:hAnsi="Times New Roman"/>
                <w:color w:val="auto"/>
                <w:lang w:val="es-DO"/>
              </w:rPr>
              <w:t xml:space="preserve"> </w:t>
            </w:r>
            <w:r w:rsidRPr="00FA5324">
              <w:rPr>
                <w:rFonts w:ascii="Times New Roman" w:hAnsi="Times New Roman"/>
                <w:color w:val="auto"/>
                <w:lang w:val="es-DO"/>
              </w:rPr>
              <w:t>(1e12</w:t>
            </w:r>
            <w:r w:rsidRPr="008450F1">
              <w:rPr>
                <w:rFonts w:ascii="Times New Roman" w:hAnsi="Times New Roman"/>
                <w:color w:val="auto"/>
                <w:lang w:val="es-DO"/>
              </w:rPr>
              <w:t>)</w:t>
            </w:r>
            <w:r w:rsidR="001E261A" w:rsidRPr="008450F1">
              <w:rPr>
                <w:rFonts w:ascii="Times New Roman" w:hAnsi="Times New Roman"/>
                <w:color w:val="auto"/>
                <w:lang w:val="es-DO"/>
              </w:rPr>
              <w:t>.</w:t>
            </w:r>
          </w:p>
          <w:p w:rsidR="001E261A" w:rsidRPr="008450F1" w:rsidRDefault="003A2E41" w:rsidP="00AF0916">
            <w:pPr>
              <w:pStyle w:val="Tabla"/>
              <w:jc w:val="both"/>
              <w:rPr>
                <w:rFonts w:ascii="Times New Roman" w:hAnsi="Times New Roman"/>
                <w:color w:val="auto"/>
                <w:lang w:val="es-DO"/>
              </w:rPr>
            </w:pPr>
            <w:r w:rsidRPr="00FA5324">
              <w:rPr>
                <w:rFonts w:ascii="Times New Roman" w:hAnsi="Times New Roman"/>
                <w:color w:val="auto"/>
                <w:lang w:val="es-DO"/>
              </w:rPr>
              <w:t>Costo administrativo</w:t>
            </w:r>
            <w:r w:rsidR="001E261A" w:rsidRPr="008450F1">
              <w:rPr>
                <w:rFonts w:ascii="Times New Roman" w:hAnsi="Times New Roman"/>
                <w:color w:val="auto"/>
                <w:lang w:val="es-DO"/>
              </w:rPr>
              <w:t>:</w:t>
            </w:r>
            <w:r w:rsidRPr="008450F1">
              <w:rPr>
                <w:rFonts w:ascii="Times New Roman" w:hAnsi="Times New Roman"/>
                <w:color w:val="auto"/>
                <w:lang w:val="es-DO"/>
              </w:rPr>
              <w:t xml:space="preserve"> </w:t>
            </w:r>
          </w:p>
          <w:p w:rsidR="003A2E41" w:rsidRPr="00FA5324" w:rsidRDefault="003A2E41" w:rsidP="00FA5324">
            <w:pPr>
              <w:pStyle w:val="Tabla"/>
              <w:jc w:val="both"/>
              <w:rPr>
                <w:rFonts w:ascii="Times New Roman" w:hAnsi="Times New Roman"/>
                <w:color w:val="auto"/>
                <w:lang w:val="es-DO"/>
              </w:rPr>
            </w:pPr>
            <w:r w:rsidRPr="00FA5324">
              <w:rPr>
                <w:rFonts w:ascii="Times New Roman" w:hAnsi="Times New Roman"/>
                <w:color w:val="auto"/>
                <w:lang w:val="es-DO"/>
              </w:rPr>
              <w:t>$386 mil millones</w:t>
            </w:r>
          </w:p>
          <w:p w:rsidR="003A2E41" w:rsidRPr="00FA5324" w:rsidRDefault="003A2E41" w:rsidP="00FA5324">
            <w:pPr>
              <w:pStyle w:val="Tabla"/>
              <w:jc w:val="both"/>
              <w:rPr>
                <w:rFonts w:ascii="Times New Roman" w:hAnsi="Times New Roman"/>
                <w:color w:val="auto"/>
                <w:lang w:val="es-DO"/>
              </w:rPr>
            </w:pPr>
            <w:r w:rsidRPr="00FA5324">
              <w:rPr>
                <w:rFonts w:ascii="Times New Roman" w:hAnsi="Times New Roman"/>
                <w:color w:val="auto"/>
                <w:lang w:val="es-DO"/>
              </w:rPr>
              <w:t>Costo administrativo como porcentaje de los beneficios entregados</w:t>
            </w:r>
            <w:r w:rsidR="001E261A" w:rsidRPr="008450F1">
              <w:rPr>
                <w:rFonts w:ascii="Times New Roman" w:hAnsi="Times New Roman"/>
                <w:color w:val="auto"/>
                <w:lang w:val="es-DO"/>
              </w:rPr>
              <w:t>:</w:t>
            </w:r>
            <w:r w:rsidRPr="00FA5324">
              <w:rPr>
                <w:rFonts w:ascii="Times New Roman" w:hAnsi="Times New Roman"/>
                <w:color w:val="auto"/>
                <w:lang w:val="es-DO"/>
              </w:rPr>
              <w:t xml:space="preserve"> 2.055%</w:t>
            </w:r>
          </w:p>
        </w:tc>
        <w:tc>
          <w:tcPr>
            <w:tcW w:w="621" w:type="pct"/>
            <w:shd w:val="clear" w:color="auto" w:fill="auto"/>
            <w:noWrap/>
            <w:vAlign w:val="center"/>
            <w:hideMark/>
          </w:tcPr>
          <w:p w:rsidR="001E261A" w:rsidRPr="008450F1" w:rsidRDefault="003A2E41" w:rsidP="00AF0916">
            <w:pPr>
              <w:pStyle w:val="Tabla"/>
              <w:jc w:val="center"/>
              <w:rPr>
                <w:rFonts w:ascii="Times New Roman" w:hAnsi="Times New Roman"/>
                <w:color w:val="auto"/>
                <w:lang w:val="es-DO"/>
              </w:rPr>
            </w:pPr>
            <w:r w:rsidRPr="00FA5324">
              <w:rPr>
                <w:rFonts w:ascii="Times New Roman" w:hAnsi="Times New Roman"/>
                <w:color w:val="auto"/>
                <w:lang w:val="es-DO"/>
              </w:rPr>
              <w:t>2014</w:t>
            </w:r>
          </w:p>
          <w:p w:rsidR="003A2E41" w:rsidRPr="00FA5324" w:rsidRDefault="003A2E41" w:rsidP="00FA5324">
            <w:pPr>
              <w:pStyle w:val="Tabla"/>
              <w:jc w:val="center"/>
              <w:rPr>
                <w:rFonts w:ascii="Times New Roman" w:hAnsi="Times New Roman"/>
                <w:color w:val="auto"/>
                <w:lang w:val="es-DO"/>
              </w:rPr>
            </w:pPr>
            <w:r w:rsidRPr="00FA5324">
              <w:rPr>
                <w:rFonts w:ascii="Times New Roman" w:hAnsi="Times New Roman"/>
                <w:color w:val="auto"/>
                <w:lang w:val="es-DO"/>
              </w:rPr>
              <w:t>Colombia</w:t>
            </w:r>
          </w:p>
        </w:tc>
        <w:tc>
          <w:tcPr>
            <w:tcW w:w="1950" w:type="pct"/>
            <w:shd w:val="clear" w:color="auto" w:fill="auto"/>
            <w:noWrap/>
            <w:hideMark/>
          </w:tcPr>
          <w:p w:rsidR="003A2E41" w:rsidRPr="00FA5324" w:rsidRDefault="003A2E41" w:rsidP="00AF0916">
            <w:pPr>
              <w:pStyle w:val="Tabla"/>
              <w:rPr>
                <w:rFonts w:ascii="Times New Roman" w:hAnsi="Times New Roman"/>
                <w:color w:val="auto"/>
                <w:u w:val="single"/>
                <w:lang w:val="es-DO"/>
              </w:rPr>
            </w:pPr>
            <w:r w:rsidRPr="00FA5324">
              <w:rPr>
                <w:rFonts w:ascii="Times New Roman" w:hAnsi="Times New Roman"/>
                <w:color w:val="auto"/>
                <w:lang w:val="es-DO"/>
              </w:rPr>
              <w:t xml:space="preserve">Calculado a partir del INFORME </w:t>
            </w:r>
            <w:r w:rsidRPr="008450F1">
              <w:rPr>
                <w:rFonts w:ascii="Times New Roman" w:hAnsi="Times New Roman"/>
                <w:color w:val="auto"/>
                <w:lang w:val="es-DO"/>
              </w:rPr>
              <w:t>EJECUCI</w:t>
            </w:r>
            <w:r w:rsidR="00D0140E" w:rsidRPr="008450F1">
              <w:rPr>
                <w:rFonts w:ascii="Times New Roman" w:hAnsi="Times New Roman"/>
                <w:color w:val="auto"/>
                <w:lang w:val="es-DO"/>
              </w:rPr>
              <w:t>Ó</w:t>
            </w:r>
            <w:r w:rsidRPr="008450F1">
              <w:rPr>
                <w:rFonts w:ascii="Times New Roman" w:hAnsi="Times New Roman"/>
                <w:color w:val="auto"/>
                <w:lang w:val="es-DO"/>
              </w:rPr>
              <w:t>N</w:t>
            </w:r>
            <w:r w:rsidRPr="00FA5324">
              <w:rPr>
                <w:rFonts w:ascii="Times New Roman" w:hAnsi="Times New Roman"/>
                <w:color w:val="auto"/>
                <w:lang w:val="es-DO"/>
              </w:rPr>
              <w:t xml:space="preserve"> PRESUPUESTAL DE GASTOS AL 31 DE AGOSTO DE 2014 </w:t>
            </w:r>
            <w:hyperlink r:id="rId15" w:history="1">
              <w:r w:rsidRPr="00FA5324">
                <w:rPr>
                  <w:rFonts w:ascii="Times New Roman" w:hAnsi="Times New Roman"/>
                  <w:color w:val="auto"/>
                  <w:u w:val="single"/>
                  <w:lang w:val="es-DO"/>
                </w:rPr>
                <w:t>http://www.colpensiones.gov.co/informacion_financiera.aspx</w:t>
              </w:r>
            </w:hyperlink>
          </w:p>
        </w:tc>
        <w:tc>
          <w:tcPr>
            <w:tcW w:w="589"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p>
        </w:tc>
      </w:tr>
      <w:tr w:rsidR="00C62A67" w:rsidRPr="008450F1" w:rsidTr="00FA5324">
        <w:trPr>
          <w:trHeight w:val="300"/>
        </w:trPr>
        <w:tc>
          <w:tcPr>
            <w:tcW w:w="929" w:type="pct"/>
            <w:shd w:val="clear" w:color="auto" w:fill="auto"/>
            <w:noWrap/>
            <w:vAlign w:val="center"/>
            <w:hideMark/>
          </w:tcPr>
          <w:p w:rsidR="0051371E" w:rsidRPr="00FA5324" w:rsidRDefault="0051371E" w:rsidP="00AF0916">
            <w:pPr>
              <w:pStyle w:val="Tabla"/>
              <w:rPr>
                <w:rFonts w:ascii="Times New Roman" w:hAnsi="Times New Roman"/>
                <w:color w:val="auto"/>
                <w:lang w:val="es-DO"/>
              </w:rPr>
            </w:pPr>
            <w:r w:rsidRPr="00FA5324">
              <w:rPr>
                <w:rFonts w:ascii="Times New Roman" w:hAnsi="Times New Roman"/>
                <w:color w:val="auto"/>
                <w:lang w:val="es-DO"/>
              </w:rPr>
              <w:t>Costo de las pensiones</w:t>
            </w:r>
          </w:p>
        </w:tc>
        <w:tc>
          <w:tcPr>
            <w:tcW w:w="911" w:type="pct"/>
            <w:shd w:val="clear" w:color="auto" w:fill="auto"/>
            <w:noWrap/>
            <w:vAlign w:val="center"/>
            <w:hideMark/>
          </w:tcPr>
          <w:p w:rsidR="0051371E" w:rsidRPr="00FA5324" w:rsidRDefault="0051371E" w:rsidP="00AF0916">
            <w:pPr>
              <w:pStyle w:val="Tabla"/>
              <w:jc w:val="center"/>
              <w:rPr>
                <w:rFonts w:ascii="Times New Roman" w:hAnsi="Times New Roman"/>
                <w:color w:val="auto"/>
                <w:lang w:val="es-DO"/>
              </w:rPr>
            </w:pPr>
            <w:r w:rsidRPr="00FA5324">
              <w:rPr>
                <w:rFonts w:ascii="Times New Roman" w:hAnsi="Times New Roman"/>
                <w:color w:val="auto"/>
                <w:lang w:val="es-DO"/>
              </w:rPr>
              <w:t>$54</w:t>
            </w:r>
          </w:p>
        </w:tc>
        <w:tc>
          <w:tcPr>
            <w:tcW w:w="621" w:type="pct"/>
            <w:shd w:val="clear" w:color="auto" w:fill="auto"/>
            <w:noWrap/>
            <w:vAlign w:val="center"/>
            <w:hideMark/>
          </w:tcPr>
          <w:p w:rsidR="001E261A" w:rsidRPr="008450F1" w:rsidRDefault="0051371E" w:rsidP="00AF0916">
            <w:pPr>
              <w:pStyle w:val="Tabla"/>
              <w:jc w:val="center"/>
              <w:rPr>
                <w:rFonts w:ascii="Times New Roman" w:hAnsi="Times New Roman"/>
                <w:color w:val="auto"/>
                <w:lang w:val="es-DO"/>
              </w:rPr>
            </w:pPr>
            <w:r w:rsidRPr="00FA5324">
              <w:rPr>
                <w:rFonts w:ascii="Times New Roman" w:hAnsi="Times New Roman"/>
                <w:color w:val="auto"/>
                <w:lang w:val="es-DO"/>
              </w:rPr>
              <w:t>2014</w:t>
            </w:r>
          </w:p>
          <w:p w:rsidR="0051371E" w:rsidRPr="00FA5324" w:rsidRDefault="0051371E" w:rsidP="00FA5324">
            <w:pPr>
              <w:pStyle w:val="Tabla"/>
              <w:jc w:val="center"/>
              <w:rPr>
                <w:rFonts w:ascii="Times New Roman" w:hAnsi="Times New Roman"/>
                <w:color w:val="auto"/>
                <w:lang w:val="es-DO"/>
              </w:rPr>
            </w:pPr>
            <w:r w:rsidRPr="00FA5324">
              <w:rPr>
                <w:rFonts w:ascii="Times New Roman" w:hAnsi="Times New Roman"/>
                <w:color w:val="auto"/>
                <w:lang w:val="es-DO"/>
              </w:rPr>
              <w:t>República Dominicana</w:t>
            </w:r>
          </w:p>
        </w:tc>
        <w:tc>
          <w:tcPr>
            <w:tcW w:w="1950" w:type="pct"/>
            <w:shd w:val="clear" w:color="auto" w:fill="auto"/>
            <w:noWrap/>
            <w:vAlign w:val="center"/>
            <w:hideMark/>
          </w:tcPr>
          <w:p w:rsidR="0051371E" w:rsidRPr="00FA5324" w:rsidRDefault="0051371E" w:rsidP="00AF0916">
            <w:pPr>
              <w:pStyle w:val="Tabla"/>
              <w:rPr>
                <w:rFonts w:ascii="Times New Roman" w:hAnsi="Times New Roman"/>
                <w:color w:val="auto"/>
                <w:lang w:val="es-DO"/>
              </w:rPr>
            </w:pPr>
            <w:r w:rsidRPr="00FA5324">
              <w:rPr>
                <w:rFonts w:ascii="Times New Roman" w:hAnsi="Times New Roman"/>
                <w:color w:val="auto"/>
                <w:lang w:val="es-DO"/>
              </w:rPr>
              <w:t>Entrevistas durante la misión</w:t>
            </w:r>
            <w:r w:rsidR="001E261A" w:rsidRPr="00FA5324">
              <w:rPr>
                <w:rFonts w:ascii="Times New Roman" w:hAnsi="Times New Roman"/>
                <w:color w:val="auto"/>
                <w:lang w:val="es-DO"/>
              </w:rPr>
              <w:t xml:space="preserve"> </w:t>
            </w:r>
            <w:r w:rsidR="001E261A" w:rsidRPr="008450F1">
              <w:rPr>
                <w:rFonts w:ascii="Times New Roman" w:hAnsi="Times New Roman"/>
                <w:color w:val="auto"/>
                <w:lang w:val="es-DO"/>
              </w:rPr>
              <w:t>de análisis.</w:t>
            </w:r>
            <w:r w:rsidRPr="008450F1">
              <w:rPr>
                <w:rFonts w:ascii="Times New Roman" w:hAnsi="Times New Roman"/>
                <w:color w:val="auto"/>
                <w:lang w:val="es-DO"/>
              </w:rPr>
              <w:t xml:space="preserve"> </w:t>
            </w:r>
            <w:r w:rsidR="001E261A" w:rsidRPr="008450F1">
              <w:rPr>
                <w:rFonts w:ascii="Times New Roman" w:hAnsi="Times New Roman"/>
                <w:color w:val="auto"/>
                <w:lang w:val="es-DO"/>
              </w:rPr>
              <w:t>C</w:t>
            </w:r>
            <w:r w:rsidRPr="008450F1">
              <w:rPr>
                <w:rFonts w:ascii="Times New Roman" w:hAnsi="Times New Roman"/>
                <w:color w:val="auto"/>
                <w:lang w:val="es-DO"/>
              </w:rPr>
              <w:t>orresponde</w:t>
            </w:r>
            <w:r w:rsidRPr="00FA5324">
              <w:rPr>
                <w:rFonts w:ascii="Times New Roman" w:hAnsi="Times New Roman"/>
                <w:color w:val="auto"/>
                <w:lang w:val="es-DO"/>
              </w:rPr>
              <w:t xml:space="preserve"> a 1500 pensiones de 3000 pesos mensuales</w:t>
            </w:r>
          </w:p>
        </w:tc>
        <w:tc>
          <w:tcPr>
            <w:tcW w:w="589" w:type="pct"/>
            <w:shd w:val="clear" w:color="auto" w:fill="auto"/>
            <w:noWrap/>
            <w:vAlign w:val="center"/>
            <w:hideMark/>
          </w:tcPr>
          <w:p w:rsidR="0051371E" w:rsidRPr="00FA5324" w:rsidRDefault="0051371E" w:rsidP="00AF0916">
            <w:pPr>
              <w:pStyle w:val="Tabla"/>
              <w:rPr>
                <w:rFonts w:ascii="Times New Roman" w:hAnsi="Times New Roman"/>
                <w:color w:val="auto"/>
                <w:lang w:val="es-DO"/>
              </w:rPr>
            </w:pPr>
          </w:p>
        </w:tc>
      </w:tr>
      <w:tr w:rsidR="00C62A67" w:rsidRPr="008450F1" w:rsidTr="00FA5324">
        <w:trPr>
          <w:trHeight w:val="300"/>
        </w:trPr>
        <w:tc>
          <w:tcPr>
            <w:tcW w:w="929"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r w:rsidRPr="00FA5324">
              <w:rPr>
                <w:rFonts w:ascii="Times New Roman" w:hAnsi="Times New Roman"/>
                <w:color w:val="auto"/>
                <w:lang w:val="es-DO"/>
              </w:rPr>
              <w:t>Sistema de monitoreo</w:t>
            </w:r>
          </w:p>
        </w:tc>
        <w:tc>
          <w:tcPr>
            <w:tcW w:w="911" w:type="pct"/>
            <w:shd w:val="clear" w:color="auto" w:fill="auto"/>
            <w:noWrap/>
            <w:vAlign w:val="center"/>
            <w:hideMark/>
          </w:tcPr>
          <w:p w:rsidR="003A2E41" w:rsidRPr="00FA5324" w:rsidRDefault="003A2E41" w:rsidP="00AF0916">
            <w:pPr>
              <w:pStyle w:val="Tabla"/>
              <w:jc w:val="center"/>
              <w:rPr>
                <w:rFonts w:ascii="Times New Roman" w:hAnsi="Times New Roman"/>
                <w:color w:val="auto"/>
                <w:lang w:val="es-DO"/>
              </w:rPr>
            </w:pPr>
            <w:r w:rsidRPr="00FA5324">
              <w:rPr>
                <w:rFonts w:ascii="Times New Roman" w:hAnsi="Times New Roman"/>
                <w:color w:val="auto"/>
                <w:lang w:val="es-DO"/>
              </w:rPr>
              <w:t>$68.26</w:t>
            </w:r>
          </w:p>
        </w:tc>
        <w:tc>
          <w:tcPr>
            <w:tcW w:w="621" w:type="pct"/>
            <w:shd w:val="clear" w:color="auto" w:fill="auto"/>
            <w:noWrap/>
            <w:vAlign w:val="center"/>
            <w:hideMark/>
          </w:tcPr>
          <w:p w:rsidR="001E261A" w:rsidRPr="008450F1" w:rsidRDefault="003A2E41" w:rsidP="00AF0916">
            <w:pPr>
              <w:pStyle w:val="Tabla"/>
              <w:jc w:val="center"/>
              <w:rPr>
                <w:rFonts w:ascii="Times New Roman" w:hAnsi="Times New Roman"/>
                <w:color w:val="auto"/>
                <w:lang w:val="es-DO"/>
              </w:rPr>
            </w:pPr>
            <w:r w:rsidRPr="00FA5324">
              <w:rPr>
                <w:rFonts w:ascii="Times New Roman" w:hAnsi="Times New Roman"/>
                <w:color w:val="auto"/>
                <w:lang w:val="es-DO"/>
              </w:rPr>
              <w:t>2007</w:t>
            </w:r>
          </w:p>
          <w:p w:rsidR="003A2E41" w:rsidRPr="00FA5324" w:rsidRDefault="003A2E41" w:rsidP="00FA5324">
            <w:pPr>
              <w:pStyle w:val="Tabla"/>
              <w:jc w:val="center"/>
              <w:rPr>
                <w:rFonts w:ascii="Times New Roman" w:hAnsi="Times New Roman"/>
                <w:color w:val="auto"/>
                <w:lang w:val="es-DO"/>
              </w:rPr>
            </w:pPr>
            <w:r w:rsidRPr="00FA5324">
              <w:rPr>
                <w:rFonts w:ascii="Times New Roman" w:hAnsi="Times New Roman"/>
                <w:color w:val="auto"/>
                <w:lang w:val="es-DO"/>
              </w:rPr>
              <w:t>Chile</w:t>
            </w:r>
          </w:p>
        </w:tc>
        <w:tc>
          <w:tcPr>
            <w:tcW w:w="1950"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r w:rsidRPr="00FA5324">
              <w:rPr>
                <w:rFonts w:ascii="Times New Roman" w:hAnsi="Times New Roman"/>
                <w:color w:val="auto"/>
                <w:lang w:val="es-DO"/>
              </w:rPr>
              <w:t>Calculado a partir de los costos reportados en la Reforma Previsional en Chile de 2010</w:t>
            </w:r>
          </w:p>
          <w:p w:rsidR="003A2E41" w:rsidRPr="00FA5324" w:rsidRDefault="00AA3DCF" w:rsidP="00AF0916">
            <w:pPr>
              <w:pStyle w:val="Tabla"/>
              <w:rPr>
                <w:rFonts w:ascii="Times New Roman" w:hAnsi="Times New Roman"/>
                <w:color w:val="auto"/>
                <w:u w:val="single"/>
                <w:lang w:val="es-DO"/>
              </w:rPr>
            </w:pPr>
            <w:hyperlink r:id="rId16" w:history="1">
              <w:r w:rsidR="003A2E41" w:rsidRPr="00FA5324">
                <w:rPr>
                  <w:rFonts w:ascii="Times New Roman" w:hAnsi="Times New Roman"/>
                  <w:color w:val="auto"/>
                  <w:u w:val="single"/>
                  <w:lang w:val="es-DO"/>
                </w:rPr>
                <w:t>http://www.ilo.org/wcmsp5/groups/public/---americas/---ro-lima/---sro-santiago/documents/publication/wcms_179457.pdf</w:t>
              </w:r>
            </w:hyperlink>
          </w:p>
        </w:tc>
        <w:tc>
          <w:tcPr>
            <w:tcW w:w="589"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r w:rsidRPr="00FA5324">
              <w:rPr>
                <w:rFonts w:ascii="Times New Roman" w:hAnsi="Times New Roman"/>
                <w:color w:val="auto"/>
                <w:lang w:val="es-DO"/>
              </w:rPr>
              <w:t>El dato original es para tres años</w:t>
            </w:r>
          </w:p>
        </w:tc>
      </w:tr>
      <w:tr w:rsidR="00C62A67" w:rsidRPr="008450F1" w:rsidTr="00FA5324">
        <w:trPr>
          <w:trHeight w:val="300"/>
        </w:trPr>
        <w:tc>
          <w:tcPr>
            <w:tcW w:w="929"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r w:rsidRPr="00FA5324">
              <w:rPr>
                <w:rFonts w:ascii="Times New Roman" w:hAnsi="Times New Roman"/>
                <w:color w:val="auto"/>
                <w:lang w:val="es-DO"/>
              </w:rPr>
              <w:t>Sistema informático para consultar la cotización del empleador y funcionamiento de la calculadora</w:t>
            </w:r>
          </w:p>
        </w:tc>
        <w:tc>
          <w:tcPr>
            <w:tcW w:w="911" w:type="pct"/>
            <w:shd w:val="clear" w:color="auto" w:fill="auto"/>
            <w:noWrap/>
            <w:vAlign w:val="center"/>
            <w:hideMark/>
          </w:tcPr>
          <w:p w:rsidR="003A2E41" w:rsidRPr="00FA5324" w:rsidRDefault="003A2E41" w:rsidP="00AF0916">
            <w:pPr>
              <w:pStyle w:val="Tabla"/>
              <w:jc w:val="center"/>
              <w:rPr>
                <w:rFonts w:ascii="Times New Roman" w:hAnsi="Times New Roman"/>
                <w:color w:val="auto"/>
                <w:lang w:val="es-DO"/>
              </w:rPr>
            </w:pPr>
            <w:r w:rsidRPr="00FA5324">
              <w:rPr>
                <w:rFonts w:ascii="Times New Roman" w:hAnsi="Times New Roman"/>
                <w:color w:val="auto"/>
                <w:lang w:val="es-DO"/>
              </w:rPr>
              <w:t>$35.97</w:t>
            </w:r>
          </w:p>
        </w:tc>
        <w:tc>
          <w:tcPr>
            <w:tcW w:w="621" w:type="pct"/>
            <w:shd w:val="clear" w:color="auto" w:fill="auto"/>
            <w:noWrap/>
            <w:vAlign w:val="center"/>
            <w:hideMark/>
          </w:tcPr>
          <w:p w:rsidR="001E261A" w:rsidRPr="008450F1" w:rsidRDefault="003A2E41" w:rsidP="00AF0916">
            <w:pPr>
              <w:pStyle w:val="Tabla"/>
              <w:jc w:val="center"/>
              <w:rPr>
                <w:rFonts w:ascii="Times New Roman" w:hAnsi="Times New Roman"/>
                <w:color w:val="auto"/>
                <w:lang w:val="es-DO"/>
              </w:rPr>
            </w:pPr>
            <w:r w:rsidRPr="00FA5324">
              <w:rPr>
                <w:rFonts w:ascii="Times New Roman" w:hAnsi="Times New Roman"/>
                <w:color w:val="auto"/>
                <w:lang w:val="es-DO"/>
              </w:rPr>
              <w:t>2014</w:t>
            </w:r>
          </w:p>
          <w:p w:rsidR="003A2E41" w:rsidRPr="00FA5324" w:rsidRDefault="003A2E41" w:rsidP="00FA5324">
            <w:pPr>
              <w:pStyle w:val="Tabla"/>
              <w:jc w:val="center"/>
              <w:rPr>
                <w:rFonts w:ascii="Times New Roman" w:hAnsi="Times New Roman"/>
                <w:color w:val="auto"/>
                <w:lang w:val="es-DO"/>
              </w:rPr>
            </w:pPr>
            <w:r w:rsidRPr="00FA5324">
              <w:rPr>
                <w:rFonts w:ascii="Times New Roman" w:hAnsi="Times New Roman"/>
                <w:color w:val="auto"/>
                <w:lang w:val="es-DO"/>
              </w:rPr>
              <w:t>Colombia</w:t>
            </w:r>
          </w:p>
        </w:tc>
        <w:tc>
          <w:tcPr>
            <w:tcW w:w="1950"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r w:rsidRPr="00FA5324">
              <w:rPr>
                <w:rFonts w:ascii="Times New Roman" w:hAnsi="Times New Roman"/>
                <w:color w:val="auto"/>
                <w:lang w:val="es-DO"/>
              </w:rPr>
              <w:t xml:space="preserve">Calculado a </w:t>
            </w:r>
            <w:r w:rsidRPr="008450F1">
              <w:rPr>
                <w:rFonts w:ascii="Times New Roman" w:hAnsi="Times New Roman"/>
                <w:color w:val="auto"/>
                <w:lang w:val="es-DO"/>
              </w:rPr>
              <w:t>pa</w:t>
            </w:r>
            <w:r w:rsidR="00B51537" w:rsidRPr="008450F1">
              <w:rPr>
                <w:rFonts w:ascii="Times New Roman" w:hAnsi="Times New Roman"/>
                <w:color w:val="auto"/>
                <w:lang w:val="es-DO"/>
              </w:rPr>
              <w:t>r</w:t>
            </w:r>
            <w:r w:rsidRPr="008450F1">
              <w:rPr>
                <w:rFonts w:ascii="Times New Roman" w:hAnsi="Times New Roman"/>
                <w:color w:val="auto"/>
                <w:lang w:val="es-DO"/>
              </w:rPr>
              <w:t>tir</w:t>
            </w:r>
            <w:r w:rsidRPr="00FA5324">
              <w:rPr>
                <w:rFonts w:ascii="Times New Roman" w:hAnsi="Times New Roman"/>
                <w:color w:val="auto"/>
                <w:lang w:val="es-DO"/>
              </w:rPr>
              <w:t xml:space="preserve"> del INFORME </w:t>
            </w:r>
            <w:r w:rsidRPr="008450F1">
              <w:rPr>
                <w:rFonts w:ascii="Times New Roman" w:hAnsi="Times New Roman"/>
                <w:color w:val="auto"/>
                <w:lang w:val="es-DO"/>
              </w:rPr>
              <w:t>EJECUCI</w:t>
            </w:r>
            <w:r w:rsidR="00B51537" w:rsidRPr="008450F1">
              <w:rPr>
                <w:rFonts w:ascii="Times New Roman" w:hAnsi="Times New Roman"/>
                <w:color w:val="auto"/>
                <w:lang w:val="es-DO"/>
              </w:rPr>
              <w:t>Ó</w:t>
            </w:r>
            <w:r w:rsidRPr="008450F1">
              <w:rPr>
                <w:rFonts w:ascii="Times New Roman" w:hAnsi="Times New Roman"/>
                <w:color w:val="auto"/>
                <w:lang w:val="es-DO"/>
              </w:rPr>
              <w:t>N</w:t>
            </w:r>
            <w:r w:rsidRPr="00FA5324">
              <w:rPr>
                <w:rFonts w:ascii="Times New Roman" w:hAnsi="Times New Roman"/>
                <w:color w:val="auto"/>
                <w:lang w:val="es-DO"/>
              </w:rPr>
              <w:t xml:space="preserve"> PRESUPUESTAL DE GASTOS AL 31 DE AGOSTO DE la aseguradora Colpensiones – 2014</w:t>
            </w:r>
          </w:p>
          <w:p w:rsidR="003A2E41" w:rsidRPr="00FA5324" w:rsidRDefault="00AA3DCF" w:rsidP="00AF0916">
            <w:pPr>
              <w:pStyle w:val="Tabla"/>
              <w:rPr>
                <w:rFonts w:ascii="Times New Roman" w:hAnsi="Times New Roman"/>
                <w:color w:val="auto"/>
                <w:u w:val="single"/>
                <w:lang w:val="es-DO"/>
              </w:rPr>
            </w:pPr>
            <w:hyperlink r:id="rId17" w:history="1">
              <w:r w:rsidR="003A2E41" w:rsidRPr="00FA5324">
                <w:rPr>
                  <w:rFonts w:ascii="Times New Roman" w:hAnsi="Times New Roman"/>
                  <w:color w:val="auto"/>
                  <w:u w:val="single"/>
                  <w:lang w:val="es-DO"/>
                </w:rPr>
                <w:t>http://www.colpensiones.gov.co/down.aspx?f=docs_informacion/F_Ing_gas_Agosto_2014_Web_05_09_2014.pdf</w:t>
              </w:r>
            </w:hyperlink>
          </w:p>
        </w:tc>
        <w:tc>
          <w:tcPr>
            <w:tcW w:w="589"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p>
        </w:tc>
      </w:tr>
      <w:tr w:rsidR="00C62A67" w:rsidRPr="008450F1" w:rsidTr="00FA5324">
        <w:trPr>
          <w:trHeight w:val="300"/>
        </w:trPr>
        <w:tc>
          <w:tcPr>
            <w:tcW w:w="929"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r w:rsidRPr="00FA5324">
              <w:rPr>
                <w:rFonts w:ascii="Times New Roman" w:hAnsi="Times New Roman"/>
                <w:color w:val="auto"/>
                <w:lang w:val="es-DO"/>
              </w:rPr>
              <w:t>Sitios de información</w:t>
            </w:r>
          </w:p>
        </w:tc>
        <w:tc>
          <w:tcPr>
            <w:tcW w:w="911" w:type="pct"/>
            <w:shd w:val="clear" w:color="auto" w:fill="auto"/>
            <w:noWrap/>
            <w:vAlign w:val="center"/>
            <w:hideMark/>
          </w:tcPr>
          <w:p w:rsidR="003A2E41" w:rsidRPr="00FA5324" w:rsidRDefault="003A2E41" w:rsidP="00AF0916">
            <w:pPr>
              <w:pStyle w:val="Tabla"/>
              <w:jc w:val="center"/>
              <w:rPr>
                <w:rFonts w:ascii="Times New Roman" w:hAnsi="Times New Roman"/>
                <w:color w:val="auto"/>
                <w:lang w:val="es-DO"/>
              </w:rPr>
            </w:pPr>
            <w:r w:rsidRPr="00FA5324">
              <w:rPr>
                <w:rFonts w:ascii="Times New Roman" w:hAnsi="Times New Roman"/>
                <w:color w:val="auto"/>
                <w:lang w:val="es-DO"/>
              </w:rPr>
              <w:t>$77.1</w:t>
            </w:r>
          </w:p>
        </w:tc>
        <w:tc>
          <w:tcPr>
            <w:tcW w:w="621" w:type="pct"/>
            <w:shd w:val="clear" w:color="auto" w:fill="auto"/>
            <w:noWrap/>
            <w:vAlign w:val="center"/>
            <w:hideMark/>
          </w:tcPr>
          <w:p w:rsidR="001E261A" w:rsidRPr="008450F1" w:rsidRDefault="003A2E41" w:rsidP="00AF0916">
            <w:pPr>
              <w:pStyle w:val="Tabla"/>
              <w:jc w:val="center"/>
              <w:rPr>
                <w:rFonts w:ascii="Times New Roman" w:hAnsi="Times New Roman"/>
                <w:color w:val="auto"/>
                <w:lang w:val="es-DO"/>
              </w:rPr>
            </w:pPr>
            <w:r w:rsidRPr="00FA5324">
              <w:rPr>
                <w:rFonts w:ascii="Times New Roman" w:hAnsi="Times New Roman"/>
                <w:color w:val="auto"/>
                <w:lang w:val="es-DO"/>
              </w:rPr>
              <w:t>2014</w:t>
            </w:r>
          </w:p>
          <w:p w:rsidR="003A2E41" w:rsidRPr="00FA5324" w:rsidRDefault="003A2E41" w:rsidP="00FA5324">
            <w:pPr>
              <w:pStyle w:val="Tabla"/>
              <w:jc w:val="center"/>
              <w:rPr>
                <w:rFonts w:ascii="Times New Roman" w:hAnsi="Times New Roman"/>
                <w:color w:val="auto"/>
                <w:lang w:val="es-DO"/>
              </w:rPr>
            </w:pPr>
            <w:r w:rsidRPr="00FA5324">
              <w:rPr>
                <w:rFonts w:ascii="Times New Roman" w:hAnsi="Times New Roman"/>
                <w:color w:val="auto"/>
                <w:lang w:val="es-DO"/>
              </w:rPr>
              <w:t>Colombia</w:t>
            </w:r>
          </w:p>
        </w:tc>
        <w:tc>
          <w:tcPr>
            <w:tcW w:w="1950"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r w:rsidRPr="00FA5324">
              <w:rPr>
                <w:rFonts w:ascii="Times New Roman" w:hAnsi="Times New Roman"/>
                <w:color w:val="auto"/>
                <w:lang w:val="es-DO"/>
              </w:rPr>
              <w:t xml:space="preserve">Calculado a </w:t>
            </w:r>
            <w:r w:rsidRPr="008450F1">
              <w:rPr>
                <w:rFonts w:ascii="Times New Roman" w:hAnsi="Times New Roman"/>
                <w:color w:val="auto"/>
                <w:lang w:val="es-DO"/>
              </w:rPr>
              <w:t>pa</w:t>
            </w:r>
            <w:r w:rsidR="008450F1">
              <w:rPr>
                <w:rFonts w:ascii="Times New Roman" w:hAnsi="Times New Roman"/>
                <w:color w:val="auto"/>
                <w:lang w:val="es-DO"/>
              </w:rPr>
              <w:t>r</w:t>
            </w:r>
            <w:r w:rsidRPr="008450F1">
              <w:rPr>
                <w:rFonts w:ascii="Times New Roman" w:hAnsi="Times New Roman"/>
                <w:color w:val="auto"/>
                <w:lang w:val="es-DO"/>
              </w:rPr>
              <w:t>tir</w:t>
            </w:r>
            <w:r w:rsidRPr="00FA5324">
              <w:rPr>
                <w:rFonts w:ascii="Times New Roman" w:hAnsi="Times New Roman"/>
                <w:color w:val="auto"/>
                <w:lang w:val="es-DO"/>
              </w:rPr>
              <w:t xml:space="preserve"> del INFORME </w:t>
            </w:r>
            <w:r w:rsidRPr="008450F1">
              <w:rPr>
                <w:rFonts w:ascii="Times New Roman" w:hAnsi="Times New Roman"/>
                <w:color w:val="auto"/>
                <w:lang w:val="es-DO"/>
              </w:rPr>
              <w:t>EJECUCI</w:t>
            </w:r>
            <w:r w:rsidR="00D0140E" w:rsidRPr="008450F1">
              <w:rPr>
                <w:rFonts w:ascii="Times New Roman" w:hAnsi="Times New Roman"/>
                <w:color w:val="auto"/>
                <w:lang w:val="es-DO"/>
              </w:rPr>
              <w:t>Ó</w:t>
            </w:r>
            <w:r w:rsidRPr="008450F1">
              <w:rPr>
                <w:rFonts w:ascii="Times New Roman" w:hAnsi="Times New Roman"/>
                <w:color w:val="auto"/>
                <w:lang w:val="es-DO"/>
              </w:rPr>
              <w:t>N</w:t>
            </w:r>
            <w:r w:rsidRPr="00FA5324">
              <w:rPr>
                <w:rFonts w:ascii="Times New Roman" w:hAnsi="Times New Roman"/>
                <w:color w:val="auto"/>
                <w:lang w:val="es-DO"/>
              </w:rPr>
              <w:t xml:space="preserve"> PRESUPUESTAL DE GASTOS AL 31 DE AGOSTO DE la aseguradora Colpensiones – 2014 – Rubro: </w:t>
            </w:r>
            <w:r w:rsidRPr="008450F1">
              <w:rPr>
                <w:rFonts w:ascii="Times New Roman" w:hAnsi="Times New Roman"/>
                <w:i/>
                <w:color w:val="auto"/>
                <w:lang w:val="es-DO"/>
              </w:rPr>
              <w:t>AMPLIACI</w:t>
            </w:r>
            <w:r w:rsidR="00D0140E" w:rsidRPr="008450F1">
              <w:rPr>
                <w:rFonts w:ascii="Times New Roman" w:hAnsi="Times New Roman"/>
                <w:i/>
                <w:color w:val="auto"/>
                <w:lang w:val="es-DO"/>
              </w:rPr>
              <w:t>Ó</w:t>
            </w:r>
            <w:r w:rsidRPr="008450F1">
              <w:rPr>
                <w:rFonts w:ascii="Times New Roman" w:hAnsi="Times New Roman"/>
                <w:i/>
                <w:color w:val="auto"/>
                <w:lang w:val="es-DO"/>
              </w:rPr>
              <w:t>N</w:t>
            </w:r>
            <w:r w:rsidRPr="00FA5324">
              <w:rPr>
                <w:rFonts w:ascii="Times New Roman" w:hAnsi="Times New Roman"/>
                <w:i/>
                <w:color w:val="auto"/>
                <w:lang w:val="es-DO"/>
              </w:rPr>
              <w:t xml:space="preserve"> MEJORAMIENTO DE LA RED DE OFICINAS</w:t>
            </w:r>
          </w:p>
          <w:p w:rsidR="003A2E41" w:rsidRPr="00FA5324" w:rsidRDefault="00AA3DCF" w:rsidP="00AF0916">
            <w:pPr>
              <w:pStyle w:val="Tabla"/>
              <w:rPr>
                <w:rFonts w:ascii="Times New Roman" w:hAnsi="Times New Roman"/>
                <w:color w:val="auto"/>
                <w:u w:val="single"/>
                <w:lang w:val="es-DO"/>
              </w:rPr>
            </w:pPr>
            <w:hyperlink r:id="rId18" w:history="1">
              <w:r w:rsidR="003A2E41" w:rsidRPr="00FA5324">
                <w:rPr>
                  <w:rFonts w:ascii="Times New Roman" w:hAnsi="Times New Roman"/>
                  <w:color w:val="auto"/>
                  <w:u w:val="single"/>
                  <w:lang w:val="es-DO"/>
                </w:rPr>
                <w:t>http://www.colpensiones.gov.co/down.aspx?f=docs_informacion/F_Ing_gas_Agosto_2014_Web_05_09_2014.pdf</w:t>
              </w:r>
            </w:hyperlink>
          </w:p>
        </w:tc>
        <w:tc>
          <w:tcPr>
            <w:tcW w:w="589" w:type="pct"/>
            <w:shd w:val="clear" w:color="auto" w:fill="auto"/>
            <w:noWrap/>
            <w:vAlign w:val="center"/>
            <w:hideMark/>
          </w:tcPr>
          <w:p w:rsidR="001E261A" w:rsidRPr="008450F1" w:rsidRDefault="003A2E41" w:rsidP="00AF0916">
            <w:pPr>
              <w:pStyle w:val="Tabla"/>
              <w:rPr>
                <w:rFonts w:ascii="Times New Roman" w:hAnsi="Times New Roman"/>
                <w:color w:val="auto"/>
                <w:lang w:val="es-DO"/>
              </w:rPr>
            </w:pPr>
            <w:r w:rsidRPr="00FA5324">
              <w:rPr>
                <w:rFonts w:ascii="Times New Roman" w:hAnsi="Times New Roman"/>
                <w:color w:val="auto"/>
                <w:lang w:val="es-DO"/>
              </w:rPr>
              <w:t>El dato original es para 11 puntos</w:t>
            </w:r>
            <w:r w:rsidR="001E261A" w:rsidRPr="008450F1">
              <w:rPr>
                <w:rFonts w:ascii="Times New Roman" w:hAnsi="Times New Roman"/>
                <w:color w:val="auto"/>
                <w:lang w:val="es-DO"/>
              </w:rPr>
              <w:t>.</w:t>
            </w:r>
            <w:r w:rsidRPr="008450F1">
              <w:rPr>
                <w:rFonts w:ascii="Times New Roman" w:hAnsi="Times New Roman"/>
                <w:color w:val="auto"/>
                <w:lang w:val="es-DO"/>
              </w:rPr>
              <w:t xml:space="preserve"> </w:t>
            </w:r>
          </w:p>
          <w:p w:rsidR="001E261A" w:rsidRPr="008450F1" w:rsidRDefault="001E261A" w:rsidP="00AF0916">
            <w:pPr>
              <w:pStyle w:val="Tabla"/>
              <w:rPr>
                <w:rFonts w:ascii="Times New Roman" w:hAnsi="Times New Roman"/>
                <w:color w:val="auto"/>
                <w:lang w:val="es-DO"/>
              </w:rPr>
            </w:pPr>
            <w:r w:rsidRPr="008450F1">
              <w:rPr>
                <w:rFonts w:ascii="Times New Roman" w:hAnsi="Times New Roman"/>
                <w:color w:val="auto"/>
                <w:lang w:val="es-DO"/>
              </w:rPr>
              <w:t>L</w:t>
            </w:r>
            <w:r w:rsidR="003A2E41" w:rsidRPr="008450F1">
              <w:rPr>
                <w:rFonts w:ascii="Times New Roman" w:hAnsi="Times New Roman"/>
                <w:color w:val="auto"/>
                <w:lang w:val="es-DO"/>
              </w:rPr>
              <w:t>a</w:t>
            </w:r>
            <w:r w:rsidR="003A2E41" w:rsidRPr="00FA5324">
              <w:rPr>
                <w:rFonts w:ascii="Times New Roman" w:hAnsi="Times New Roman"/>
                <w:color w:val="auto"/>
                <w:lang w:val="es-DO"/>
              </w:rPr>
              <w:t xml:space="preserve"> matriz de resultado pone como meta 4</w:t>
            </w:r>
            <w:r w:rsidRPr="008450F1">
              <w:rPr>
                <w:rFonts w:ascii="Times New Roman" w:hAnsi="Times New Roman"/>
                <w:color w:val="auto"/>
                <w:lang w:val="es-DO"/>
              </w:rPr>
              <w:t>.</w:t>
            </w:r>
          </w:p>
          <w:p w:rsidR="003A2E41" w:rsidRPr="00FA5324" w:rsidRDefault="001E261A" w:rsidP="00AF0916">
            <w:pPr>
              <w:pStyle w:val="Tabla"/>
              <w:rPr>
                <w:rFonts w:ascii="Times New Roman" w:hAnsi="Times New Roman"/>
                <w:color w:val="auto"/>
                <w:lang w:val="es-DO"/>
              </w:rPr>
            </w:pPr>
            <w:r w:rsidRPr="008450F1">
              <w:rPr>
                <w:rFonts w:ascii="Times New Roman" w:hAnsi="Times New Roman"/>
                <w:color w:val="auto"/>
                <w:lang w:val="es-DO"/>
              </w:rPr>
              <w:t>S</w:t>
            </w:r>
            <w:r w:rsidR="003A2E41" w:rsidRPr="008450F1">
              <w:rPr>
                <w:rFonts w:ascii="Times New Roman" w:hAnsi="Times New Roman"/>
                <w:color w:val="auto"/>
                <w:lang w:val="es-DO"/>
              </w:rPr>
              <w:t>e</w:t>
            </w:r>
            <w:r w:rsidR="003A2E41" w:rsidRPr="00FA5324">
              <w:rPr>
                <w:rFonts w:ascii="Times New Roman" w:hAnsi="Times New Roman"/>
                <w:color w:val="auto"/>
                <w:lang w:val="es-DO"/>
              </w:rPr>
              <w:t xml:space="preserve"> hace la proporción</w:t>
            </w:r>
          </w:p>
        </w:tc>
      </w:tr>
      <w:tr w:rsidR="00C62A67" w:rsidRPr="008450F1" w:rsidTr="00FA5324">
        <w:trPr>
          <w:trHeight w:val="300"/>
        </w:trPr>
        <w:tc>
          <w:tcPr>
            <w:tcW w:w="929"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r w:rsidRPr="00FA5324">
              <w:rPr>
                <w:rFonts w:ascii="Times New Roman" w:hAnsi="Times New Roman"/>
                <w:color w:val="auto"/>
                <w:lang w:val="es-DO"/>
              </w:rPr>
              <w:t>Ejecución del acuerdo nacional por la cultura previsional</w:t>
            </w:r>
          </w:p>
        </w:tc>
        <w:tc>
          <w:tcPr>
            <w:tcW w:w="911" w:type="pct"/>
            <w:shd w:val="clear" w:color="auto" w:fill="auto"/>
            <w:noWrap/>
            <w:vAlign w:val="center"/>
            <w:hideMark/>
          </w:tcPr>
          <w:p w:rsidR="003A2E41" w:rsidRPr="00FA5324" w:rsidRDefault="003A2E41" w:rsidP="00AF0916">
            <w:pPr>
              <w:pStyle w:val="Tabla"/>
              <w:jc w:val="center"/>
              <w:rPr>
                <w:rFonts w:ascii="Times New Roman" w:hAnsi="Times New Roman"/>
                <w:color w:val="auto"/>
                <w:lang w:val="es-DO"/>
              </w:rPr>
            </w:pPr>
            <w:r w:rsidRPr="00FA5324">
              <w:rPr>
                <w:rFonts w:ascii="Times New Roman" w:hAnsi="Times New Roman"/>
                <w:color w:val="auto"/>
                <w:lang w:val="es-DO"/>
              </w:rPr>
              <w:t>$65.58</w:t>
            </w:r>
          </w:p>
        </w:tc>
        <w:tc>
          <w:tcPr>
            <w:tcW w:w="621" w:type="pct"/>
            <w:shd w:val="clear" w:color="auto" w:fill="auto"/>
            <w:noWrap/>
            <w:vAlign w:val="center"/>
            <w:hideMark/>
          </w:tcPr>
          <w:p w:rsidR="001E261A" w:rsidRPr="008450F1" w:rsidRDefault="003A2E41" w:rsidP="00AF0916">
            <w:pPr>
              <w:pStyle w:val="Tabla"/>
              <w:jc w:val="center"/>
              <w:rPr>
                <w:rFonts w:ascii="Times New Roman" w:hAnsi="Times New Roman"/>
                <w:color w:val="auto"/>
                <w:lang w:val="es-DO"/>
              </w:rPr>
            </w:pPr>
            <w:r w:rsidRPr="00FA5324">
              <w:rPr>
                <w:rFonts w:ascii="Times New Roman" w:hAnsi="Times New Roman"/>
                <w:color w:val="auto"/>
                <w:lang w:val="es-DO"/>
              </w:rPr>
              <w:t>2007</w:t>
            </w:r>
          </w:p>
          <w:p w:rsidR="003A2E41" w:rsidRPr="00FA5324" w:rsidRDefault="003A2E41" w:rsidP="00FA5324">
            <w:pPr>
              <w:pStyle w:val="Tabla"/>
              <w:jc w:val="center"/>
              <w:rPr>
                <w:rFonts w:ascii="Times New Roman" w:hAnsi="Times New Roman"/>
                <w:color w:val="auto"/>
                <w:lang w:val="es-DO"/>
              </w:rPr>
            </w:pPr>
            <w:r w:rsidRPr="00FA5324">
              <w:rPr>
                <w:rFonts w:ascii="Times New Roman" w:hAnsi="Times New Roman"/>
                <w:color w:val="auto"/>
                <w:lang w:val="es-DO"/>
              </w:rPr>
              <w:t>Chile</w:t>
            </w:r>
          </w:p>
        </w:tc>
        <w:tc>
          <w:tcPr>
            <w:tcW w:w="1950" w:type="pct"/>
            <w:shd w:val="clear" w:color="auto" w:fill="auto"/>
            <w:noWrap/>
            <w:vAlign w:val="center"/>
            <w:hideMark/>
          </w:tcPr>
          <w:p w:rsidR="003A2E41" w:rsidRPr="00FA5324" w:rsidRDefault="003A2E41" w:rsidP="00AF0916">
            <w:pPr>
              <w:pStyle w:val="Tabla"/>
              <w:rPr>
                <w:rFonts w:ascii="Times New Roman" w:hAnsi="Times New Roman"/>
                <w:color w:val="auto"/>
                <w:u w:val="single"/>
                <w:lang w:val="es-DO"/>
              </w:rPr>
            </w:pPr>
            <w:r w:rsidRPr="00FA5324">
              <w:rPr>
                <w:rFonts w:ascii="Times New Roman" w:hAnsi="Times New Roman"/>
                <w:color w:val="auto"/>
                <w:lang w:val="en-US"/>
              </w:rPr>
              <w:t xml:space="preserve">Calculado a partir del </w:t>
            </w:r>
            <w:r w:rsidRPr="00FA5324">
              <w:rPr>
                <w:rFonts w:ascii="Times New Roman" w:hAnsi="Times New Roman"/>
                <w:i/>
                <w:color w:val="auto"/>
                <w:lang w:val="en-US"/>
              </w:rPr>
              <w:t>Loan Proposal</w:t>
            </w:r>
            <w:r w:rsidRPr="00FA5324">
              <w:rPr>
                <w:rFonts w:ascii="Times New Roman" w:hAnsi="Times New Roman"/>
                <w:color w:val="auto"/>
                <w:lang w:val="en-US"/>
              </w:rPr>
              <w:t xml:space="preserve"> CH-L1024: </w:t>
            </w:r>
            <w:r w:rsidRPr="00FA5324">
              <w:rPr>
                <w:rFonts w:ascii="Times New Roman" w:hAnsi="Times New Roman"/>
                <w:i/>
                <w:color w:val="auto"/>
                <w:lang w:val="en-US"/>
              </w:rPr>
              <w:t xml:space="preserve">Strengthening of pension system </w:t>
            </w:r>
            <w:r w:rsidR="007E70A2" w:rsidRPr="00FA5324">
              <w:rPr>
                <w:rFonts w:ascii="Times New Roman" w:hAnsi="Times New Roman"/>
                <w:i/>
                <w:color w:val="auto"/>
                <w:lang w:val="en-US"/>
              </w:rPr>
              <w:t>management</w:t>
            </w:r>
            <w:r w:rsidRPr="00FA5324">
              <w:rPr>
                <w:rFonts w:ascii="Times New Roman" w:hAnsi="Times New Roman"/>
                <w:i/>
                <w:color w:val="auto"/>
                <w:lang w:val="en-US"/>
              </w:rPr>
              <w:t xml:space="preserve"> and information.</w:t>
            </w:r>
            <w:r w:rsidRPr="00FA5324">
              <w:rPr>
                <w:rFonts w:ascii="Times New Roman" w:hAnsi="Times New Roman"/>
                <w:color w:val="auto"/>
                <w:lang w:val="en-US"/>
              </w:rPr>
              <w:t xml:space="preserve"> </w:t>
            </w:r>
            <w:hyperlink r:id="rId19" w:history="1">
              <w:r w:rsidRPr="00FA5324">
                <w:rPr>
                  <w:rFonts w:ascii="Times New Roman" w:hAnsi="Times New Roman"/>
                  <w:color w:val="auto"/>
                  <w:u w:val="single"/>
                  <w:lang w:val="es-DO"/>
                </w:rPr>
                <w:t>http://idbdocs.iadb.org/wsdocs/getdocument.aspx?docnum=1118122</w:t>
              </w:r>
            </w:hyperlink>
          </w:p>
        </w:tc>
        <w:tc>
          <w:tcPr>
            <w:tcW w:w="589" w:type="pct"/>
            <w:shd w:val="clear" w:color="auto" w:fill="auto"/>
            <w:noWrap/>
            <w:vAlign w:val="center"/>
            <w:hideMark/>
          </w:tcPr>
          <w:p w:rsidR="003A2E41" w:rsidRPr="00FA5324" w:rsidRDefault="003A2E41" w:rsidP="00AF0916">
            <w:pPr>
              <w:pStyle w:val="Tabla"/>
              <w:rPr>
                <w:rFonts w:ascii="Times New Roman" w:hAnsi="Times New Roman"/>
                <w:color w:val="auto"/>
                <w:lang w:val="es-DO"/>
              </w:rPr>
            </w:pPr>
            <w:r w:rsidRPr="00FA5324">
              <w:rPr>
                <w:rFonts w:ascii="Times New Roman" w:hAnsi="Times New Roman"/>
                <w:color w:val="auto"/>
                <w:lang w:val="es-DO"/>
              </w:rPr>
              <w:t>El dato original es para tres años</w:t>
            </w:r>
          </w:p>
        </w:tc>
      </w:tr>
    </w:tbl>
    <w:p w:rsidR="00435B34" w:rsidRPr="008450F1" w:rsidRDefault="008B4A04" w:rsidP="00AF0916">
      <w:pPr>
        <w:spacing w:after="0" w:line="240" w:lineRule="auto"/>
        <w:ind w:left="720" w:hanging="720"/>
        <w:jc w:val="left"/>
        <w:rPr>
          <w:i/>
          <w:sz w:val="18"/>
          <w:lang w:val="es-DO"/>
        </w:rPr>
        <w:sectPr w:rsidR="00435B34" w:rsidRPr="008450F1" w:rsidSect="003A2E41">
          <w:pgSz w:w="15840" w:h="12240" w:orient="landscape"/>
          <w:pgMar w:top="1627" w:right="1440" w:bottom="1440" w:left="1440" w:header="720" w:footer="720" w:gutter="0"/>
          <w:cols w:space="720"/>
          <w:docGrid w:linePitch="299"/>
        </w:sectPr>
      </w:pPr>
      <w:r w:rsidRPr="008450F1">
        <w:rPr>
          <w:i/>
          <w:sz w:val="18"/>
          <w:lang w:val="es-DO"/>
        </w:rPr>
        <w:t>Fuente: Construcción de</w:t>
      </w:r>
      <w:r w:rsidR="001E261A" w:rsidRPr="008450F1">
        <w:rPr>
          <w:i/>
          <w:sz w:val="18"/>
          <w:lang w:val="es-DO"/>
        </w:rPr>
        <w:t xml:space="preserve"> </w:t>
      </w:r>
      <w:r w:rsidRPr="008450F1">
        <w:rPr>
          <w:i/>
          <w:sz w:val="18"/>
          <w:lang w:val="es-DO"/>
        </w:rPr>
        <w:t>l</w:t>
      </w:r>
      <w:r w:rsidR="001E261A" w:rsidRPr="008450F1">
        <w:rPr>
          <w:i/>
          <w:sz w:val="18"/>
          <w:lang w:val="es-DO"/>
        </w:rPr>
        <w:t>os</w:t>
      </w:r>
      <w:r w:rsidRPr="008450F1">
        <w:rPr>
          <w:i/>
          <w:sz w:val="18"/>
          <w:lang w:val="es-DO"/>
        </w:rPr>
        <w:t xml:space="preserve"> autor</w:t>
      </w:r>
      <w:r w:rsidR="001E261A" w:rsidRPr="008450F1">
        <w:rPr>
          <w:i/>
          <w:sz w:val="18"/>
          <w:lang w:val="es-DO"/>
        </w:rPr>
        <w:t>es</w:t>
      </w:r>
      <w:r w:rsidRPr="008450F1">
        <w:rPr>
          <w:i/>
          <w:sz w:val="18"/>
          <w:lang w:val="es-DO"/>
        </w:rPr>
        <w:t xml:space="preserve"> a </w:t>
      </w:r>
      <w:r w:rsidR="00B51537" w:rsidRPr="008450F1">
        <w:rPr>
          <w:i/>
          <w:sz w:val="18"/>
          <w:lang w:val="es-DO"/>
        </w:rPr>
        <w:t>partir</w:t>
      </w:r>
      <w:r w:rsidRPr="008450F1">
        <w:rPr>
          <w:i/>
          <w:sz w:val="18"/>
          <w:lang w:val="es-DO"/>
        </w:rPr>
        <w:t xml:space="preserve"> de las referencias citadas</w:t>
      </w:r>
      <w:r w:rsidR="001E261A" w:rsidRPr="008450F1">
        <w:rPr>
          <w:i/>
          <w:sz w:val="18"/>
          <w:lang w:val="es-DO"/>
        </w:rPr>
        <w:t>.</w:t>
      </w:r>
    </w:p>
    <w:p w:rsidR="006A4F7E" w:rsidRPr="00FA5324" w:rsidRDefault="006A4F7E" w:rsidP="00FA5324">
      <w:pPr>
        <w:pStyle w:val="Heading3"/>
        <w:spacing w:before="0" w:line="240" w:lineRule="auto"/>
        <w:rPr>
          <w:rFonts w:ascii="Times New Roman" w:hAnsi="Times New Roman"/>
          <w:color w:val="auto"/>
          <w:lang w:val="es-DO"/>
        </w:rPr>
      </w:pPr>
      <w:bookmarkStart w:id="16" w:name="_Toc401244713"/>
      <w:r w:rsidRPr="00FA5324">
        <w:rPr>
          <w:rFonts w:ascii="Times New Roman" w:hAnsi="Times New Roman"/>
          <w:color w:val="auto"/>
          <w:lang w:val="es-DO"/>
        </w:rPr>
        <w:lastRenderedPageBreak/>
        <w:t>2. Componente</w:t>
      </w:r>
      <w:r w:rsidR="003A2E41" w:rsidRPr="00FA5324">
        <w:rPr>
          <w:rFonts w:ascii="Times New Roman" w:hAnsi="Times New Roman"/>
          <w:color w:val="auto"/>
          <w:lang w:val="es-DO"/>
        </w:rPr>
        <w:t xml:space="preserve">: </w:t>
      </w:r>
      <w:r w:rsidRPr="00FA5324">
        <w:rPr>
          <w:rFonts w:ascii="Times New Roman" w:hAnsi="Times New Roman"/>
          <w:color w:val="auto"/>
          <w:lang w:val="es-DO"/>
        </w:rPr>
        <w:t>mejora de la eficiencia del Sistema Nacional de Salud</w:t>
      </w:r>
      <w:bookmarkEnd w:id="16"/>
    </w:p>
    <w:p w:rsidR="00811B4C" w:rsidRPr="008450F1" w:rsidRDefault="00811B4C" w:rsidP="00AF0916">
      <w:pPr>
        <w:spacing w:after="0" w:line="240" w:lineRule="auto"/>
        <w:rPr>
          <w:lang w:val="es-DO"/>
        </w:rPr>
      </w:pPr>
    </w:p>
    <w:p w:rsidR="009D28B6" w:rsidRPr="00FA5324" w:rsidRDefault="002A1DD4" w:rsidP="00FA5324">
      <w:pPr>
        <w:pStyle w:val="Heading4"/>
        <w:spacing w:before="0" w:after="0" w:line="240" w:lineRule="auto"/>
        <w:rPr>
          <w:rFonts w:ascii="Times New Roman" w:hAnsi="Times New Roman"/>
          <w:color w:val="auto"/>
          <w:lang w:val="es-DO"/>
        </w:rPr>
      </w:pPr>
      <w:r w:rsidRPr="00FA5324">
        <w:rPr>
          <w:rFonts w:ascii="Times New Roman" w:hAnsi="Times New Roman"/>
          <w:color w:val="auto"/>
          <w:lang w:val="es-DO"/>
        </w:rPr>
        <w:t>Identificación</w:t>
      </w:r>
      <w:r w:rsidR="009D28B6" w:rsidRPr="00FA5324">
        <w:rPr>
          <w:rFonts w:ascii="Times New Roman" w:hAnsi="Times New Roman"/>
          <w:color w:val="auto"/>
          <w:lang w:val="es-DO"/>
        </w:rPr>
        <w:t xml:space="preserve"> de beneficios </w:t>
      </w:r>
    </w:p>
    <w:p w:rsidR="00811B4C" w:rsidRPr="008450F1" w:rsidRDefault="00811B4C" w:rsidP="00AF0916">
      <w:pPr>
        <w:spacing w:after="0" w:line="240" w:lineRule="auto"/>
        <w:rPr>
          <w:lang w:val="es-DO"/>
        </w:rPr>
      </w:pPr>
    </w:p>
    <w:p w:rsidR="00855BAE" w:rsidRPr="00FA5324" w:rsidRDefault="00841F80" w:rsidP="00FA5324">
      <w:pPr>
        <w:spacing w:after="0" w:line="240" w:lineRule="auto"/>
        <w:rPr>
          <w:lang w:val="es-DO"/>
        </w:rPr>
      </w:pPr>
      <w:r w:rsidRPr="00FA5324">
        <w:rPr>
          <w:lang w:val="es-DO"/>
        </w:rPr>
        <w:t>Se</w:t>
      </w:r>
      <w:r w:rsidR="00B769F4" w:rsidRPr="00FA5324">
        <w:rPr>
          <w:lang w:val="es-DO"/>
        </w:rPr>
        <w:t xml:space="preserve"> realizó una revisión de la literatura sobre l</w:t>
      </w:r>
      <w:r w:rsidRPr="00FA5324">
        <w:rPr>
          <w:lang w:val="es-DO"/>
        </w:rPr>
        <w:t>a</w:t>
      </w:r>
      <w:r w:rsidR="00B769F4" w:rsidRPr="00FA5324">
        <w:rPr>
          <w:lang w:val="es-DO"/>
        </w:rPr>
        <w:t xml:space="preserve">s </w:t>
      </w:r>
      <w:r w:rsidR="00A720B4" w:rsidRPr="008450F1">
        <w:rPr>
          <w:lang w:val="es-DO"/>
        </w:rPr>
        <w:t>causas</w:t>
      </w:r>
      <w:r w:rsidRPr="008450F1">
        <w:rPr>
          <w:lang w:val="es-DO"/>
        </w:rPr>
        <w:t xml:space="preserve"> de ineficiencia en el gasto en salud, </w:t>
      </w:r>
      <w:r w:rsidR="00B769F4" w:rsidRPr="008450F1">
        <w:rPr>
          <w:lang w:val="es-DO"/>
        </w:rPr>
        <w:t>las</w:t>
      </w:r>
      <w:r w:rsidRPr="008450F1">
        <w:rPr>
          <w:lang w:val="es-DO"/>
        </w:rPr>
        <w:t xml:space="preserve"> potenciales</w:t>
      </w:r>
      <w:r w:rsidR="00B769F4" w:rsidRPr="008450F1">
        <w:rPr>
          <w:lang w:val="es-DO"/>
        </w:rPr>
        <w:t xml:space="preserve"> </w:t>
      </w:r>
      <w:r w:rsidR="00B769F4" w:rsidRPr="00FA5324">
        <w:rPr>
          <w:lang w:val="es-DO"/>
        </w:rPr>
        <w:t>intervenciones para</w:t>
      </w:r>
      <w:r w:rsidRPr="00FA5324">
        <w:rPr>
          <w:lang w:val="es-DO"/>
        </w:rPr>
        <w:t xml:space="preserve"> </w:t>
      </w:r>
      <w:r w:rsidRPr="008450F1">
        <w:rPr>
          <w:lang w:val="es-DO"/>
        </w:rPr>
        <w:t xml:space="preserve">abordarlas y su respectiva efectividad. </w:t>
      </w:r>
      <w:r w:rsidR="00A720B4" w:rsidRPr="008450F1">
        <w:rPr>
          <w:lang w:val="es-DO"/>
        </w:rPr>
        <w:t xml:space="preserve">Se </w:t>
      </w:r>
      <w:r w:rsidR="00855BAE" w:rsidRPr="008450F1">
        <w:rPr>
          <w:lang w:val="es-DO"/>
        </w:rPr>
        <w:t xml:space="preserve">adopta el marco conceptual y </w:t>
      </w:r>
      <w:r w:rsidR="00A720B4" w:rsidRPr="00FA5324">
        <w:rPr>
          <w:lang w:val="es-DO"/>
        </w:rPr>
        <w:t>la</w:t>
      </w:r>
      <w:r w:rsidR="00085EAD" w:rsidRPr="00FA5324">
        <w:rPr>
          <w:lang w:val="es-DO"/>
        </w:rPr>
        <w:t xml:space="preserve"> </w:t>
      </w:r>
      <w:r w:rsidR="00085EAD" w:rsidRPr="008450F1">
        <w:rPr>
          <w:lang w:val="es-DO"/>
        </w:rPr>
        <w:t>metodología del</w:t>
      </w:r>
      <w:r w:rsidRPr="008450F1">
        <w:rPr>
          <w:lang w:val="es-DO"/>
        </w:rPr>
        <w:t xml:space="preserve"> </w:t>
      </w:r>
      <w:r w:rsidRPr="00FA5324">
        <w:rPr>
          <w:lang w:val="es-DO"/>
        </w:rPr>
        <w:t xml:space="preserve">estudio </w:t>
      </w:r>
      <w:r w:rsidRPr="008450F1">
        <w:rPr>
          <w:lang w:val="es-DO"/>
        </w:rPr>
        <w:t xml:space="preserve">de </w:t>
      </w:r>
      <w:r w:rsidRPr="00FA5324">
        <w:rPr>
          <w:lang w:val="es-DO"/>
        </w:rPr>
        <w:t xml:space="preserve">Chisholm et al </w:t>
      </w:r>
      <w:r w:rsidR="00671413" w:rsidRPr="008450F1">
        <w:rPr>
          <w:lang w:val="es-DO"/>
        </w:rPr>
        <w:t>(</w:t>
      </w:r>
      <w:r w:rsidRPr="008450F1">
        <w:rPr>
          <w:lang w:val="es-DO"/>
        </w:rPr>
        <w:t>2010</w:t>
      </w:r>
      <w:r w:rsidR="00671413" w:rsidRPr="008450F1">
        <w:rPr>
          <w:lang w:val="es-DO"/>
        </w:rPr>
        <w:t>)</w:t>
      </w:r>
      <w:r w:rsidRPr="008450F1">
        <w:rPr>
          <w:lang w:val="es-DO"/>
        </w:rPr>
        <w:t xml:space="preserve"> </w:t>
      </w:r>
      <w:r w:rsidR="00A720B4" w:rsidRPr="008450F1">
        <w:rPr>
          <w:lang w:val="es-DO"/>
        </w:rPr>
        <w:t xml:space="preserve">para calcular las ganancias en eficiencia a largo plazo relacionadas a los indicadores de producto </w:t>
      </w:r>
      <w:r w:rsidR="00C07551" w:rsidRPr="008450F1">
        <w:rPr>
          <w:lang w:val="es-DO"/>
        </w:rPr>
        <w:t xml:space="preserve">de las medidas de política que </w:t>
      </w:r>
      <w:r w:rsidR="00671413" w:rsidRPr="008450F1">
        <w:rPr>
          <w:lang w:val="es-DO"/>
        </w:rPr>
        <w:t xml:space="preserve">forman </w:t>
      </w:r>
      <w:r w:rsidR="00C07551" w:rsidRPr="008450F1">
        <w:rPr>
          <w:lang w:val="es-DO"/>
        </w:rPr>
        <w:t>parte del</w:t>
      </w:r>
      <w:r w:rsidR="00A720B4" w:rsidRPr="008450F1">
        <w:rPr>
          <w:lang w:val="es-DO"/>
        </w:rPr>
        <w:t xml:space="preserve"> componente de salud</w:t>
      </w:r>
      <w:r w:rsidR="00855BAE" w:rsidRPr="008450F1">
        <w:rPr>
          <w:lang w:val="es-DO"/>
        </w:rPr>
        <w:t xml:space="preserve"> de esta operación</w:t>
      </w:r>
      <w:r w:rsidR="00A720B4" w:rsidRPr="008450F1">
        <w:rPr>
          <w:lang w:val="es-DO"/>
        </w:rPr>
        <w:t>.</w:t>
      </w:r>
      <w:r w:rsidR="00A720B4" w:rsidRPr="00FA5324">
        <w:rPr>
          <w:lang w:val="es-DO"/>
        </w:rPr>
        <w:t xml:space="preserve"> </w:t>
      </w:r>
      <w:r w:rsidR="00150449" w:rsidRPr="00FA5324">
        <w:rPr>
          <w:lang w:val="es-DO"/>
        </w:rPr>
        <w:t xml:space="preserve">Otros trabajos sirvieron como referencia para </w:t>
      </w:r>
      <w:r w:rsidR="00150449" w:rsidRPr="008450F1">
        <w:rPr>
          <w:lang w:val="es-DO"/>
        </w:rPr>
        <w:t xml:space="preserve">validar el orden de magnitud del ahorro en </w:t>
      </w:r>
      <w:r w:rsidR="00150449" w:rsidRPr="00FA5324">
        <w:rPr>
          <w:lang w:val="es-DO"/>
        </w:rPr>
        <w:t xml:space="preserve">intervenciones puntuales. </w:t>
      </w:r>
      <w:r w:rsidR="009303BF" w:rsidRPr="008450F1">
        <w:rPr>
          <w:lang w:val="es-DO"/>
        </w:rPr>
        <w:t>Según</w:t>
      </w:r>
      <w:r w:rsidR="009303BF" w:rsidRPr="00FA5324">
        <w:rPr>
          <w:lang w:val="es-DO"/>
        </w:rPr>
        <w:t xml:space="preserve"> la </w:t>
      </w:r>
      <w:r w:rsidR="009303BF" w:rsidRPr="008450F1">
        <w:rPr>
          <w:lang w:val="es-DO"/>
        </w:rPr>
        <w:t>literatura, l</w:t>
      </w:r>
      <w:r w:rsidR="00A720B4" w:rsidRPr="008450F1">
        <w:rPr>
          <w:lang w:val="es-DO"/>
        </w:rPr>
        <w:t>as ganancias en eficiencia</w:t>
      </w:r>
      <w:r w:rsidR="00A720B4" w:rsidRPr="00FA5324">
        <w:rPr>
          <w:lang w:val="es-DO"/>
        </w:rPr>
        <w:t xml:space="preserve"> se </w:t>
      </w:r>
      <w:r w:rsidR="00A720B4" w:rsidRPr="008450F1">
        <w:rPr>
          <w:lang w:val="es-DO"/>
        </w:rPr>
        <w:t xml:space="preserve">obtienen en </w:t>
      </w:r>
      <w:r w:rsidR="00A720B4" w:rsidRPr="00FA5324">
        <w:rPr>
          <w:lang w:val="es-DO"/>
        </w:rPr>
        <w:t>las siguientes categorías</w:t>
      </w:r>
      <w:r w:rsidR="00B51537" w:rsidRPr="00FA5324">
        <w:rPr>
          <w:lang w:val="es-DO"/>
        </w:rPr>
        <w:t xml:space="preserve">: </w:t>
      </w:r>
      <w:r w:rsidR="00671413" w:rsidRPr="008450F1">
        <w:rPr>
          <w:lang w:val="es-DO"/>
        </w:rPr>
        <w:t>(</w:t>
      </w:r>
      <w:r w:rsidR="00B51537" w:rsidRPr="00FA5324">
        <w:rPr>
          <w:lang w:val="es-DO"/>
        </w:rPr>
        <w:t>i</w:t>
      </w:r>
      <w:r w:rsidR="00B769F4" w:rsidRPr="00FA5324">
        <w:rPr>
          <w:lang w:val="es-DO"/>
        </w:rPr>
        <w:t>) recursos humanos</w:t>
      </w:r>
      <w:r w:rsidR="008D2912" w:rsidRPr="008450F1">
        <w:rPr>
          <w:lang w:val="es-DO"/>
        </w:rPr>
        <w:t xml:space="preserve"> (</w:t>
      </w:r>
      <w:r w:rsidR="004267E2" w:rsidRPr="008450F1">
        <w:rPr>
          <w:lang w:val="es-DO"/>
        </w:rPr>
        <w:t>RH</w:t>
      </w:r>
      <w:r w:rsidR="008D2912" w:rsidRPr="008450F1">
        <w:rPr>
          <w:lang w:val="es-DO"/>
        </w:rPr>
        <w:t>)</w:t>
      </w:r>
      <w:r w:rsidR="00671413" w:rsidRPr="008450F1">
        <w:rPr>
          <w:lang w:val="es-DO"/>
        </w:rPr>
        <w:t>;</w:t>
      </w:r>
      <w:r w:rsidR="00B769F4" w:rsidRPr="008450F1">
        <w:rPr>
          <w:lang w:val="es-DO"/>
        </w:rPr>
        <w:t xml:space="preserve"> </w:t>
      </w:r>
      <w:r w:rsidR="00671413" w:rsidRPr="008450F1">
        <w:rPr>
          <w:lang w:val="es-DO"/>
        </w:rPr>
        <w:t>(</w:t>
      </w:r>
      <w:r w:rsidR="00B769F4" w:rsidRPr="00FA5324">
        <w:rPr>
          <w:lang w:val="es-DO"/>
        </w:rPr>
        <w:t xml:space="preserve">ii) </w:t>
      </w:r>
      <w:r w:rsidR="00E51797" w:rsidRPr="008450F1">
        <w:rPr>
          <w:lang w:val="es-DO"/>
        </w:rPr>
        <w:t xml:space="preserve">tecnologías de </w:t>
      </w:r>
      <w:r w:rsidR="00671413" w:rsidRPr="008450F1">
        <w:rPr>
          <w:lang w:val="es-DO"/>
        </w:rPr>
        <w:t>s</w:t>
      </w:r>
      <w:r w:rsidR="00E51797" w:rsidRPr="008450F1">
        <w:rPr>
          <w:lang w:val="es-DO"/>
        </w:rPr>
        <w:t>alud y</w:t>
      </w:r>
      <w:r w:rsidR="00671413" w:rsidRPr="008450F1">
        <w:rPr>
          <w:lang w:val="es-DO"/>
        </w:rPr>
        <w:t xml:space="preserve"> </w:t>
      </w:r>
      <w:r w:rsidR="00B769F4" w:rsidRPr="00FA5324">
        <w:rPr>
          <w:lang w:val="es-DO"/>
        </w:rPr>
        <w:t>medicamentos</w:t>
      </w:r>
      <w:r w:rsidR="00671413" w:rsidRPr="008450F1">
        <w:rPr>
          <w:lang w:val="es-DO"/>
        </w:rPr>
        <w:t>;</w:t>
      </w:r>
      <w:r w:rsidR="00B769F4" w:rsidRPr="008450F1">
        <w:rPr>
          <w:lang w:val="es-DO"/>
        </w:rPr>
        <w:t xml:space="preserve"> </w:t>
      </w:r>
      <w:r w:rsidR="00671413" w:rsidRPr="008450F1">
        <w:rPr>
          <w:lang w:val="es-DO"/>
        </w:rPr>
        <w:t>(</w:t>
      </w:r>
      <w:r w:rsidR="00B769F4" w:rsidRPr="00FA5324">
        <w:rPr>
          <w:lang w:val="es-DO"/>
        </w:rPr>
        <w:t>iii) red hospitalaria</w:t>
      </w:r>
      <w:r w:rsidR="00671413" w:rsidRPr="008450F1">
        <w:rPr>
          <w:lang w:val="es-DO"/>
        </w:rPr>
        <w:t>;</w:t>
      </w:r>
      <w:r w:rsidR="00B769F4" w:rsidRPr="008450F1">
        <w:rPr>
          <w:lang w:val="es-DO"/>
        </w:rPr>
        <w:t xml:space="preserve"> </w:t>
      </w:r>
      <w:r w:rsidR="0097138B" w:rsidRPr="008450F1">
        <w:rPr>
          <w:lang w:val="es-DO"/>
        </w:rPr>
        <w:t xml:space="preserve">y </w:t>
      </w:r>
      <w:r w:rsidR="00671413" w:rsidRPr="008450F1">
        <w:rPr>
          <w:lang w:val="es-DO"/>
        </w:rPr>
        <w:t xml:space="preserve">como </w:t>
      </w:r>
      <w:r w:rsidR="0097138B" w:rsidRPr="008450F1">
        <w:rPr>
          <w:lang w:val="es-DO"/>
        </w:rPr>
        <w:t xml:space="preserve">categorías transversales </w:t>
      </w:r>
      <w:r w:rsidR="00671413" w:rsidRPr="008450F1">
        <w:rPr>
          <w:lang w:val="es-DO"/>
        </w:rPr>
        <w:t>(</w:t>
      </w:r>
      <w:r w:rsidR="00B769F4" w:rsidRPr="00FA5324">
        <w:rPr>
          <w:lang w:val="es-DO"/>
        </w:rPr>
        <w:t xml:space="preserve">iv) fugas y desviaciones de recursos y </w:t>
      </w:r>
      <w:r w:rsidR="00671413" w:rsidRPr="008450F1">
        <w:rPr>
          <w:lang w:val="es-DO"/>
        </w:rPr>
        <w:t>(</w:t>
      </w:r>
      <w:r w:rsidR="00B769F4" w:rsidRPr="00FA5324">
        <w:rPr>
          <w:lang w:val="es-DO"/>
        </w:rPr>
        <w:t xml:space="preserve">v) </w:t>
      </w:r>
      <w:r w:rsidR="0085219C" w:rsidRPr="008450F1">
        <w:rPr>
          <w:lang w:val="es-DO"/>
        </w:rPr>
        <w:t>conjunto</w:t>
      </w:r>
      <w:r w:rsidR="0085219C" w:rsidRPr="00FA5324">
        <w:rPr>
          <w:lang w:val="es-DO"/>
        </w:rPr>
        <w:t xml:space="preserve"> de intervenciones</w:t>
      </w:r>
      <w:r w:rsidR="00091BE2" w:rsidRPr="008450F1">
        <w:rPr>
          <w:lang w:val="es-DO"/>
        </w:rPr>
        <w:t xml:space="preserve"> (</w:t>
      </w:r>
      <w:r w:rsidR="00091BE2" w:rsidRPr="008450F1">
        <w:rPr>
          <w:i/>
          <w:lang w:val="es-DO"/>
        </w:rPr>
        <w:t>intervention mix</w:t>
      </w:r>
      <w:r w:rsidR="00091BE2" w:rsidRPr="008450F1">
        <w:rPr>
          <w:lang w:val="es-DO"/>
        </w:rPr>
        <w:t>)</w:t>
      </w:r>
      <w:r w:rsidR="00B769F4" w:rsidRPr="008450F1">
        <w:rPr>
          <w:lang w:val="es-DO"/>
        </w:rPr>
        <w:t>.</w:t>
      </w:r>
      <w:r w:rsidR="00150449" w:rsidRPr="008450F1">
        <w:rPr>
          <w:lang w:val="es-DO"/>
        </w:rPr>
        <w:t xml:space="preserve"> </w:t>
      </w:r>
    </w:p>
    <w:p w:rsidR="00811B4C" w:rsidRPr="008450F1" w:rsidRDefault="00811B4C" w:rsidP="00AF0916">
      <w:pPr>
        <w:spacing w:after="0" w:line="240" w:lineRule="auto"/>
        <w:rPr>
          <w:lang w:val="es-DO"/>
        </w:rPr>
      </w:pPr>
    </w:p>
    <w:p w:rsidR="00C07551" w:rsidRPr="008450F1" w:rsidRDefault="00150449" w:rsidP="00AF0916">
      <w:pPr>
        <w:spacing w:after="0" w:line="240" w:lineRule="auto"/>
        <w:rPr>
          <w:lang w:val="es-DO"/>
        </w:rPr>
      </w:pPr>
      <w:r w:rsidRPr="008450F1">
        <w:rPr>
          <w:lang w:val="es-DO"/>
        </w:rPr>
        <w:t xml:space="preserve">A continuación se </w:t>
      </w:r>
      <w:r w:rsidR="009303BF" w:rsidRPr="008450F1">
        <w:rPr>
          <w:lang w:val="es-DO"/>
        </w:rPr>
        <w:t>explica la teoría de cambio</w:t>
      </w:r>
      <w:r w:rsidRPr="008450F1">
        <w:rPr>
          <w:lang w:val="es-DO"/>
        </w:rPr>
        <w:t xml:space="preserve"> que lleva </w:t>
      </w:r>
      <w:r w:rsidR="00C07551" w:rsidRPr="008450F1">
        <w:rPr>
          <w:lang w:val="es-DO"/>
        </w:rPr>
        <w:t xml:space="preserve">a los resultados planteados </w:t>
      </w:r>
      <w:r w:rsidR="00855BAE" w:rsidRPr="008450F1">
        <w:rPr>
          <w:lang w:val="es-DO"/>
        </w:rPr>
        <w:t>y a las</w:t>
      </w:r>
      <w:r w:rsidR="009303BF" w:rsidRPr="008450F1">
        <w:rPr>
          <w:lang w:val="es-DO"/>
        </w:rPr>
        <w:t xml:space="preserve"> ganancias esperadas</w:t>
      </w:r>
      <w:r w:rsidR="00C07551" w:rsidRPr="008450F1">
        <w:rPr>
          <w:lang w:val="es-DO"/>
        </w:rPr>
        <w:t xml:space="preserve"> en eficiencia</w:t>
      </w:r>
      <w:r w:rsidR="00855BAE" w:rsidRPr="008450F1">
        <w:rPr>
          <w:lang w:val="es-DO"/>
        </w:rPr>
        <w:t xml:space="preserve">. Cabe indicar que </w:t>
      </w:r>
      <w:r w:rsidR="009C6D72" w:rsidRPr="008450F1">
        <w:rPr>
          <w:lang w:val="es-DO"/>
        </w:rPr>
        <w:t>el logro</w:t>
      </w:r>
      <w:r w:rsidR="00855BAE" w:rsidRPr="008450F1">
        <w:rPr>
          <w:lang w:val="es-DO"/>
        </w:rPr>
        <w:t xml:space="preserve"> de las metas de los indicadores de resultados incluidos en la matriz de resultados sería un indicativo de los impactos potenciales de las medidas al final de la operación (corto plazo). </w:t>
      </w:r>
      <w:r w:rsidR="004267E2" w:rsidRPr="008450F1">
        <w:rPr>
          <w:lang w:val="es-DO"/>
        </w:rPr>
        <w:t>La Tabla 4 proporciona un resumen</w:t>
      </w:r>
      <w:r w:rsidR="00855BAE" w:rsidRPr="008450F1">
        <w:rPr>
          <w:lang w:val="es-DO"/>
        </w:rPr>
        <w:t xml:space="preserve"> de la lógica planteada</w:t>
      </w:r>
      <w:r w:rsidR="004267E2" w:rsidRPr="008450F1">
        <w:rPr>
          <w:lang w:val="es-DO"/>
        </w:rPr>
        <w:t xml:space="preserve">. Para facilitar la comprensión de las medidas de política, se remite al lector al Enlace Opcional 11 del POD. </w:t>
      </w:r>
    </w:p>
    <w:p w:rsidR="00811B4C" w:rsidRPr="008450F1" w:rsidRDefault="00811B4C" w:rsidP="00AF0916">
      <w:pPr>
        <w:spacing w:after="0" w:line="240" w:lineRule="auto"/>
        <w:rPr>
          <w:lang w:val="es-DO"/>
        </w:rPr>
      </w:pPr>
    </w:p>
    <w:p w:rsidR="00B769F4" w:rsidRPr="00FA5324" w:rsidRDefault="00C07551" w:rsidP="00FA5324">
      <w:pPr>
        <w:spacing w:after="0" w:line="240" w:lineRule="auto"/>
        <w:rPr>
          <w:lang w:val="es-DO"/>
        </w:rPr>
      </w:pPr>
      <w:r w:rsidRPr="00FA5324">
        <w:rPr>
          <w:lang w:val="es-DO"/>
        </w:rPr>
        <w:t xml:space="preserve">Es importante </w:t>
      </w:r>
      <w:r w:rsidR="00960E6E" w:rsidRPr="00FA5324">
        <w:rPr>
          <w:lang w:val="es-DO"/>
        </w:rPr>
        <w:t xml:space="preserve">anotar </w:t>
      </w:r>
      <w:r w:rsidRPr="00FA5324">
        <w:rPr>
          <w:lang w:val="es-DO"/>
        </w:rPr>
        <w:t xml:space="preserve">que la presente evaluación no logra incorporar otros tipos </w:t>
      </w:r>
      <w:r w:rsidR="00855BAE" w:rsidRPr="00FA5324">
        <w:rPr>
          <w:lang w:val="es-DO"/>
        </w:rPr>
        <w:t xml:space="preserve">de </w:t>
      </w:r>
      <w:r w:rsidR="00855BAE" w:rsidRPr="008450F1">
        <w:rPr>
          <w:lang w:val="es-DO"/>
        </w:rPr>
        <w:t>beneficios,</w:t>
      </w:r>
      <w:r w:rsidR="00855BAE" w:rsidRPr="00FA5324">
        <w:rPr>
          <w:lang w:val="es-DO"/>
        </w:rPr>
        <w:t xml:space="preserve"> </w:t>
      </w:r>
      <w:r w:rsidRPr="00FA5324">
        <w:rPr>
          <w:lang w:val="es-DO"/>
        </w:rPr>
        <w:t xml:space="preserve">como las </w:t>
      </w:r>
      <w:r w:rsidR="00855BAE" w:rsidRPr="008450F1">
        <w:rPr>
          <w:lang w:val="es-DO"/>
        </w:rPr>
        <w:t xml:space="preserve">potenciales </w:t>
      </w:r>
      <w:r w:rsidRPr="00FA5324">
        <w:rPr>
          <w:lang w:val="es-DO"/>
        </w:rPr>
        <w:t>reducciones en mortalidad, morbilidad</w:t>
      </w:r>
      <w:r w:rsidR="00960E6E" w:rsidRPr="008450F1">
        <w:rPr>
          <w:lang w:val="es-DO"/>
        </w:rPr>
        <w:t xml:space="preserve"> e</w:t>
      </w:r>
      <w:r w:rsidRPr="00FA5324">
        <w:rPr>
          <w:lang w:val="es-DO"/>
        </w:rPr>
        <w:t xml:space="preserve"> incapacidad</w:t>
      </w:r>
      <w:r w:rsidR="00960E6E" w:rsidRPr="008450F1">
        <w:rPr>
          <w:lang w:val="es-DO"/>
        </w:rPr>
        <w:t>,</w:t>
      </w:r>
      <w:r w:rsidRPr="00FA5324">
        <w:rPr>
          <w:lang w:val="es-DO"/>
        </w:rPr>
        <w:t xml:space="preserve"> el incremento en calidad de vida o </w:t>
      </w:r>
      <w:r w:rsidR="00960E6E" w:rsidRPr="008450F1">
        <w:rPr>
          <w:lang w:val="es-DO"/>
        </w:rPr>
        <w:t xml:space="preserve">la </w:t>
      </w:r>
      <w:r w:rsidRPr="00FA5324">
        <w:rPr>
          <w:lang w:val="es-DO"/>
        </w:rPr>
        <w:t xml:space="preserve">disminución de la discapacidad </w:t>
      </w:r>
      <w:r w:rsidRPr="008450F1">
        <w:rPr>
          <w:lang w:val="es-DO"/>
        </w:rPr>
        <w:t>lograd</w:t>
      </w:r>
      <w:r w:rsidR="00960E6E" w:rsidRPr="008450F1">
        <w:rPr>
          <w:lang w:val="es-DO"/>
        </w:rPr>
        <w:t>os</w:t>
      </w:r>
      <w:r w:rsidRPr="00FA5324">
        <w:rPr>
          <w:lang w:val="es-DO"/>
        </w:rPr>
        <w:t xml:space="preserve"> con la mayor eficiencia del Sistema de Salud. Tampoco logra capturar los efectos redistributivos y de equidad que tienen los componentes del programa</w:t>
      </w:r>
      <w:r w:rsidR="0080299B" w:rsidRPr="00FA5324">
        <w:rPr>
          <w:lang w:val="es-DO"/>
        </w:rPr>
        <w:t>.</w:t>
      </w:r>
    </w:p>
    <w:p w:rsidR="00811B4C" w:rsidRPr="008450F1" w:rsidRDefault="00811B4C" w:rsidP="00AF0916">
      <w:pPr>
        <w:spacing w:after="0" w:line="240" w:lineRule="auto"/>
        <w:rPr>
          <w:lang w:val="es-DO"/>
        </w:rPr>
      </w:pPr>
    </w:p>
    <w:p w:rsidR="0097138B" w:rsidRPr="008450F1" w:rsidRDefault="0097138B" w:rsidP="00AF0916">
      <w:pPr>
        <w:pStyle w:val="Heading5"/>
        <w:spacing w:before="0" w:after="0" w:line="240" w:lineRule="auto"/>
        <w:rPr>
          <w:rFonts w:ascii="Times New Roman" w:hAnsi="Times New Roman"/>
          <w:color w:val="auto"/>
          <w:sz w:val="22"/>
          <w:u w:val="single"/>
          <w:lang w:val="es-DO"/>
        </w:rPr>
      </w:pPr>
      <w:r w:rsidRPr="00FA5324">
        <w:rPr>
          <w:rFonts w:ascii="Times New Roman" w:hAnsi="Times New Roman"/>
          <w:color w:val="auto"/>
          <w:sz w:val="22"/>
          <w:u w:val="single"/>
          <w:lang w:val="es-DO"/>
        </w:rPr>
        <w:t>Recurso</w:t>
      </w:r>
      <w:r w:rsidR="001016F8" w:rsidRPr="00FA5324">
        <w:rPr>
          <w:rFonts w:ascii="Times New Roman" w:hAnsi="Times New Roman"/>
          <w:color w:val="auto"/>
          <w:sz w:val="22"/>
          <w:u w:val="single"/>
          <w:lang w:val="es-DO"/>
        </w:rPr>
        <w:t>s</w:t>
      </w:r>
      <w:r w:rsidRPr="00FA5324">
        <w:rPr>
          <w:rFonts w:ascii="Times New Roman" w:hAnsi="Times New Roman"/>
          <w:color w:val="auto"/>
          <w:sz w:val="22"/>
          <w:u w:val="single"/>
          <w:lang w:val="es-DO"/>
        </w:rPr>
        <w:t xml:space="preserve"> Humano</w:t>
      </w:r>
      <w:r w:rsidR="001016F8" w:rsidRPr="00FA5324">
        <w:rPr>
          <w:rFonts w:ascii="Times New Roman" w:hAnsi="Times New Roman"/>
          <w:color w:val="auto"/>
          <w:sz w:val="22"/>
          <w:u w:val="single"/>
          <w:lang w:val="es-DO"/>
        </w:rPr>
        <w:t>s</w:t>
      </w:r>
    </w:p>
    <w:p w:rsidR="00811B4C" w:rsidRPr="008450F1" w:rsidRDefault="00811B4C" w:rsidP="00AF0916">
      <w:pPr>
        <w:spacing w:after="0" w:line="240" w:lineRule="auto"/>
        <w:rPr>
          <w:lang w:val="es-DO"/>
        </w:rPr>
      </w:pPr>
    </w:p>
    <w:p w:rsidR="001400E9" w:rsidRPr="008450F1" w:rsidRDefault="00CB0EA4" w:rsidP="00AF0916">
      <w:pPr>
        <w:spacing w:after="0" w:line="240" w:lineRule="auto"/>
        <w:rPr>
          <w:lang w:val="es-DO"/>
        </w:rPr>
      </w:pPr>
      <w:r w:rsidRPr="008450F1">
        <w:rPr>
          <w:lang w:val="es-DO"/>
        </w:rPr>
        <w:t>Las ineficiencia</w:t>
      </w:r>
      <w:r w:rsidR="00D0140E" w:rsidRPr="008450F1">
        <w:rPr>
          <w:lang w:val="es-DO"/>
        </w:rPr>
        <w:t>s</w:t>
      </w:r>
      <w:r w:rsidR="009303BF" w:rsidRPr="008450F1">
        <w:rPr>
          <w:lang w:val="es-DO"/>
        </w:rPr>
        <w:t xml:space="preserve"> en el gasto e</w:t>
      </w:r>
      <w:r w:rsidR="00960E6E" w:rsidRPr="008450F1">
        <w:rPr>
          <w:lang w:val="es-DO"/>
        </w:rPr>
        <w:t>n</w:t>
      </w:r>
      <w:r w:rsidR="009303BF" w:rsidRPr="008450F1">
        <w:rPr>
          <w:lang w:val="es-DO"/>
        </w:rPr>
        <w:t xml:space="preserve"> salud en </w:t>
      </w:r>
      <w:r w:rsidR="004267E2" w:rsidRPr="008450F1">
        <w:rPr>
          <w:lang w:val="es-DO"/>
        </w:rPr>
        <w:t>RH</w:t>
      </w:r>
      <w:r w:rsidR="009303BF" w:rsidRPr="008450F1">
        <w:rPr>
          <w:lang w:val="es-DO"/>
        </w:rPr>
        <w:t xml:space="preserve"> se o</w:t>
      </w:r>
      <w:r w:rsidRPr="008450F1">
        <w:rPr>
          <w:lang w:val="es-DO"/>
        </w:rPr>
        <w:t>rigina</w:t>
      </w:r>
      <w:r w:rsidR="002E6B89" w:rsidRPr="008450F1">
        <w:rPr>
          <w:lang w:val="es-DO"/>
        </w:rPr>
        <w:t>n</w:t>
      </w:r>
      <w:r w:rsidR="009303BF" w:rsidRPr="008450F1">
        <w:rPr>
          <w:lang w:val="es-DO"/>
        </w:rPr>
        <w:t xml:space="preserve"> </w:t>
      </w:r>
      <w:r w:rsidRPr="008450F1">
        <w:rPr>
          <w:lang w:val="es-DO"/>
        </w:rPr>
        <w:t>principalmente de</w:t>
      </w:r>
      <w:r w:rsidR="00960E6E" w:rsidRPr="008450F1">
        <w:rPr>
          <w:lang w:val="es-DO"/>
        </w:rPr>
        <w:t>l</w:t>
      </w:r>
      <w:r w:rsidR="009303BF" w:rsidRPr="008450F1">
        <w:rPr>
          <w:lang w:val="es-DO"/>
        </w:rPr>
        <w:t xml:space="preserve"> desempeño subóptimo del personal de salud, ya sea por baja productividad o pobre calidad en el ejercicio profesional</w:t>
      </w:r>
      <w:r w:rsidRPr="008450F1">
        <w:rPr>
          <w:lang w:val="es-DO"/>
        </w:rPr>
        <w:t xml:space="preserve"> y</w:t>
      </w:r>
      <w:r w:rsidR="009303BF" w:rsidRPr="008450F1">
        <w:rPr>
          <w:lang w:val="es-DO"/>
        </w:rPr>
        <w:t xml:space="preserve"> por distribución inadecuada </w:t>
      </w:r>
      <w:r w:rsidRPr="008450F1">
        <w:rPr>
          <w:lang w:val="es-DO"/>
        </w:rPr>
        <w:t xml:space="preserve">en cuanto a </w:t>
      </w:r>
      <w:r w:rsidR="002E6B89" w:rsidRPr="008450F1">
        <w:rPr>
          <w:lang w:val="es-DO"/>
        </w:rPr>
        <w:t xml:space="preserve">cantidad </w:t>
      </w:r>
      <w:r w:rsidRPr="008450F1">
        <w:rPr>
          <w:lang w:val="es-DO"/>
        </w:rPr>
        <w:t xml:space="preserve">para el volumen de demanda de servicios o en cuanto al perfil para responder a las necesidades epidemiológicas. </w:t>
      </w:r>
      <w:r w:rsidR="0045690D" w:rsidRPr="008450F1">
        <w:rPr>
          <w:lang w:val="es-DO"/>
        </w:rPr>
        <w:t xml:space="preserve">Por ejemplo, en </w:t>
      </w:r>
      <w:r w:rsidR="00B51537" w:rsidRPr="008450F1">
        <w:rPr>
          <w:lang w:val="es-DO"/>
        </w:rPr>
        <w:t>las regiones</w:t>
      </w:r>
      <w:r w:rsidR="0045690D" w:rsidRPr="008450F1">
        <w:rPr>
          <w:lang w:val="es-DO"/>
        </w:rPr>
        <w:t xml:space="preserve"> con </w:t>
      </w:r>
      <w:r w:rsidR="002E6B89" w:rsidRPr="008450F1">
        <w:rPr>
          <w:lang w:val="es-DO"/>
        </w:rPr>
        <w:t xml:space="preserve">exceso de </w:t>
      </w:r>
      <w:r w:rsidR="0045690D" w:rsidRPr="008450F1">
        <w:rPr>
          <w:lang w:val="es-DO"/>
        </w:rPr>
        <w:t xml:space="preserve">oferta no se logra el aprovechamiento de todo el </w:t>
      </w:r>
      <w:r w:rsidR="004267E2" w:rsidRPr="008450F1">
        <w:rPr>
          <w:lang w:val="es-DO"/>
        </w:rPr>
        <w:t>RH</w:t>
      </w:r>
      <w:r w:rsidR="0045690D" w:rsidRPr="008450F1">
        <w:rPr>
          <w:lang w:val="es-DO"/>
        </w:rPr>
        <w:t xml:space="preserve"> mientras que en las regiones con déficit se acarrean mayores costos porque las personas no reciben tratamiento a tiempo o por</w:t>
      </w:r>
      <w:r w:rsidR="002E6B89" w:rsidRPr="008450F1">
        <w:rPr>
          <w:lang w:val="es-DO"/>
        </w:rPr>
        <w:t>que</w:t>
      </w:r>
      <w:r w:rsidR="0045690D" w:rsidRPr="008450F1">
        <w:rPr>
          <w:lang w:val="es-DO"/>
        </w:rPr>
        <w:t xml:space="preserve"> </w:t>
      </w:r>
      <w:r w:rsidR="002E6B89" w:rsidRPr="008450F1">
        <w:rPr>
          <w:lang w:val="es-DO"/>
        </w:rPr>
        <w:t>deben</w:t>
      </w:r>
      <w:r w:rsidR="0045690D" w:rsidRPr="008450F1">
        <w:rPr>
          <w:lang w:val="es-DO"/>
        </w:rPr>
        <w:t xml:space="preserve"> remitirlas</w:t>
      </w:r>
      <w:r w:rsidR="0080299B">
        <w:rPr>
          <w:lang w:val="es-DO"/>
        </w:rPr>
        <w:t xml:space="preserve"> a otras regiones que pueden brindar la atención</w:t>
      </w:r>
      <w:r w:rsidR="0045690D" w:rsidRPr="008450F1">
        <w:rPr>
          <w:lang w:val="es-DO"/>
        </w:rPr>
        <w:t xml:space="preserve">. </w:t>
      </w:r>
      <w:r w:rsidRPr="008450F1">
        <w:rPr>
          <w:lang w:val="es-DO"/>
        </w:rPr>
        <w:t>Dentro de los factores determinantes de lo anterior se incluyen</w:t>
      </w:r>
      <w:r w:rsidR="001400E9" w:rsidRPr="008450F1">
        <w:rPr>
          <w:lang w:val="es-DO"/>
        </w:rPr>
        <w:t>:</w:t>
      </w:r>
      <w:r w:rsidRPr="008450F1">
        <w:rPr>
          <w:lang w:val="es-DO"/>
        </w:rPr>
        <w:t xml:space="preserve"> </w:t>
      </w:r>
    </w:p>
    <w:p w:rsidR="00811B4C" w:rsidRPr="008450F1" w:rsidRDefault="00811B4C" w:rsidP="00AF0916">
      <w:pPr>
        <w:spacing w:after="0" w:line="240" w:lineRule="auto"/>
        <w:rPr>
          <w:lang w:val="es-DO"/>
        </w:rPr>
      </w:pPr>
    </w:p>
    <w:p w:rsidR="001400E9" w:rsidRPr="008450F1" w:rsidRDefault="002E6B89" w:rsidP="00AF0916">
      <w:pPr>
        <w:pStyle w:val="ListParagraph"/>
        <w:numPr>
          <w:ilvl w:val="0"/>
          <w:numId w:val="12"/>
        </w:numPr>
        <w:spacing w:after="0" w:line="240" w:lineRule="auto"/>
        <w:rPr>
          <w:lang w:val="es-DO"/>
        </w:rPr>
      </w:pPr>
      <w:r w:rsidRPr="008450F1">
        <w:rPr>
          <w:lang w:val="es-DO"/>
        </w:rPr>
        <w:t>Ausencia de</w:t>
      </w:r>
      <w:r w:rsidR="00CB0EA4" w:rsidRPr="008450F1">
        <w:rPr>
          <w:lang w:val="es-DO"/>
        </w:rPr>
        <w:t xml:space="preserve"> normativas que favorezcan </w:t>
      </w:r>
      <w:r w:rsidR="001400E9" w:rsidRPr="008450F1">
        <w:rPr>
          <w:lang w:val="es-DO"/>
        </w:rPr>
        <w:t xml:space="preserve">la </w:t>
      </w:r>
      <w:r w:rsidR="00CB0EA4" w:rsidRPr="008450F1">
        <w:rPr>
          <w:lang w:val="es-DO"/>
        </w:rPr>
        <w:t>selección</w:t>
      </w:r>
      <w:r w:rsidR="001400E9" w:rsidRPr="008450F1">
        <w:rPr>
          <w:lang w:val="es-DO"/>
        </w:rPr>
        <w:t xml:space="preserve"> y </w:t>
      </w:r>
      <w:r w:rsidRPr="008450F1">
        <w:rPr>
          <w:lang w:val="es-DO"/>
        </w:rPr>
        <w:t xml:space="preserve">el </w:t>
      </w:r>
      <w:r w:rsidR="001400E9" w:rsidRPr="008450F1">
        <w:rPr>
          <w:lang w:val="es-DO"/>
        </w:rPr>
        <w:t>ascenso</w:t>
      </w:r>
      <w:r w:rsidR="00CB0EA4" w:rsidRPr="008450F1">
        <w:rPr>
          <w:lang w:val="es-DO"/>
        </w:rPr>
        <w:t xml:space="preserve"> del personal de salud por medio de </w:t>
      </w:r>
      <w:r w:rsidR="0097138B" w:rsidRPr="008450F1">
        <w:rPr>
          <w:lang w:val="es-DO"/>
        </w:rPr>
        <w:t>criterios explícitos de méritos y capacidades</w:t>
      </w:r>
      <w:r w:rsidRPr="008450F1">
        <w:rPr>
          <w:lang w:val="es-DO"/>
        </w:rPr>
        <w:t>;</w:t>
      </w:r>
    </w:p>
    <w:p w:rsidR="001400E9" w:rsidRPr="008450F1" w:rsidRDefault="002E6B89" w:rsidP="00AF0916">
      <w:pPr>
        <w:pStyle w:val="ListParagraph"/>
        <w:numPr>
          <w:ilvl w:val="0"/>
          <w:numId w:val="12"/>
        </w:numPr>
        <w:spacing w:after="0" w:line="240" w:lineRule="auto"/>
        <w:rPr>
          <w:lang w:val="es-DO"/>
        </w:rPr>
      </w:pPr>
      <w:r w:rsidRPr="008450F1">
        <w:rPr>
          <w:lang w:val="es-DO"/>
        </w:rPr>
        <w:t>B</w:t>
      </w:r>
      <w:r w:rsidR="00CB0EA4" w:rsidRPr="008450F1">
        <w:rPr>
          <w:lang w:val="es-DO"/>
        </w:rPr>
        <w:t xml:space="preserve">aja remuneración y </w:t>
      </w:r>
      <w:r w:rsidR="0097138B" w:rsidRPr="008450F1">
        <w:rPr>
          <w:lang w:val="es-DO"/>
        </w:rPr>
        <w:t>contratos fijos e inflexibles que no alinean los incentivos del personal con los result</w:t>
      </w:r>
      <w:r w:rsidR="001400E9" w:rsidRPr="008450F1">
        <w:rPr>
          <w:lang w:val="es-DO"/>
        </w:rPr>
        <w:t>ados</w:t>
      </w:r>
      <w:r w:rsidRPr="008450F1">
        <w:rPr>
          <w:lang w:val="es-DO"/>
        </w:rPr>
        <w:t>;</w:t>
      </w:r>
    </w:p>
    <w:p w:rsidR="001400E9" w:rsidRPr="008450F1" w:rsidRDefault="002E6B89" w:rsidP="00AF0916">
      <w:pPr>
        <w:pStyle w:val="ListParagraph"/>
        <w:numPr>
          <w:ilvl w:val="0"/>
          <w:numId w:val="12"/>
        </w:numPr>
        <w:spacing w:after="0" w:line="240" w:lineRule="auto"/>
        <w:rPr>
          <w:lang w:val="es-DO"/>
        </w:rPr>
      </w:pPr>
      <w:r w:rsidRPr="008450F1">
        <w:rPr>
          <w:lang w:val="es-DO"/>
        </w:rPr>
        <w:t>F</w:t>
      </w:r>
      <w:r w:rsidR="001400E9" w:rsidRPr="008450F1">
        <w:rPr>
          <w:lang w:val="es-DO"/>
        </w:rPr>
        <w:t xml:space="preserve">ormación y </w:t>
      </w:r>
      <w:r w:rsidRPr="008450F1">
        <w:rPr>
          <w:lang w:val="es-DO"/>
        </w:rPr>
        <w:t>c</w:t>
      </w:r>
      <w:r w:rsidR="001400E9" w:rsidRPr="008450F1">
        <w:rPr>
          <w:lang w:val="es-DO"/>
        </w:rPr>
        <w:t>apacitación inadecuada</w:t>
      </w:r>
      <w:r w:rsidRPr="008450F1">
        <w:rPr>
          <w:lang w:val="es-DO"/>
        </w:rPr>
        <w:t>;</w:t>
      </w:r>
    </w:p>
    <w:p w:rsidR="001400E9" w:rsidRPr="008450F1" w:rsidRDefault="002E6B89" w:rsidP="00AF0916">
      <w:pPr>
        <w:pStyle w:val="ListParagraph"/>
        <w:numPr>
          <w:ilvl w:val="0"/>
          <w:numId w:val="12"/>
        </w:numPr>
        <w:spacing w:after="0" w:line="240" w:lineRule="auto"/>
        <w:rPr>
          <w:lang w:val="es-DO"/>
        </w:rPr>
      </w:pPr>
      <w:r w:rsidRPr="008450F1">
        <w:rPr>
          <w:lang w:val="es-DO"/>
        </w:rPr>
        <w:t>P</w:t>
      </w:r>
      <w:r w:rsidR="00CB0EA4" w:rsidRPr="008450F1">
        <w:rPr>
          <w:lang w:val="es-DO"/>
        </w:rPr>
        <w:t xml:space="preserve">obre planificación </w:t>
      </w:r>
      <w:r w:rsidR="0045690D" w:rsidRPr="008450F1">
        <w:rPr>
          <w:lang w:val="es-DO"/>
        </w:rPr>
        <w:t>de la oferta</w:t>
      </w:r>
      <w:r w:rsidRPr="008450F1">
        <w:rPr>
          <w:lang w:val="es-DO"/>
        </w:rPr>
        <w:t>; y</w:t>
      </w:r>
    </w:p>
    <w:p w:rsidR="001400E9" w:rsidRPr="008450F1" w:rsidRDefault="002E6B89" w:rsidP="00AF0916">
      <w:pPr>
        <w:pStyle w:val="ListParagraph"/>
        <w:numPr>
          <w:ilvl w:val="0"/>
          <w:numId w:val="12"/>
        </w:numPr>
        <w:spacing w:after="0" w:line="240" w:lineRule="auto"/>
        <w:rPr>
          <w:lang w:val="es-DO"/>
        </w:rPr>
      </w:pPr>
      <w:r w:rsidRPr="008450F1">
        <w:rPr>
          <w:lang w:val="es-DO"/>
        </w:rPr>
        <w:t>A</w:t>
      </w:r>
      <w:r w:rsidR="001400E9" w:rsidRPr="008450F1">
        <w:rPr>
          <w:lang w:val="es-DO"/>
        </w:rPr>
        <w:t>usencia de mecanismos para vigilar la calidad</w:t>
      </w:r>
      <w:r w:rsidRPr="008450F1">
        <w:rPr>
          <w:lang w:val="es-DO"/>
        </w:rPr>
        <w:t>.</w:t>
      </w:r>
    </w:p>
    <w:p w:rsidR="00811B4C" w:rsidRPr="008450F1" w:rsidRDefault="00811B4C" w:rsidP="00AF0916">
      <w:pPr>
        <w:pStyle w:val="ListParagraph"/>
        <w:spacing w:after="0" w:line="240" w:lineRule="auto"/>
        <w:ind w:left="0"/>
        <w:rPr>
          <w:lang w:val="es-DO"/>
        </w:rPr>
      </w:pPr>
    </w:p>
    <w:p w:rsidR="008D070C" w:rsidRPr="008450F1" w:rsidRDefault="008D070C" w:rsidP="00AF0916">
      <w:pPr>
        <w:pStyle w:val="ListParagraph"/>
        <w:spacing w:after="0" w:line="240" w:lineRule="auto"/>
        <w:ind w:left="0"/>
        <w:rPr>
          <w:lang w:val="es-DO"/>
        </w:rPr>
      </w:pPr>
      <w:r w:rsidRPr="008450F1">
        <w:rPr>
          <w:lang w:val="es-DO"/>
        </w:rPr>
        <w:t>La</w:t>
      </w:r>
      <w:r w:rsidR="0045690D" w:rsidRPr="008450F1">
        <w:rPr>
          <w:lang w:val="es-DO"/>
        </w:rPr>
        <w:t xml:space="preserve"> puesta en vigencia de la Ley de Carrera Sanitaria intervendrá sobre los </w:t>
      </w:r>
      <w:r w:rsidR="001400E9" w:rsidRPr="008450F1">
        <w:rPr>
          <w:lang w:val="es-DO"/>
        </w:rPr>
        <w:t>tres</w:t>
      </w:r>
      <w:r w:rsidRPr="008450F1">
        <w:rPr>
          <w:lang w:val="es-DO"/>
        </w:rPr>
        <w:t xml:space="preserve"> primeros factores. La aprobación del Plan Estratégico del MSP y la modificación </w:t>
      </w:r>
      <w:r w:rsidR="00AF65CE" w:rsidRPr="008450F1">
        <w:rPr>
          <w:lang w:val="es-DO"/>
        </w:rPr>
        <w:t xml:space="preserve"> de la estructura organizacional y funcional del MSP (medidas para fortalecimiento de la rectoría) facilitará la formulación de políticas que abordan los factores iv</w:t>
      </w:r>
      <w:r w:rsidR="0080299B">
        <w:rPr>
          <w:lang w:val="es-DO"/>
        </w:rPr>
        <w:t xml:space="preserve"> y v</w:t>
      </w:r>
      <w:r w:rsidR="00AF65CE" w:rsidRPr="008450F1">
        <w:rPr>
          <w:lang w:val="es-DO"/>
        </w:rPr>
        <w:t xml:space="preserve">. La </w:t>
      </w:r>
      <w:r w:rsidRPr="008450F1">
        <w:rPr>
          <w:lang w:val="es-DO"/>
        </w:rPr>
        <w:t>oficialización del modelo de atención</w:t>
      </w:r>
      <w:r w:rsidR="00AF65CE" w:rsidRPr="008450F1">
        <w:rPr>
          <w:lang w:val="es-DO"/>
        </w:rPr>
        <w:t xml:space="preserve"> proporciona el marco para la planificación de la oferta</w:t>
      </w:r>
      <w:r w:rsidR="004267E2" w:rsidRPr="008450F1">
        <w:rPr>
          <w:lang w:val="es-DO"/>
        </w:rPr>
        <w:t xml:space="preserve"> de RH tanto en cantidad como en tipo de profesionales. La aprobación de la Política de Calidad define las guías </w:t>
      </w:r>
      <w:r w:rsidR="00811B4C" w:rsidRPr="008450F1">
        <w:rPr>
          <w:lang w:val="es-DO"/>
        </w:rPr>
        <w:t>y</w:t>
      </w:r>
      <w:r w:rsidR="004267E2" w:rsidRPr="008450F1">
        <w:rPr>
          <w:lang w:val="es-DO"/>
        </w:rPr>
        <w:t xml:space="preserve"> </w:t>
      </w:r>
      <w:r w:rsidR="00811B4C" w:rsidRPr="008450F1">
        <w:rPr>
          <w:lang w:val="es-DO"/>
        </w:rPr>
        <w:t xml:space="preserve">los </w:t>
      </w:r>
      <w:r w:rsidR="004267E2" w:rsidRPr="008450F1">
        <w:rPr>
          <w:lang w:val="es-DO"/>
        </w:rPr>
        <w:t>protocolos de atención que debe seguir el personal de salud</w:t>
      </w:r>
      <w:r w:rsidR="00811B4C" w:rsidRPr="008450F1">
        <w:rPr>
          <w:lang w:val="es-DO"/>
        </w:rPr>
        <w:t>,</w:t>
      </w:r>
      <w:r w:rsidR="004267E2" w:rsidRPr="008450F1">
        <w:rPr>
          <w:lang w:val="es-DO"/>
        </w:rPr>
        <w:t xml:space="preserve"> </w:t>
      </w:r>
      <w:r w:rsidR="00811B4C" w:rsidRPr="008450F1">
        <w:rPr>
          <w:lang w:val="es-DO"/>
        </w:rPr>
        <w:t>y los</w:t>
      </w:r>
      <w:r w:rsidR="004267E2" w:rsidRPr="008450F1">
        <w:rPr>
          <w:lang w:val="es-DO"/>
        </w:rPr>
        <w:t xml:space="preserve"> indicadores para su vigilancia. </w:t>
      </w:r>
    </w:p>
    <w:p w:rsidR="00DE14A9" w:rsidRPr="008450F1" w:rsidRDefault="00DE14A9" w:rsidP="00AF0916">
      <w:pPr>
        <w:pStyle w:val="ListParagraph"/>
        <w:spacing w:after="0" w:line="240" w:lineRule="auto"/>
        <w:ind w:left="0"/>
        <w:rPr>
          <w:lang w:val="es-DO"/>
        </w:rPr>
      </w:pPr>
    </w:p>
    <w:p w:rsidR="0045690D" w:rsidRPr="008450F1" w:rsidRDefault="0045690D" w:rsidP="00AF0916">
      <w:pPr>
        <w:pStyle w:val="ListParagraph"/>
        <w:spacing w:after="0" w:line="240" w:lineRule="auto"/>
        <w:ind w:left="0"/>
        <w:rPr>
          <w:lang w:val="es-DO"/>
        </w:rPr>
      </w:pPr>
      <w:r w:rsidRPr="008450F1">
        <w:rPr>
          <w:lang w:val="es-DO"/>
        </w:rPr>
        <w:t xml:space="preserve">En el corto plazo una mejor planificación </w:t>
      </w:r>
      <w:r w:rsidR="004267E2" w:rsidRPr="008450F1">
        <w:rPr>
          <w:lang w:val="es-DO"/>
        </w:rPr>
        <w:t xml:space="preserve">de la distribución del RH </w:t>
      </w:r>
      <w:r w:rsidRPr="008450F1">
        <w:rPr>
          <w:lang w:val="es-DO"/>
        </w:rPr>
        <w:t>se manifestará en una mayor capacidad resolutiva en el primer nivel</w:t>
      </w:r>
      <w:r w:rsidR="00940869" w:rsidRPr="008450F1">
        <w:rPr>
          <w:lang w:val="es-DO"/>
        </w:rPr>
        <w:t xml:space="preserve"> de atención</w:t>
      </w:r>
      <w:r w:rsidR="004267E2" w:rsidRPr="008450F1">
        <w:rPr>
          <w:lang w:val="es-DO"/>
        </w:rPr>
        <w:t xml:space="preserve">, </w:t>
      </w:r>
      <w:r w:rsidR="00940869" w:rsidRPr="008450F1">
        <w:rPr>
          <w:lang w:val="es-DO"/>
        </w:rPr>
        <w:t>cuyo resultado es el</w:t>
      </w:r>
      <w:r w:rsidR="004267E2" w:rsidRPr="008450F1">
        <w:rPr>
          <w:lang w:val="es-DO"/>
        </w:rPr>
        <w:t xml:space="preserve"> incremento de las </w:t>
      </w:r>
      <w:r w:rsidR="00940869" w:rsidRPr="008450F1">
        <w:rPr>
          <w:lang w:val="es-DO"/>
        </w:rPr>
        <w:t>intervenciones ambulatorias en los SRS (ver Matriz de Resultados). En el largo plazo el resultado sería ahorro en el gasto público</w:t>
      </w:r>
      <w:r w:rsidR="00811B4C" w:rsidRPr="008450F1">
        <w:rPr>
          <w:lang w:val="es-DO"/>
        </w:rPr>
        <w:t>,</w:t>
      </w:r>
      <w:r w:rsidR="008D2912" w:rsidRPr="008450F1">
        <w:rPr>
          <w:lang w:val="es-DO"/>
        </w:rPr>
        <w:t xml:space="preserve"> gracias a que se mejora la resolutividad en el primer nivel de atención y a que </w:t>
      </w:r>
      <w:r w:rsidR="00811B4C" w:rsidRPr="008450F1">
        <w:rPr>
          <w:lang w:val="es-DO"/>
        </w:rPr>
        <w:t>la prestación de</w:t>
      </w:r>
      <w:r w:rsidR="008D2912" w:rsidRPr="008450F1">
        <w:rPr>
          <w:lang w:val="es-DO"/>
        </w:rPr>
        <w:t xml:space="preserve"> los servicios en el primer nivel de atención es menos costos</w:t>
      </w:r>
      <w:r w:rsidR="00811B4C" w:rsidRPr="008450F1">
        <w:rPr>
          <w:lang w:val="es-DO"/>
        </w:rPr>
        <w:t>a</w:t>
      </w:r>
      <w:r w:rsidR="008D2912" w:rsidRPr="008450F1">
        <w:rPr>
          <w:lang w:val="es-DO"/>
        </w:rPr>
        <w:t xml:space="preserve"> que en un nivel de mayor complejidad </w:t>
      </w:r>
      <w:sdt>
        <w:sdtPr>
          <w:rPr>
            <w:lang w:val="es-DO"/>
          </w:rPr>
          <w:id w:val="1075312643"/>
          <w:citation/>
        </w:sdtPr>
        <w:sdtEndPr/>
        <w:sdtContent>
          <w:r w:rsidR="001C066B" w:rsidRPr="008450F1">
            <w:rPr>
              <w:lang w:val="es-DO"/>
            </w:rPr>
            <w:fldChar w:fldCharType="begin"/>
          </w:r>
          <w:r w:rsidR="001C066B" w:rsidRPr="008450F1">
            <w:rPr>
              <w:lang w:val="es-DO"/>
            </w:rPr>
            <w:instrText xml:space="preserve"> CITATION Nat11 \l 9226 </w:instrText>
          </w:r>
          <w:r w:rsidR="001C066B" w:rsidRPr="008450F1">
            <w:rPr>
              <w:lang w:val="es-DO"/>
            </w:rPr>
            <w:fldChar w:fldCharType="separate"/>
          </w:r>
          <w:r w:rsidR="00160DA0" w:rsidRPr="008450F1">
            <w:rPr>
              <w:noProof/>
              <w:lang w:val="es-DO"/>
            </w:rPr>
            <w:t>(National Association of Community Health Centers, 2011)</w:t>
          </w:r>
          <w:r w:rsidR="001C066B" w:rsidRPr="008450F1">
            <w:rPr>
              <w:lang w:val="es-DO"/>
            </w:rPr>
            <w:fldChar w:fldCharType="end"/>
          </w:r>
        </w:sdtContent>
      </w:sdt>
      <w:r w:rsidR="008D2912" w:rsidRPr="008450F1">
        <w:rPr>
          <w:lang w:val="es-DO"/>
        </w:rPr>
        <w:t>.</w:t>
      </w:r>
    </w:p>
    <w:p w:rsidR="00811B4C" w:rsidRPr="008450F1" w:rsidRDefault="00811B4C" w:rsidP="00AF0916">
      <w:pPr>
        <w:pStyle w:val="ListParagraph"/>
        <w:spacing w:after="0" w:line="240" w:lineRule="auto"/>
        <w:ind w:left="0"/>
        <w:rPr>
          <w:lang w:val="es-DO"/>
        </w:rPr>
      </w:pPr>
    </w:p>
    <w:p w:rsidR="009F0644" w:rsidRPr="008450F1" w:rsidRDefault="00E51797" w:rsidP="00AF0916">
      <w:pPr>
        <w:pStyle w:val="Heading5"/>
        <w:spacing w:before="0" w:after="0" w:line="240" w:lineRule="auto"/>
        <w:rPr>
          <w:rFonts w:ascii="Times New Roman" w:hAnsi="Times New Roman"/>
          <w:color w:val="auto"/>
          <w:sz w:val="22"/>
          <w:u w:val="single"/>
          <w:lang w:val="es-DO"/>
        </w:rPr>
      </w:pPr>
      <w:r w:rsidRPr="008450F1">
        <w:rPr>
          <w:rFonts w:ascii="Times New Roman" w:hAnsi="Times New Roman"/>
          <w:color w:val="auto"/>
          <w:sz w:val="22"/>
          <w:u w:val="single"/>
          <w:lang w:val="es-DO"/>
        </w:rPr>
        <w:t>Tecnologías de salud y m</w:t>
      </w:r>
      <w:r w:rsidR="00FE2265" w:rsidRPr="008450F1">
        <w:rPr>
          <w:rFonts w:ascii="Times New Roman" w:hAnsi="Times New Roman"/>
          <w:color w:val="auto"/>
          <w:sz w:val="22"/>
          <w:u w:val="single"/>
          <w:lang w:val="es-DO"/>
        </w:rPr>
        <w:t>edicamentos</w:t>
      </w:r>
    </w:p>
    <w:p w:rsidR="00811B4C" w:rsidRPr="00FA5324" w:rsidRDefault="00811B4C" w:rsidP="00AF0916">
      <w:pPr>
        <w:spacing w:after="0" w:line="240" w:lineRule="auto"/>
        <w:rPr>
          <w:lang w:val="es-DO"/>
        </w:rPr>
      </w:pPr>
    </w:p>
    <w:p w:rsidR="003E5572" w:rsidRPr="008450F1" w:rsidRDefault="009F0644" w:rsidP="00AF0916">
      <w:pPr>
        <w:spacing w:after="0" w:line="240" w:lineRule="auto"/>
        <w:rPr>
          <w:lang w:val="es-DO"/>
        </w:rPr>
      </w:pPr>
      <w:r w:rsidRPr="00FA5324">
        <w:rPr>
          <w:lang w:val="es-DO"/>
        </w:rPr>
        <w:t xml:space="preserve">En </w:t>
      </w:r>
      <w:r w:rsidRPr="008450F1">
        <w:rPr>
          <w:lang w:val="es-DO"/>
        </w:rPr>
        <w:t xml:space="preserve">la mayoría de países la ineficiencia en el gasto en medicamentos es causada </w:t>
      </w:r>
      <w:r w:rsidR="00FE2265" w:rsidRPr="008450F1">
        <w:rPr>
          <w:lang w:val="es-DO"/>
        </w:rPr>
        <w:t xml:space="preserve">principalmente por </w:t>
      </w:r>
      <w:r w:rsidRPr="008450F1">
        <w:rPr>
          <w:lang w:val="es-DO"/>
        </w:rPr>
        <w:t xml:space="preserve">inadecuada prescripción </w:t>
      </w:r>
      <w:r w:rsidR="00383084" w:rsidRPr="008450F1">
        <w:rPr>
          <w:lang w:val="es-DO"/>
        </w:rPr>
        <w:t xml:space="preserve">de medicamentos (en exceso, inapropiada </w:t>
      </w:r>
      <w:r w:rsidRPr="008450F1">
        <w:rPr>
          <w:lang w:val="es-DO"/>
        </w:rPr>
        <w:t xml:space="preserve">o </w:t>
      </w:r>
      <w:r w:rsidR="00383084" w:rsidRPr="008450F1">
        <w:rPr>
          <w:lang w:val="es-DO"/>
        </w:rPr>
        <w:t xml:space="preserve">errada) y </w:t>
      </w:r>
      <w:r w:rsidR="003E5572" w:rsidRPr="008450F1">
        <w:rPr>
          <w:lang w:val="es-DO"/>
        </w:rPr>
        <w:t xml:space="preserve">por </w:t>
      </w:r>
      <w:r w:rsidR="00383084" w:rsidRPr="008450F1">
        <w:rPr>
          <w:lang w:val="es-DO"/>
        </w:rPr>
        <w:t>sobrecosto en su adquisición. Dentro de los factores determinantes de lo anterior se incluyen</w:t>
      </w:r>
      <w:r w:rsidR="008E089F" w:rsidRPr="008450F1">
        <w:rPr>
          <w:lang w:val="es-DO"/>
        </w:rPr>
        <w:t xml:space="preserve"> </w:t>
      </w:r>
      <w:sdt>
        <w:sdtPr>
          <w:rPr>
            <w:lang w:val="es-DO"/>
          </w:rPr>
          <w:id w:val="-2013601761"/>
          <w:citation/>
        </w:sdtPr>
        <w:sdtEndPr/>
        <w:sdtContent>
          <w:r w:rsidR="008E089F" w:rsidRPr="008450F1">
            <w:rPr>
              <w:lang w:val="es-DO"/>
            </w:rPr>
            <w:fldChar w:fldCharType="begin"/>
          </w:r>
          <w:r w:rsidR="008E089F" w:rsidRPr="008450F1">
            <w:rPr>
              <w:lang w:val="es-DO"/>
            </w:rPr>
            <w:instrText xml:space="preserve"> CITATION Org22 \l 9226 </w:instrText>
          </w:r>
          <w:r w:rsidR="008E089F" w:rsidRPr="008450F1">
            <w:rPr>
              <w:lang w:val="es-DO"/>
            </w:rPr>
            <w:fldChar w:fldCharType="separate"/>
          </w:r>
          <w:r w:rsidR="00160DA0" w:rsidRPr="008450F1">
            <w:rPr>
              <w:noProof/>
              <w:lang w:val="es-DO"/>
            </w:rPr>
            <w:t>(Organización Mundial de la Salud, 2022)</w:t>
          </w:r>
          <w:r w:rsidR="008E089F" w:rsidRPr="008450F1">
            <w:rPr>
              <w:lang w:val="es-DO"/>
            </w:rPr>
            <w:fldChar w:fldCharType="end"/>
          </w:r>
        </w:sdtContent>
      </w:sdt>
      <w:r w:rsidR="00383084" w:rsidRPr="008450F1">
        <w:rPr>
          <w:lang w:val="es-DO"/>
        </w:rPr>
        <w:t>:</w:t>
      </w:r>
    </w:p>
    <w:p w:rsidR="00383084" w:rsidRPr="008450F1" w:rsidRDefault="00383084" w:rsidP="00AF0916">
      <w:pPr>
        <w:spacing w:after="0" w:line="240" w:lineRule="auto"/>
        <w:rPr>
          <w:lang w:val="es-DO"/>
        </w:rPr>
      </w:pPr>
    </w:p>
    <w:p w:rsidR="00383084" w:rsidRPr="008450F1" w:rsidRDefault="008E089F" w:rsidP="00AF0916">
      <w:pPr>
        <w:pStyle w:val="ListParagraph"/>
        <w:numPr>
          <w:ilvl w:val="0"/>
          <w:numId w:val="13"/>
        </w:numPr>
        <w:spacing w:after="0" w:line="240" w:lineRule="auto"/>
        <w:rPr>
          <w:lang w:val="es-DO"/>
        </w:rPr>
      </w:pPr>
      <w:r w:rsidRPr="008450F1">
        <w:rPr>
          <w:lang w:val="es-DO"/>
        </w:rPr>
        <w:t>L</w:t>
      </w:r>
      <w:r w:rsidR="00383084" w:rsidRPr="008450F1">
        <w:rPr>
          <w:lang w:val="es-DO"/>
        </w:rPr>
        <w:t xml:space="preserve">imitado conocimiento de los efectos </w:t>
      </w:r>
      <w:r w:rsidR="007A3FB4" w:rsidRPr="008450F1">
        <w:rPr>
          <w:lang w:val="es-DO"/>
        </w:rPr>
        <w:t xml:space="preserve">terapéuticos, </w:t>
      </w:r>
      <w:r w:rsidR="003E5572" w:rsidRPr="008450F1">
        <w:rPr>
          <w:lang w:val="es-DO"/>
        </w:rPr>
        <w:t xml:space="preserve">la </w:t>
      </w:r>
      <w:r w:rsidR="007A3FB4" w:rsidRPr="008450F1">
        <w:rPr>
          <w:lang w:val="es-DO"/>
        </w:rPr>
        <w:t>costo-</w:t>
      </w:r>
      <w:r w:rsidR="00383084" w:rsidRPr="008450F1">
        <w:rPr>
          <w:lang w:val="es-DO"/>
        </w:rPr>
        <w:t>efectividad</w:t>
      </w:r>
      <w:r w:rsidRPr="008450F1">
        <w:rPr>
          <w:lang w:val="es-DO"/>
        </w:rPr>
        <w:t xml:space="preserve"> y </w:t>
      </w:r>
      <w:r w:rsidR="003E5572" w:rsidRPr="008450F1">
        <w:rPr>
          <w:lang w:val="es-DO"/>
        </w:rPr>
        <w:t xml:space="preserve">el </w:t>
      </w:r>
      <w:r w:rsidRPr="008450F1">
        <w:rPr>
          <w:lang w:val="es-DO"/>
        </w:rPr>
        <w:t>uso</w:t>
      </w:r>
      <w:r w:rsidR="009E49E3" w:rsidRPr="008450F1">
        <w:rPr>
          <w:lang w:val="es-DO"/>
        </w:rPr>
        <w:t xml:space="preserve"> adecuado de medicamentos</w:t>
      </w:r>
      <w:r w:rsidR="003E5572" w:rsidRPr="008450F1">
        <w:rPr>
          <w:lang w:val="es-DO"/>
        </w:rPr>
        <w:t>;</w:t>
      </w:r>
    </w:p>
    <w:p w:rsidR="00383084" w:rsidRPr="008450F1" w:rsidRDefault="008E089F" w:rsidP="00AF0916">
      <w:pPr>
        <w:pStyle w:val="ListParagraph"/>
        <w:numPr>
          <w:ilvl w:val="0"/>
          <w:numId w:val="13"/>
        </w:numPr>
        <w:spacing w:after="0" w:line="240" w:lineRule="auto"/>
        <w:rPr>
          <w:lang w:val="es-DO"/>
        </w:rPr>
      </w:pPr>
      <w:r w:rsidRPr="008450F1">
        <w:rPr>
          <w:lang w:val="es-DO"/>
        </w:rPr>
        <w:t>I</w:t>
      </w:r>
      <w:r w:rsidR="00383084" w:rsidRPr="008450F1">
        <w:rPr>
          <w:lang w:val="es-DO"/>
        </w:rPr>
        <w:t>ncentivos a sobre-prescribir (por ejemplo</w:t>
      </w:r>
      <w:r w:rsidR="003E5572" w:rsidRPr="008450F1">
        <w:rPr>
          <w:lang w:val="es-DO"/>
        </w:rPr>
        <w:t>,</w:t>
      </w:r>
      <w:r w:rsidR="00383084" w:rsidRPr="008450F1">
        <w:rPr>
          <w:lang w:val="es-DO"/>
        </w:rPr>
        <w:t xml:space="preserve"> en respuesta a prácticas de promoción de los productos)</w:t>
      </w:r>
      <w:r w:rsidR="003E5572" w:rsidRPr="008450F1">
        <w:rPr>
          <w:lang w:val="es-DO"/>
        </w:rPr>
        <w:t>;</w:t>
      </w:r>
    </w:p>
    <w:p w:rsidR="00D527D2" w:rsidRPr="008450F1" w:rsidRDefault="008E089F" w:rsidP="00AF0916">
      <w:pPr>
        <w:pStyle w:val="ListParagraph"/>
        <w:numPr>
          <w:ilvl w:val="0"/>
          <w:numId w:val="13"/>
        </w:numPr>
        <w:spacing w:after="0" w:line="240" w:lineRule="auto"/>
        <w:rPr>
          <w:lang w:val="es-DO"/>
        </w:rPr>
      </w:pPr>
      <w:r w:rsidRPr="008450F1">
        <w:rPr>
          <w:lang w:val="es-DO"/>
        </w:rPr>
        <w:t>Uso de demasiados medicamentos por paciente</w:t>
      </w:r>
      <w:r w:rsidR="003E5572" w:rsidRPr="008450F1">
        <w:rPr>
          <w:lang w:val="es-DO"/>
        </w:rPr>
        <w:t>;</w:t>
      </w:r>
    </w:p>
    <w:p w:rsidR="008E089F" w:rsidRPr="008450F1" w:rsidRDefault="008E089F" w:rsidP="00AF0916">
      <w:pPr>
        <w:pStyle w:val="ListParagraph"/>
        <w:numPr>
          <w:ilvl w:val="0"/>
          <w:numId w:val="13"/>
        </w:numPr>
        <w:spacing w:after="0" w:line="240" w:lineRule="auto"/>
        <w:rPr>
          <w:lang w:val="es-DO"/>
        </w:rPr>
      </w:pPr>
      <w:r w:rsidRPr="008450F1">
        <w:rPr>
          <w:lang w:val="es-DO"/>
        </w:rPr>
        <w:t xml:space="preserve">Uso inadecuado de </w:t>
      </w:r>
      <w:r w:rsidR="00B51537" w:rsidRPr="008450F1">
        <w:rPr>
          <w:lang w:val="es-DO"/>
        </w:rPr>
        <w:t>antibióticos</w:t>
      </w:r>
      <w:r w:rsidRPr="008450F1">
        <w:rPr>
          <w:lang w:val="es-DO"/>
        </w:rPr>
        <w:t>: dosis inadecuadas y uso en infecciones no sensibles a los antibióticos</w:t>
      </w:r>
      <w:r w:rsidR="003E5572" w:rsidRPr="008450F1">
        <w:rPr>
          <w:lang w:val="es-DO"/>
        </w:rPr>
        <w:t>;</w:t>
      </w:r>
    </w:p>
    <w:p w:rsidR="008E089F" w:rsidRPr="008450F1" w:rsidRDefault="008E089F" w:rsidP="00AF0916">
      <w:pPr>
        <w:pStyle w:val="ListParagraph"/>
        <w:numPr>
          <w:ilvl w:val="0"/>
          <w:numId w:val="13"/>
        </w:numPr>
        <w:spacing w:after="0" w:line="240" w:lineRule="auto"/>
        <w:rPr>
          <w:lang w:val="es-DO"/>
        </w:rPr>
      </w:pPr>
      <w:r w:rsidRPr="008450F1">
        <w:rPr>
          <w:lang w:val="es-DO"/>
        </w:rPr>
        <w:t>Prescripción excesiva de inyecciones en casos en que podría ser más conveniente la forma farmacéutica oral</w:t>
      </w:r>
      <w:r w:rsidR="003E5572" w:rsidRPr="008450F1">
        <w:rPr>
          <w:lang w:val="es-DO"/>
        </w:rPr>
        <w:t>;</w:t>
      </w:r>
    </w:p>
    <w:p w:rsidR="008E089F" w:rsidRPr="008450F1" w:rsidRDefault="008E089F" w:rsidP="00AF0916">
      <w:pPr>
        <w:pStyle w:val="ListParagraph"/>
        <w:numPr>
          <w:ilvl w:val="0"/>
          <w:numId w:val="13"/>
        </w:numPr>
        <w:spacing w:after="0" w:line="240" w:lineRule="auto"/>
        <w:rPr>
          <w:lang w:val="es-DO"/>
        </w:rPr>
      </w:pPr>
      <w:r w:rsidRPr="008450F1">
        <w:rPr>
          <w:lang w:val="es-DO"/>
        </w:rPr>
        <w:t>Automedicación</w:t>
      </w:r>
      <w:r w:rsidR="003E5572" w:rsidRPr="008450F1">
        <w:rPr>
          <w:lang w:val="es-DO"/>
        </w:rPr>
        <w:t>; y</w:t>
      </w:r>
    </w:p>
    <w:p w:rsidR="003E5572" w:rsidRPr="008450F1" w:rsidRDefault="001C0D63" w:rsidP="00AF0916">
      <w:pPr>
        <w:pStyle w:val="ListParagraph"/>
        <w:numPr>
          <w:ilvl w:val="0"/>
          <w:numId w:val="13"/>
        </w:numPr>
        <w:spacing w:after="0" w:line="240" w:lineRule="auto"/>
        <w:rPr>
          <w:lang w:val="es-DO"/>
        </w:rPr>
      </w:pPr>
      <w:r w:rsidRPr="008450F1">
        <w:rPr>
          <w:lang w:val="es-DO"/>
        </w:rPr>
        <w:t>Circulación</w:t>
      </w:r>
      <w:r w:rsidR="009E49E3" w:rsidRPr="008450F1">
        <w:rPr>
          <w:lang w:val="es-DO"/>
        </w:rPr>
        <w:t xml:space="preserve"> de medicamentos falsificados.</w:t>
      </w:r>
    </w:p>
    <w:p w:rsidR="003E5572" w:rsidRPr="008450F1" w:rsidRDefault="003E5572" w:rsidP="00AF0916">
      <w:pPr>
        <w:spacing w:after="0" w:line="240" w:lineRule="auto"/>
        <w:rPr>
          <w:lang w:val="es-DO"/>
        </w:rPr>
      </w:pPr>
    </w:p>
    <w:p w:rsidR="005E771E" w:rsidRPr="008450F1" w:rsidRDefault="009E49E3" w:rsidP="00AF0916">
      <w:pPr>
        <w:spacing w:after="0" w:line="240" w:lineRule="auto"/>
        <w:rPr>
          <w:lang w:val="es-DO"/>
        </w:rPr>
      </w:pPr>
      <w:r w:rsidRPr="008450F1">
        <w:rPr>
          <w:lang w:val="es-DO"/>
        </w:rPr>
        <w:t xml:space="preserve">En </w:t>
      </w:r>
      <w:r w:rsidR="00383084" w:rsidRPr="008450F1">
        <w:rPr>
          <w:lang w:val="es-DO"/>
        </w:rPr>
        <w:t xml:space="preserve">la Política de Calidad </w:t>
      </w:r>
      <w:r w:rsidRPr="008450F1">
        <w:rPr>
          <w:lang w:val="es-DO"/>
        </w:rPr>
        <w:t xml:space="preserve">en </w:t>
      </w:r>
      <w:r w:rsidR="00B51537" w:rsidRPr="008450F1">
        <w:rPr>
          <w:lang w:val="es-DO"/>
        </w:rPr>
        <w:t>Salud se</w:t>
      </w:r>
      <w:r w:rsidRPr="008450F1">
        <w:rPr>
          <w:lang w:val="es-DO"/>
        </w:rPr>
        <w:t xml:space="preserve"> definen diversas</w:t>
      </w:r>
      <w:r w:rsidR="00383084" w:rsidRPr="008450F1">
        <w:rPr>
          <w:lang w:val="es-DO"/>
        </w:rPr>
        <w:t xml:space="preserve"> estrategias </w:t>
      </w:r>
      <w:r w:rsidRPr="008450F1">
        <w:rPr>
          <w:lang w:val="es-DO"/>
        </w:rPr>
        <w:t>dirigidas a mitigar estos factores. S</w:t>
      </w:r>
      <w:r w:rsidR="00383084" w:rsidRPr="008450F1">
        <w:rPr>
          <w:lang w:val="es-DO"/>
        </w:rPr>
        <w:t xml:space="preserve">e contemplan </w:t>
      </w:r>
      <w:r w:rsidR="00E47FA5" w:rsidRPr="008450F1">
        <w:rPr>
          <w:lang w:val="es-DO"/>
        </w:rPr>
        <w:t xml:space="preserve">acciones que favorecen una mejor prescripción y que propenden por la seguridad, </w:t>
      </w:r>
      <w:r w:rsidR="003E5572" w:rsidRPr="008450F1">
        <w:rPr>
          <w:lang w:val="es-DO"/>
        </w:rPr>
        <w:t xml:space="preserve">la </w:t>
      </w:r>
      <w:r w:rsidR="00E47FA5" w:rsidRPr="008450F1">
        <w:rPr>
          <w:lang w:val="es-DO"/>
        </w:rPr>
        <w:t xml:space="preserve">inocuidad y </w:t>
      </w:r>
      <w:r w:rsidR="003E5572" w:rsidRPr="008450F1">
        <w:rPr>
          <w:lang w:val="es-DO"/>
        </w:rPr>
        <w:t xml:space="preserve">la </w:t>
      </w:r>
      <w:r w:rsidR="00E47FA5" w:rsidRPr="008450F1">
        <w:rPr>
          <w:lang w:val="es-DO"/>
        </w:rPr>
        <w:t>eficiencia de los medicamentos y de las tecnologías sanitarias. Por ejemplo</w:t>
      </w:r>
      <w:r w:rsidRPr="008450F1">
        <w:rPr>
          <w:lang w:val="es-DO"/>
        </w:rPr>
        <w:t>, s</w:t>
      </w:r>
      <w:r w:rsidR="00383084" w:rsidRPr="008450F1">
        <w:rPr>
          <w:lang w:val="es-DO"/>
        </w:rPr>
        <w:t>e considera la vigilancia de la public</w:t>
      </w:r>
      <w:r w:rsidRPr="008450F1">
        <w:rPr>
          <w:lang w:val="es-DO"/>
        </w:rPr>
        <w:t>i</w:t>
      </w:r>
      <w:r w:rsidR="00383084" w:rsidRPr="008450F1">
        <w:rPr>
          <w:lang w:val="es-DO"/>
        </w:rPr>
        <w:t>dad; el fomento del uso racional de medicamento</w:t>
      </w:r>
      <w:r w:rsidR="001C0D63" w:rsidRPr="008450F1">
        <w:rPr>
          <w:lang w:val="es-DO"/>
        </w:rPr>
        <w:t>s</w:t>
      </w:r>
      <w:r w:rsidR="00383084" w:rsidRPr="008450F1">
        <w:rPr>
          <w:lang w:val="es-DO"/>
        </w:rPr>
        <w:t xml:space="preserve"> en el personal de salud y en la comunidad; y el uso de la evidencia y la información en la toma de deci</w:t>
      </w:r>
      <w:r w:rsidRPr="008450F1">
        <w:rPr>
          <w:lang w:val="es-DO"/>
        </w:rPr>
        <w:t>s</w:t>
      </w:r>
      <w:r w:rsidR="00383084" w:rsidRPr="008450F1">
        <w:rPr>
          <w:lang w:val="es-DO"/>
        </w:rPr>
        <w:t>iones al nivel del prescriptor y de los comités de farmacia</w:t>
      </w:r>
      <w:r w:rsidRPr="008450F1">
        <w:rPr>
          <w:lang w:val="es-DO"/>
        </w:rPr>
        <w:t>, mediante la implementación de Guías de Práctica Clínica (GPC)</w:t>
      </w:r>
      <w:r w:rsidR="005E771E" w:rsidRPr="008450F1">
        <w:rPr>
          <w:lang w:val="es-DO"/>
        </w:rPr>
        <w:t>.</w:t>
      </w:r>
    </w:p>
    <w:p w:rsidR="00383084" w:rsidRPr="008450F1" w:rsidRDefault="00383084" w:rsidP="00AF0916">
      <w:pPr>
        <w:spacing w:after="0" w:line="240" w:lineRule="auto"/>
        <w:rPr>
          <w:lang w:val="es-DO"/>
        </w:rPr>
      </w:pPr>
    </w:p>
    <w:p w:rsidR="009D524E" w:rsidRPr="008450F1" w:rsidRDefault="003B1EE7" w:rsidP="00AF0916">
      <w:pPr>
        <w:pStyle w:val="Heading5"/>
        <w:spacing w:before="0" w:after="0" w:line="240" w:lineRule="auto"/>
        <w:rPr>
          <w:u w:val="single"/>
          <w:lang w:val="es-DO"/>
        </w:rPr>
      </w:pPr>
      <w:r w:rsidRPr="00FA5324">
        <w:rPr>
          <w:rFonts w:ascii="Times New Roman" w:hAnsi="Times New Roman"/>
          <w:color w:val="auto"/>
          <w:sz w:val="22"/>
          <w:u w:val="single"/>
          <w:lang w:val="es-DO"/>
        </w:rPr>
        <w:t>Hospitales</w:t>
      </w:r>
    </w:p>
    <w:p w:rsidR="005E771E" w:rsidRPr="008450F1" w:rsidRDefault="005E771E" w:rsidP="00AF0916">
      <w:pPr>
        <w:spacing w:after="0" w:line="240" w:lineRule="auto"/>
        <w:rPr>
          <w:lang w:val="es-DO"/>
        </w:rPr>
      </w:pPr>
    </w:p>
    <w:p w:rsidR="005529E1" w:rsidRPr="008450F1" w:rsidRDefault="00C85E21" w:rsidP="00AF0916">
      <w:pPr>
        <w:spacing w:after="0" w:line="240" w:lineRule="auto"/>
        <w:rPr>
          <w:lang w:val="es-DO"/>
        </w:rPr>
      </w:pPr>
      <w:r w:rsidRPr="008450F1">
        <w:rPr>
          <w:lang w:val="es-DO"/>
        </w:rPr>
        <w:t>La principal ineficiencia en la organización de la red de prestadores</w:t>
      </w:r>
      <w:r w:rsidR="001C0D63" w:rsidRPr="008450F1">
        <w:rPr>
          <w:lang w:val="es-DO"/>
        </w:rPr>
        <w:t xml:space="preserve"> y </w:t>
      </w:r>
      <w:r w:rsidR="005E771E" w:rsidRPr="008450F1">
        <w:rPr>
          <w:lang w:val="es-DO"/>
        </w:rPr>
        <w:t xml:space="preserve">de </w:t>
      </w:r>
      <w:r w:rsidR="001C0D63" w:rsidRPr="008450F1">
        <w:rPr>
          <w:lang w:val="es-DO"/>
        </w:rPr>
        <w:t>hospitales</w:t>
      </w:r>
      <w:r w:rsidRPr="008450F1">
        <w:rPr>
          <w:lang w:val="es-DO"/>
        </w:rPr>
        <w:t xml:space="preserve"> se r</w:t>
      </w:r>
      <w:r w:rsidR="001C0D63" w:rsidRPr="008450F1">
        <w:rPr>
          <w:lang w:val="es-DO"/>
        </w:rPr>
        <w:t>e</w:t>
      </w:r>
      <w:r w:rsidR="005E771E" w:rsidRPr="008450F1">
        <w:rPr>
          <w:lang w:val="es-DO"/>
        </w:rPr>
        <w:t>la</w:t>
      </w:r>
      <w:r w:rsidR="001C0D63" w:rsidRPr="008450F1">
        <w:rPr>
          <w:lang w:val="es-DO"/>
        </w:rPr>
        <w:t>ciona</w:t>
      </w:r>
      <w:r w:rsidRPr="008450F1">
        <w:rPr>
          <w:lang w:val="es-DO"/>
        </w:rPr>
        <w:t xml:space="preserve"> a los problemas de dimensionamiento de los servicios </w:t>
      </w:r>
      <w:r w:rsidR="005E771E" w:rsidRPr="008450F1">
        <w:rPr>
          <w:lang w:val="es-DO"/>
        </w:rPr>
        <w:t>y de</w:t>
      </w:r>
      <w:r w:rsidRPr="008450F1">
        <w:rPr>
          <w:lang w:val="es-DO"/>
        </w:rPr>
        <w:t xml:space="preserve"> integración de los prestadores. En el caso de RD existe un gran desbalance entre los niveles de utilización de la red del </w:t>
      </w:r>
      <w:r w:rsidR="005E771E" w:rsidRPr="008450F1">
        <w:rPr>
          <w:lang w:val="es-DO"/>
        </w:rPr>
        <w:t>MSP</w:t>
      </w:r>
      <w:r w:rsidRPr="008450F1">
        <w:rPr>
          <w:lang w:val="es-DO"/>
        </w:rPr>
        <w:t xml:space="preserve"> y de la red del </w:t>
      </w:r>
      <w:r w:rsidR="005E771E" w:rsidRPr="008450F1">
        <w:rPr>
          <w:lang w:val="es-DO"/>
        </w:rPr>
        <w:t>Instituto Dominicano de Seguros Sociales (</w:t>
      </w:r>
      <w:r w:rsidRPr="008450F1">
        <w:rPr>
          <w:lang w:val="es-DO"/>
        </w:rPr>
        <w:t>IDSS</w:t>
      </w:r>
      <w:r w:rsidR="005E771E" w:rsidRPr="008450F1">
        <w:rPr>
          <w:lang w:val="es-DO"/>
        </w:rPr>
        <w:t>)</w:t>
      </w:r>
      <w:r w:rsidRPr="008450F1">
        <w:rPr>
          <w:lang w:val="es-DO"/>
        </w:rPr>
        <w:t>, la fragmentación en estas dos redes conlleva a redundancia en los servicios y a una subutilización de la infraestructura. Además</w:t>
      </w:r>
      <w:r w:rsidR="005C1182" w:rsidRPr="008450F1">
        <w:rPr>
          <w:lang w:val="es-DO"/>
        </w:rPr>
        <w:t>,</w:t>
      </w:r>
      <w:r w:rsidRPr="008450F1">
        <w:rPr>
          <w:lang w:val="es-DO"/>
        </w:rPr>
        <w:t xml:space="preserve"> existen otras fuentes de ineficiencia como incentivos desalineados de los objetivos</w:t>
      </w:r>
      <w:r w:rsidR="005C1182" w:rsidRPr="008450F1">
        <w:rPr>
          <w:lang w:val="es-DO"/>
        </w:rPr>
        <w:t xml:space="preserve"> y</w:t>
      </w:r>
      <w:r w:rsidRPr="008450F1">
        <w:rPr>
          <w:lang w:val="es-DO"/>
        </w:rPr>
        <w:t xml:space="preserve"> pagos que no están asociados a metas o a resultados en salud. También se encuentran hospitalizaciones innecesarias o excesivamente prolongadas</w:t>
      </w:r>
      <w:r w:rsidR="00D51D32" w:rsidRPr="008450F1">
        <w:rPr>
          <w:lang w:val="es-DO"/>
        </w:rPr>
        <w:t xml:space="preserve">, al igual que el inadecuado uso de la capacidad de la infraestructura disponible. Se encuentra también </w:t>
      </w:r>
      <w:r w:rsidR="00093C57" w:rsidRPr="008450F1">
        <w:rPr>
          <w:lang w:val="es-DO"/>
        </w:rPr>
        <w:t xml:space="preserve">ineficiencia en el uso y </w:t>
      </w:r>
      <w:r w:rsidR="005C1182" w:rsidRPr="008450F1">
        <w:rPr>
          <w:lang w:val="es-DO"/>
        </w:rPr>
        <w:t xml:space="preserve">en la </w:t>
      </w:r>
      <w:r w:rsidR="00093C57" w:rsidRPr="008450F1">
        <w:rPr>
          <w:lang w:val="es-DO"/>
        </w:rPr>
        <w:t>provisión de equipos, estudios y procedimientos.</w:t>
      </w:r>
      <w:r w:rsidR="00D51D32" w:rsidRPr="008450F1">
        <w:rPr>
          <w:lang w:val="es-DO"/>
        </w:rPr>
        <w:t xml:space="preserve"> </w:t>
      </w:r>
      <w:sdt>
        <w:sdtPr>
          <w:rPr>
            <w:lang w:val="es-DO"/>
          </w:rPr>
          <w:id w:val="199671120"/>
          <w:citation/>
        </w:sdtPr>
        <w:sdtEndPr/>
        <w:sdtContent>
          <w:r w:rsidR="00D51D32" w:rsidRPr="008450F1">
            <w:rPr>
              <w:lang w:val="es-DO"/>
            </w:rPr>
            <w:fldChar w:fldCharType="begin"/>
          </w:r>
          <w:r w:rsidR="00D51D32" w:rsidRPr="008450F1">
            <w:rPr>
              <w:lang w:val="es-DO"/>
            </w:rPr>
            <w:instrText xml:space="preserve"> CITATION Wor10 \l 9226 </w:instrText>
          </w:r>
          <w:r w:rsidR="00D51D32" w:rsidRPr="008450F1">
            <w:rPr>
              <w:lang w:val="es-DO"/>
            </w:rPr>
            <w:fldChar w:fldCharType="separate"/>
          </w:r>
          <w:r w:rsidR="00160DA0" w:rsidRPr="008450F1">
            <w:rPr>
              <w:noProof/>
              <w:lang w:val="es-DO"/>
            </w:rPr>
            <w:t>(World Health Organization, 2010)</w:t>
          </w:r>
          <w:r w:rsidR="00D51D32" w:rsidRPr="008450F1">
            <w:rPr>
              <w:lang w:val="es-DO"/>
            </w:rPr>
            <w:fldChar w:fldCharType="end"/>
          </w:r>
        </w:sdtContent>
      </w:sdt>
      <w:r w:rsidR="00D51D32" w:rsidRPr="008450F1">
        <w:rPr>
          <w:lang w:val="es-DO"/>
        </w:rPr>
        <w:t>.</w:t>
      </w:r>
    </w:p>
    <w:p w:rsidR="005C1182" w:rsidRPr="008450F1" w:rsidRDefault="005C1182" w:rsidP="00AF0916">
      <w:pPr>
        <w:spacing w:after="0" w:line="240" w:lineRule="auto"/>
        <w:rPr>
          <w:lang w:val="es-DO"/>
        </w:rPr>
      </w:pPr>
    </w:p>
    <w:p w:rsidR="005529E1" w:rsidRPr="008450F1" w:rsidRDefault="005529E1" w:rsidP="00AF0916">
      <w:pPr>
        <w:spacing w:after="0" w:line="240" w:lineRule="auto"/>
        <w:rPr>
          <w:lang w:val="es-DO"/>
        </w:rPr>
      </w:pPr>
      <w:r w:rsidRPr="008450F1">
        <w:rPr>
          <w:lang w:val="es-DO"/>
        </w:rPr>
        <w:t xml:space="preserve">Entre los factores que favorecen </w:t>
      </w:r>
      <w:r w:rsidR="001C0D63" w:rsidRPr="008450F1">
        <w:rPr>
          <w:lang w:val="es-DO"/>
        </w:rPr>
        <w:t>estas</w:t>
      </w:r>
      <w:r w:rsidRPr="008450F1">
        <w:rPr>
          <w:lang w:val="es-DO"/>
        </w:rPr>
        <w:t xml:space="preserve"> ineficiencias se encuentran:</w:t>
      </w:r>
    </w:p>
    <w:p w:rsidR="005C1182" w:rsidRPr="008450F1" w:rsidRDefault="005C1182" w:rsidP="00AF0916">
      <w:pPr>
        <w:pStyle w:val="ListParagraph"/>
        <w:spacing w:after="0" w:line="240" w:lineRule="auto"/>
        <w:rPr>
          <w:lang w:val="es-DO"/>
        </w:rPr>
      </w:pPr>
    </w:p>
    <w:p w:rsidR="005529E1" w:rsidRPr="008450F1" w:rsidRDefault="005529E1" w:rsidP="00AF0916">
      <w:pPr>
        <w:pStyle w:val="ListParagraph"/>
        <w:numPr>
          <w:ilvl w:val="0"/>
          <w:numId w:val="15"/>
        </w:numPr>
        <w:spacing w:after="0" w:line="240" w:lineRule="auto"/>
        <w:rPr>
          <w:lang w:val="es-DO"/>
        </w:rPr>
      </w:pPr>
      <w:r w:rsidRPr="008450F1">
        <w:rPr>
          <w:lang w:val="es-DO"/>
        </w:rPr>
        <w:t>No se opera</w:t>
      </w:r>
      <w:r w:rsidR="00E51797" w:rsidRPr="008450F1">
        <w:rPr>
          <w:lang w:val="es-DO"/>
        </w:rPr>
        <w:t xml:space="preserve"> al máximo de </w:t>
      </w:r>
      <w:r w:rsidRPr="008450F1">
        <w:rPr>
          <w:lang w:val="es-DO"/>
        </w:rPr>
        <w:t>la</w:t>
      </w:r>
      <w:r w:rsidR="00E51797" w:rsidRPr="008450F1">
        <w:rPr>
          <w:lang w:val="es-DO"/>
        </w:rPr>
        <w:t xml:space="preserve"> capacidad </w:t>
      </w:r>
      <w:r w:rsidRPr="008450F1">
        <w:rPr>
          <w:lang w:val="es-DO"/>
        </w:rPr>
        <w:t>instalada</w:t>
      </w:r>
      <w:r w:rsidR="00D51D32" w:rsidRPr="008450F1">
        <w:rPr>
          <w:lang w:val="es-DO"/>
        </w:rPr>
        <w:t xml:space="preserve"> </w:t>
      </w:r>
      <w:r w:rsidR="00E51797" w:rsidRPr="008450F1">
        <w:rPr>
          <w:lang w:val="es-DO"/>
        </w:rPr>
        <w:t>(problemas de escala)</w:t>
      </w:r>
      <w:r w:rsidR="005C1182" w:rsidRPr="008450F1">
        <w:rPr>
          <w:lang w:val="es-DO"/>
        </w:rPr>
        <w:t>;</w:t>
      </w:r>
    </w:p>
    <w:p w:rsidR="001305B7" w:rsidRPr="008450F1" w:rsidRDefault="005529E1" w:rsidP="00AF0916">
      <w:pPr>
        <w:pStyle w:val="ListParagraph"/>
        <w:numPr>
          <w:ilvl w:val="0"/>
          <w:numId w:val="15"/>
        </w:numPr>
        <w:spacing w:after="0" w:line="240" w:lineRule="auto"/>
        <w:rPr>
          <w:lang w:val="es-DO"/>
        </w:rPr>
      </w:pPr>
      <w:r w:rsidRPr="008450F1">
        <w:rPr>
          <w:lang w:val="es-DO"/>
        </w:rPr>
        <w:t>Se o</w:t>
      </w:r>
      <w:r w:rsidR="00E51797" w:rsidRPr="008450F1">
        <w:rPr>
          <w:lang w:val="es-DO"/>
        </w:rPr>
        <w:t>ferta</w:t>
      </w:r>
      <w:r w:rsidRPr="008450F1">
        <w:rPr>
          <w:lang w:val="es-DO"/>
        </w:rPr>
        <w:t>n</w:t>
      </w:r>
      <w:r w:rsidR="00E51797" w:rsidRPr="008450F1">
        <w:rPr>
          <w:lang w:val="es-DO"/>
        </w:rPr>
        <w:t xml:space="preserve"> servicios que se podrían brindar en niveles más bajos a menor costo</w:t>
      </w:r>
      <w:r w:rsidR="005C1182" w:rsidRPr="008450F1">
        <w:rPr>
          <w:lang w:val="es-DO"/>
        </w:rPr>
        <w:t>;</w:t>
      </w:r>
    </w:p>
    <w:p w:rsidR="00093C57" w:rsidRPr="008450F1" w:rsidRDefault="005C1182" w:rsidP="00AF0916">
      <w:pPr>
        <w:pStyle w:val="ListParagraph"/>
        <w:numPr>
          <w:ilvl w:val="0"/>
          <w:numId w:val="15"/>
        </w:numPr>
        <w:spacing w:after="0" w:line="240" w:lineRule="auto"/>
        <w:rPr>
          <w:lang w:val="es-DO"/>
        </w:rPr>
      </w:pPr>
      <w:r w:rsidRPr="008450F1">
        <w:rPr>
          <w:lang w:val="es-DO"/>
        </w:rPr>
        <w:t>Existe un n</w:t>
      </w:r>
      <w:r w:rsidR="00093C57" w:rsidRPr="008450F1">
        <w:rPr>
          <w:lang w:val="es-DO"/>
        </w:rPr>
        <w:t>ivel inadecuado de recursos administrativos para la coordinación y el control</w:t>
      </w:r>
      <w:r w:rsidRPr="008450F1">
        <w:rPr>
          <w:lang w:val="es-DO"/>
        </w:rPr>
        <w:t>;</w:t>
      </w:r>
    </w:p>
    <w:p w:rsidR="00093C57" w:rsidRPr="008450F1" w:rsidRDefault="005C1182" w:rsidP="00AF0916">
      <w:pPr>
        <w:pStyle w:val="ListParagraph"/>
        <w:numPr>
          <w:ilvl w:val="0"/>
          <w:numId w:val="15"/>
        </w:numPr>
        <w:spacing w:after="0" w:line="240" w:lineRule="auto"/>
        <w:rPr>
          <w:lang w:val="es-DO"/>
        </w:rPr>
      </w:pPr>
      <w:r w:rsidRPr="008450F1">
        <w:rPr>
          <w:lang w:val="es-DO"/>
        </w:rPr>
        <w:lastRenderedPageBreak/>
        <w:t>Existen f</w:t>
      </w:r>
      <w:r w:rsidR="00093C57" w:rsidRPr="008450F1">
        <w:rPr>
          <w:lang w:val="es-DO"/>
        </w:rPr>
        <w:t>allas en la planificación de la infraestructura de los servicios de salud: e</w:t>
      </w:r>
      <w:r w:rsidR="00C85E21" w:rsidRPr="008450F1">
        <w:rPr>
          <w:lang w:val="es-DO"/>
        </w:rPr>
        <w:t xml:space="preserve">xiste sobreoferta </w:t>
      </w:r>
      <w:r w:rsidR="00093C57" w:rsidRPr="008450F1">
        <w:rPr>
          <w:lang w:val="es-DO"/>
        </w:rPr>
        <w:t xml:space="preserve">en algunas áreas </w:t>
      </w:r>
      <w:r w:rsidR="00C85E21" w:rsidRPr="008450F1">
        <w:rPr>
          <w:lang w:val="es-DO"/>
        </w:rPr>
        <w:t>e insuficiente oferta en</w:t>
      </w:r>
      <w:r w:rsidR="00150476" w:rsidRPr="008450F1">
        <w:rPr>
          <w:lang w:val="es-DO"/>
        </w:rPr>
        <w:t xml:space="preserve"> otras áreas</w:t>
      </w:r>
      <w:r w:rsidRPr="008450F1">
        <w:rPr>
          <w:lang w:val="es-DO"/>
        </w:rPr>
        <w:t>;</w:t>
      </w:r>
    </w:p>
    <w:p w:rsidR="00093C57" w:rsidRPr="008450F1" w:rsidRDefault="00093C57" w:rsidP="00AF0916">
      <w:pPr>
        <w:pStyle w:val="ListParagraph"/>
        <w:numPr>
          <w:ilvl w:val="0"/>
          <w:numId w:val="15"/>
        </w:numPr>
        <w:spacing w:after="0" w:line="240" w:lineRule="auto"/>
        <w:rPr>
          <w:lang w:val="es-DO"/>
        </w:rPr>
      </w:pPr>
      <w:r w:rsidRPr="008450F1">
        <w:rPr>
          <w:lang w:val="es-DO"/>
        </w:rPr>
        <w:t xml:space="preserve">Existe demanda de equipos, estudios y procedimientos inducida por los proveedores, con </w:t>
      </w:r>
      <w:r w:rsidR="00150476" w:rsidRPr="008450F1">
        <w:rPr>
          <w:lang w:val="es-DO"/>
        </w:rPr>
        <w:t>mecanismos de pago por servicio</w:t>
      </w:r>
      <w:r w:rsidR="005C1182" w:rsidRPr="008450F1">
        <w:rPr>
          <w:lang w:val="es-DO"/>
        </w:rPr>
        <w:t>; y</w:t>
      </w:r>
    </w:p>
    <w:p w:rsidR="005C1182" w:rsidRPr="008450F1" w:rsidRDefault="005C1182" w:rsidP="00AF0916">
      <w:pPr>
        <w:pStyle w:val="ListParagraph"/>
        <w:numPr>
          <w:ilvl w:val="0"/>
          <w:numId w:val="15"/>
        </w:numPr>
        <w:spacing w:after="0" w:line="240" w:lineRule="auto"/>
        <w:rPr>
          <w:lang w:val="es-DO"/>
        </w:rPr>
      </w:pPr>
      <w:r w:rsidRPr="008450F1">
        <w:rPr>
          <w:lang w:val="es-DO"/>
        </w:rPr>
        <w:t>Se presentan p</w:t>
      </w:r>
      <w:r w:rsidR="00CD2DA2" w:rsidRPr="008450F1">
        <w:rPr>
          <w:lang w:val="es-DO"/>
        </w:rPr>
        <w:t>roblemas asociados con errores médicos y de calidad de la atención que af</w:t>
      </w:r>
      <w:r w:rsidR="00150476" w:rsidRPr="008450F1">
        <w:rPr>
          <w:lang w:val="es-DO"/>
        </w:rPr>
        <w:t>ectan la seguridad del paciente</w:t>
      </w:r>
      <w:r w:rsidRPr="008450F1">
        <w:rPr>
          <w:lang w:val="es-DO"/>
        </w:rPr>
        <w:t>.</w:t>
      </w:r>
    </w:p>
    <w:p w:rsidR="005C1182" w:rsidRPr="008450F1" w:rsidRDefault="005C1182" w:rsidP="00AF0916">
      <w:pPr>
        <w:spacing w:after="0" w:line="240" w:lineRule="auto"/>
        <w:rPr>
          <w:lang w:val="es-DO"/>
        </w:rPr>
      </w:pPr>
    </w:p>
    <w:p w:rsidR="00F07A4C" w:rsidRPr="008450F1" w:rsidRDefault="001C0D63" w:rsidP="00AF0916">
      <w:pPr>
        <w:spacing w:after="0" w:line="240" w:lineRule="auto"/>
        <w:rPr>
          <w:lang w:val="es-DO"/>
        </w:rPr>
      </w:pPr>
      <w:r w:rsidRPr="008450F1">
        <w:rPr>
          <w:lang w:val="es-DO"/>
        </w:rPr>
        <w:t>Dichos factores se abordan por las medidas de política de la siguiente manera. Primero, l</w:t>
      </w:r>
      <w:r w:rsidR="001305B7" w:rsidRPr="008450F1">
        <w:rPr>
          <w:lang w:val="es-DO"/>
        </w:rPr>
        <w:t xml:space="preserve">a oficialización del modelo </w:t>
      </w:r>
      <w:r w:rsidR="003B1EE7" w:rsidRPr="008450F1">
        <w:rPr>
          <w:lang w:val="es-DO"/>
        </w:rPr>
        <w:t>de atención en salud</w:t>
      </w:r>
      <w:r w:rsidR="001305B7" w:rsidRPr="008450F1">
        <w:rPr>
          <w:lang w:val="es-DO"/>
        </w:rPr>
        <w:t xml:space="preserve">, </w:t>
      </w:r>
      <w:r w:rsidRPr="008450F1">
        <w:rPr>
          <w:lang w:val="es-DO"/>
        </w:rPr>
        <w:t>al impulsar la</w:t>
      </w:r>
      <w:r w:rsidR="001305B7" w:rsidRPr="008450F1">
        <w:rPr>
          <w:lang w:val="es-DO"/>
        </w:rPr>
        <w:t xml:space="preserve"> implementación</w:t>
      </w:r>
      <w:r w:rsidRPr="008450F1">
        <w:rPr>
          <w:lang w:val="es-DO"/>
        </w:rPr>
        <w:t xml:space="preserve"> de un modelo con enfoque de atención primaria organizado en redes,</w:t>
      </w:r>
      <w:r w:rsidR="003B1EE7" w:rsidRPr="008450F1">
        <w:rPr>
          <w:lang w:val="es-DO"/>
        </w:rPr>
        <w:t xml:space="preserve"> </w:t>
      </w:r>
      <w:r w:rsidR="001305B7" w:rsidRPr="008450F1">
        <w:rPr>
          <w:lang w:val="es-DO"/>
        </w:rPr>
        <w:t>puede llevar a mejoras en la eficiencia de los</w:t>
      </w:r>
      <w:r w:rsidRPr="008450F1">
        <w:rPr>
          <w:lang w:val="es-DO"/>
        </w:rPr>
        <w:t xml:space="preserve"> prestadores y</w:t>
      </w:r>
      <w:r w:rsidR="001305B7" w:rsidRPr="008450F1">
        <w:rPr>
          <w:lang w:val="es-DO"/>
        </w:rPr>
        <w:t xml:space="preserve"> </w:t>
      </w:r>
      <w:r w:rsidR="005C1182" w:rsidRPr="008450F1">
        <w:rPr>
          <w:lang w:val="es-DO"/>
        </w:rPr>
        <w:t xml:space="preserve">los </w:t>
      </w:r>
      <w:r w:rsidR="001305B7" w:rsidRPr="008450F1">
        <w:rPr>
          <w:lang w:val="es-DO"/>
        </w:rPr>
        <w:t>hospitales</w:t>
      </w:r>
      <w:r w:rsidR="005C1182" w:rsidRPr="008450F1">
        <w:rPr>
          <w:lang w:val="es-DO"/>
        </w:rPr>
        <w:t xml:space="preserve"> </w:t>
      </w:r>
      <w:r w:rsidR="00D23681" w:rsidRPr="008450F1">
        <w:rPr>
          <w:lang w:val="es-DO"/>
        </w:rPr>
        <w:t xml:space="preserve">en las 9 regionales. Este rediseño </w:t>
      </w:r>
      <w:r w:rsidRPr="008450F1">
        <w:rPr>
          <w:lang w:val="es-DO"/>
        </w:rPr>
        <w:t>conlleva</w:t>
      </w:r>
      <w:r w:rsidR="00B51537" w:rsidRPr="008450F1">
        <w:rPr>
          <w:lang w:val="es-DO"/>
        </w:rPr>
        <w:t xml:space="preserve"> </w:t>
      </w:r>
      <w:r w:rsidR="001305B7" w:rsidRPr="008450F1">
        <w:rPr>
          <w:lang w:val="es-DO"/>
        </w:rPr>
        <w:t>planificación</w:t>
      </w:r>
      <w:r w:rsidR="00D23681" w:rsidRPr="008450F1">
        <w:rPr>
          <w:lang w:val="es-DO"/>
        </w:rPr>
        <w:t xml:space="preserve"> de la infraestructura hospitalaria acorde con las necesidades en salud específicas en cada región. El modelo de salud también se acompaña de los esquemas de referencia y contrarreferencia que permiten atender cada caso en el nivel de atención más bajo posible disminuyendo así los costos de atención y aprovechando al máximo la infraestructura disponible. </w:t>
      </w:r>
      <w:r w:rsidR="002F67E2" w:rsidRPr="008450F1">
        <w:rPr>
          <w:lang w:val="es-DO"/>
        </w:rPr>
        <w:t>Un mejor acceso a los servicios también implica un menor gasto de bolsillo.</w:t>
      </w:r>
    </w:p>
    <w:p w:rsidR="005C1182" w:rsidRPr="008450F1" w:rsidRDefault="005C1182" w:rsidP="00AF0916">
      <w:pPr>
        <w:spacing w:after="0" w:line="240" w:lineRule="auto"/>
        <w:rPr>
          <w:lang w:val="es-DO"/>
        </w:rPr>
      </w:pPr>
    </w:p>
    <w:p w:rsidR="001305B7" w:rsidRPr="008450F1" w:rsidRDefault="001C0D63" w:rsidP="00AF0916">
      <w:pPr>
        <w:spacing w:after="0" w:line="240" w:lineRule="auto"/>
        <w:rPr>
          <w:lang w:val="es-DO"/>
        </w:rPr>
      </w:pPr>
      <w:r w:rsidRPr="008450F1">
        <w:rPr>
          <w:lang w:val="es-DO"/>
        </w:rPr>
        <w:t>Segundo, en</w:t>
      </w:r>
      <w:r w:rsidR="00D23681" w:rsidRPr="008450F1">
        <w:rPr>
          <w:lang w:val="es-DO"/>
        </w:rPr>
        <w:t xml:space="preserve"> la </w:t>
      </w:r>
      <w:r w:rsidR="005C1182" w:rsidRPr="008450F1">
        <w:rPr>
          <w:lang w:val="es-DO"/>
        </w:rPr>
        <w:t>p</w:t>
      </w:r>
      <w:r w:rsidRPr="008450F1">
        <w:rPr>
          <w:lang w:val="es-DO"/>
        </w:rPr>
        <w:t>olítica de calidad</w:t>
      </w:r>
      <w:r w:rsidR="00D23681" w:rsidRPr="008450F1">
        <w:rPr>
          <w:lang w:val="es-DO"/>
        </w:rPr>
        <w:t xml:space="preserve"> se contempla la instauración de incentivos a los proveedores de salud </w:t>
      </w:r>
      <w:r w:rsidR="00030448" w:rsidRPr="008450F1">
        <w:rPr>
          <w:lang w:val="es-DO"/>
        </w:rPr>
        <w:t xml:space="preserve">para mejorar </w:t>
      </w:r>
      <w:r w:rsidR="00D23681" w:rsidRPr="008450F1">
        <w:rPr>
          <w:lang w:val="es-DO"/>
        </w:rPr>
        <w:t>la calidad de l</w:t>
      </w:r>
      <w:r w:rsidR="00030448" w:rsidRPr="008450F1">
        <w:rPr>
          <w:lang w:val="es-DO"/>
        </w:rPr>
        <w:t xml:space="preserve">a atención, así como el fortalecimiento de los sistemas de habilitación, certificación y acreditación. También </w:t>
      </w:r>
      <w:r w:rsidRPr="008450F1">
        <w:rPr>
          <w:lang w:val="es-DO"/>
        </w:rPr>
        <w:t>plantea</w:t>
      </w:r>
      <w:r w:rsidR="00030448" w:rsidRPr="008450F1">
        <w:rPr>
          <w:lang w:val="es-DO"/>
        </w:rPr>
        <w:t xml:space="preserve"> la implementación de sistemas de vigilancia de incidentes y eventos adversos en </w:t>
      </w:r>
      <w:r w:rsidR="00B51537" w:rsidRPr="008450F1">
        <w:rPr>
          <w:lang w:val="es-DO"/>
        </w:rPr>
        <w:t>los procesos</w:t>
      </w:r>
      <w:r w:rsidR="00030448" w:rsidRPr="008450F1">
        <w:rPr>
          <w:lang w:val="es-DO"/>
        </w:rPr>
        <w:t xml:space="preserve"> de atención</w:t>
      </w:r>
      <w:r w:rsidR="005C1182" w:rsidRPr="008450F1">
        <w:rPr>
          <w:lang w:val="es-DO"/>
        </w:rPr>
        <w:t>.</w:t>
      </w:r>
      <w:r w:rsidR="00030448" w:rsidRPr="008450F1">
        <w:rPr>
          <w:lang w:val="es-DO"/>
        </w:rPr>
        <w:t xml:space="preserve"> </w:t>
      </w:r>
      <w:r w:rsidRPr="008450F1">
        <w:rPr>
          <w:lang w:val="es-DO"/>
        </w:rPr>
        <w:t>Tercero,</w:t>
      </w:r>
      <w:r w:rsidR="00030448" w:rsidRPr="008450F1">
        <w:rPr>
          <w:lang w:val="es-DO"/>
        </w:rPr>
        <w:t xml:space="preserve"> el SENASA se ha creado la unidad de análisis actuarial</w:t>
      </w:r>
      <w:r w:rsidR="00774D2E" w:rsidRPr="008450F1">
        <w:rPr>
          <w:lang w:val="es-DO"/>
        </w:rPr>
        <w:t>,</w:t>
      </w:r>
      <w:r w:rsidR="00030448" w:rsidRPr="008450F1">
        <w:rPr>
          <w:lang w:val="es-DO"/>
        </w:rPr>
        <w:t xml:space="preserve"> la cual </w:t>
      </w:r>
      <w:r w:rsidR="005C1182" w:rsidRPr="008450F1">
        <w:rPr>
          <w:lang w:val="es-DO"/>
        </w:rPr>
        <w:t xml:space="preserve">tiene </w:t>
      </w:r>
      <w:r w:rsidR="00030448" w:rsidRPr="008450F1">
        <w:rPr>
          <w:lang w:val="es-DO"/>
        </w:rPr>
        <w:t xml:space="preserve">dentro de sus funciones el análisis de morbilidad de la población y de la siniestralidad. Contar con esta información tan precisa sobre la demanda de servicios por parte del SENASA (única aseguradora del subsidiado) </w:t>
      </w:r>
      <w:r w:rsidR="00165003" w:rsidRPr="008450F1">
        <w:rPr>
          <w:lang w:val="es-DO"/>
        </w:rPr>
        <w:t xml:space="preserve">debería facilitar el adecuado dimensionamiento </w:t>
      </w:r>
      <w:r w:rsidR="00774D2E" w:rsidRPr="008450F1">
        <w:rPr>
          <w:lang w:val="es-DO"/>
        </w:rPr>
        <w:t>y la</w:t>
      </w:r>
      <w:r w:rsidR="00165003" w:rsidRPr="008450F1">
        <w:rPr>
          <w:lang w:val="es-DO"/>
        </w:rPr>
        <w:t xml:space="preserve"> integración de la red de prestadores públicos.</w:t>
      </w:r>
    </w:p>
    <w:p w:rsidR="00774D2E" w:rsidRPr="008450F1" w:rsidRDefault="00774D2E" w:rsidP="00AF0916">
      <w:pPr>
        <w:spacing w:after="0" w:line="240" w:lineRule="auto"/>
        <w:rPr>
          <w:lang w:val="es-DO"/>
        </w:rPr>
      </w:pPr>
    </w:p>
    <w:p w:rsidR="00F07A4C" w:rsidRPr="008450F1" w:rsidRDefault="00F07A4C" w:rsidP="00AF0916">
      <w:pPr>
        <w:pStyle w:val="Heading5"/>
        <w:spacing w:before="0" w:after="0" w:line="240" w:lineRule="auto"/>
        <w:rPr>
          <w:rFonts w:ascii="Times New Roman" w:hAnsi="Times New Roman"/>
          <w:color w:val="auto"/>
          <w:sz w:val="22"/>
          <w:u w:val="single"/>
          <w:lang w:val="es-DO"/>
        </w:rPr>
      </w:pPr>
      <w:r w:rsidRPr="00FA5324">
        <w:rPr>
          <w:rFonts w:ascii="Times New Roman" w:hAnsi="Times New Roman"/>
          <w:color w:val="auto"/>
          <w:sz w:val="22"/>
          <w:u w:val="single"/>
          <w:lang w:val="es-DO"/>
        </w:rPr>
        <w:t>Fugas</w:t>
      </w:r>
    </w:p>
    <w:p w:rsidR="00774D2E" w:rsidRPr="008450F1" w:rsidRDefault="00774D2E" w:rsidP="00AF0916">
      <w:pPr>
        <w:spacing w:after="0" w:line="240" w:lineRule="auto"/>
        <w:rPr>
          <w:lang w:val="es-DO"/>
        </w:rPr>
      </w:pPr>
    </w:p>
    <w:p w:rsidR="00996915" w:rsidRPr="008450F1" w:rsidRDefault="00E47FA5" w:rsidP="00AF0916">
      <w:pPr>
        <w:spacing w:after="0" w:line="240" w:lineRule="auto"/>
        <w:rPr>
          <w:lang w:val="es-DO"/>
        </w:rPr>
      </w:pPr>
      <w:r w:rsidRPr="008450F1">
        <w:rPr>
          <w:lang w:val="es-DO"/>
        </w:rPr>
        <w:t>La ineficiencia por</w:t>
      </w:r>
      <w:r w:rsidR="00F07A4C" w:rsidRPr="008450F1">
        <w:rPr>
          <w:lang w:val="es-DO"/>
        </w:rPr>
        <w:t xml:space="preserve"> fugas de recursos </w:t>
      </w:r>
      <w:r w:rsidR="00BD7B22" w:rsidRPr="008450F1">
        <w:rPr>
          <w:lang w:val="es-DO"/>
        </w:rPr>
        <w:t xml:space="preserve">(corrupción) </w:t>
      </w:r>
      <w:r w:rsidRPr="008450F1">
        <w:rPr>
          <w:lang w:val="es-DO"/>
        </w:rPr>
        <w:t>se favorece</w:t>
      </w:r>
      <w:r w:rsidR="00020530" w:rsidRPr="008450F1">
        <w:rPr>
          <w:lang w:val="es-DO"/>
        </w:rPr>
        <w:t xml:space="preserve"> principalmente</w:t>
      </w:r>
      <w:r w:rsidRPr="008450F1">
        <w:rPr>
          <w:lang w:val="es-DO"/>
        </w:rPr>
        <w:t xml:space="preserve"> por</w:t>
      </w:r>
      <w:r w:rsidR="00020530" w:rsidRPr="008450F1">
        <w:rPr>
          <w:lang w:val="es-DO"/>
        </w:rPr>
        <w:t xml:space="preserve"> mecanismos débiles para la rendición de cuentas y de gobernabilidad, que a su vez se relaciona con poca claridad de responsabilidades,</w:t>
      </w:r>
      <w:r w:rsidR="00774D2E" w:rsidRPr="008450F1">
        <w:rPr>
          <w:lang w:val="es-DO"/>
        </w:rPr>
        <w:t xml:space="preserve"> la</w:t>
      </w:r>
      <w:r w:rsidR="00020530" w:rsidRPr="008450F1">
        <w:rPr>
          <w:lang w:val="es-DO"/>
        </w:rPr>
        <w:t xml:space="preserve"> falta de criterios claros para la asignación de recursos</w:t>
      </w:r>
      <w:r w:rsidR="00AD1FA7" w:rsidRPr="008450F1">
        <w:rPr>
          <w:lang w:val="es-DO"/>
        </w:rPr>
        <w:t xml:space="preserve"> y la</w:t>
      </w:r>
      <w:r w:rsidR="00020530" w:rsidRPr="008450F1">
        <w:rPr>
          <w:lang w:val="es-DO"/>
        </w:rPr>
        <w:t xml:space="preserve"> ausencia de mecanismos de monitoreo</w:t>
      </w:r>
      <w:r w:rsidR="00165003" w:rsidRPr="008450F1">
        <w:rPr>
          <w:lang w:val="es-DO"/>
        </w:rPr>
        <w:t>.</w:t>
      </w:r>
      <w:r w:rsidR="00AD1FA7" w:rsidRPr="008450F1">
        <w:rPr>
          <w:lang w:val="es-DO"/>
        </w:rPr>
        <w:t xml:space="preserve"> </w:t>
      </w:r>
      <w:r w:rsidR="00CE4DFE" w:rsidRPr="008450F1">
        <w:rPr>
          <w:lang w:val="es-DO"/>
        </w:rPr>
        <w:t xml:space="preserve">Si bien esta problemática no ha sido explícitamente descrita y contemplada en esta operación, es importante tomarla en cuenta para la EE, pues es una fuente </w:t>
      </w:r>
      <w:r w:rsidR="00774D2E" w:rsidRPr="008450F1">
        <w:rPr>
          <w:lang w:val="es-DO"/>
        </w:rPr>
        <w:t xml:space="preserve">importante </w:t>
      </w:r>
      <w:r w:rsidR="00CE4DFE" w:rsidRPr="008450F1">
        <w:rPr>
          <w:lang w:val="es-DO"/>
        </w:rPr>
        <w:t xml:space="preserve">de ineficiencia documentada a nivel mundial. </w:t>
      </w:r>
      <w:r w:rsidR="00996915" w:rsidRPr="008450F1">
        <w:rPr>
          <w:lang w:val="es-DO"/>
        </w:rPr>
        <w:t xml:space="preserve">Los principales factores determinantes que se encuentran </w:t>
      </w:r>
      <w:r w:rsidR="00774D2E" w:rsidRPr="008450F1">
        <w:rPr>
          <w:lang w:val="es-DO"/>
        </w:rPr>
        <w:t>para</w:t>
      </w:r>
      <w:r w:rsidR="00996915" w:rsidRPr="008450F1">
        <w:rPr>
          <w:lang w:val="es-DO"/>
        </w:rPr>
        <w:t xml:space="preserve"> esta </w:t>
      </w:r>
      <w:r w:rsidR="00B51537" w:rsidRPr="008450F1">
        <w:rPr>
          <w:lang w:val="es-DO"/>
        </w:rPr>
        <w:t>ineficiencia</w:t>
      </w:r>
      <w:r w:rsidR="00996915" w:rsidRPr="008450F1">
        <w:rPr>
          <w:lang w:val="es-DO"/>
        </w:rPr>
        <w:t xml:space="preserve"> son:</w:t>
      </w:r>
    </w:p>
    <w:p w:rsidR="00774D2E" w:rsidRPr="008450F1" w:rsidRDefault="00774D2E" w:rsidP="00AF0916">
      <w:pPr>
        <w:spacing w:after="0" w:line="240" w:lineRule="auto"/>
        <w:rPr>
          <w:lang w:val="es-DO"/>
        </w:rPr>
      </w:pPr>
    </w:p>
    <w:p w:rsidR="00996915" w:rsidRPr="008450F1" w:rsidRDefault="00996915" w:rsidP="00AF0916">
      <w:pPr>
        <w:pStyle w:val="ListParagraph"/>
        <w:numPr>
          <w:ilvl w:val="0"/>
          <w:numId w:val="15"/>
        </w:numPr>
        <w:spacing w:after="0" w:line="240" w:lineRule="auto"/>
        <w:rPr>
          <w:lang w:val="es-DO"/>
        </w:rPr>
      </w:pPr>
      <w:r w:rsidRPr="008450F1">
        <w:rPr>
          <w:lang w:val="es-DO"/>
        </w:rPr>
        <w:t>Falta de transparencia en la información sobre asignación de recursos</w:t>
      </w:r>
      <w:r w:rsidR="00774D2E" w:rsidRPr="008450F1">
        <w:rPr>
          <w:lang w:val="es-DO"/>
        </w:rPr>
        <w:t>;</w:t>
      </w:r>
    </w:p>
    <w:p w:rsidR="00996915" w:rsidRPr="008450F1" w:rsidRDefault="00996915" w:rsidP="00AF0916">
      <w:pPr>
        <w:pStyle w:val="ListParagraph"/>
        <w:numPr>
          <w:ilvl w:val="0"/>
          <w:numId w:val="15"/>
        </w:numPr>
        <w:spacing w:after="0" w:line="240" w:lineRule="auto"/>
        <w:rPr>
          <w:lang w:val="es-DO"/>
        </w:rPr>
      </w:pPr>
      <w:r w:rsidRPr="008450F1">
        <w:rPr>
          <w:lang w:val="es-DO"/>
        </w:rPr>
        <w:t>Pobres mecanismos de rendición de cuentas</w:t>
      </w:r>
      <w:r w:rsidR="00774D2E" w:rsidRPr="008450F1">
        <w:rPr>
          <w:lang w:val="es-DO"/>
        </w:rPr>
        <w:t>;</w:t>
      </w:r>
    </w:p>
    <w:p w:rsidR="00996915" w:rsidRPr="008450F1" w:rsidRDefault="00996915" w:rsidP="00AF0916">
      <w:pPr>
        <w:pStyle w:val="ListParagraph"/>
        <w:numPr>
          <w:ilvl w:val="0"/>
          <w:numId w:val="15"/>
        </w:numPr>
        <w:spacing w:after="0" w:line="240" w:lineRule="auto"/>
        <w:rPr>
          <w:lang w:val="es-DO"/>
        </w:rPr>
      </w:pPr>
      <w:r w:rsidRPr="008450F1">
        <w:rPr>
          <w:lang w:val="es-DO"/>
        </w:rPr>
        <w:t>Bajo empoderamiento de las comunidades para exigir sus derechos y participar como veedores del sistema</w:t>
      </w:r>
      <w:r w:rsidR="00774D2E" w:rsidRPr="008450F1">
        <w:rPr>
          <w:lang w:val="es-DO"/>
        </w:rPr>
        <w:t>;</w:t>
      </w:r>
    </w:p>
    <w:p w:rsidR="00996915" w:rsidRPr="008450F1" w:rsidRDefault="00996915" w:rsidP="00AF0916">
      <w:pPr>
        <w:pStyle w:val="ListParagraph"/>
        <w:numPr>
          <w:ilvl w:val="0"/>
          <w:numId w:val="15"/>
        </w:numPr>
        <w:spacing w:after="0" w:line="240" w:lineRule="auto"/>
        <w:rPr>
          <w:lang w:val="es-DO"/>
        </w:rPr>
      </w:pPr>
      <w:r w:rsidRPr="008450F1">
        <w:rPr>
          <w:lang w:val="es-DO"/>
        </w:rPr>
        <w:t>Falta de separación de las funciones de rectoría y provisión de servicios</w:t>
      </w:r>
      <w:r w:rsidR="00774D2E" w:rsidRPr="008450F1">
        <w:rPr>
          <w:lang w:val="es-DO"/>
        </w:rPr>
        <w:t>; y</w:t>
      </w:r>
    </w:p>
    <w:p w:rsidR="00774D2E" w:rsidRPr="008450F1" w:rsidRDefault="00996915" w:rsidP="00AF0916">
      <w:pPr>
        <w:pStyle w:val="ListParagraph"/>
        <w:numPr>
          <w:ilvl w:val="0"/>
          <w:numId w:val="15"/>
        </w:numPr>
        <w:spacing w:after="0" w:line="240" w:lineRule="auto"/>
        <w:rPr>
          <w:lang w:val="es-DO"/>
        </w:rPr>
      </w:pPr>
      <w:r w:rsidRPr="008450F1">
        <w:rPr>
          <w:lang w:val="es-DO"/>
        </w:rPr>
        <w:t>Débil función de rectoría</w:t>
      </w:r>
      <w:r w:rsidR="00774D2E" w:rsidRPr="008450F1">
        <w:rPr>
          <w:lang w:val="es-DO"/>
        </w:rPr>
        <w:t>.</w:t>
      </w:r>
    </w:p>
    <w:p w:rsidR="00996915" w:rsidRPr="008450F1" w:rsidRDefault="00996915" w:rsidP="00AF0916">
      <w:pPr>
        <w:spacing w:after="0" w:line="240" w:lineRule="auto"/>
        <w:rPr>
          <w:lang w:val="es-DO"/>
        </w:rPr>
      </w:pPr>
    </w:p>
    <w:p w:rsidR="004413E1" w:rsidRPr="008450F1" w:rsidRDefault="00CE4DFE" w:rsidP="00AF0916">
      <w:pPr>
        <w:spacing w:after="0" w:line="240" w:lineRule="auto"/>
        <w:rPr>
          <w:lang w:val="es-DO"/>
        </w:rPr>
      </w:pPr>
      <w:r w:rsidRPr="008450F1">
        <w:rPr>
          <w:lang w:val="es-DO"/>
        </w:rPr>
        <w:t>Se esperaría un efecto sobre las posibles fugas en el sector salud de RD por medio de las siguientes políticas. Uno, l</w:t>
      </w:r>
      <w:r w:rsidR="00020530" w:rsidRPr="008450F1">
        <w:rPr>
          <w:lang w:val="es-DO"/>
        </w:rPr>
        <w:t xml:space="preserve">a separación de funciones de rectoría y provisión de servicios de salud del MSP </w:t>
      </w:r>
      <w:r w:rsidR="00996915" w:rsidRPr="008450F1">
        <w:rPr>
          <w:lang w:val="es-DO"/>
        </w:rPr>
        <w:t xml:space="preserve">elimina el conflicto de interés que existe actualmente entre las dos funciones. Si el MSP tiene a su vez la función de la prestación de servicios y el ejercicio de la rectoría se ve limitada la rigurosidad frente a sus propios fallos en la prestación. </w:t>
      </w:r>
      <w:r w:rsidRPr="008450F1">
        <w:rPr>
          <w:lang w:val="es-DO"/>
        </w:rPr>
        <w:t xml:space="preserve">Dos, en </w:t>
      </w:r>
      <w:r w:rsidR="00020530" w:rsidRPr="008450F1">
        <w:rPr>
          <w:lang w:val="es-DO"/>
        </w:rPr>
        <w:t>la medida en que la modificación de la estructura organizacional y funcional del MSP fortalece la capacidad de uso de información</w:t>
      </w:r>
      <w:r w:rsidR="00996915" w:rsidRPr="008450F1">
        <w:rPr>
          <w:lang w:val="es-DO"/>
        </w:rPr>
        <w:t>, dicha información se podrá usar para hacer una mejor inspección, vigilancia y control de los procesos del sistema. La transparencia de la información</w:t>
      </w:r>
      <w:r w:rsidR="00B27A2B">
        <w:rPr>
          <w:lang w:val="es-DO"/>
        </w:rPr>
        <w:t>,</w:t>
      </w:r>
      <w:r w:rsidR="00996915" w:rsidRPr="008450F1">
        <w:rPr>
          <w:lang w:val="es-DO"/>
        </w:rPr>
        <w:t xml:space="preserve"> por sí misma</w:t>
      </w:r>
      <w:r w:rsidR="00B27A2B">
        <w:rPr>
          <w:lang w:val="es-DO"/>
        </w:rPr>
        <w:t>,</w:t>
      </w:r>
      <w:r w:rsidR="00996915" w:rsidRPr="008450F1">
        <w:rPr>
          <w:lang w:val="es-DO"/>
        </w:rPr>
        <w:t xml:space="preserve"> también tiene un efecto </w:t>
      </w:r>
      <w:r w:rsidR="00B51537" w:rsidRPr="008450F1">
        <w:rPr>
          <w:lang w:val="es-DO"/>
        </w:rPr>
        <w:t>disuasorio</w:t>
      </w:r>
      <w:r w:rsidR="00996915" w:rsidRPr="008450F1">
        <w:rPr>
          <w:lang w:val="es-DO"/>
        </w:rPr>
        <w:t xml:space="preserve"> sobre los agentes quienes cambian su comportamiento al saber que podrían estar siendo observados.  </w:t>
      </w:r>
      <w:r w:rsidR="00DE14A9" w:rsidRPr="008450F1">
        <w:rPr>
          <w:lang w:val="es-DO"/>
        </w:rPr>
        <w:t>Tres</w:t>
      </w:r>
      <w:r w:rsidR="00020530" w:rsidRPr="008450F1">
        <w:rPr>
          <w:lang w:val="es-DO"/>
        </w:rPr>
        <w:t>, la</w:t>
      </w:r>
      <w:r w:rsidR="001B298A" w:rsidRPr="008450F1">
        <w:rPr>
          <w:lang w:val="es-DO"/>
        </w:rPr>
        <w:t xml:space="preserve"> política de </w:t>
      </w:r>
      <w:r w:rsidR="001B298A" w:rsidRPr="008450F1">
        <w:rPr>
          <w:lang w:val="es-DO"/>
        </w:rPr>
        <w:lastRenderedPageBreak/>
        <w:t xml:space="preserve">calidad </w:t>
      </w:r>
      <w:r w:rsidR="00020530" w:rsidRPr="008450F1">
        <w:rPr>
          <w:lang w:val="es-DO"/>
        </w:rPr>
        <w:t>tiene como objetivo el</w:t>
      </w:r>
      <w:r w:rsidR="001B298A" w:rsidRPr="008450F1">
        <w:rPr>
          <w:lang w:val="es-DO"/>
        </w:rPr>
        <w:t xml:space="preserve"> empoderamiento de la ciudadanía que debería reforzar el control social que se realice</w:t>
      </w:r>
      <w:r w:rsidR="00DE14A9" w:rsidRPr="008450F1">
        <w:rPr>
          <w:lang w:val="es-DO"/>
        </w:rPr>
        <w:t xml:space="preserve"> sobre los recursos. </w:t>
      </w:r>
      <w:r w:rsidRPr="008450F1">
        <w:rPr>
          <w:lang w:val="es-DO"/>
        </w:rPr>
        <w:t xml:space="preserve">Finalmente, la </w:t>
      </w:r>
      <w:r w:rsidR="00996915" w:rsidRPr="008450F1">
        <w:rPr>
          <w:lang w:val="es-DO"/>
        </w:rPr>
        <w:t xml:space="preserve">creación de la unidad actuarial </w:t>
      </w:r>
      <w:r w:rsidR="00D02264" w:rsidRPr="008450F1">
        <w:rPr>
          <w:lang w:val="es-DO"/>
        </w:rPr>
        <w:t>del SENASA</w:t>
      </w:r>
      <w:r w:rsidR="0010628C" w:rsidRPr="008450F1">
        <w:rPr>
          <w:lang w:val="es-DO"/>
        </w:rPr>
        <w:t xml:space="preserve"> también tien</w:t>
      </w:r>
      <w:r w:rsidR="00996915" w:rsidRPr="008450F1">
        <w:rPr>
          <w:lang w:val="es-DO"/>
        </w:rPr>
        <w:t>e</w:t>
      </w:r>
      <w:r w:rsidR="0010628C" w:rsidRPr="008450F1">
        <w:rPr>
          <w:lang w:val="es-DO"/>
        </w:rPr>
        <w:t xml:space="preserve"> un rol importante en la disminución de las fugas. Aunque este no sea su objetivo </w:t>
      </w:r>
      <w:r w:rsidR="004F5AAF">
        <w:rPr>
          <w:lang w:val="es-DO"/>
        </w:rPr>
        <w:t xml:space="preserve">primario </w:t>
      </w:r>
      <w:r w:rsidR="0010628C" w:rsidRPr="008450F1">
        <w:rPr>
          <w:lang w:val="es-DO"/>
        </w:rPr>
        <w:t>la puesta en marcha de la unidad actuarial implicar</w:t>
      </w:r>
      <w:r w:rsidR="00D76208" w:rsidRPr="008450F1">
        <w:rPr>
          <w:lang w:val="es-DO"/>
        </w:rPr>
        <w:t>á</w:t>
      </w:r>
      <w:r w:rsidR="0010628C" w:rsidRPr="008450F1">
        <w:rPr>
          <w:lang w:val="es-DO"/>
        </w:rPr>
        <w:t xml:space="preserve"> la consolidación y </w:t>
      </w:r>
      <w:r w:rsidR="00B51537" w:rsidRPr="008450F1">
        <w:rPr>
          <w:lang w:val="es-DO"/>
        </w:rPr>
        <w:t>revisión</w:t>
      </w:r>
      <w:r w:rsidR="0010628C" w:rsidRPr="008450F1">
        <w:rPr>
          <w:lang w:val="es-DO"/>
        </w:rPr>
        <w:t xml:space="preserve"> de prácticamente toda la información de gasto de la entidad</w:t>
      </w:r>
      <w:r w:rsidR="00D02264" w:rsidRPr="008450F1">
        <w:rPr>
          <w:lang w:val="es-DO"/>
        </w:rPr>
        <w:t>, lo cual</w:t>
      </w:r>
      <w:r w:rsidR="0010628C" w:rsidRPr="008450F1">
        <w:rPr>
          <w:lang w:val="es-DO"/>
        </w:rPr>
        <w:t xml:space="preserve"> permitir</w:t>
      </w:r>
      <w:r w:rsidR="00D76208" w:rsidRPr="008450F1">
        <w:rPr>
          <w:lang w:val="es-DO"/>
        </w:rPr>
        <w:t>á</w:t>
      </w:r>
      <w:r w:rsidR="0010628C" w:rsidRPr="008450F1">
        <w:rPr>
          <w:lang w:val="es-DO"/>
        </w:rPr>
        <w:t xml:space="preserve"> evidencia</w:t>
      </w:r>
      <w:r w:rsidR="00D76208" w:rsidRPr="008450F1">
        <w:rPr>
          <w:lang w:val="es-DO"/>
        </w:rPr>
        <w:t>r</w:t>
      </w:r>
      <w:r w:rsidR="0010628C" w:rsidRPr="008450F1">
        <w:rPr>
          <w:lang w:val="es-DO"/>
        </w:rPr>
        <w:t xml:space="preserve"> d</w:t>
      </w:r>
      <w:r w:rsidR="00996915" w:rsidRPr="008450F1">
        <w:rPr>
          <w:lang w:val="es-DO"/>
        </w:rPr>
        <w:t>ó</w:t>
      </w:r>
      <w:r w:rsidR="0010628C" w:rsidRPr="008450F1">
        <w:rPr>
          <w:lang w:val="es-DO"/>
        </w:rPr>
        <w:t>nde existen ineficiencia</w:t>
      </w:r>
      <w:r w:rsidR="00D76208" w:rsidRPr="008450F1">
        <w:rPr>
          <w:lang w:val="es-DO"/>
        </w:rPr>
        <w:t>s</w:t>
      </w:r>
      <w:r w:rsidR="0010628C" w:rsidRPr="008450F1">
        <w:rPr>
          <w:lang w:val="es-DO"/>
        </w:rPr>
        <w:t xml:space="preserve"> y otras situaciones anómalas.</w:t>
      </w:r>
    </w:p>
    <w:p w:rsidR="0010628C" w:rsidRPr="008450F1" w:rsidRDefault="0010628C" w:rsidP="00AF0916">
      <w:pPr>
        <w:spacing w:after="0" w:line="240" w:lineRule="auto"/>
        <w:rPr>
          <w:lang w:val="es-DO"/>
        </w:rPr>
      </w:pPr>
    </w:p>
    <w:p w:rsidR="00F07A4C" w:rsidRPr="008450F1" w:rsidRDefault="00B15A27" w:rsidP="00AF0916">
      <w:pPr>
        <w:pStyle w:val="Heading5"/>
        <w:spacing w:before="0" w:after="0" w:line="240" w:lineRule="auto"/>
        <w:rPr>
          <w:rFonts w:ascii="Times New Roman" w:hAnsi="Times New Roman"/>
          <w:color w:val="auto"/>
          <w:sz w:val="22"/>
          <w:u w:val="single"/>
          <w:lang w:val="es-DO"/>
        </w:rPr>
      </w:pPr>
      <w:r w:rsidRPr="008450F1">
        <w:rPr>
          <w:rFonts w:ascii="Times New Roman" w:hAnsi="Times New Roman"/>
          <w:color w:val="auto"/>
          <w:sz w:val="22"/>
          <w:u w:val="single"/>
          <w:lang w:val="es-DO"/>
        </w:rPr>
        <w:t>Conjunto de intervenciones</w:t>
      </w:r>
      <w:r w:rsidR="00F07A4C" w:rsidRPr="008450F1">
        <w:rPr>
          <w:rFonts w:ascii="Times New Roman" w:hAnsi="Times New Roman"/>
          <w:color w:val="auto"/>
          <w:sz w:val="22"/>
          <w:u w:val="single"/>
          <w:lang w:val="es-DO"/>
        </w:rPr>
        <w:t xml:space="preserve"> (</w:t>
      </w:r>
      <w:r w:rsidR="00F07A4C" w:rsidRPr="008450F1">
        <w:rPr>
          <w:rFonts w:ascii="Times New Roman" w:hAnsi="Times New Roman"/>
          <w:i/>
          <w:color w:val="auto"/>
          <w:sz w:val="22"/>
          <w:u w:val="single"/>
          <w:lang w:val="es-DO"/>
        </w:rPr>
        <w:t>intervention mix</w:t>
      </w:r>
      <w:r w:rsidR="00F07A4C" w:rsidRPr="008450F1">
        <w:rPr>
          <w:rFonts w:ascii="Times New Roman" w:hAnsi="Times New Roman"/>
          <w:color w:val="auto"/>
          <w:sz w:val="22"/>
          <w:u w:val="single"/>
          <w:lang w:val="es-DO"/>
        </w:rPr>
        <w:t>)</w:t>
      </w:r>
    </w:p>
    <w:p w:rsidR="004413E1" w:rsidRPr="008450F1" w:rsidRDefault="004413E1" w:rsidP="00AF0916">
      <w:pPr>
        <w:spacing w:after="0" w:line="240" w:lineRule="auto"/>
        <w:rPr>
          <w:lang w:val="es-DO"/>
        </w:rPr>
      </w:pPr>
    </w:p>
    <w:p w:rsidR="00917280" w:rsidRPr="008450F1" w:rsidRDefault="00B15A27" w:rsidP="00AF0916">
      <w:pPr>
        <w:spacing w:after="0" w:line="240" w:lineRule="auto"/>
        <w:rPr>
          <w:lang w:val="es-DO"/>
        </w:rPr>
      </w:pPr>
      <w:r w:rsidRPr="008450F1">
        <w:rPr>
          <w:lang w:val="es-DO"/>
        </w:rPr>
        <w:t xml:space="preserve">El conjunto de intervenciones </w:t>
      </w:r>
      <w:r w:rsidR="00EF2577" w:rsidRPr="008450F1">
        <w:rPr>
          <w:lang w:val="es-DO"/>
        </w:rPr>
        <w:t xml:space="preserve">disponible en un sistema de salud indica qué tan bien se utilizan los recursos disponibles para lograr mejoras en la salud de la población, es decir, si el sistema es costo efectivo. </w:t>
      </w:r>
      <w:r w:rsidR="00917280" w:rsidRPr="008450F1">
        <w:rPr>
          <w:lang w:val="es-DO"/>
        </w:rPr>
        <w:t xml:space="preserve">Es común que los sistemas de salud tiendan a financiar intervenciones de alto costo y bajo impacto en salud a la vez que dejan descubiertas intervenciones de alto impacto en salud y bajo costo. En general la combinación de tecnologías que se emplean en un sistema </w:t>
      </w:r>
      <w:r w:rsidR="00B51537" w:rsidRPr="008450F1">
        <w:rPr>
          <w:lang w:val="es-DO"/>
        </w:rPr>
        <w:t>está</w:t>
      </w:r>
      <w:r w:rsidR="00917280" w:rsidRPr="008450F1">
        <w:rPr>
          <w:lang w:val="es-DO"/>
        </w:rPr>
        <w:t xml:space="preserve"> descritas en </w:t>
      </w:r>
      <w:r w:rsidR="00EF2577" w:rsidRPr="008450F1">
        <w:rPr>
          <w:lang w:val="es-DO"/>
        </w:rPr>
        <w:t>un</w:t>
      </w:r>
      <w:r w:rsidR="00917280" w:rsidRPr="008450F1">
        <w:rPr>
          <w:lang w:val="es-DO"/>
        </w:rPr>
        <w:t xml:space="preserve"> plan de beneficios y en los mecanismos para la </w:t>
      </w:r>
      <w:r w:rsidR="00B51537" w:rsidRPr="008450F1">
        <w:rPr>
          <w:lang w:val="es-DO"/>
        </w:rPr>
        <w:t>prestación</w:t>
      </w:r>
      <w:r w:rsidR="00917280" w:rsidRPr="008450F1">
        <w:rPr>
          <w:lang w:val="es-DO"/>
        </w:rPr>
        <w:t xml:space="preserve"> excepcional de los servicios excluidos. Algunos de los factores de ineficiencia en el plan de beneficios son:</w:t>
      </w:r>
    </w:p>
    <w:p w:rsidR="004413E1" w:rsidRPr="008450F1" w:rsidRDefault="004413E1" w:rsidP="00AF0916">
      <w:pPr>
        <w:spacing w:after="0" w:line="240" w:lineRule="auto"/>
        <w:rPr>
          <w:lang w:val="es-DO"/>
        </w:rPr>
      </w:pPr>
    </w:p>
    <w:p w:rsidR="00917280" w:rsidRPr="008450F1" w:rsidRDefault="00917280" w:rsidP="00AF0916">
      <w:pPr>
        <w:pStyle w:val="ListParagraph"/>
        <w:numPr>
          <w:ilvl w:val="0"/>
          <w:numId w:val="15"/>
        </w:numPr>
        <w:spacing w:after="0" w:line="240" w:lineRule="auto"/>
        <w:rPr>
          <w:lang w:val="es-DO"/>
        </w:rPr>
      </w:pPr>
      <w:r w:rsidRPr="008450F1">
        <w:rPr>
          <w:lang w:val="es-DO"/>
        </w:rPr>
        <w:t>Falta de actualización del plan de beneficios</w:t>
      </w:r>
      <w:r w:rsidR="004413E1" w:rsidRPr="008450F1">
        <w:rPr>
          <w:lang w:val="es-DO"/>
        </w:rPr>
        <w:t>;</w:t>
      </w:r>
    </w:p>
    <w:p w:rsidR="00917280" w:rsidRPr="008450F1" w:rsidRDefault="00917280" w:rsidP="00AF0916">
      <w:pPr>
        <w:pStyle w:val="ListParagraph"/>
        <w:numPr>
          <w:ilvl w:val="0"/>
          <w:numId w:val="15"/>
        </w:numPr>
        <w:spacing w:after="0" w:line="240" w:lineRule="auto"/>
        <w:rPr>
          <w:lang w:val="es-DO"/>
        </w:rPr>
      </w:pPr>
      <w:r w:rsidRPr="008450F1">
        <w:rPr>
          <w:lang w:val="es-DO"/>
        </w:rPr>
        <w:t>Falta de legitimidad del plan de beneficios que conlleva a que no se respeten las exclusiones del mismo</w:t>
      </w:r>
      <w:r w:rsidR="004413E1" w:rsidRPr="008450F1">
        <w:rPr>
          <w:lang w:val="es-DO"/>
        </w:rPr>
        <w:t>;</w:t>
      </w:r>
    </w:p>
    <w:p w:rsidR="00917280" w:rsidRPr="008450F1" w:rsidRDefault="00917280" w:rsidP="00AF0916">
      <w:pPr>
        <w:pStyle w:val="ListParagraph"/>
        <w:numPr>
          <w:ilvl w:val="0"/>
          <w:numId w:val="15"/>
        </w:numPr>
        <w:spacing w:after="0" w:line="240" w:lineRule="auto"/>
        <w:rPr>
          <w:lang w:val="es-DO"/>
        </w:rPr>
      </w:pPr>
      <w:r w:rsidRPr="008450F1">
        <w:rPr>
          <w:lang w:val="es-DO"/>
        </w:rPr>
        <w:t xml:space="preserve">Contenidos ambiguos del plan que conducen a negaciones injustificadas y a </w:t>
      </w:r>
      <w:r w:rsidR="004413E1" w:rsidRPr="008450F1">
        <w:rPr>
          <w:lang w:val="es-DO"/>
        </w:rPr>
        <w:t xml:space="preserve">conflictos </w:t>
      </w:r>
      <w:r w:rsidRPr="008450F1">
        <w:rPr>
          <w:lang w:val="es-DO"/>
        </w:rPr>
        <w:t>administrativos o judiciales</w:t>
      </w:r>
      <w:r w:rsidR="004413E1" w:rsidRPr="008450F1">
        <w:rPr>
          <w:lang w:val="es-DO"/>
        </w:rPr>
        <w:t>; y</w:t>
      </w:r>
    </w:p>
    <w:p w:rsidR="00917280" w:rsidRPr="008450F1" w:rsidRDefault="00917280" w:rsidP="00AF0916">
      <w:pPr>
        <w:pStyle w:val="ListParagraph"/>
        <w:numPr>
          <w:ilvl w:val="0"/>
          <w:numId w:val="15"/>
        </w:numPr>
        <w:spacing w:after="0" w:line="240" w:lineRule="auto"/>
        <w:rPr>
          <w:lang w:val="es-DO"/>
        </w:rPr>
      </w:pPr>
      <w:r w:rsidRPr="008450F1">
        <w:rPr>
          <w:lang w:val="es-DO"/>
        </w:rPr>
        <w:t>Costeo inadecuado del plan que conduce a una cápita insuficiente o excesiva para la prestación del mismo lo que puede implicar negación de servicios o desperdicio de recursos según sea el caso.</w:t>
      </w:r>
    </w:p>
    <w:p w:rsidR="004413E1" w:rsidRPr="008450F1" w:rsidRDefault="004413E1" w:rsidP="00AF0916">
      <w:pPr>
        <w:spacing w:after="0" w:line="240" w:lineRule="auto"/>
        <w:rPr>
          <w:lang w:val="es-DO"/>
        </w:rPr>
      </w:pPr>
    </w:p>
    <w:p w:rsidR="000B4442" w:rsidRPr="008450F1" w:rsidRDefault="00091BE2" w:rsidP="00AF0916">
      <w:pPr>
        <w:spacing w:after="0" w:line="240" w:lineRule="auto"/>
        <w:rPr>
          <w:lang w:val="es-DO"/>
        </w:rPr>
      </w:pPr>
      <w:r w:rsidRPr="008450F1">
        <w:rPr>
          <w:lang w:val="es-DO"/>
        </w:rPr>
        <w:t xml:space="preserve">La </w:t>
      </w:r>
      <w:r w:rsidR="00B15A27" w:rsidRPr="008450F1">
        <w:rPr>
          <w:lang w:val="es-DO"/>
        </w:rPr>
        <w:t xml:space="preserve">medida de política que enfrenta estos factores es la </w:t>
      </w:r>
      <w:r w:rsidRPr="008450F1">
        <w:rPr>
          <w:lang w:val="es-DO"/>
        </w:rPr>
        <w:t>revisión y actualización del PDSS</w:t>
      </w:r>
      <w:r w:rsidR="00B15A27" w:rsidRPr="008450F1">
        <w:rPr>
          <w:lang w:val="es-DO"/>
        </w:rPr>
        <w:t xml:space="preserve">. </w:t>
      </w:r>
      <w:r w:rsidR="00324D32" w:rsidRPr="008450F1">
        <w:rPr>
          <w:lang w:val="es-DO"/>
        </w:rPr>
        <w:t>Con esta actualización deberían definirse unos procesos transparentes y participativos que mejoren la legitimidad del plan así como unas metodologías robustas que conlleven a un uso eficiente de los recursos de acuerdo a las necesidades y posibilidades del país. Un PDSS actualizado constituye</w:t>
      </w:r>
      <w:r w:rsidRPr="008450F1">
        <w:rPr>
          <w:lang w:val="es-DO"/>
        </w:rPr>
        <w:t xml:space="preserve"> un instrumento que le permitirá a </w:t>
      </w:r>
      <w:r w:rsidR="00633DCB" w:rsidRPr="008450F1">
        <w:rPr>
          <w:lang w:val="es-DO"/>
        </w:rPr>
        <w:t>RD</w:t>
      </w:r>
      <w:r w:rsidRPr="008450F1">
        <w:rPr>
          <w:lang w:val="es-DO"/>
        </w:rPr>
        <w:t xml:space="preserve"> asignar de manera eficiente los recursos al incluir intervenciones costo-efectivas que respondan a la doble carga de enfermedad.</w:t>
      </w:r>
    </w:p>
    <w:p w:rsidR="00091BE2" w:rsidRPr="008450F1" w:rsidRDefault="00091BE2" w:rsidP="00AF0916">
      <w:pPr>
        <w:spacing w:after="0" w:line="240" w:lineRule="auto"/>
        <w:rPr>
          <w:lang w:val="es-DO"/>
        </w:rPr>
      </w:pPr>
    </w:p>
    <w:p w:rsidR="00C07551" w:rsidRPr="008450F1" w:rsidRDefault="00C07551" w:rsidP="00AF0916">
      <w:pPr>
        <w:pStyle w:val="Heading4"/>
        <w:spacing w:before="0" w:after="0" w:line="240" w:lineRule="auto"/>
        <w:rPr>
          <w:rFonts w:ascii="Times New Roman" w:hAnsi="Times New Roman"/>
          <w:color w:val="auto"/>
          <w:lang w:val="es-DO"/>
        </w:rPr>
      </w:pPr>
      <w:r w:rsidRPr="008450F1">
        <w:rPr>
          <w:rFonts w:ascii="Times New Roman" w:hAnsi="Times New Roman"/>
          <w:color w:val="auto"/>
          <w:lang w:val="es-DO"/>
        </w:rPr>
        <w:t>Identificación de costos</w:t>
      </w:r>
    </w:p>
    <w:p w:rsidR="000B4442" w:rsidRPr="008450F1" w:rsidRDefault="000B4442" w:rsidP="00AF0916">
      <w:pPr>
        <w:spacing w:after="0" w:line="240" w:lineRule="auto"/>
        <w:rPr>
          <w:lang w:val="es-DO"/>
        </w:rPr>
      </w:pPr>
    </w:p>
    <w:p w:rsidR="00627BB7" w:rsidRPr="00FA5324" w:rsidRDefault="00627BB7" w:rsidP="00FA5324">
      <w:pPr>
        <w:spacing w:after="0" w:line="240" w:lineRule="auto"/>
        <w:rPr>
          <w:lang w:val="es-DO"/>
        </w:rPr>
      </w:pPr>
      <w:r w:rsidRPr="00FA5324">
        <w:rPr>
          <w:lang w:val="es-DO"/>
        </w:rPr>
        <w:t xml:space="preserve">El costo incremental de este componente es el agregado de los costos de llevar a cabo cada una de las actividades delineadas por la operación, los cuales se especifican en la </w:t>
      </w:r>
      <w:r w:rsidR="00084F0A" w:rsidRPr="008450F1">
        <w:rPr>
          <w:lang w:val="es-DO"/>
        </w:rPr>
        <w:fldChar w:fldCharType="begin"/>
      </w:r>
      <w:r w:rsidR="00084F0A" w:rsidRPr="008450F1">
        <w:rPr>
          <w:lang w:val="es-DO"/>
        </w:rPr>
        <w:instrText xml:space="preserve"> REF _Ref399139293 \h </w:instrText>
      </w:r>
      <w:r w:rsidR="00C62A67" w:rsidRPr="008450F1">
        <w:rPr>
          <w:lang w:val="es-DO"/>
        </w:rPr>
        <w:instrText xml:space="preserve"> \* MERGEFORMAT </w:instrText>
      </w:r>
      <w:r w:rsidR="00084F0A" w:rsidRPr="008450F1">
        <w:rPr>
          <w:lang w:val="es-DO"/>
        </w:rPr>
      </w:r>
      <w:r w:rsidR="00084F0A" w:rsidRPr="008450F1">
        <w:rPr>
          <w:lang w:val="es-DO"/>
        </w:rPr>
        <w:fldChar w:fldCharType="separate"/>
      </w:r>
      <w:r w:rsidR="00084F0A" w:rsidRPr="008450F1">
        <w:rPr>
          <w:lang w:val="es-DO"/>
        </w:rPr>
        <w:t xml:space="preserve">Tabla </w:t>
      </w:r>
      <w:r w:rsidR="00084F0A" w:rsidRPr="008450F1">
        <w:rPr>
          <w:noProof/>
          <w:lang w:val="es-DO"/>
        </w:rPr>
        <w:t>4</w:t>
      </w:r>
      <w:r w:rsidR="00084F0A" w:rsidRPr="008450F1">
        <w:rPr>
          <w:lang w:val="es-DO"/>
        </w:rPr>
        <w:fldChar w:fldCharType="end"/>
      </w:r>
      <w:r w:rsidRPr="008450F1">
        <w:rPr>
          <w:lang w:val="es-DO"/>
        </w:rPr>
        <w:t xml:space="preserve"> junto con los beneficios incrementales esperados. En la mayoría de los casos se empleó como referente el valor de llevar a cabo actividades similares en otros países. En dos casos se requirió un abordaje distinto: en la ley de carrera sanitaria y en el desarrollo del modelo de atención y la infraestructura de </w:t>
      </w:r>
      <w:r w:rsidR="000B4442" w:rsidRPr="008450F1">
        <w:rPr>
          <w:lang w:val="es-DO"/>
        </w:rPr>
        <w:t>Atención Primaria en Salud (</w:t>
      </w:r>
      <w:r w:rsidRPr="008450F1">
        <w:rPr>
          <w:lang w:val="es-DO"/>
        </w:rPr>
        <w:t>APS</w:t>
      </w:r>
      <w:r w:rsidR="000B4442" w:rsidRPr="008450F1">
        <w:rPr>
          <w:lang w:val="es-DO"/>
        </w:rPr>
        <w:t>)</w:t>
      </w:r>
      <w:r w:rsidR="00CE4DFE" w:rsidRPr="008450F1">
        <w:rPr>
          <w:lang w:val="es-DO"/>
        </w:rPr>
        <w:t>, como se explica a continuación</w:t>
      </w:r>
      <w:r w:rsidR="00CE4DFE" w:rsidRPr="00FA5324">
        <w:rPr>
          <w:lang w:val="es-DO"/>
        </w:rPr>
        <w:t>.</w:t>
      </w:r>
    </w:p>
    <w:p w:rsidR="000B4442" w:rsidRPr="008450F1" w:rsidRDefault="000B4442" w:rsidP="00AF0916">
      <w:pPr>
        <w:spacing w:after="0" w:line="240" w:lineRule="auto"/>
        <w:rPr>
          <w:i/>
          <w:lang w:val="es-DO"/>
        </w:rPr>
      </w:pPr>
    </w:p>
    <w:p w:rsidR="00C07551" w:rsidRPr="008450F1" w:rsidRDefault="00C07551" w:rsidP="00AF0916">
      <w:pPr>
        <w:spacing w:after="0" w:line="240" w:lineRule="auto"/>
        <w:rPr>
          <w:lang w:val="es-DO"/>
        </w:rPr>
      </w:pPr>
      <w:r w:rsidRPr="008450F1">
        <w:rPr>
          <w:i/>
          <w:lang w:val="es-DO"/>
        </w:rPr>
        <w:t>Ley de Carrera Sanitaria</w:t>
      </w:r>
      <w:r w:rsidR="00627BB7" w:rsidRPr="008450F1">
        <w:rPr>
          <w:i/>
          <w:lang w:val="es-DO"/>
        </w:rPr>
        <w:t>.</w:t>
      </w:r>
      <w:r w:rsidRPr="008450F1">
        <w:rPr>
          <w:i/>
          <w:lang w:val="es-DO"/>
        </w:rPr>
        <w:t xml:space="preserve"> </w:t>
      </w:r>
      <w:r w:rsidRPr="008450F1">
        <w:rPr>
          <w:lang w:val="es-DO"/>
        </w:rPr>
        <w:t xml:space="preserve">Es claro que esta ley por </w:t>
      </w:r>
      <w:r w:rsidR="00B51537" w:rsidRPr="008450F1">
        <w:rPr>
          <w:lang w:val="es-DO"/>
        </w:rPr>
        <w:t>sí</w:t>
      </w:r>
      <w:r w:rsidRPr="008450F1">
        <w:rPr>
          <w:lang w:val="es-DO"/>
        </w:rPr>
        <w:t xml:space="preserve"> misma no genera ni costos ni beneficios. Para la realización de la evaluación económica es necesario suponer que la entrada de vigencia de la Ley implica que cierto número de profesionales se incorporan a</w:t>
      </w:r>
      <w:r w:rsidR="00627BB7" w:rsidRPr="008450F1">
        <w:rPr>
          <w:lang w:val="es-DO"/>
        </w:rPr>
        <w:t>l régimen de l</w:t>
      </w:r>
      <w:r w:rsidRPr="008450F1">
        <w:rPr>
          <w:lang w:val="es-DO"/>
        </w:rPr>
        <w:t xml:space="preserve">a Ley. Los costos se estiman mediante </w:t>
      </w:r>
      <w:r w:rsidR="00B51537" w:rsidRPr="008450F1">
        <w:rPr>
          <w:lang w:val="es-DO"/>
        </w:rPr>
        <w:t>un</w:t>
      </w:r>
      <w:r w:rsidRPr="008450F1">
        <w:rPr>
          <w:lang w:val="es-DO"/>
        </w:rPr>
        <w:t xml:space="preserve"> abordaje de cierre de brechas y de un incremento sobre los costos actuales</w:t>
      </w:r>
      <w:r w:rsidR="00627BB7" w:rsidRPr="008450F1">
        <w:rPr>
          <w:lang w:val="es-DO"/>
        </w:rPr>
        <w:t xml:space="preserve"> por profesional</w:t>
      </w:r>
      <w:r w:rsidRPr="008450F1">
        <w:rPr>
          <w:lang w:val="es-DO"/>
        </w:rPr>
        <w:t xml:space="preserve">. </w:t>
      </w:r>
    </w:p>
    <w:p w:rsidR="000B4442" w:rsidRPr="008450F1" w:rsidRDefault="000B4442" w:rsidP="00AF0916">
      <w:pPr>
        <w:pStyle w:val="Caption"/>
        <w:keepNext/>
        <w:spacing w:after="0"/>
        <w:rPr>
          <w:color w:val="auto"/>
          <w:sz w:val="22"/>
          <w:szCs w:val="22"/>
          <w:lang w:val="es-DO"/>
        </w:rPr>
      </w:pPr>
    </w:p>
    <w:p w:rsidR="00DE14A9" w:rsidRPr="008450F1" w:rsidRDefault="00627BB7" w:rsidP="00AF0916">
      <w:pPr>
        <w:pStyle w:val="Caption"/>
        <w:keepNext/>
        <w:spacing w:after="0"/>
        <w:rPr>
          <w:i w:val="0"/>
          <w:color w:val="auto"/>
          <w:sz w:val="22"/>
          <w:szCs w:val="22"/>
          <w:lang w:val="es-DO"/>
        </w:rPr>
      </w:pPr>
      <w:r w:rsidRPr="008450F1">
        <w:rPr>
          <w:color w:val="auto"/>
          <w:sz w:val="22"/>
          <w:szCs w:val="22"/>
          <w:lang w:val="es-DO"/>
        </w:rPr>
        <w:t>Desarrollo de la infraestructura y del modelo de APS</w:t>
      </w:r>
      <w:r w:rsidRPr="008450F1">
        <w:rPr>
          <w:i w:val="0"/>
          <w:color w:val="auto"/>
          <w:sz w:val="22"/>
          <w:szCs w:val="22"/>
          <w:lang w:val="es-DO"/>
        </w:rPr>
        <w:t xml:space="preserve">. </w:t>
      </w:r>
      <w:r w:rsidR="00084F0A" w:rsidRPr="008450F1">
        <w:rPr>
          <w:i w:val="0"/>
          <w:color w:val="auto"/>
          <w:sz w:val="22"/>
          <w:szCs w:val="22"/>
          <w:lang w:val="es-DO"/>
        </w:rPr>
        <w:t xml:space="preserve">Actualmente no se dispone de información detallada sobre cuál será el costo de la implementación del modelo, sobre todo en la parte de desarrollo de infraestructura. Sin embargo es aceptable suponer que el desarrollo de la infraestructura deberá disminuir las brechas regionales existentes en cuanto a infraestructura. Por lo que a partir de este </w:t>
      </w:r>
      <w:r w:rsidR="00084F0A" w:rsidRPr="008450F1">
        <w:rPr>
          <w:i w:val="0"/>
          <w:color w:val="auto"/>
          <w:sz w:val="22"/>
          <w:szCs w:val="22"/>
          <w:lang w:val="es-DO"/>
        </w:rPr>
        <w:lastRenderedPageBreak/>
        <w:t xml:space="preserve">supuesto </w:t>
      </w:r>
      <w:r w:rsidR="00435B34" w:rsidRPr="008450F1">
        <w:rPr>
          <w:i w:val="0"/>
          <w:color w:val="auto"/>
          <w:sz w:val="22"/>
          <w:szCs w:val="22"/>
          <w:lang w:val="es-DO"/>
        </w:rPr>
        <w:t xml:space="preserve">es posible calcular el costo del desarrollo de la infraestructura </w:t>
      </w:r>
      <w:r w:rsidR="00084F0A" w:rsidRPr="008450F1">
        <w:rPr>
          <w:i w:val="0"/>
          <w:color w:val="auto"/>
          <w:sz w:val="22"/>
          <w:szCs w:val="22"/>
          <w:lang w:val="es-DO"/>
        </w:rPr>
        <w:t>empleando una unidad de infraestructura y un costo por la misma, así como un tiempo para cerrar las brechas.</w:t>
      </w:r>
      <w:bookmarkStart w:id="17" w:name="_Ref399139293"/>
    </w:p>
    <w:p w:rsidR="00DE14A9" w:rsidRPr="008450F1" w:rsidRDefault="00DE14A9" w:rsidP="00AF0916">
      <w:pPr>
        <w:pStyle w:val="Caption"/>
        <w:keepNext/>
        <w:spacing w:after="0"/>
        <w:rPr>
          <w:color w:val="auto"/>
          <w:lang w:val="es-DO"/>
        </w:rPr>
      </w:pPr>
    </w:p>
    <w:p w:rsidR="007D15C8" w:rsidRPr="00FA5324" w:rsidRDefault="007D15C8" w:rsidP="00FA5324">
      <w:pPr>
        <w:pStyle w:val="Caption"/>
        <w:keepNext/>
        <w:spacing w:after="0"/>
        <w:jc w:val="center"/>
        <w:rPr>
          <w:i w:val="0"/>
          <w:color w:val="auto"/>
          <w:lang w:val="es-DO"/>
        </w:rPr>
      </w:pPr>
      <w:r w:rsidRPr="00FA5324">
        <w:rPr>
          <w:i w:val="0"/>
          <w:color w:val="auto"/>
          <w:lang w:val="es-DO"/>
        </w:rPr>
        <w:t xml:space="preserve">Tabla </w:t>
      </w:r>
      <w:r w:rsidR="00BC2072" w:rsidRPr="00FA5324">
        <w:rPr>
          <w:i w:val="0"/>
          <w:color w:val="auto"/>
          <w:lang w:val="es-DO"/>
        </w:rPr>
        <w:fldChar w:fldCharType="begin"/>
      </w:r>
      <w:r w:rsidR="00BC2072" w:rsidRPr="00FA5324">
        <w:rPr>
          <w:i w:val="0"/>
          <w:color w:val="auto"/>
          <w:lang w:val="es-DO"/>
        </w:rPr>
        <w:instrText xml:space="preserve"> SEQ Tabla \* ARABIC </w:instrText>
      </w:r>
      <w:r w:rsidR="00BC2072" w:rsidRPr="00FA5324">
        <w:rPr>
          <w:i w:val="0"/>
          <w:color w:val="auto"/>
          <w:lang w:val="es-DO"/>
        </w:rPr>
        <w:fldChar w:fldCharType="separate"/>
      </w:r>
      <w:r w:rsidR="00A04D48" w:rsidRPr="00FA5324">
        <w:rPr>
          <w:i w:val="0"/>
          <w:color w:val="auto"/>
          <w:lang w:val="es-DO"/>
        </w:rPr>
        <w:t>4</w:t>
      </w:r>
      <w:r w:rsidR="00BC2072" w:rsidRPr="00FA5324">
        <w:rPr>
          <w:i w:val="0"/>
          <w:color w:val="auto"/>
          <w:lang w:val="es-DO"/>
        </w:rPr>
        <w:fldChar w:fldCharType="end"/>
      </w:r>
      <w:bookmarkEnd w:id="17"/>
      <w:r w:rsidRPr="00FA5324">
        <w:rPr>
          <w:i w:val="0"/>
          <w:color w:val="auto"/>
          <w:lang w:val="es-DO"/>
        </w:rPr>
        <w:t xml:space="preserve">. </w:t>
      </w:r>
      <w:r w:rsidR="004267E2" w:rsidRPr="008450F1">
        <w:rPr>
          <w:i w:val="0"/>
          <w:color w:val="auto"/>
          <w:lang w:val="es-DO"/>
        </w:rPr>
        <w:t>Teoría de cambio</w:t>
      </w:r>
      <w:r w:rsidRPr="00FA5324">
        <w:rPr>
          <w:i w:val="0"/>
          <w:color w:val="auto"/>
          <w:lang w:val="es-DO"/>
        </w:rPr>
        <w:t xml:space="preserve"> del componente Mejora de la eficiencia del Sistema Nacional de Salud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8"/>
        <w:gridCol w:w="3384"/>
        <w:gridCol w:w="2103"/>
        <w:gridCol w:w="1818"/>
      </w:tblGrid>
      <w:tr w:rsidR="00435B34" w:rsidRPr="008450F1" w:rsidTr="00FA5324">
        <w:trPr>
          <w:trHeight w:val="20"/>
          <w:tblHeader/>
        </w:trPr>
        <w:tc>
          <w:tcPr>
            <w:tcW w:w="1078" w:type="pct"/>
            <w:shd w:val="clear" w:color="auto" w:fill="AEAAAA" w:themeFill="background2" w:themeFillShade="BF"/>
            <w:vAlign w:val="center"/>
          </w:tcPr>
          <w:p w:rsidR="007E74F7" w:rsidRPr="00FA5324" w:rsidRDefault="006C14EE" w:rsidP="00AF0916">
            <w:pPr>
              <w:pStyle w:val="Tabla"/>
              <w:jc w:val="center"/>
              <w:rPr>
                <w:rFonts w:ascii="Times New Roman" w:hAnsi="Times New Roman"/>
                <w:b/>
                <w:color w:val="auto"/>
                <w:lang w:val="es-DO"/>
              </w:rPr>
            </w:pPr>
            <w:r w:rsidRPr="008450F1">
              <w:rPr>
                <w:rFonts w:ascii="Times New Roman" w:hAnsi="Times New Roman"/>
                <w:b/>
                <w:color w:val="auto"/>
                <w:lang w:val="es-DO"/>
              </w:rPr>
              <w:t xml:space="preserve">Medida </w:t>
            </w:r>
          </w:p>
        </w:tc>
        <w:tc>
          <w:tcPr>
            <w:tcW w:w="1817" w:type="pct"/>
            <w:shd w:val="clear" w:color="auto" w:fill="AEAAAA" w:themeFill="background2" w:themeFillShade="BF"/>
            <w:vAlign w:val="center"/>
          </w:tcPr>
          <w:p w:rsidR="007E74F7" w:rsidRPr="00FA5324" w:rsidRDefault="006A4F7E" w:rsidP="00AF0916">
            <w:pPr>
              <w:pStyle w:val="Tabla"/>
              <w:jc w:val="center"/>
              <w:rPr>
                <w:rFonts w:ascii="Times New Roman" w:hAnsi="Times New Roman"/>
                <w:b/>
                <w:color w:val="auto"/>
                <w:lang w:val="es-DO"/>
              </w:rPr>
            </w:pPr>
            <w:r w:rsidRPr="00FA5324">
              <w:rPr>
                <w:rFonts w:ascii="Times New Roman" w:hAnsi="Times New Roman"/>
                <w:b/>
                <w:color w:val="auto"/>
                <w:lang w:val="es-DO"/>
              </w:rPr>
              <w:t>Beneficio</w:t>
            </w:r>
          </w:p>
        </w:tc>
        <w:tc>
          <w:tcPr>
            <w:tcW w:w="1129" w:type="pct"/>
            <w:shd w:val="clear" w:color="auto" w:fill="AEAAAA" w:themeFill="background2" w:themeFillShade="BF"/>
            <w:vAlign w:val="center"/>
          </w:tcPr>
          <w:p w:rsidR="007E74F7" w:rsidRPr="00FA5324" w:rsidRDefault="007E74F7" w:rsidP="00AF0916">
            <w:pPr>
              <w:pStyle w:val="Tabla"/>
              <w:jc w:val="center"/>
              <w:rPr>
                <w:rFonts w:ascii="Times New Roman" w:hAnsi="Times New Roman"/>
                <w:b/>
                <w:color w:val="auto"/>
                <w:lang w:val="es-DO"/>
              </w:rPr>
            </w:pPr>
            <w:r w:rsidRPr="00FA5324">
              <w:rPr>
                <w:rFonts w:ascii="Times New Roman" w:hAnsi="Times New Roman"/>
                <w:b/>
                <w:color w:val="auto"/>
                <w:lang w:val="es-DO"/>
              </w:rPr>
              <w:t xml:space="preserve">Beneficio </w:t>
            </w:r>
            <w:r w:rsidR="00435B34" w:rsidRPr="008450F1">
              <w:rPr>
                <w:rFonts w:ascii="Times New Roman" w:hAnsi="Times New Roman"/>
                <w:b/>
                <w:color w:val="auto"/>
                <w:lang w:val="es-DO"/>
              </w:rPr>
              <w:t>i</w:t>
            </w:r>
            <w:r w:rsidRPr="008450F1">
              <w:rPr>
                <w:rFonts w:ascii="Times New Roman" w:hAnsi="Times New Roman"/>
                <w:b/>
                <w:color w:val="auto"/>
                <w:lang w:val="es-DO"/>
              </w:rPr>
              <w:t>ncremental</w:t>
            </w:r>
          </w:p>
        </w:tc>
        <w:tc>
          <w:tcPr>
            <w:tcW w:w="976" w:type="pct"/>
            <w:shd w:val="clear" w:color="auto" w:fill="AEAAAA" w:themeFill="background2" w:themeFillShade="BF"/>
            <w:vAlign w:val="bottom"/>
          </w:tcPr>
          <w:p w:rsidR="007E74F7" w:rsidRPr="00FA5324" w:rsidRDefault="007E74F7" w:rsidP="00AF0916">
            <w:pPr>
              <w:pStyle w:val="Tabla"/>
              <w:jc w:val="center"/>
              <w:rPr>
                <w:rFonts w:ascii="Times New Roman" w:hAnsi="Times New Roman"/>
                <w:b/>
                <w:color w:val="auto"/>
                <w:lang w:val="es-DO"/>
              </w:rPr>
            </w:pPr>
            <w:r w:rsidRPr="00FA5324">
              <w:rPr>
                <w:rFonts w:ascii="Times New Roman" w:hAnsi="Times New Roman"/>
                <w:b/>
                <w:color w:val="auto"/>
                <w:lang w:val="es-DO"/>
              </w:rPr>
              <w:t>Costo incremental</w:t>
            </w:r>
          </w:p>
        </w:tc>
      </w:tr>
      <w:tr w:rsidR="00C62A67" w:rsidRPr="008450F1" w:rsidTr="00FA5324">
        <w:trPr>
          <w:trHeight w:val="20"/>
        </w:trPr>
        <w:tc>
          <w:tcPr>
            <w:tcW w:w="1078"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Puesta en funcionamiento de la unidad actuarial del SENASA</w:t>
            </w:r>
          </w:p>
        </w:tc>
        <w:tc>
          <w:tcPr>
            <w:tcW w:w="1817" w:type="pct"/>
            <w:shd w:val="clear" w:color="auto" w:fill="auto"/>
            <w:vAlign w:val="center"/>
            <w:hideMark/>
          </w:tcPr>
          <w:p w:rsidR="00084F0A" w:rsidRPr="008450F1" w:rsidRDefault="00435B34" w:rsidP="00AF0916">
            <w:pPr>
              <w:pStyle w:val="Tabla"/>
              <w:rPr>
                <w:rFonts w:ascii="Times New Roman" w:hAnsi="Times New Roman"/>
                <w:color w:val="auto"/>
                <w:lang w:val="es-DO"/>
              </w:rPr>
            </w:pPr>
            <w:r w:rsidRPr="008450F1">
              <w:rPr>
                <w:rFonts w:ascii="Times New Roman" w:hAnsi="Times New Roman"/>
                <w:color w:val="auto"/>
                <w:lang w:val="es-DO"/>
              </w:rPr>
              <w:t>-</w:t>
            </w:r>
            <w:r w:rsidR="00015102" w:rsidRPr="00FA5324">
              <w:rPr>
                <w:rFonts w:ascii="Times New Roman" w:hAnsi="Times New Roman"/>
                <w:color w:val="auto"/>
                <w:lang w:val="es-DO"/>
              </w:rPr>
              <w:t>R</w:t>
            </w:r>
            <w:r w:rsidR="007E74F7" w:rsidRPr="00FA5324">
              <w:rPr>
                <w:rFonts w:ascii="Times New Roman" w:hAnsi="Times New Roman"/>
                <w:color w:val="auto"/>
                <w:lang w:val="es-DO"/>
              </w:rPr>
              <w:t>ealiza</w:t>
            </w:r>
            <w:r w:rsidR="00015102" w:rsidRPr="00FA5324">
              <w:rPr>
                <w:rFonts w:ascii="Times New Roman" w:hAnsi="Times New Roman"/>
                <w:color w:val="auto"/>
                <w:lang w:val="es-DO"/>
              </w:rPr>
              <w:t>ción</w:t>
            </w:r>
            <w:r w:rsidR="007E74F7" w:rsidRPr="00FA5324">
              <w:rPr>
                <w:rFonts w:ascii="Times New Roman" w:hAnsi="Times New Roman"/>
                <w:color w:val="auto"/>
                <w:lang w:val="es-DO"/>
              </w:rPr>
              <w:t xml:space="preserve"> cálculos actuariales por parte de SENASA</w:t>
            </w:r>
          </w:p>
          <w:p w:rsidR="007E74F7" w:rsidRPr="00FA5324" w:rsidRDefault="00435B34" w:rsidP="00AF0916">
            <w:pPr>
              <w:pStyle w:val="Tabla"/>
              <w:rPr>
                <w:rFonts w:ascii="Times New Roman" w:hAnsi="Times New Roman"/>
                <w:color w:val="auto"/>
                <w:lang w:val="es-DO"/>
              </w:rPr>
            </w:pPr>
            <w:r w:rsidRPr="008450F1">
              <w:rPr>
                <w:rFonts w:ascii="Times New Roman" w:hAnsi="Times New Roman"/>
                <w:color w:val="auto"/>
                <w:lang w:val="es-DO"/>
              </w:rPr>
              <w:t>-</w:t>
            </w:r>
            <w:r w:rsidR="00015102" w:rsidRPr="008450F1">
              <w:rPr>
                <w:rFonts w:ascii="Times New Roman" w:hAnsi="Times New Roman"/>
                <w:color w:val="auto"/>
                <w:lang w:val="es-DO"/>
              </w:rPr>
              <w:t>C</w:t>
            </w:r>
            <w:r w:rsidR="00084F0A" w:rsidRPr="008450F1">
              <w:rPr>
                <w:rFonts w:ascii="Times New Roman" w:hAnsi="Times New Roman"/>
                <w:color w:val="auto"/>
                <w:lang w:val="es-DO"/>
              </w:rPr>
              <w:t>onsolida</w:t>
            </w:r>
            <w:r w:rsidR="00015102" w:rsidRPr="008450F1">
              <w:rPr>
                <w:rFonts w:ascii="Times New Roman" w:hAnsi="Times New Roman"/>
                <w:color w:val="auto"/>
                <w:lang w:val="es-DO"/>
              </w:rPr>
              <w:t>ción</w:t>
            </w:r>
            <w:r w:rsidR="00084F0A" w:rsidRPr="008450F1">
              <w:rPr>
                <w:rFonts w:ascii="Times New Roman" w:hAnsi="Times New Roman"/>
                <w:color w:val="auto"/>
                <w:lang w:val="es-DO"/>
              </w:rPr>
              <w:t>, an</w:t>
            </w:r>
            <w:r w:rsidR="00015102" w:rsidRPr="008450F1">
              <w:rPr>
                <w:rFonts w:ascii="Times New Roman" w:hAnsi="Times New Roman"/>
                <w:color w:val="auto"/>
                <w:lang w:val="es-DO"/>
              </w:rPr>
              <w:t xml:space="preserve">álisis </w:t>
            </w:r>
            <w:r w:rsidR="00084F0A" w:rsidRPr="008450F1">
              <w:rPr>
                <w:rFonts w:ascii="Times New Roman" w:hAnsi="Times New Roman"/>
                <w:color w:val="auto"/>
                <w:lang w:val="es-DO"/>
              </w:rPr>
              <w:t>y divulga</w:t>
            </w:r>
            <w:r w:rsidR="00015102" w:rsidRPr="008450F1">
              <w:rPr>
                <w:rFonts w:ascii="Times New Roman" w:hAnsi="Times New Roman"/>
                <w:color w:val="auto"/>
                <w:lang w:val="es-DO"/>
              </w:rPr>
              <w:t>ción de</w:t>
            </w:r>
            <w:r w:rsidR="00084F0A" w:rsidRPr="008450F1">
              <w:rPr>
                <w:rFonts w:ascii="Times New Roman" w:hAnsi="Times New Roman"/>
                <w:color w:val="auto"/>
                <w:lang w:val="es-DO"/>
              </w:rPr>
              <w:t xml:space="preserve"> la información de gasto dentro de SENASA</w:t>
            </w:r>
          </w:p>
        </w:tc>
        <w:tc>
          <w:tcPr>
            <w:tcW w:w="1129" w:type="pct"/>
            <w:vMerge w:val="restar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 xml:space="preserve">Ahorros </w:t>
            </w:r>
            <w:r w:rsidR="00CE4DFE" w:rsidRPr="008450F1">
              <w:rPr>
                <w:rFonts w:ascii="Times New Roman" w:hAnsi="Times New Roman"/>
                <w:color w:val="auto"/>
                <w:lang w:val="es-DO"/>
              </w:rPr>
              <w:t>por</w:t>
            </w:r>
            <w:r w:rsidRPr="00FA5324">
              <w:rPr>
                <w:rFonts w:ascii="Times New Roman" w:hAnsi="Times New Roman"/>
                <w:color w:val="auto"/>
                <w:lang w:val="es-DO"/>
              </w:rPr>
              <w:t xml:space="preserve"> disminución de fugas</w:t>
            </w:r>
          </w:p>
        </w:tc>
        <w:tc>
          <w:tcPr>
            <w:tcW w:w="976"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Implementación y funcionamiento de la unidad actuarial</w:t>
            </w:r>
          </w:p>
        </w:tc>
      </w:tr>
      <w:tr w:rsidR="00C62A67" w:rsidRPr="008450F1" w:rsidTr="00FA5324">
        <w:trPr>
          <w:trHeight w:val="20"/>
        </w:trPr>
        <w:tc>
          <w:tcPr>
            <w:tcW w:w="1078"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 xml:space="preserve">Puesta en marcha del </w:t>
            </w:r>
            <w:r w:rsidR="00E06E27" w:rsidRPr="008450F1">
              <w:rPr>
                <w:rFonts w:ascii="Times New Roman" w:hAnsi="Times New Roman"/>
                <w:color w:val="auto"/>
                <w:lang w:val="es-DO"/>
              </w:rPr>
              <w:t>sistema</w:t>
            </w:r>
            <w:r w:rsidR="00E06E27" w:rsidRPr="00FA5324">
              <w:rPr>
                <w:rFonts w:ascii="Times New Roman" w:hAnsi="Times New Roman"/>
                <w:color w:val="auto"/>
                <w:lang w:val="es-DO"/>
              </w:rPr>
              <w:t xml:space="preserve"> </w:t>
            </w:r>
            <w:r w:rsidRPr="00FA5324">
              <w:rPr>
                <w:rFonts w:ascii="Times New Roman" w:hAnsi="Times New Roman"/>
                <w:color w:val="auto"/>
                <w:lang w:val="es-DO"/>
              </w:rPr>
              <w:t>de monitoreo para el SDSS</w:t>
            </w:r>
          </w:p>
        </w:tc>
        <w:tc>
          <w:tcPr>
            <w:tcW w:w="1817" w:type="pct"/>
            <w:shd w:val="clear" w:color="auto" w:fill="auto"/>
            <w:vAlign w:val="center"/>
            <w:hideMark/>
          </w:tcPr>
          <w:p w:rsidR="00084F0A" w:rsidRPr="008450F1"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015102" w:rsidRPr="008450F1">
              <w:rPr>
                <w:rFonts w:ascii="Times New Roman" w:hAnsi="Times New Roman"/>
                <w:color w:val="auto"/>
                <w:lang w:val="es-DO"/>
              </w:rPr>
              <w:t>Integración</w:t>
            </w:r>
            <w:r w:rsidR="00084F0A" w:rsidRPr="008450F1">
              <w:rPr>
                <w:rFonts w:ascii="Times New Roman" w:hAnsi="Times New Roman"/>
                <w:color w:val="auto"/>
                <w:lang w:val="es-DO"/>
              </w:rPr>
              <w:t xml:space="preserve"> y an</w:t>
            </w:r>
            <w:r w:rsidR="00015102" w:rsidRPr="008450F1">
              <w:rPr>
                <w:rFonts w:ascii="Times New Roman" w:hAnsi="Times New Roman"/>
                <w:color w:val="auto"/>
                <w:lang w:val="es-DO"/>
              </w:rPr>
              <w:t>á</w:t>
            </w:r>
            <w:r w:rsidR="00084F0A" w:rsidRPr="008450F1">
              <w:rPr>
                <w:rFonts w:ascii="Times New Roman" w:hAnsi="Times New Roman"/>
                <w:color w:val="auto"/>
                <w:lang w:val="es-DO"/>
              </w:rPr>
              <w:t>li</w:t>
            </w:r>
            <w:r w:rsidR="00015102" w:rsidRPr="008450F1">
              <w:rPr>
                <w:rFonts w:ascii="Times New Roman" w:hAnsi="Times New Roman"/>
                <w:color w:val="auto"/>
                <w:lang w:val="es-DO"/>
              </w:rPr>
              <w:t>sis de</w:t>
            </w:r>
            <w:r w:rsidR="00084F0A" w:rsidRPr="008450F1">
              <w:rPr>
                <w:rFonts w:ascii="Times New Roman" w:hAnsi="Times New Roman"/>
                <w:color w:val="auto"/>
                <w:lang w:val="es-DO"/>
              </w:rPr>
              <w:t xml:space="preserve"> la información del sistema</w:t>
            </w:r>
          </w:p>
          <w:p w:rsidR="00084F0A" w:rsidRPr="008450F1"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8450F1" w:rsidRPr="008450F1">
              <w:rPr>
                <w:rFonts w:ascii="Times New Roman" w:hAnsi="Times New Roman"/>
                <w:color w:val="auto"/>
                <w:lang w:val="es-DO"/>
              </w:rPr>
              <w:t>Disuasión</w:t>
            </w:r>
            <w:r w:rsidR="00084F0A" w:rsidRPr="008450F1">
              <w:rPr>
                <w:rFonts w:ascii="Times New Roman" w:hAnsi="Times New Roman"/>
                <w:color w:val="auto"/>
                <w:lang w:val="es-DO"/>
              </w:rPr>
              <w:t xml:space="preserve"> </w:t>
            </w:r>
            <w:r w:rsidR="00015102" w:rsidRPr="008450F1">
              <w:rPr>
                <w:rFonts w:ascii="Times New Roman" w:hAnsi="Times New Roman"/>
                <w:color w:val="auto"/>
                <w:lang w:val="es-DO"/>
              </w:rPr>
              <w:t>de</w:t>
            </w:r>
            <w:r w:rsidR="00084F0A" w:rsidRPr="008450F1">
              <w:rPr>
                <w:rFonts w:ascii="Times New Roman" w:hAnsi="Times New Roman"/>
                <w:color w:val="auto"/>
                <w:lang w:val="es-DO"/>
              </w:rPr>
              <w:t xml:space="preserve"> los agentes con intenciones atípicas, al saber que serán observados</w:t>
            </w:r>
          </w:p>
          <w:p w:rsidR="00084F0A" w:rsidRPr="008450F1"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084F0A" w:rsidRPr="008450F1">
              <w:rPr>
                <w:rFonts w:ascii="Times New Roman" w:hAnsi="Times New Roman"/>
                <w:color w:val="auto"/>
                <w:lang w:val="es-DO"/>
              </w:rPr>
              <w:t>Al contar con información</w:t>
            </w:r>
            <w:r w:rsidR="00435B34" w:rsidRPr="008450F1">
              <w:rPr>
                <w:rFonts w:ascii="Times New Roman" w:hAnsi="Times New Roman"/>
                <w:color w:val="auto"/>
                <w:lang w:val="es-DO"/>
              </w:rPr>
              <w:t>,</w:t>
            </w:r>
            <w:r w:rsidR="00084F0A" w:rsidRPr="008450F1">
              <w:rPr>
                <w:rFonts w:ascii="Times New Roman" w:hAnsi="Times New Roman"/>
                <w:color w:val="auto"/>
                <w:lang w:val="es-DO"/>
              </w:rPr>
              <w:t xml:space="preserve"> se hace posible </w:t>
            </w:r>
            <w:r w:rsidR="00015102" w:rsidRPr="008450F1">
              <w:rPr>
                <w:rFonts w:ascii="Times New Roman" w:hAnsi="Times New Roman"/>
                <w:color w:val="auto"/>
                <w:lang w:val="es-DO"/>
              </w:rPr>
              <w:t xml:space="preserve">la </w:t>
            </w:r>
            <w:r w:rsidR="00084F0A" w:rsidRPr="008450F1">
              <w:rPr>
                <w:rFonts w:ascii="Times New Roman" w:hAnsi="Times New Roman"/>
                <w:color w:val="auto"/>
                <w:lang w:val="es-DO"/>
              </w:rPr>
              <w:t>realiz</w:t>
            </w:r>
            <w:r w:rsidR="00015102" w:rsidRPr="008450F1">
              <w:rPr>
                <w:rFonts w:ascii="Times New Roman" w:hAnsi="Times New Roman"/>
                <w:color w:val="auto"/>
                <w:lang w:val="es-DO"/>
              </w:rPr>
              <w:t>ación</w:t>
            </w:r>
            <w:r w:rsidR="00084F0A" w:rsidRPr="008450F1">
              <w:rPr>
                <w:rFonts w:ascii="Times New Roman" w:hAnsi="Times New Roman"/>
                <w:color w:val="auto"/>
                <w:lang w:val="es-DO"/>
              </w:rPr>
              <w:t xml:space="preserve"> </w:t>
            </w:r>
            <w:r w:rsidR="00015102" w:rsidRPr="008450F1">
              <w:rPr>
                <w:rFonts w:ascii="Times New Roman" w:hAnsi="Times New Roman"/>
                <w:color w:val="auto"/>
                <w:lang w:val="es-DO"/>
              </w:rPr>
              <w:t xml:space="preserve">de </w:t>
            </w:r>
            <w:r w:rsidR="00084F0A" w:rsidRPr="008450F1">
              <w:rPr>
                <w:rFonts w:ascii="Times New Roman" w:hAnsi="Times New Roman"/>
                <w:color w:val="auto"/>
                <w:lang w:val="es-DO"/>
              </w:rPr>
              <w:t xml:space="preserve">intervenciones sobre las desviaciones que se identifiquen </w:t>
            </w:r>
          </w:p>
          <w:p w:rsidR="007E74F7" w:rsidRPr="00FA5324"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015102" w:rsidRPr="00FA5324">
              <w:rPr>
                <w:rFonts w:ascii="Times New Roman" w:hAnsi="Times New Roman"/>
                <w:color w:val="auto"/>
                <w:lang w:val="es-DO"/>
              </w:rPr>
              <w:t>D</w:t>
            </w:r>
            <w:r w:rsidR="007E74F7" w:rsidRPr="00FA5324">
              <w:rPr>
                <w:rFonts w:ascii="Times New Roman" w:hAnsi="Times New Roman"/>
                <w:color w:val="auto"/>
                <w:lang w:val="es-DO"/>
              </w:rPr>
              <w:t>isminu</w:t>
            </w:r>
            <w:r w:rsidR="00015102" w:rsidRPr="00FA5324">
              <w:rPr>
                <w:rFonts w:ascii="Times New Roman" w:hAnsi="Times New Roman"/>
                <w:color w:val="auto"/>
                <w:lang w:val="es-DO"/>
              </w:rPr>
              <w:t xml:space="preserve">ción </w:t>
            </w:r>
            <w:r w:rsidR="00015102" w:rsidRPr="008450F1">
              <w:rPr>
                <w:rFonts w:ascii="Times New Roman" w:hAnsi="Times New Roman"/>
                <w:color w:val="auto"/>
                <w:lang w:val="es-DO"/>
              </w:rPr>
              <w:t>de</w:t>
            </w:r>
            <w:r w:rsidR="007E74F7" w:rsidRPr="00FA5324">
              <w:rPr>
                <w:rFonts w:ascii="Times New Roman" w:hAnsi="Times New Roman"/>
                <w:color w:val="auto"/>
                <w:lang w:val="es-DO"/>
              </w:rPr>
              <w:t xml:space="preserve"> las fugas</w:t>
            </w:r>
          </w:p>
        </w:tc>
        <w:tc>
          <w:tcPr>
            <w:tcW w:w="1129" w:type="pct"/>
            <w:vMerge/>
            <w:vAlign w:val="center"/>
            <w:hideMark/>
          </w:tcPr>
          <w:p w:rsidR="007E74F7" w:rsidRPr="00FA5324" w:rsidRDefault="007E74F7" w:rsidP="00AF0916">
            <w:pPr>
              <w:pStyle w:val="Tabla"/>
              <w:rPr>
                <w:rFonts w:ascii="Times New Roman" w:hAnsi="Times New Roman"/>
                <w:color w:val="auto"/>
                <w:lang w:val="es-DO"/>
              </w:rPr>
            </w:pPr>
          </w:p>
        </w:tc>
        <w:tc>
          <w:tcPr>
            <w:tcW w:w="976"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Implementación y  funcionamiento del sistema de Monitoreo</w:t>
            </w:r>
          </w:p>
        </w:tc>
      </w:tr>
      <w:tr w:rsidR="00C62A67" w:rsidRPr="008450F1" w:rsidTr="00FA5324">
        <w:trPr>
          <w:trHeight w:val="20"/>
        </w:trPr>
        <w:tc>
          <w:tcPr>
            <w:tcW w:w="1078"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Nuevo estructura funciona</w:t>
            </w:r>
            <w:r w:rsidR="007670F5" w:rsidRPr="00FA5324">
              <w:rPr>
                <w:rFonts w:ascii="Times New Roman" w:hAnsi="Times New Roman"/>
                <w:color w:val="auto"/>
                <w:lang w:val="es-DO"/>
              </w:rPr>
              <w:t>l y organizacional</w:t>
            </w:r>
            <w:r w:rsidRPr="00FA5324">
              <w:rPr>
                <w:rFonts w:ascii="Times New Roman" w:hAnsi="Times New Roman"/>
                <w:color w:val="auto"/>
                <w:lang w:val="es-DO"/>
              </w:rPr>
              <w:t xml:space="preserve"> </w:t>
            </w:r>
            <w:r w:rsidR="007670F5" w:rsidRPr="00FA5324">
              <w:rPr>
                <w:rFonts w:ascii="Times New Roman" w:hAnsi="Times New Roman"/>
                <w:color w:val="auto"/>
                <w:lang w:val="es-DO"/>
              </w:rPr>
              <w:t>y plan estratégico d</w:t>
            </w:r>
            <w:r w:rsidRPr="00FA5324">
              <w:rPr>
                <w:rFonts w:ascii="Times New Roman" w:hAnsi="Times New Roman"/>
                <w:color w:val="auto"/>
                <w:lang w:val="es-DO"/>
              </w:rPr>
              <w:t xml:space="preserve">el MSP que </w:t>
            </w:r>
            <w:r w:rsidR="00C26C0F" w:rsidRPr="00FA5324">
              <w:rPr>
                <w:rFonts w:ascii="Times New Roman" w:hAnsi="Times New Roman"/>
                <w:color w:val="auto"/>
                <w:lang w:val="es-DO"/>
              </w:rPr>
              <w:t>potencia la función de rectoría</w:t>
            </w:r>
          </w:p>
        </w:tc>
        <w:tc>
          <w:tcPr>
            <w:tcW w:w="1817" w:type="pct"/>
            <w:shd w:val="clear" w:color="auto" w:fill="auto"/>
            <w:vAlign w:val="center"/>
            <w:hideMark/>
          </w:tcPr>
          <w:p w:rsidR="007E74F7" w:rsidRPr="008450F1"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015102" w:rsidRPr="008450F1">
              <w:rPr>
                <w:rFonts w:ascii="Times New Roman" w:hAnsi="Times New Roman"/>
                <w:color w:val="auto"/>
                <w:lang w:val="es-DO"/>
              </w:rPr>
              <w:t>F</w:t>
            </w:r>
            <w:r w:rsidR="00084F0A" w:rsidRPr="008450F1">
              <w:rPr>
                <w:rFonts w:ascii="Times New Roman" w:hAnsi="Times New Roman"/>
                <w:color w:val="auto"/>
                <w:lang w:val="es-DO"/>
              </w:rPr>
              <w:t>ortalec</w:t>
            </w:r>
            <w:r w:rsidR="00015102" w:rsidRPr="008450F1">
              <w:rPr>
                <w:rFonts w:ascii="Times New Roman" w:hAnsi="Times New Roman"/>
                <w:color w:val="auto"/>
                <w:lang w:val="es-DO"/>
              </w:rPr>
              <w:t>imiento</w:t>
            </w:r>
            <w:r w:rsidR="00015102" w:rsidRPr="00FA5324">
              <w:rPr>
                <w:rFonts w:ascii="Times New Roman" w:hAnsi="Times New Roman"/>
                <w:color w:val="auto"/>
                <w:lang w:val="es-DO"/>
              </w:rPr>
              <w:t xml:space="preserve"> de</w:t>
            </w:r>
            <w:r w:rsidR="007E74F7" w:rsidRPr="00FA5324">
              <w:rPr>
                <w:rFonts w:ascii="Times New Roman" w:hAnsi="Times New Roman"/>
                <w:color w:val="auto"/>
                <w:lang w:val="es-DO"/>
              </w:rPr>
              <w:t xml:space="preserve"> la función de rectoría</w:t>
            </w:r>
          </w:p>
          <w:p w:rsidR="00084F0A" w:rsidRPr="00FA5324"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015102" w:rsidRPr="008450F1">
              <w:rPr>
                <w:rFonts w:ascii="Times New Roman" w:hAnsi="Times New Roman"/>
                <w:color w:val="auto"/>
                <w:lang w:val="es-DO"/>
              </w:rPr>
              <w:t>Mayor</w:t>
            </w:r>
            <w:r w:rsidR="00084F0A" w:rsidRPr="008450F1">
              <w:rPr>
                <w:rFonts w:ascii="Times New Roman" w:hAnsi="Times New Roman"/>
                <w:color w:val="auto"/>
                <w:lang w:val="es-DO"/>
              </w:rPr>
              <w:t xml:space="preserve"> número de intervenciones correctivas</w:t>
            </w:r>
          </w:p>
        </w:tc>
        <w:tc>
          <w:tcPr>
            <w:tcW w:w="1129" w:type="pct"/>
            <w:vMerge/>
            <w:vAlign w:val="center"/>
            <w:hideMark/>
          </w:tcPr>
          <w:p w:rsidR="007E74F7" w:rsidRPr="00FA5324" w:rsidRDefault="007E74F7" w:rsidP="00AF0916">
            <w:pPr>
              <w:pStyle w:val="Tabla"/>
              <w:rPr>
                <w:rFonts w:ascii="Times New Roman" w:hAnsi="Times New Roman"/>
                <w:color w:val="auto"/>
                <w:lang w:val="es-DO"/>
              </w:rPr>
            </w:pPr>
          </w:p>
        </w:tc>
        <w:tc>
          <w:tcPr>
            <w:tcW w:w="976" w:type="pct"/>
            <w:shd w:val="clear" w:color="auto" w:fill="auto"/>
            <w:vAlign w:val="center"/>
            <w:hideMark/>
          </w:tcPr>
          <w:p w:rsidR="007E74F7" w:rsidRPr="00FA5324" w:rsidRDefault="007E74F7" w:rsidP="00AF0916">
            <w:pPr>
              <w:pStyle w:val="Tabla"/>
              <w:rPr>
                <w:rFonts w:ascii="Times New Roman" w:hAnsi="Times New Roman"/>
                <w:color w:val="auto"/>
                <w:lang w:val="es-DO"/>
              </w:rPr>
            </w:pPr>
          </w:p>
        </w:tc>
      </w:tr>
      <w:tr w:rsidR="00C62A67" w:rsidRPr="008450F1" w:rsidTr="00FA5324">
        <w:trPr>
          <w:trHeight w:val="20"/>
        </w:trPr>
        <w:tc>
          <w:tcPr>
            <w:tcW w:w="1078" w:type="pct"/>
            <w:shd w:val="clear" w:color="auto" w:fill="auto"/>
            <w:vAlign w:val="center"/>
            <w:hideMark/>
          </w:tcPr>
          <w:p w:rsidR="007E74F7" w:rsidRPr="00FA5324" w:rsidRDefault="00B51537" w:rsidP="00AF0916">
            <w:pPr>
              <w:pStyle w:val="Tabla"/>
              <w:rPr>
                <w:rFonts w:ascii="Times New Roman" w:hAnsi="Times New Roman"/>
                <w:color w:val="auto"/>
                <w:lang w:val="es-DO"/>
              </w:rPr>
            </w:pPr>
            <w:r w:rsidRPr="008450F1">
              <w:rPr>
                <w:rFonts w:ascii="Times New Roman" w:hAnsi="Times New Roman"/>
                <w:color w:val="auto"/>
                <w:lang w:val="es-DO"/>
              </w:rPr>
              <w:t>Separación</w:t>
            </w:r>
            <w:r w:rsidR="007670F5" w:rsidRPr="00FA5324">
              <w:rPr>
                <w:rFonts w:ascii="Times New Roman" w:hAnsi="Times New Roman"/>
                <w:color w:val="auto"/>
                <w:lang w:val="es-DO"/>
              </w:rPr>
              <w:t xml:space="preserve"> de las funciones de rectoría </w:t>
            </w:r>
            <w:r w:rsidR="003E73A4" w:rsidRPr="00FA5324">
              <w:rPr>
                <w:rFonts w:ascii="Times New Roman" w:hAnsi="Times New Roman"/>
                <w:color w:val="auto"/>
                <w:lang w:val="es-DO"/>
              </w:rPr>
              <w:t xml:space="preserve">y </w:t>
            </w:r>
            <w:r w:rsidRPr="008450F1">
              <w:rPr>
                <w:rFonts w:ascii="Times New Roman" w:hAnsi="Times New Roman"/>
                <w:color w:val="auto"/>
                <w:lang w:val="es-DO"/>
              </w:rPr>
              <w:t>provisión</w:t>
            </w:r>
            <w:r w:rsidR="007670F5" w:rsidRPr="00FA5324">
              <w:rPr>
                <w:rFonts w:ascii="Times New Roman" w:hAnsi="Times New Roman"/>
                <w:color w:val="auto"/>
                <w:lang w:val="es-DO"/>
              </w:rPr>
              <w:t xml:space="preserve"> </w:t>
            </w:r>
          </w:p>
        </w:tc>
        <w:tc>
          <w:tcPr>
            <w:tcW w:w="1817" w:type="pct"/>
            <w:shd w:val="clear" w:color="auto" w:fill="auto"/>
            <w:vAlign w:val="center"/>
            <w:hideMark/>
          </w:tcPr>
          <w:p w:rsidR="00502CFA" w:rsidRPr="008450F1"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015102" w:rsidRPr="008450F1">
              <w:rPr>
                <w:rFonts w:ascii="Times New Roman" w:hAnsi="Times New Roman"/>
                <w:color w:val="auto"/>
                <w:lang w:val="es-DO"/>
              </w:rPr>
              <w:t>El</w:t>
            </w:r>
            <w:r w:rsidR="00502CFA" w:rsidRPr="008450F1">
              <w:rPr>
                <w:rFonts w:ascii="Times New Roman" w:hAnsi="Times New Roman"/>
                <w:color w:val="auto"/>
                <w:lang w:val="es-DO"/>
              </w:rPr>
              <w:t>imina</w:t>
            </w:r>
            <w:r w:rsidR="00015102" w:rsidRPr="008450F1">
              <w:rPr>
                <w:rFonts w:ascii="Times New Roman" w:hAnsi="Times New Roman"/>
                <w:color w:val="auto"/>
                <w:lang w:val="es-DO"/>
              </w:rPr>
              <w:t>ción</w:t>
            </w:r>
            <w:r w:rsidRPr="008450F1">
              <w:rPr>
                <w:rFonts w:ascii="Times New Roman" w:hAnsi="Times New Roman"/>
                <w:color w:val="auto"/>
                <w:lang w:val="es-DO"/>
              </w:rPr>
              <w:t xml:space="preserve"> </w:t>
            </w:r>
            <w:r w:rsidR="00015102" w:rsidRPr="008450F1">
              <w:rPr>
                <w:rFonts w:ascii="Times New Roman" w:hAnsi="Times New Roman"/>
                <w:color w:val="auto"/>
                <w:lang w:val="es-DO"/>
              </w:rPr>
              <w:t>d</w:t>
            </w:r>
            <w:r w:rsidR="00502CFA" w:rsidRPr="008450F1">
              <w:rPr>
                <w:rFonts w:ascii="Times New Roman" w:hAnsi="Times New Roman"/>
                <w:color w:val="auto"/>
                <w:lang w:val="es-DO"/>
              </w:rPr>
              <w:t>el conflicto de interés al tener al mismo tiempo la función de prestación y rectoría</w:t>
            </w:r>
          </w:p>
          <w:p w:rsidR="007E74F7" w:rsidRPr="00FA5324"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015102" w:rsidRPr="008450F1">
              <w:rPr>
                <w:rFonts w:ascii="Times New Roman" w:hAnsi="Times New Roman"/>
                <w:color w:val="auto"/>
                <w:lang w:val="es-DO"/>
              </w:rPr>
              <w:t xml:space="preserve">Énfasis del </w:t>
            </w:r>
            <w:r w:rsidRPr="008450F1">
              <w:rPr>
                <w:rFonts w:ascii="Times New Roman" w:hAnsi="Times New Roman"/>
                <w:color w:val="auto"/>
                <w:lang w:val="es-DO"/>
              </w:rPr>
              <w:t>MSP</w:t>
            </w:r>
            <w:r w:rsidRPr="00FA5324">
              <w:rPr>
                <w:rFonts w:ascii="Times New Roman" w:hAnsi="Times New Roman"/>
                <w:color w:val="auto"/>
                <w:lang w:val="es-DO"/>
              </w:rPr>
              <w:t xml:space="preserve"> </w:t>
            </w:r>
            <w:r w:rsidR="00015102" w:rsidRPr="00FA5324">
              <w:rPr>
                <w:rFonts w:ascii="Times New Roman" w:hAnsi="Times New Roman"/>
                <w:color w:val="auto"/>
                <w:lang w:val="es-DO"/>
              </w:rPr>
              <w:t xml:space="preserve">en </w:t>
            </w:r>
            <w:r w:rsidR="00502CFA" w:rsidRPr="00FA5324">
              <w:rPr>
                <w:rFonts w:ascii="Times New Roman" w:hAnsi="Times New Roman"/>
                <w:color w:val="auto"/>
                <w:lang w:val="es-DO"/>
              </w:rPr>
              <w:t xml:space="preserve">la </w:t>
            </w:r>
            <w:r w:rsidR="00502CFA" w:rsidRPr="008450F1">
              <w:rPr>
                <w:rFonts w:ascii="Times New Roman" w:hAnsi="Times New Roman"/>
                <w:color w:val="auto"/>
                <w:lang w:val="es-DO"/>
              </w:rPr>
              <w:t>función</w:t>
            </w:r>
            <w:r w:rsidR="00502CFA" w:rsidRPr="00FA5324">
              <w:rPr>
                <w:rFonts w:ascii="Times New Roman" w:hAnsi="Times New Roman"/>
                <w:color w:val="auto"/>
                <w:lang w:val="es-DO"/>
              </w:rPr>
              <w:t xml:space="preserve"> de </w:t>
            </w:r>
            <w:r w:rsidR="00502CFA" w:rsidRPr="008450F1">
              <w:rPr>
                <w:rFonts w:ascii="Times New Roman" w:hAnsi="Times New Roman"/>
                <w:color w:val="auto"/>
                <w:lang w:val="es-DO"/>
              </w:rPr>
              <w:t>rectoría</w:t>
            </w:r>
          </w:p>
        </w:tc>
        <w:tc>
          <w:tcPr>
            <w:tcW w:w="1129" w:type="pct"/>
            <w:vMerge/>
            <w:vAlign w:val="center"/>
            <w:hideMark/>
          </w:tcPr>
          <w:p w:rsidR="007E74F7" w:rsidRPr="00FA5324" w:rsidRDefault="007E74F7" w:rsidP="00AF0916">
            <w:pPr>
              <w:pStyle w:val="Tabla"/>
              <w:rPr>
                <w:rFonts w:ascii="Times New Roman" w:hAnsi="Times New Roman"/>
                <w:color w:val="auto"/>
                <w:lang w:val="es-DO"/>
              </w:rPr>
            </w:pPr>
          </w:p>
        </w:tc>
        <w:tc>
          <w:tcPr>
            <w:tcW w:w="976"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Implementación y funcionamiento del Instituto Coordinador de los Servicios Públicos de Salud</w:t>
            </w:r>
            <w:r w:rsidR="003E73A4" w:rsidRPr="00FA5324">
              <w:rPr>
                <w:rStyle w:val="FootnoteReference"/>
                <w:rFonts w:ascii="Times New Roman" w:hAnsi="Times New Roman"/>
                <w:color w:val="auto"/>
                <w:lang w:val="es-DO"/>
              </w:rPr>
              <w:footnoteReference w:id="17"/>
            </w:r>
          </w:p>
        </w:tc>
      </w:tr>
      <w:tr w:rsidR="00C62A67" w:rsidRPr="008450F1" w:rsidTr="00FA5324">
        <w:trPr>
          <w:trHeight w:val="20"/>
        </w:trPr>
        <w:tc>
          <w:tcPr>
            <w:tcW w:w="1078" w:type="pct"/>
            <w:shd w:val="clear" w:color="auto" w:fill="auto"/>
            <w:vAlign w:val="center"/>
            <w:hideMark/>
          </w:tcPr>
          <w:p w:rsidR="007E74F7" w:rsidRPr="00FA5324" w:rsidRDefault="007670F5" w:rsidP="00AF0916">
            <w:pPr>
              <w:pStyle w:val="Tabla"/>
              <w:rPr>
                <w:rFonts w:ascii="Times New Roman" w:hAnsi="Times New Roman"/>
                <w:color w:val="auto"/>
                <w:lang w:val="es-DO"/>
              </w:rPr>
            </w:pPr>
            <w:r w:rsidRPr="00FA5324">
              <w:rPr>
                <w:rFonts w:ascii="Times New Roman" w:hAnsi="Times New Roman"/>
                <w:color w:val="auto"/>
                <w:lang w:val="es-DO"/>
              </w:rPr>
              <w:t>Política Nacional de Calidad y</w:t>
            </w:r>
            <w:r w:rsidR="007E74F7" w:rsidRPr="00FA5324">
              <w:rPr>
                <w:rFonts w:ascii="Times New Roman" w:hAnsi="Times New Roman"/>
                <w:color w:val="auto"/>
                <w:lang w:val="es-DO"/>
              </w:rPr>
              <w:t xml:space="preserve"> </w:t>
            </w:r>
            <w:r w:rsidR="00CC0236" w:rsidRPr="008450F1">
              <w:rPr>
                <w:rFonts w:ascii="Times New Roman" w:hAnsi="Times New Roman"/>
                <w:color w:val="auto"/>
                <w:lang w:val="es-DO"/>
              </w:rPr>
              <w:t>empoderamiento</w:t>
            </w:r>
            <w:r w:rsidR="00CC0236" w:rsidRPr="00FA5324">
              <w:rPr>
                <w:rFonts w:ascii="Times New Roman" w:hAnsi="Times New Roman"/>
                <w:color w:val="auto"/>
                <w:lang w:val="es-DO"/>
              </w:rPr>
              <w:t xml:space="preserve"> de la ciudanía</w:t>
            </w:r>
          </w:p>
        </w:tc>
        <w:tc>
          <w:tcPr>
            <w:tcW w:w="1817" w:type="pct"/>
            <w:shd w:val="clear" w:color="auto" w:fill="auto"/>
            <w:vAlign w:val="center"/>
            <w:hideMark/>
          </w:tcPr>
          <w:p w:rsidR="007E74F7" w:rsidRPr="008450F1"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015102" w:rsidRPr="008450F1">
              <w:rPr>
                <w:rFonts w:ascii="Times New Roman" w:hAnsi="Times New Roman"/>
                <w:color w:val="auto"/>
                <w:lang w:val="es-DO"/>
              </w:rPr>
              <w:t>Mayor</w:t>
            </w:r>
            <w:r w:rsidR="007E74F7" w:rsidRPr="008450F1">
              <w:rPr>
                <w:rFonts w:ascii="Times New Roman" w:hAnsi="Times New Roman"/>
                <w:color w:val="auto"/>
                <w:lang w:val="es-DO"/>
              </w:rPr>
              <w:t xml:space="preserve"> </w:t>
            </w:r>
            <w:r w:rsidR="00502CFA" w:rsidRPr="008450F1">
              <w:rPr>
                <w:rFonts w:ascii="Times New Roman" w:hAnsi="Times New Roman"/>
                <w:color w:val="auto"/>
                <w:lang w:val="es-DO"/>
              </w:rPr>
              <w:t xml:space="preserve">capacidad de los </w:t>
            </w:r>
            <w:r w:rsidR="007E74F7" w:rsidRPr="008450F1">
              <w:rPr>
                <w:rFonts w:ascii="Times New Roman" w:hAnsi="Times New Roman"/>
                <w:color w:val="auto"/>
                <w:lang w:val="es-DO"/>
              </w:rPr>
              <w:t>ciudadano</w:t>
            </w:r>
            <w:r w:rsidR="00502CFA" w:rsidRPr="008450F1">
              <w:rPr>
                <w:rFonts w:ascii="Times New Roman" w:hAnsi="Times New Roman"/>
                <w:color w:val="auto"/>
                <w:lang w:val="es-DO"/>
              </w:rPr>
              <w:t>s para actuar como veedores del sistema</w:t>
            </w:r>
          </w:p>
          <w:p w:rsidR="00502CFA" w:rsidRPr="008450F1"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015102" w:rsidRPr="008450F1">
              <w:rPr>
                <w:rFonts w:ascii="Times New Roman" w:hAnsi="Times New Roman"/>
                <w:color w:val="auto"/>
                <w:lang w:val="es-DO"/>
              </w:rPr>
              <w:t>A</w:t>
            </w:r>
            <w:r w:rsidR="00502CFA" w:rsidRPr="008450F1">
              <w:rPr>
                <w:rFonts w:ascii="Times New Roman" w:hAnsi="Times New Roman"/>
                <w:color w:val="auto"/>
                <w:lang w:val="es-DO"/>
              </w:rPr>
              <w:t>cciones ciudadanas para controlar el uso de los recursos del sistema</w:t>
            </w:r>
          </w:p>
          <w:p w:rsidR="00502CFA" w:rsidRPr="008450F1"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015102" w:rsidRPr="008450F1">
              <w:rPr>
                <w:rFonts w:ascii="Times New Roman" w:hAnsi="Times New Roman"/>
                <w:color w:val="auto"/>
                <w:lang w:val="es-DO"/>
              </w:rPr>
              <w:t>Mayor</w:t>
            </w:r>
            <w:r w:rsidR="00502CFA" w:rsidRPr="008450F1">
              <w:rPr>
                <w:rFonts w:ascii="Times New Roman" w:hAnsi="Times New Roman"/>
                <w:color w:val="auto"/>
                <w:lang w:val="es-DO"/>
              </w:rPr>
              <w:t xml:space="preserve"> número de sanciones frente a comportamientos atípicos denunciados por los ciudadanos </w:t>
            </w:r>
          </w:p>
          <w:p w:rsidR="00502CFA" w:rsidRPr="00FA5324" w:rsidRDefault="00CC0236" w:rsidP="00AF0916">
            <w:pPr>
              <w:pStyle w:val="Tabla"/>
              <w:rPr>
                <w:rFonts w:ascii="Times New Roman" w:hAnsi="Times New Roman"/>
                <w:color w:val="auto"/>
                <w:lang w:val="es-DO"/>
              </w:rPr>
            </w:pPr>
            <w:r w:rsidRPr="008450F1">
              <w:rPr>
                <w:rFonts w:ascii="Times New Roman" w:hAnsi="Times New Roman"/>
                <w:color w:val="auto"/>
                <w:lang w:val="es-DO"/>
              </w:rPr>
              <w:t>-</w:t>
            </w:r>
            <w:r w:rsidR="008450F1" w:rsidRPr="008450F1">
              <w:rPr>
                <w:rFonts w:ascii="Times New Roman" w:hAnsi="Times New Roman"/>
                <w:color w:val="auto"/>
                <w:lang w:val="es-DO"/>
              </w:rPr>
              <w:t>Disuasión</w:t>
            </w:r>
            <w:r w:rsidR="00015102" w:rsidRPr="008450F1">
              <w:rPr>
                <w:rFonts w:ascii="Times New Roman" w:hAnsi="Times New Roman"/>
                <w:color w:val="auto"/>
                <w:lang w:val="es-DO"/>
              </w:rPr>
              <w:t xml:space="preserve"> de </w:t>
            </w:r>
            <w:r w:rsidR="00502CFA" w:rsidRPr="008450F1">
              <w:rPr>
                <w:rFonts w:ascii="Times New Roman" w:hAnsi="Times New Roman"/>
                <w:color w:val="auto"/>
                <w:lang w:val="es-DO"/>
              </w:rPr>
              <w:t xml:space="preserve">otros actores </w:t>
            </w:r>
            <w:r w:rsidR="00015102" w:rsidRPr="008450F1">
              <w:rPr>
                <w:rFonts w:ascii="Times New Roman" w:hAnsi="Times New Roman"/>
                <w:color w:val="auto"/>
                <w:lang w:val="es-DO"/>
              </w:rPr>
              <w:t>a</w:t>
            </w:r>
            <w:r w:rsidR="00502CFA" w:rsidRPr="008450F1">
              <w:rPr>
                <w:rFonts w:ascii="Times New Roman" w:hAnsi="Times New Roman"/>
                <w:color w:val="auto"/>
                <w:lang w:val="es-DO"/>
              </w:rPr>
              <w:t xml:space="preserve"> realizar conductas atípicas</w:t>
            </w:r>
          </w:p>
        </w:tc>
        <w:tc>
          <w:tcPr>
            <w:tcW w:w="1129" w:type="pct"/>
            <w:vMerge/>
            <w:vAlign w:val="center"/>
            <w:hideMark/>
          </w:tcPr>
          <w:p w:rsidR="007E74F7" w:rsidRPr="00FA5324" w:rsidRDefault="007E74F7" w:rsidP="00AF0916">
            <w:pPr>
              <w:pStyle w:val="Tabla"/>
              <w:rPr>
                <w:rFonts w:ascii="Times New Roman" w:hAnsi="Times New Roman"/>
                <w:color w:val="auto"/>
                <w:lang w:val="es-DO"/>
              </w:rPr>
            </w:pPr>
          </w:p>
        </w:tc>
        <w:tc>
          <w:tcPr>
            <w:tcW w:w="976"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 xml:space="preserve">Implementación de la Política Nacional de Calidad en Salud en </w:t>
            </w:r>
            <w:r w:rsidR="002F1D8C" w:rsidRPr="00FA5324">
              <w:rPr>
                <w:rFonts w:ascii="Times New Roman" w:hAnsi="Times New Roman"/>
                <w:color w:val="auto"/>
                <w:lang w:val="es-DO"/>
              </w:rPr>
              <w:t xml:space="preserve">la </w:t>
            </w:r>
            <w:r w:rsidR="002F1D8C" w:rsidRPr="008450F1">
              <w:rPr>
                <w:rFonts w:ascii="Times New Roman" w:hAnsi="Times New Roman"/>
                <w:color w:val="auto"/>
                <w:lang w:val="es-DO"/>
              </w:rPr>
              <w:t>parte</w:t>
            </w:r>
            <w:r w:rsidR="002F1D8C" w:rsidRPr="00FA5324">
              <w:rPr>
                <w:rFonts w:ascii="Times New Roman" w:hAnsi="Times New Roman"/>
                <w:color w:val="auto"/>
                <w:lang w:val="es-DO"/>
              </w:rPr>
              <w:t xml:space="preserve"> de </w:t>
            </w:r>
            <w:r w:rsidR="002F1D8C" w:rsidRPr="008450F1">
              <w:rPr>
                <w:rFonts w:ascii="Times New Roman" w:hAnsi="Times New Roman"/>
                <w:color w:val="auto"/>
                <w:lang w:val="es-DO"/>
              </w:rPr>
              <w:t>empoderamiento</w:t>
            </w:r>
          </w:p>
        </w:tc>
      </w:tr>
      <w:tr w:rsidR="00C62A67" w:rsidRPr="008450F1" w:rsidTr="00FA5324">
        <w:trPr>
          <w:trHeight w:val="20"/>
        </w:trPr>
        <w:tc>
          <w:tcPr>
            <w:tcW w:w="1078"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 xml:space="preserve">Política Nacional de Calidad en </w:t>
            </w:r>
            <w:r w:rsidR="002F1D8C" w:rsidRPr="008450F1">
              <w:rPr>
                <w:rFonts w:ascii="Times New Roman" w:hAnsi="Times New Roman"/>
                <w:color w:val="auto"/>
                <w:lang w:val="es-DO"/>
              </w:rPr>
              <w:t>tecnologías</w:t>
            </w:r>
          </w:p>
        </w:tc>
        <w:tc>
          <w:tcPr>
            <w:tcW w:w="1817" w:type="pct"/>
            <w:shd w:val="clear" w:color="auto" w:fill="auto"/>
            <w:vAlign w:val="center"/>
            <w:hideMark/>
          </w:tcPr>
          <w:p w:rsidR="007E74F7" w:rsidRPr="008450F1" w:rsidRDefault="00015102" w:rsidP="00AF0916">
            <w:pPr>
              <w:pStyle w:val="Tabla"/>
              <w:rPr>
                <w:rFonts w:ascii="Times New Roman" w:hAnsi="Times New Roman"/>
                <w:color w:val="auto"/>
                <w:lang w:val="es-DO"/>
              </w:rPr>
            </w:pPr>
            <w:r w:rsidRPr="008450F1">
              <w:rPr>
                <w:rFonts w:ascii="Times New Roman" w:hAnsi="Times New Roman"/>
                <w:color w:val="auto"/>
                <w:lang w:val="es-DO"/>
              </w:rPr>
              <w:t>-I</w:t>
            </w:r>
            <w:r w:rsidR="00683ACC" w:rsidRPr="008450F1">
              <w:rPr>
                <w:rFonts w:ascii="Times New Roman" w:hAnsi="Times New Roman"/>
                <w:color w:val="auto"/>
                <w:lang w:val="es-DO"/>
              </w:rPr>
              <w:t>mplementa</w:t>
            </w:r>
            <w:r w:rsidRPr="008450F1">
              <w:rPr>
                <w:rFonts w:ascii="Times New Roman" w:hAnsi="Times New Roman"/>
                <w:color w:val="auto"/>
                <w:lang w:val="es-DO"/>
              </w:rPr>
              <w:t xml:space="preserve">ción de </w:t>
            </w:r>
            <w:r w:rsidR="00683ACC" w:rsidRPr="008450F1">
              <w:rPr>
                <w:rFonts w:ascii="Times New Roman" w:hAnsi="Times New Roman"/>
                <w:color w:val="auto"/>
                <w:lang w:val="es-DO"/>
              </w:rPr>
              <w:t xml:space="preserve">GPC basadas en la evidencia con criterios de costo-efectividad </w:t>
            </w:r>
          </w:p>
          <w:p w:rsidR="00683ACC" w:rsidRPr="008450F1" w:rsidRDefault="00015102" w:rsidP="00AF0916">
            <w:pPr>
              <w:pStyle w:val="Tabla"/>
              <w:rPr>
                <w:rFonts w:ascii="Times New Roman" w:hAnsi="Times New Roman"/>
                <w:color w:val="auto"/>
                <w:lang w:val="es-DO"/>
              </w:rPr>
            </w:pPr>
            <w:r w:rsidRPr="008450F1">
              <w:rPr>
                <w:rFonts w:ascii="Times New Roman" w:hAnsi="Times New Roman"/>
                <w:color w:val="auto"/>
                <w:lang w:val="es-DO"/>
              </w:rPr>
              <w:t xml:space="preserve">-Control </w:t>
            </w:r>
            <w:r w:rsidR="00683ACC" w:rsidRPr="008450F1">
              <w:rPr>
                <w:rFonts w:ascii="Times New Roman" w:hAnsi="Times New Roman"/>
                <w:color w:val="auto"/>
                <w:lang w:val="es-DO"/>
              </w:rPr>
              <w:t xml:space="preserve">al marketing farmacéutico, disminución de la </w:t>
            </w:r>
            <w:r w:rsidR="00B51537" w:rsidRPr="008450F1">
              <w:rPr>
                <w:rFonts w:ascii="Times New Roman" w:hAnsi="Times New Roman"/>
                <w:color w:val="auto"/>
                <w:lang w:val="es-DO"/>
              </w:rPr>
              <w:t>sobre prescripción</w:t>
            </w:r>
          </w:p>
          <w:p w:rsidR="00683ACC" w:rsidRPr="008450F1" w:rsidRDefault="00015102" w:rsidP="00AF0916">
            <w:pPr>
              <w:pStyle w:val="Tabla"/>
              <w:rPr>
                <w:rFonts w:ascii="Times New Roman" w:hAnsi="Times New Roman"/>
                <w:color w:val="auto"/>
                <w:lang w:val="es-DO"/>
              </w:rPr>
            </w:pPr>
            <w:r w:rsidRPr="008450F1">
              <w:rPr>
                <w:rFonts w:ascii="Times New Roman" w:hAnsi="Times New Roman"/>
                <w:color w:val="auto"/>
                <w:lang w:val="es-DO"/>
              </w:rPr>
              <w:t>-</w:t>
            </w:r>
            <w:r w:rsidR="00683ACC" w:rsidRPr="008450F1">
              <w:rPr>
                <w:rFonts w:ascii="Times New Roman" w:hAnsi="Times New Roman"/>
                <w:color w:val="auto"/>
                <w:lang w:val="es-DO"/>
              </w:rPr>
              <w:t>Uso adecuado de medicamentos, correcto uso de antibióticos</w:t>
            </w:r>
          </w:p>
          <w:p w:rsidR="00015102" w:rsidRPr="008450F1" w:rsidRDefault="00015102" w:rsidP="00AF0916">
            <w:pPr>
              <w:pStyle w:val="Tabla"/>
              <w:rPr>
                <w:rFonts w:ascii="Times New Roman" w:hAnsi="Times New Roman"/>
                <w:color w:val="auto"/>
                <w:lang w:val="es-DO"/>
              </w:rPr>
            </w:pPr>
            <w:r w:rsidRPr="008450F1">
              <w:rPr>
                <w:rFonts w:ascii="Times New Roman" w:hAnsi="Times New Roman"/>
                <w:color w:val="auto"/>
                <w:lang w:val="es-DO"/>
              </w:rPr>
              <w:t>-</w:t>
            </w:r>
            <w:r w:rsidR="00683ACC" w:rsidRPr="008450F1">
              <w:rPr>
                <w:rFonts w:ascii="Times New Roman" w:hAnsi="Times New Roman"/>
                <w:color w:val="auto"/>
                <w:lang w:val="es-DO"/>
              </w:rPr>
              <w:t>Disminución de la automedicación</w:t>
            </w:r>
          </w:p>
          <w:p w:rsidR="00683ACC" w:rsidRPr="00FA5324" w:rsidRDefault="00015102" w:rsidP="00AF0916">
            <w:pPr>
              <w:pStyle w:val="Tabla"/>
              <w:rPr>
                <w:rFonts w:ascii="Times New Roman" w:hAnsi="Times New Roman"/>
                <w:color w:val="auto"/>
                <w:lang w:val="es-DO"/>
              </w:rPr>
            </w:pPr>
            <w:r w:rsidRPr="008450F1">
              <w:rPr>
                <w:rFonts w:ascii="Times New Roman" w:hAnsi="Times New Roman"/>
                <w:color w:val="auto"/>
                <w:lang w:val="es-DO"/>
              </w:rPr>
              <w:t>-</w:t>
            </w:r>
            <w:r w:rsidR="00683ACC" w:rsidRPr="008450F1">
              <w:rPr>
                <w:rFonts w:ascii="Times New Roman" w:hAnsi="Times New Roman"/>
                <w:color w:val="auto"/>
                <w:lang w:val="es-DO"/>
              </w:rPr>
              <w:t xml:space="preserve">Disminución en la comercialización y </w:t>
            </w:r>
            <w:r w:rsidR="00DF4854" w:rsidRPr="008450F1">
              <w:rPr>
                <w:rFonts w:ascii="Times New Roman" w:hAnsi="Times New Roman"/>
                <w:color w:val="auto"/>
                <w:lang w:val="es-DO"/>
              </w:rPr>
              <w:lastRenderedPageBreak/>
              <w:t xml:space="preserve">el </w:t>
            </w:r>
            <w:r w:rsidR="00683ACC" w:rsidRPr="008450F1">
              <w:rPr>
                <w:rFonts w:ascii="Times New Roman" w:hAnsi="Times New Roman"/>
                <w:color w:val="auto"/>
                <w:lang w:val="es-DO"/>
              </w:rPr>
              <w:t>uso de medicamentos falsificados</w:t>
            </w:r>
          </w:p>
        </w:tc>
        <w:tc>
          <w:tcPr>
            <w:tcW w:w="1129"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lastRenderedPageBreak/>
              <w:t>Ahorros con el manejo eficiente de medicamentos</w:t>
            </w:r>
          </w:p>
        </w:tc>
        <w:tc>
          <w:tcPr>
            <w:tcW w:w="976"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 xml:space="preserve">Implementación de la Política Nacional de Calidad en Salud en la </w:t>
            </w:r>
            <w:r w:rsidR="002F1D8C" w:rsidRPr="008450F1">
              <w:rPr>
                <w:rFonts w:ascii="Times New Roman" w:hAnsi="Times New Roman"/>
                <w:color w:val="auto"/>
                <w:lang w:val="es-DO"/>
              </w:rPr>
              <w:t>parte</w:t>
            </w:r>
            <w:r w:rsidR="002F1D8C" w:rsidRPr="00FA5324">
              <w:rPr>
                <w:rFonts w:ascii="Times New Roman" w:hAnsi="Times New Roman"/>
                <w:color w:val="auto"/>
                <w:lang w:val="es-DO"/>
              </w:rPr>
              <w:t xml:space="preserve"> de </w:t>
            </w:r>
            <w:r w:rsidR="002F1D8C" w:rsidRPr="008450F1">
              <w:rPr>
                <w:rFonts w:ascii="Times New Roman" w:hAnsi="Times New Roman"/>
                <w:color w:val="auto"/>
                <w:lang w:val="es-DO"/>
              </w:rPr>
              <w:t>medicamentos</w:t>
            </w:r>
          </w:p>
        </w:tc>
      </w:tr>
      <w:tr w:rsidR="00C62A67" w:rsidRPr="008450F1" w:rsidTr="00FA5324">
        <w:trPr>
          <w:trHeight w:val="20"/>
        </w:trPr>
        <w:tc>
          <w:tcPr>
            <w:tcW w:w="1078"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lastRenderedPageBreak/>
              <w:t>Actualización del PDSS</w:t>
            </w:r>
            <w:r w:rsidR="002F1D8C" w:rsidRPr="00FA5324">
              <w:rPr>
                <w:rFonts w:ascii="Times New Roman" w:hAnsi="Times New Roman"/>
                <w:color w:val="auto"/>
                <w:lang w:val="es-DO"/>
              </w:rPr>
              <w:t xml:space="preserve"> </w:t>
            </w:r>
            <w:r w:rsidRPr="00FA5324">
              <w:rPr>
                <w:rFonts w:ascii="Times New Roman" w:hAnsi="Times New Roman"/>
                <w:color w:val="auto"/>
                <w:lang w:val="es-DO"/>
              </w:rPr>
              <w:t>de acuerdo al perfil epidemiológico</w:t>
            </w:r>
          </w:p>
        </w:tc>
        <w:tc>
          <w:tcPr>
            <w:tcW w:w="1817" w:type="pct"/>
            <w:shd w:val="clear" w:color="auto" w:fill="auto"/>
            <w:vAlign w:val="center"/>
            <w:hideMark/>
          </w:tcPr>
          <w:p w:rsidR="00683ACC" w:rsidRPr="008450F1" w:rsidRDefault="00DF4854" w:rsidP="00AF0916">
            <w:pPr>
              <w:pStyle w:val="Tabla"/>
              <w:rPr>
                <w:rFonts w:ascii="Times New Roman" w:hAnsi="Times New Roman"/>
                <w:color w:val="auto"/>
                <w:lang w:val="es-DO"/>
              </w:rPr>
            </w:pPr>
            <w:r w:rsidRPr="008450F1">
              <w:rPr>
                <w:rFonts w:ascii="Times New Roman" w:hAnsi="Times New Roman"/>
                <w:color w:val="auto"/>
                <w:lang w:val="es-DO"/>
              </w:rPr>
              <w:t>-</w:t>
            </w:r>
            <w:r w:rsidR="00683ACC" w:rsidRPr="008450F1">
              <w:rPr>
                <w:rFonts w:ascii="Times New Roman" w:hAnsi="Times New Roman"/>
                <w:color w:val="auto"/>
                <w:lang w:val="es-DO"/>
              </w:rPr>
              <w:t>Movilización de los recursos hacia las intervenciones de mayor costo-efectividad</w:t>
            </w:r>
          </w:p>
          <w:p w:rsidR="00683ACC" w:rsidRPr="008450F1" w:rsidRDefault="00DF4854" w:rsidP="00AF0916">
            <w:pPr>
              <w:pStyle w:val="Tabla"/>
              <w:rPr>
                <w:rFonts w:ascii="Times New Roman" w:hAnsi="Times New Roman"/>
                <w:color w:val="auto"/>
                <w:lang w:val="es-DO"/>
              </w:rPr>
            </w:pPr>
            <w:r w:rsidRPr="008450F1">
              <w:rPr>
                <w:rFonts w:ascii="Times New Roman" w:hAnsi="Times New Roman"/>
                <w:color w:val="auto"/>
                <w:lang w:val="es-DO"/>
              </w:rPr>
              <w:t>-</w:t>
            </w:r>
            <w:r w:rsidR="00683ACC" w:rsidRPr="008450F1">
              <w:rPr>
                <w:rFonts w:ascii="Times New Roman" w:hAnsi="Times New Roman"/>
                <w:color w:val="auto"/>
                <w:lang w:val="es-DO"/>
              </w:rPr>
              <w:t>Mayor legitimidad del plan de beneficios</w:t>
            </w:r>
          </w:p>
          <w:p w:rsidR="00683ACC" w:rsidRPr="008450F1" w:rsidRDefault="00DF4854" w:rsidP="00AF0916">
            <w:pPr>
              <w:pStyle w:val="Tabla"/>
              <w:rPr>
                <w:rFonts w:ascii="Times New Roman" w:hAnsi="Times New Roman"/>
                <w:color w:val="auto"/>
                <w:lang w:val="es-DO"/>
              </w:rPr>
            </w:pPr>
            <w:r w:rsidRPr="008450F1">
              <w:rPr>
                <w:rFonts w:ascii="Times New Roman" w:hAnsi="Times New Roman"/>
                <w:color w:val="auto"/>
                <w:lang w:val="es-DO"/>
              </w:rPr>
              <w:t>-</w:t>
            </w:r>
            <w:r w:rsidR="00683ACC" w:rsidRPr="008450F1">
              <w:rPr>
                <w:rFonts w:ascii="Times New Roman" w:hAnsi="Times New Roman"/>
                <w:color w:val="auto"/>
                <w:lang w:val="es-DO"/>
              </w:rPr>
              <w:t xml:space="preserve">Disminución en la ambigüedad: menos negaciones injustificadas de beneficios y menos disputas </w:t>
            </w:r>
            <w:r w:rsidR="00B51537" w:rsidRPr="008450F1">
              <w:rPr>
                <w:rFonts w:ascii="Times New Roman" w:hAnsi="Times New Roman"/>
                <w:color w:val="auto"/>
                <w:lang w:val="es-DO"/>
              </w:rPr>
              <w:t>administrativas</w:t>
            </w:r>
            <w:r w:rsidR="00683ACC" w:rsidRPr="008450F1">
              <w:rPr>
                <w:rFonts w:ascii="Times New Roman" w:hAnsi="Times New Roman"/>
                <w:color w:val="auto"/>
                <w:lang w:val="es-DO"/>
              </w:rPr>
              <w:t xml:space="preserve"> con respecto a las coberturas del plan</w:t>
            </w:r>
          </w:p>
          <w:p w:rsidR="007E74F7" w:rsidRPr="00FA5324" w:rsidRDefault="00DF4854" w:rsidP="00AF0916">
            <w:pPr>
              <w:pStyle w:val="Tabla"/>
              <w:rPr>
                <w:rFonts w:ascii="Times New Roman" w:hAnsi="Times New Roman"/>
                <w:color w:val="auto"/>
                <w:lang w:val="es-DO"/>
              </w:rPr>
            </w:pPr>
            <w:r w:rsidRPr="008450F1">
              <w:rPr>
                <w:rFonts w:ascii="Times New Roman" w:hAnsi="Times New Roman"/>
                <w:color w:val="auto"/>
                <w:lang w:val="es-DO"/>
              </w:rPr>
              <w:t>-</w:t>
            </w:r>
            <w:r w:rsidR="007E74F7" w:rsidRPr="00FA5324">
              <w:rPr>
                <w:rFonts w:ascii="Times New Roman" w:hAnsi="Times New Roman"/>
                <w:color w:val="auto"/>
                <w:lang w:val="es-DO"/>
              </w:rPr>
              <w:t>Mayor eficiencia en la asignación de recursos</w:t>
            </w:r>
          </w:p>
        </w:tc>
        <w:tc>
          <w:tcPr>
            <w:tcW w:w="1129"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 xml:space="preserve">Ahorros al lograr </w:t>
            </w:r>
            <w:r w:rsidR="00B51537" w:rsidRPr="008450F1">
              <w:rPr>
                <w:rFonts w:ascii="Times New Roman" w:hAnsi="Times New Roman"/>
                <w:color w:val="auto"/>
                <w:lang w:val="es-DO"/>
              </w:rPr>
              <w:t>un plan</w:t>
            </w:r>
            <w:r w:rsidR="00324D32" w:rsidRPr="00FA5324">
              <w:rPr>
                <w:rFonts w:ascii="Times New Roman" w:hAnsi="Times New Roman"/>
                <w:color w:val="auto"/>
                <w:lang w:val="es-DO"/>
              </w:rPr>
              <w:t xml:space="preserve"> de </w:t>
            </w:r>
            <w:r w:rsidR="00324D32" w:rsidRPr="008450F1">
              <w:rPr>
                <w:rFonts w:ascii="Times New Roman" w:hAnsi="Times New Roman"/>
                <w:color w:val="auto"/>
                <w:lang w:val="es-DO"/>
              </w:rPr>
              <w:t>beneficios</w:t>
            </w:r>
            <w:r w:rsidR="00324D32" w:rsidRPr="00FA5324">
              <w:rPr>
                <w:rFonts w:ascii="Times New Roman" w:hAnsi="Times New Roman"/>
                <w:color w:val="auto"/>
                <w:lang w:val="es-DO"/>
              </w:rPr>
              <w:t xml:space="preserve"> </w:t>
            </w:r>
            <w:r w:rsidR="007E70A2" w:rsidRPr="00FA5324">
              <w:rPr>
                <w:rFonts w:ascii="Times New Roman" w:hAnsi="Times New Roman"/>
                <w:color w:val="auto"/>
                <w:lang w:val="es-DO"/>
              </w:rPr>
              <w:t>más</w:t>
            </w:r>
            <w:r w:rsidR="0051371E" w:rsidRPr="00FA5324">
              <w:rPr>
                <w:rFonts w:ascii="Times New Roman" w:hAnsi="Times New Roman"/>
                <w:color w:val="auto"/>
                <w:lang w:val="es-DO"/>
              </w:rPr>
              <w:t xml:space="preserve"> </w:t>
            </w:r>
            <w:r w:rsidR="00CE4DFE" w:rsidRPr="008450F1">
              <w:rPr>
                <w:rFonts w:ascii="Times New Roman" w:hAnsi="Times New Roman"/>
                <w:color w:val="auto"/>
                <w:lang w:val="es-DO"/>
              </w:rPr>
              <w:t>costo efectivo</w:t>
            </w:r>
            <w:r w:rsidR="0051371E" w:rsidRPr="008450F1">
              <w:rPr>
                <w:rFonts w:ascii="Times New Roman" w:hAnsi="Times New Roman"/>
                <w:color w:val="auto"/>
                <w:lang w:val="es-DO"/>
              </w:rPr>
              <w:t>.</w:t>
            </w:r>
            <w:r w:rsidR="0051371E" w:rsidRPr="00FA5324">
              <w:rPr>
                <w:rFonts w:ascii="Times New Roman" w:hAnsi="Times New Roman"/>
                <w:color w:val="auto"/>
                <w:lang w:val="es-DO"/>
              </w:rPr>
              <w:t xml:space="preserve"> (“</w:t>
            </w:r>
            <w:r w:rsidR="0051371E" w:rsidRPr="00FA5324">
              <w:rPr>
                <w:rFonts w:ascii="Times New Roman" w:hAnsi="Times New Roman"/>
                <w:i/>
                <w:color w:val="auto"/>
                <w:lang w:val="es-DO"/>
              </w:rPr>
              <w:t>Intervention Mix</w:t>
            </w:r>
            <w:r w:rsidR="0051371E" w:rsidRPr="00FA5324">
              <w:rPr>
                <w:rFonts w:ascii="Times New Roman" w:hAnsi="Times New Roman"/>
                <w:color w:val="auto"/>
                <w:lang w:val="es-DO"/>
              </w:rPr>
              <w:t>”)</w:t>
            </w:r>
          </w:p>
        </w:tc>
        <w:tc>
          <w:tcPr>
            <w:tcW w:w="976"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8450F1">
              <w:rPr>
                <w:rFonts w:ascii="Times New Roman" w:hAnsi="Times New Roman"/>
                <w:color w:val="auto"/>
                <w:lang w:val="es-DO"/>
              </w:rPr>
              <w:t>Actualiza</w:t>
            </w:r>
            <w:r w:rsidR="002F1D8C" w:rsidRPr="008450F1">
              <w:rPr>
                <w:rFonts w:ascii="Times New Roman" w:hAnsi="Times New Roman"/>
                <w:color w:val="auto"/>
                <w:lang w:val="es-DO"/>
              </w:rPr>
              <w:t>ción</w:t>
            </w:r>
            <w:r w:rsidRPr="008450F1">
              <w:rPr>
                <w:rFonts w:ascii="Times New Roman" w:hAnsi="Times New Roman"/>
                <w:color w:val="auto"/>
                <w:lang w:val="es-DO"/>
              </w:rPr>
              <w:t xml:space="preserve"> </w:t>
            </w:r>
            <w:r w:rsidR="002F1D8C" w:rsidRPr="008450F1">
              <w:rPr>
                <w:rFonts w:ascii="Times New Roman" w:hAnsi="Times New Roman"/>
                <w:color w:val="auto"/>
                <w:lang w:val="es-DO"/>
              </w:rPr>
              <w:t>d</w:t>
            </w:r>
            <w:r w:rsidRPr="008450F1">
              <w:rPr>
                <w:rFonts w:ascii="Times New Roman" w:hAnsi="Times New Roman"/>
                <w:color w:val="auto"/>
                <w:lang w:val="es-DO"/>
              </w:rPr>
              <w:t>el</w:t>
            </w:r>
            <w:r w:rsidRPr="00FA5324">
              <w:rPr>
                <w:rFonts w:ascii="Times New Roman" w:hAnsi="Times New Roman"/>
                <w:color w:val="auto"/>
                <w:lang w:val="es-DO"/>
              </w:rPr>
              <w:t xml:space="preserve"> PDSS</w:t>
            </w:r>
          </w:p>
        </w:tc>
      </w:tr>
      <w:tr w:rsidR="00C62A67" w:rsidRPr="008450F1" w:rsidTr="00FA5324">
        <w:trPr>
          <w:trHeight w:val="1337"/>
        </w:trPr>
        <w:tc>
          <w:tcPr>
            <w:tcW w:w="1078" w:type="pct"/>
            <w:vMerge w:val="restar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 xml:space="preserve">Desarrollo de la infraestructura y </w:t>
            </w:r>
            <w:r w:rsidR="002F1D8C" w:rsidRPr="008450F1">
              <w:rPr>
                <w:rFonts w:ascii="Times New Roman" w:hAnsi="Times New Roman"/>
                <w:color w:val="auto"/>
                <w:lang w:val="es-DO"/>
              </w:rPr>
              <w:t xml:space="preserve">del </w:t>
            </w:r>
            <w:r w:rsidRPr="00FA5324">
              <w:rPr>
                <w:rFonts w:ascii="Times New Roman" w:hAnsi="Times New Roman"/>
                <w:color w:val="auto"/>
                <w:lang w:val="es-DO"/>
              </w:rPr>
              <w:t xml:space="preserve">modelo de atención para implementar la APS </w:t>
            </w:r>
          </w:p>
        </w:tc>
        <w:tc>
          <w:tcPr>
            <w:tcW w:w="1817" w:type="pct"/>
            <w:vMerge w:val="restart"/>
            <w:shd w:val="clear" w:color="auto" w:fill="auto"/>
            <w:vAlign w:val="center"/>
            <w:hideMark/>
          </w:tcPr>
          <w:p w:rsidR="00683ACC" w:rsidRPr="008450F1" w:rsidRDefault="00DF4854" w:rsidP="00AF0916">
            <w:pPr>
              <w:pStyle w:val="Tabla"/>
              <w:rPr>
                <w:rFonts w:ascii="Times New Roman" w:hAnsi="Times New Roman"/>
                <w:color w:val="auto"/>
                <w:lang w:val="es-DO"/>
              </w:rPr>
            </w:pPr>
            <w:r w:rsidRPr="008450F1">
              <w:rPr>
                <w:rFonts w:ascii="Times New Roman" w:hAnsi="Times New Roman"/>
                <w:color w:val="auto"/>
                <w:lang w:val="es-DO"/>
              </w:rPr>
              <w:t>-</w:t>
            </w:r>
            <w:r w:rsidR="00683ACC" w:rsidRPr="008450F1">
              <w:rPr>
                <w:rFonts w:ascii="Times New Roman" w:hAnsi="Times New Roman"/>
                <w:color w:val="auto"/>
                <w:lang w:val="es-DO"/>
              </w:rPr>
              <w:t xml:space="preserve">Mejor aprovechamiento de la red de prestadores públicos </w:t>
            </w:r>
          </w:p>
          <w:p w:rsidR="00683ACC" w:rsidRPr="008450F1" w:rsidRDefault="00DF4854" w:rsidP="00AF0916">
            <w:pPr>
              <w:pStyle w:val="Tabla"/>
              <w:rPr>
                <w:rFonts w:ascii="Times New Roman" w:hAnsi="Times New Roman"/>
                <w:color w:val="auto"/>
                <w:lang w:val="es-DO"/>
              </w:rPr>
            </w:pPr>
            <w:r w:rsidRPr="008450F1">
              <w:rPr>
                <w:rFonts w:ascii="Times New Roman" w:hAnsi="Times New Roman"/>
                <w:color w:val="auto"/>
                <w:lang w:val="es-DO"/>
              </w:rPr>
              <w:t>-</w:t>
            </w:r>
            <w:r w:rsidR="00683ACC" w:rsidRPr="008450F1">
              <w:rPr>
                <w:rFonts w:ascii="Times New Roman" w:hAnsi="Times New Roman"/>
                <w:color w:val="auto"/>
                <w:lang w:val="es-DO"/>
              </w:rPr>
              <w:t>Disminución de las desigualdades geográficas en infraestructura para la prestación</w:t>
            </w:r>
          </w:p>
          <w:p w:rsidR="00E624CD" w:rsidRPr="008450F1" w:rsidRDefault="002F1D8C" w:rsidP="00AF0916">
            <w:pPr>
              <w:pStyle w:val="Tabla"/>
              <w:rPr>
                <w:rFonts w:ascii="Times New Roman" w:hAnsi="Times New Roman"/>
                <w:color w:val="auto"/>
                <w:lang w:val="es-DO"/>
              </w:rPr>
            </w:pPr>
            <w:r w:rsidRPr="008450F1">
              <w:rPr>
                <w:rFonts w:ascii="Times New Roman" w:hAnsi="Times New Roman"/>
                <w:color w:val="auto"/>
                <w:lang w:val="es-DO"/>
              </w:rPr>
              <w:t>-</w:t>
            </w:r>
            <w:r w:rsidR="00683ACC" w:rsidRPr="008450F1">
              <w:rPr>
                <w:rFonts w:ascii="Times New Roman" w:hAnsi="Times New Roman"/>
                <w:color w:val="auto"/>
                <w:lang w:val="es-DO"/>
              </w:rPr>
              <w:t xml:space="preserve">Menores costos al prestar los </w:t>
            </w:r>
            <w:r w:rsidR="00B51537" w:rsidRPr="008450F1">
              <w:rPr>
                <w:rFonts w:ascii="Times New Roman" w:hAnsi="Times New Roman"/>
                <w:color w:val="auto"/>
                <w:lang w:val="es-DO"/>
              </w:rPr>
              <w:t>servicios</w:t>
            </w:r>
            <w:r w:rsidR="00683ACC" w:rsidRPr="008450F1">
              <w:rPr>
                <w:rFonts w:ascii="Times New Roman" w:hAnsi="Times New Roman"/>
                <w:color w:val="auto"/>
                <w:lang w:val="es-DO"/>
              </w:rPr>
              <w:t xml:space="preserve"> en niveles más bajos de atención más cercanos</w:t>
            </w:r>
            <w:r w:rsidR="00E624CD" w:rsidRPr="008450F1">
              <w:rPr>
                <w:rFonts w:ascii="Times New Roman" w:hAnsi="Times New Roman"/>
                <w:color w:val="auto"/>
                <w:lang w:val="es-DO"/>
              </w:rPr>
              <w:t xml:space="preserve"> y accesibles para los usuarios</w:t>
            </w:r>
            <w:r w:rsidR="002F67E2" w:rsidRPr="008450F1">
              <w:rPr>
                <w:rFonts w:ascii="Times New Roman" w:hAnsi="Times New Roman"/>
                <w:color w:val="auto"/>
                <w:lang w:val="es-DO"/>
              </w:rPr>
              <w:t>.</w:t>
            </w:r>
          </w:p>
          <w:p w:rsidR="002F67E2" w:rsidRPr="008450F1" w:rsidRDefault="002F1D8C" w:rsidP="00AF0916">
            <w:pPr>
              <w:pStyle w:val="Tabla"/>
              <w:rPr>
                <w:rFonts w:ascii="Times New Roman" w:hAnsi="Times New Roman"/>
                <w:color w:val="auto"/>
                <w:lang w:val="es-DO"/>
              </w:rPr>
            </w:pPr>
            <w:r w:rsidRPr="008450F1">
              <w:rPr>
                <w:rFonts w:ascii="Times New Roman" w:hAnsi="Times New Roman"/>
                <w:color w:val="auto"/>
                <w:lang w:val="es-DO"/>
              </w:rPr>
              <w:t>-</w:t>
            </w:r>
            <w:r w:rsidR="002F67E2" w:rsidRPr="008450F1">
              <w:rPr>
                <w:rFonts w:ascii="Times New Roman" w:hAnsi="Times New Roman"/>
                <w:color w:val="auto"/>
                <w:lang w:val="es-DO"/>
              </w:rPr>
              <w:t>Menor gasto de bolsillo por parte de los usuarios al acceder más fácilmente a los servicios</w:t>
            </w:r>
          </w:p>
          <w:p w:rsidR="00683ACC" w:rsidRPr="008450F1" w:rsidRDefault="002F1D8C" w:rsidP="00AF0916">
            <w:pPr>
              <w:pStyle w:val="Tabla"/>
              <w:rPr>
                <w:rFonts w:ascii="Times New Roman" w:hAnsi="Times New Roman"/>
                <w:color w:val="auto"/>
                <w:lang w:val="es-DO"/>
              </w:rPr>
            </w:pPr>
            <w:r w:rsidRPr="008450F1">
              <w:rPr>
                <w:rFonts w:ascii="Times New Roman" w:hAnsi="Times New Roman"/>
                <w:color w:val="auto"/>
                <w:lang w:val="es-DO"/>
              </w:rPr>
              <w:t>-</w:t>
            </w:r>
            <w:r w:rsidR="00E624CD" w:rsidRPr="008450F1">
              <w:rPr>
                <w:rFonts w:ascii="Times New Roman" w:hAnsi="Times New Roman"/>
                <w:color w:val="auto"/>
                <w:lang w:val="es-DO"/>
              </w:rPr>
              <w:t>Equilibr</w:t>
            </w:r>
            <w:r w:rsidRPr="008450F1">
              <w:rPr>
                <w:rFonts w:ascii="Times New Roman" w:hAnsi="Times New Roman"/>
                <w:color w:val="auto"/>
                <w:lang w:val="es-DO"/>
              </w:rPr>
              <w:t>io de la</w:t>
            </w:r>
            <w:r w:rsidR="00E624CD" w:rsidRPr="008450F1">
              <w:rPr>
                <w:rFonts w:ascii="Times New Roman" w:hAnsi="Times New Roman"/>
                <w:color w:val="auto"/>
                <w:lang w:val="es-DO"/>
              </w:rPr>
              <w:t xml:space="preserve"> </w:t>
            </w:r>
            <w:r w:rsidR="00683ACC" w:rsidRPr="008450F1">
              <w:rPr>
                <w:rFonts w:ascii="Times New Roman" w:hAnsi="Times New Roman"/>
                <w:color w:val="auto"/>
                <w:lang w:val="es-DO"/>
              </w:rPr>
              <w:t xml:space="preserve">oferta </w:t>
            </w:r>
            <w:r w:rsidR="00B51537" w:rsidRPr="008450F1">
              <w:rPr>
                <w:rFonts w:ascii="Times New Roman" w:hAnsi="Times New Roman"/>
                <w:color w:val="auto"/>
                <w:lang w:val="es-DO"/>
              </w:rPr>
              <w:t>de</w:t>
            </w:r>
            <w:r w:rsidR="00683ACC" w:rsidRPr="008450F1">
              <w:rPr>
                <w:rFonts w:ascii="Times New Roman" w:hAnsi="Times New Roman"/>
                <w:color w:val="auto"/>
                <w:lang w:val="es-DO"/>
              </w:rPr>
              <w:t xml:space="preserve"> los servicios de salud</w:t>
            </w:r>
          </w:p>
          <w:p w:rsidR="00683ACC" w:rsidRPr="00FA5324" w:rsidRDefault="002F1D8C" w:rsidP="00AF0916">
            <w:pPr>
              <w:pStyle w:val="Tabla"/>
              <w:rPr>
                <w:rFonts w:ascii="Times New Roman" w:hAnsi="Times New Roman"/>
                <w:color w:val="auto"/>
                <w:lang w:val="es-DO"/>
              </w:rPr>
            </w:pPr>
            <w:r w:rsidRPr="008450F1">
              <w:rPr>
                <w:rFonts w:ascii="Times New Roman" w:hAnsi="Times New Roman"/>
                <w:color w:val="auto"/>
                <w:lang w:val="es-DO"/>
              </w:rPr>
              <w:t>-</w:t>
            </w:r>
            <w:r w:rsidR="007E74F7" w:rsidRPr="00FA5324">
              <w:rPr>
                <w:rFonts w:ascii="Times New Roman" w:hAnsi="Times New Roman"/>
                <w:color w:val="auto"/>
                <w:lang w:val="es-DO"/>
              </w:rPr>
              <w:t>Mayor eficiencia en el uso de</w:t>
            </w:r>
            <w:r w:rsidR="007670F5" w:rsidRPr="00FA5324">
              <w:rPr>
                <w:rFonts w:ascii="Times New Roman" w:hAnsi="Times New Roman"/>
                <w:color w:val="auto"/>
                <w:lang w:val="es-DO"/>
              </w:rPr>
              <w:t xml:space="preserve"> los recursos de la red pública</w:t>
            </w:r>
          </w:p>
        </w:tc>
        <w:tc>
          <w:tcPr>
            <w:tcW w:w="1129" w:type="pct"/>
            <w:vMerge w:val="restar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Ahorros con la mejora de la eficiencia de los Hospitales</w:t>
            </w:r>
          </w:p>
        </w:tc>
        <w:tc>
          <w:tcPr>
            <w:tcW w:w="976"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Implementación y funcionamiento de la nueva infraestructura</w:t>
            </w:r>
          </w:p>
        </w:tc>
      </w:tr>
      <w:tr w:rsidR="00C62A67" w:rsidRPr="008450F1" w:rsidTr="00FA5324">
        <w:trPr>
          <w:trHeight w:val="20"/>
        </w:trPr>
        <w:tc>
          <w:tcPr>
            <w:tcW w:w="1078" w:type="pct"/>
            <w:vMerge/>
            <w:vAlign w:val="center"/>
            <w:hideMark/>
          </w:tcPr>
          <w:p w:rsidR="007E74F7" w:rsidRPr="00FA5324" w:rsidRDefault="007E74F7" w:rsidP="00AF0916">
            <w:pPr>
              <w:pStyle w:val="Tabla"/>
              <w:rPr>
                <w:rFonts w:ascii="Times New Roman" w:hAnsi="Times New Roman"/>
                <w:color w:val="auto"/>
                <w:lang w:val="es-DO"/>
              </w:rPr>
            </w:pPr>
          </w:p>
        </w:tc>
        <w:tc>
          <w:tcPr>
            <w:tcW w:w="1817" w:type="pct"/>
            <w:vMerge/>
            <w:vAlign w:val="center"/>
            <w:hideMark/>
          </w:tcPr>
          <w:p w:rsidR="007E74F7" w:rsidRPr="00FA5324" w:rsidRDefault="007E74F7" w:rsidP="00AF0916">
            <w:pPr>
              <w:pStyle w:val="Tabla"/>
              <w:rPr>
                <w:rFonts w:ascii="Times New Roman" w:hAnsi="Times New Roman"/>
                <w:color w:val="auto"/>
                <w:lang w:val="es-DO"/>
              </w:rPr>
            </w:pPr>
          </w:p>
        </w:tc>
        <w:tc>
          <w:tcPr>
            <w:tcW w:w="1129" w:type="pct"/>
            <w:vMerge/>
            <w:vAlign w:val="center"/>
            <w:hideMark/>
          </w:tcPr>
          <w:p w:rsidR="007E74F7" w:rsidRPr="00FA5324" w:rsidRDefault="007E74F7" w:rsidP="00AF0916">
            <w:pPr>
              <w:pStyle w:val="Tabla"/>
              <w:rPr>
                <w:rFonts w:ascii="Times New Roman" w:hAnsi="Times New Roman"/>
                <w:color w:val="auto"/>
                <w:lang w:val="es-DO"/>
              </w:rPr>
            </w:pPr>
          </w:p>
        </w:tc>
        <w:tc>
          <w:tcPr>
            <w:tcW w:w="976"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Implementación del modelo, manuales, capacitaciones, adecuaciones</w:t>
            </w:r>
          </w:p>
        </w:tc>
      </w:tr>
      <w:tr w:rsidR="00C62A67" w:rsidRPr="008450F1" w:rsidTr="00FA5324">
        <w:trPr>
          <w:trHeight w:val="20"/>
        </w:trPr>
        <w:tc>
          <w:tcPr>
            <w:tcW w:w="1078"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Política Nacional de Calidad en Prestación de Servicios</w:t>
            </w:r>
          </w:p>
        </w:tc>
        <w:tc>
          <w:tcPr>
            <w:tcW w:w="1817" w:type="pct"/>
            <w:vMerge/>
            <w:vAlign w:val="center"/>
            <w:hideMark/>
          </w:tcPr>
          <w:p w:rsidR="007E74F7" w:rsidRPr="00FA5324" w:rsidRDefault="007E74F7" w:rsidP="00AF0916">
            <w:pPr>
              <w:pStyle w:val="Tabla"/>
              <w:rPr>
                <w:rFonts w:ascii="Times New Roman" w:hAnsi="Times New Roman"/>
                <w:color w:val="auto"/>
                <w:lang w:val="es-DO"/>
              </w:rPr>
            </w:pPr>
          </w:p>
        </w:tc>
        <w:tc>
          <w:tcPr>
            <w:tcW w:w="1129" w:type="pct"/>
            <w:vMerge/>
            <w:vAlign w:val="center"/>
            <w:hideMark/>
          </w:tcPr>
          <w:p w:rsidR="007E74F7" w:rsidRPr="00FA5324" w:rsidRDefault="007E74F7" w:rsidP="00AF0916">
            <w:pPr>
              <w:pStyle w:val="Tabla"/>
              <w:rPr>
                <w:rFonts w:ascii="Times New Roman" w:hAnsi="Times New Roman"/>
                <w:color w:val="auto"/>
                <w:lang w:val="es-DO"/>
              </w:rPr>
            </w:pPr>
          </w:p>
        </w:tc>
        <w:tc>
          <w:tcPr>
            <w:tcW w:w="976"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 xml:space="preserve">Implementación de la Política Nacional de Calidad en Salud en </w:t>
            </w:r>
            <w:r w:rsidR="002F1D8C" w:rsidRPr="00FA5324">
              <w:rPr>
                <w:rFonts w:ascii="Times New Roman" w:hAnsi="Times New Roman"/>
                <w:color w:val="auto"/>
                <w:lang w:val="es-DO"/>
              </w:rPr>
              <w:t xml:space="preserve">la </w:t>
            </w:r>
            <w:r w:rsidR="002F1D8C" w:rsidRPr="008450F1">
              <w:rPr>
                <w:rFonts w:ascii="Times New Roman" w:hAnsi="Times New Roman"/>
                <w:color w:val="auto"/>
                <w:lang w:val="es-DO"/>
              </w:rPr>
              <w:t>parte</w:t>
            </w:r>
            <w:r w:rsidR="002F1D8C" w:rsidRPr="00FA5324">
              <w:rPr>
                <w:rFonts w:ascii="Times New Roman" w:hAnsi="Times New Roman"/>
                <w:color w:val="auto"/>
                <w:lang w:val="es-DO"/>
              </w:rPr>
              <w:t xml:space="preserve"> de </w:t>
            </w:r>
            <w:r w:rsidR="002F1D8C" w:rsidRPr="008450F1">
              <w:rPr>
                <w:rFonts w:ascii="Times New Roman" w:hAnsi="Times New Roman"/>
                <w:color w:val="auto"/>
                <w:lang w:val="es-DO"/>
              </w:rPr>
              <w:t>calidad</w:t>
            </w:r>
            <w:r w:rsidR="002F1D8C" w:rsidRPr="00FA5324">
              <w:rPr>
                <w:rFonts w:ascii="Times New Roman" w:hAnsi="Times New Roman"/>
                <w:color w:val="auto"/>
                <w:lang w:val="es-DO"/>
              </w:rPr>
              <w:t xml:space="preserve"> de los </w:t>
            </w:r>
            <w:r w:rsidR="002F1D8C" w:rsidRPr="008450F1">
              <w:rPr>
                <w:rFonts w:ascii="Times New Roman" w:hAnsi="Times New Roman"/>
                <w:color w:val="auto"/>
                <w:lang w:val="es-DO"/>
              </w:rPr>
              <w:t>servicios</w:t>
            </w:r>
          </w:p>
        </w:tc>
      </w:tr>
      <w:tr w:rsidR="00C62A67" w:rsidRPr="008450F1" w:rsidTr="00FA5324">
        <w:trPr>
          <w:trHeight w:val="20"/>
        </w:trPr>
        <w:tc>
          <w:tcPr>
            <w:tcW w:w="1078" w:type="pct"/>
            <w:shd w:val="clear" w:color="auto" w:fill="auto"/>
            <w:vAlign w:val="center"/>
            <w:hideMark/>
          </w:tcPr>
          <w:p w:rsidR="007E74F7" w:rsidRPr="00FA5324" w:rsidRDefault="007670F5" w:rsidP="00AF0916">
            <w:pPr>
              <w:pStyle w:val="Tabla"/>
              <w:rPr>
                <w:rFonts w:ascii="Times New Roman" w:hAnsi="Times New Roman"/>
                <w:color w:val="auto"/>
                <w:lang w:val="es-DO"/>
              </w:rPr>
            </w:pPr>
            <w:r w:rsidRPr="00FA5324">
              <w:rPr>
                <w:rFonts w:ascii="Times New Roman" w:hAnsi="Times New Roman"/>
                <w:color w:val="auto"/>
                <w:lang w:val="es-DO"/>
              </w:rPr>
              <w:t xml:space="preserve">Ley de </w:t>
            </w:r>
            <w:r w:rsidR="00435B34" w:rsidRPr="008450F1">
              <w:rPr>
                <w:rFonts w:ascii="Times New Roman" w:hAnsi="Times New Roman"/>
                <w:color w:val="auto"/>
                <w:lang w:val="es-DO"/>
              </w:rPr>
              <w:t>C</w:t>
            </w:r>
            <w:r w:rsidRPr="008450F1">
              <w:rPr>
                <w:rFonts w:ascii="Times New Roman" w:hAnsi="Times New Roman"/>
                <w:color w:val="auto"/>
                <w:lang w:val="es-DO"/>
              </w:rPr>
              <w:t xml:space="preserve">arrera </w:t>
            </w:r>
            <w:r w:rsidR="00435B34" w:rsidRPr="008450F1">
              <w:rPr>
                <w:rFonts w:ascii="Times New Roman" w:hAnsi="Times New Roman"/>
                <w:color w:val="auto"/>
                <w:lang w:val="es-DO"/>
              </w:rPr>
              <w:t>S</w:t>
            </w:r>
            <w:r w:rsidRPr="008450F1">
              <w:rPr>
                <w:rFonts w:ascii="Times New Roman" w:hAnsi="Times New Roman"/>
                <w:color w:val="auto"/>
                <w:lang w:val="es-DO"/>
              </w:rPr>
              <w:t>anitaria</w:t>
            </w:r>
          </w:p>
        </w:tc>
        <w:tc>
          <w:tcPr>
            <w:tcW w:w="1817" w:type="pct"/>
            <w:shd w:val="clear" w:color="auto" w:fill="auto"/>
            <w:vAlign w:val="center"/>
            <w:hideMark/>
          </w:tcPr>
          <w:p w:rsidR="00E624CD" w:rsidRPr="008450F1" w:rsidRDefault="002F1D8C" w:rsidP="00AF0916">
            <w:pPr>
              <w:pStyle w:val="Tabla"/>
              <w:rPr>
                <w:rFonts w:ascii="Times New Roman" w:hAnsi="Times New Roman"/>
                <w:color w:val="auto"/>
                <w:lang w:val="es-DO"/>
              </w:rPr>
            </w:pPr>
            <w:r w:rsidRPr="008450F1">
              <w:rPr>
                <w:rFonts w:ascii="Times New Roman" w:hAnsi="Times New Roman"/>
                <w:color w:val="auto"/>
                <w:lang w:val="es-DO"/>
              </w:rPr>
              <w:t>-</w:t>
            </w:r>
            <w:r w:rsidR="00E624CD" w:rsidRPr="008450F1">
              <w:rPr>
                <w:rFonts w:ascii="Times New Roman" w:hAnsi="Times New Roman"/>
                <w:color w:val="auto"/>
                <w:lang w:val="es-DO"/>
              </w:rPr>
              <w:t xml:space="preserve">Planificación de la oferta de RH tanto en cantidad como en tipo de profesionales. </w:t>
            </w:r>
          </w:p>
          <w:p w:rsidR="00E624CD" w:rsidRPr="008450F1" w:rsidRDefault="002F1D8C" w:rsidP="00AF0916">
            <w:pPr>
              <w:pStyle w:val="Tabla"/>
              <w:rPr>
                <w:rFonts w:ascii="Times New Roman" w:hAnsi="Times New Roman"/>
                <w:color w:val="auto"/>
                <w:lang w:val="es-DO"/>
              </w:rPr>
            </w:pPr>
            <w:r w:rsidRPr="008450F1">
              <w:rPr>
                <w:rFonts w:ascii="Times New Roman" w:hAnsi="Times New Roman"/>
                <w:color w:val="auto"/>
                <w:lang w:val="es-DO"/>
              </w:rPr>
              <w:t>-</w:t>
            </w:r>
            <w:r w:rsidR="00E624CD" w:rsidRPr="008450F1">
              <w:rPr>
                <w:rFonts w:ascii="Times New Roman" w:hAnsi="Times New Roman"/>
                <w:color w:val="auto"/>
                <w:lang w:val="es-DO"/>
              </w:rPr>
              <w:t xml:space="preserve">Definición de las guías y protocolos de atención que deben seguir el personal de salud </w:t>
            </w:r>
          </w:p>
          <w:p w:rsidR="00E624CD" w:rsidRPr="008450F1" w:rsidRDefault="002F1D8C" w:rsidP="00AF0916">
            <w:pPr>
              <w:pStyle w:val="Tabla"/>
              <w:rPr>
                <w:rFonts w:ascii="Times New Roman" w:hAnsi="Times New Roman"/>
                <w:color w:val="auto"/>
                <w:lang w:val="es-DO"/>
              </w:rPr>
            </w:pPr>
            <w:r w:rsidRPr="008450F1">
              <w:rPr>
                <w:rFonts w:ascii="Times New Roman" w:hAnsi="Times New Roman"/>
                <w:color w:val="auto"/>
                <w:lang w:val="es-DO"/>
              </w:rPr>
              <w:t>-</w:t>
            </w:r>
            <w:r w:rsidR="00E624CD" w:rsidRPr="008450F1">
              <w:rPr>
                <w:rFonts w:ascii="Times New Roman" w:hAnsi="Times New Roman"/>
                <w:color w:val="auto"/>
                <w:lang w:val="es-DO"/>
              </w:rPr>
              <w:t>Definición de indicadores para la vigilancia de cumplimiento de las GPC</w:t>
            </w:r>
          </w:p>
          <w:p w:rsidR="00E624CD" w:rsidRPr="008450F1" w:rsidRDefault="002F1D8C" w:rsidP="00AF0916">
            <w:pPr>
              <w:pStyle w:val="Tabla"/>
              <w:rPr>
                <w:rFonts w:ascii="Times New Roman" w:hAnsi="Times New Roman"/>
                <w:color w:val="auto"/>
                <w:lang w:val="es-DO"/>
              </w:rPr>
            </w:pPr>
            <w:r w:rsidRPr="008450F1">
              <w:rPr>
                <w:rFonts w:ascii="Times New Roman" w:hAnsi="Times New Roman"/>
                <w:color w:val="auto"/>
                <w:lang w:val="es-DO"/>
              </w:rPr>
              <w:t>-</w:t>
            </w:r>
            <w:r w:rsidR="00E624CD" w:rsidRPr="008450F1">
              <w:rPr>
                <w:rFonts w:ascii="Times New Roman" w:hAnsi="Times New Roman"/>
                <w:color w:val="auto"/>
                <w:lang w:val="es-DO"/>
              </w:rPr>
              <w:t>Mayor capacidad resolutiva en el primer nivel de atención</w:t>
            </w:r>
          </w:p>
          <w:p w:rsidR="00E624CD" w:rsidRPr="008450F1" w:rsidRDefault="002F1D8C" w:rsidP="00AF0916">
            <w:pPr>
              <w:pStyle w:val="Tabla"/>
              <w:rPr>
                <w:rFonts w:ascii="Times New Roman" w:hAnsi="Times New Roman"/>
                <w:color w:val="auto"/>
                <w:lang w:val="es-DO"/>
              </w:rPr>
            </w:pPr>
            <w:r w:rsidRPr="008450F1">
              <w:rPr>
                <w:rFonts w:ascii="Times New Roman" w:hAnsi="Times New Roman"/>
                <w:color w:val="auto"/>
                <w:lang w:val="es-DO"/>
              </w:rPr>
              <w:t>-</w:t>
            </w:r>
            <w:r w:rsidR="00E624CD" w:rsidRPr="008450F1">
              <w:rPr>
                <w:rFonts w:ascii="Times New Roman" w:hAnsi="Times New Roman"/>
                <w:color w:val="auto"/>
                <w:lang w:val="es-DO"/>
              </w:rPr>
              <w:t>Incremento de las intervenciones ambulatorias en los SRS</w:t>
            </w:r>
          </w:p>
          <w:p w:rsidR="00E624CD" w:rsidRPr="008450F1" w:rsidRDefault="002F1D8C" w:rsidP="00AF0916">
            <w:pPr>
              <w:pStyle w:val="Tabla"/>
              <w:rPr>
                <w:rFonts w:ascii="Times New Roman" w:hAnsi="Times New Roman"/>
                <w:color w:val="auto"/>
                <w:lang w:val="es-DO"/>
              </w:rPr>
            </w:pPr>
            <w:r w:rsidRPr="008450F1">
              <w:rPr>
                <w:rFonts w:ascii="Times New Roman" w:hAnsi="Times New Roman"/>
                <w:color w:val="auto"/>
                <w:lang w:val="es-DO"/>
              </w:rPr>
              <w:t>-</w:t>
            </w:r>
            <w:r w:rsidR="00E624CD" w:rsidRPr="008450F1">
              <w:rPr>
                <w:rFonts w:ascii="Times New Roman" w:hAnsi="Times New Roman"/>
                <w:color w:val="auto"/>
                <w:lang w:val="es-DO"/>
              </w:rPr>
              <w:t>Ahorros en el gasto público por la mayor resolutividad en el primer nivel</w:t>
            </w:r>
          </w:p>
          <w:p w:rsidR="007E74F7" w:rsidRPr="00FA5324" w:rsidRDefault="002F1D8C" w:rsidP="00AF0916">
            <w:pPr>
              <w:pStyle w:val="Tabla"/>
              <w:rPr>
                <w:rFonts w:ascii="Times New Roman" w:hAnsi="Times New Roman"/>
                <w:color w:val="auto"/>
                <w:lang w:val="es-DO"/>
              </w:rPr>
            </w:pPr>
            <w:r w:rsidRPr="008450F1">
              <w:rPr>
                <w:rFonts w:ascii="Times New Roman" w:hAnsi="Times New Roman"/>
                <w:color w:val="auto"/>
                <w:lang w:val="es-DO"/>
              </w:rPr>
              <w:t>-</w:t>
            </w:r>
            <w:r w:rsidR="007E74F7" w:rsidRPr="00FA5324">
              <w:rPr>
                <w:rFonts w:ascii="Times New Roman" w:hAnsi="Times New Roman"/>
                <w:color w:val="auto"/>
                <w:lang w:val="es-DO"/>
              </w:rPr>
              <w:t>Mejor aprov</w:t>
            </w:r>
            <w:r w:rsidR="007670F5" w:rsidRPr="00FA5324">
              <w:rPr>
                <w:rFonts w:ascii="Times New Roman" w:hAnsi="Times New Roman"/>
                <w:color w:val="auto"/>
                <w:lang w:val="es-DO"/>
              </w:rPr>
              <w:t>echamiento  y distribución del recurso h</w:t>
            </w:r>
            <w:r w:rsidR="007E74F7" w:rsidRPr="00FA5324">
              <w:rPr>
                <w:rFonts w:ascii="Times New Roman" w:hAnsi="Times New Roman"/>
                <w:color w:val="auto"/>
                <w:lang w:val="es-DO"/>
              </w:rPr>
              <w:t>umano</w:t>
            </w:r>
          </w:p>
        </w:tc>
        <w:tc>
          <w:tcPr>
            <w:tcW w:w="1129"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Ahorros con una mayor productividad del recurso humano</w:t>
            </w:r>
          </w:p>
        </w:tc>
        <w:tc>
          <w:tcPr>
            <w:tcW w:w="976" w:type="pct"/>
            <w:shd w:val="clear" w:color="auto" w:fill="auto"/>
            <w:vAlign w:val="center"/>
            <w:hideMark/>
          </w:tcPr>
          <w:p w:rsidR="007E74F7" w:rsidRPr="00FA5324" w:rsidRDefault="007E74F7" w:rsidP="00AF0916">
            <w:pPr>
              <w:pStyle w:val="Tabla"/>
              <w:rPr>
                <w:rFonts w:ascii="Times New Roman" w:hAnsi="Times New Roman"/>
                <w:color w:val="auto"/>
                <w:lang w:val="es-DO"/>
              </w:rPr>
            </w:pPr>
            <w:r w:rsidRPr="00FA5324">
              <w:rPr>
                <w:rFonts w:ascii="Times New Roman" w:hAnsi="Times New Roman"/>
                <w:color w:val="auto"/>
                <w:lang w:val="es-DO"/>
              </w:rPr>
              <w:t>Cambios en el esquema laboral</w:t>
            </w:r>
          </w:p>
        </w:tc>
      </w:tr>
    </w:tbl>
    <w:p w:rsidR="002A150F" w:rsidRPr="008450F1" w:rsidRDefault="002A150F" w:rsidP="00AF0916">
      <w:pPr>
        <w:pStyle w:val="Caption"/>
        <w:keepNext/>
        <w:spacing w:after="0"/>
        <w:jc w:val="left"/>
        <w:rPr>
          <w:color w:val="auto"/>
          <w:lang w:val="es-DO"/>
        </w:rPr>
      </w:pPr>
      <w:r w:rsidRPr="008450F1">
        <w:rPr>
          <w:color w:val="auto"/>
          <w:lang w:val="es-DO"/>
        </w:rPr>
        <w:t xml:space="preserve">Fuente: elaboración propia </w:t>
      </w:r>
    </w:p>
    <w:p w:rsidR="0061037C" w:rsidRPr="00FA5324" w:rsidRDefault="0061037C" w:rsidP="00FA5324">
      <w:pPr>
        <w:spacing w:after="0" w:line="240" w:lineRule="auto"/>
        <w:rPr>
          <w:lang w:val="es-DO"/>
        </w:rPr>
      </w:pPr>
    </w:p>
    <w:p w:rsidR="0061037C" w:rsidRPr="00FA5324" w:rsidRDefault="002A1DD4" w:rsidP="00FA5324">
      <w:pPr>
        <w:pStyle w:val="Heading4"/>
        <w:spacing w:before="0" w:after="0" w:line="240" w:lineRule="auto"/>
        <w:rPr>
          <w:rFonts w:ascii="Times New Roman" w:hAnsi="Times New Roman"/>
          <w:color w:val="auto"/>
          <w:lang w:val="es-DO"/>
        </w:rPr>
      </w:pPr>
      <w:r w:rsidRPr="00FA5324">
        <w:rPr>
          <w:rFonts w:ascii="Times New Roman" w:hAnsi="Times New Roman"/>
          <w:color w:val="auto"/>
          <w:lang w:val="es-DO"/>
        </w:rPr>
        <w:t>Valoración</w:t>
      </w:r>
      <w:r w:rsidR="007E74F7" w:rsidRPr="00FA5324">
        <w:rPr>
          <w:rFonts w:ascii="Times New Roman" w:hAnsi="Times New Roman"/>
          <w:color w:val="auto"/>
          <w:lang w:val="es-DO"/>
        </w:rPr>
        <w:t xml:space="preserve"> de los </w:t>
      </w:r>
      <w:r w:rsidRPr="00FA5324">
        <w:rPr>
          <w:rFonts w:ascii="Times New Roman" w:hAnsi="Times New Roman"/>
          <w:color w:val="auto"/>
          <w:lang w:val="es-DO"/>
        </w:rPr>
        <w:t xml:space="preserve">beneficios </w:t>
      </w:r>
      <w:r w:rsidR="009D28B6" w:rsidRPr="00FA5324">
        <w:rPr>
          <w:rFonts w:ascii="Times New Roman" w:hAnsi="Times New Roman"/>
          <w:color w:val="auto"/>
          <w:lang w:val="es-DO"/>
        </w:rPr>
        <w:t>y costos</w:t>
      </w:r>
    </w:p>
    <w:p w:rsidR="002F1D8C" w:rsidRPr="008450F1" w:rsidRDefault="002F1D8C" w:rsidP="00AF0916">
      <w:pPr>
        <w:spacing w:after="0" w:line="240" w:lineRule="auto"/>
        <w:rPr>
          <w:lang w:val="es-DO"/>
        </w:rPr>
      </w:pPr>
    </w:p>
    <w:p w:rsidR="00F30958" w:rsidRPr="00FA5324" w:rsidRDefault="003E4304" w:rsidP="00FA5324">
      <w:pPr>
        <w:spacing w:after="0" w:line="240" w:lineRule="auto"/>
        <w:rPr>
          <w:lang w:val="es-DO"/>
        </w:rPr>
      </w:pPr>
      <w:r w:rsidRPr="00FA5324">
        <w:rPr>
          <w:lang w:val="es-DO"/>
        </w:rPr>
        <w:t>Para calcular los</w:t>
      </w:r>
      <w:r w:rsidR="003967B1" w:rsidRPr="00FA5324">
        <w:rPr>
          <w:lang w:val="es-DO"/>
        </w:rPr>
        <w:t xml:space="preserve"> ahorros logrados por </w:t>
      </w:r>
      <w:r w:rsidR="0068165A" w:rsidRPr="00FA5324">
        <w:rPr>
          <w:lang w:val="es-DO"/>
        </w:rPr>
        <w:t>las medidas para mejorar la</w:t>
      </w:r>
      <w:r w:rsidR="003967B1" w:rsidRPr="00FA5324">
        <w:rPr>
          <w:lang w:val="es-DO"/>
        </w:rPr>
        <w:t xml:space="preserve"> eficiencia en salud se tomaron </w:t>
      </w:r>
      <w:r w:rsidR="0068165A" w:rsidRPr="00FA5324">
        <w:rPr>
          <w:lang w:val="es-DO"/>
        </w:rPr>
        <w:t>los valores reportados por</w:t>
      </w:r>
      <w:r w:rsidR="00FA0334" w:rsidRPr="00FA5324">
        <w:rPr>
          <w:lang w:val="es-DO"/>
        </w:rPr>
        <w:t xml:space="preserve"> </w:t>
      </w:r>
      <w:r w:rsidR="002E3E43" w:rsidRPr="00FA5324">
        <w:rPr>
          <w:lang w:val="es-DO"/>
        </w:rPr>
        <w:t xml:space="preserve">Chisholm et al </w:t>
      </w:r>
      <w:r w:rsidR="002F1D8C" w:rsidRPr="008450F1">
        <w:rPr>
          <w:lang w:val="es-DO"/>
        </w:rPr>
        <w:t>(</w:t>
      </w:r>
      <w:r w:rsidR="002E3E43" w:rsidRPr="00FA5324">
        <w:rPr>
          <w:lang w:val="es-DO"/>
        </w:rPr>
        <w:t>2010</w:t>
      </w:r>
      <w:r w:rsidR="002F1D8C" w:rsidRPr="008450F1">
        <w:rPr>
          <w:lang w:val="es-DO"/>
        </w:rPr>
        <w:t>)</w:t>
      </w:r>
      <w:r w:rsidR="0068165A" w:rsidRPr="00FA5324">
        <w:rPr>
          <w:lang w:val="es-DO"/>
        </w:rPr>
        <w:t xml:space="preserve"> en cuanto a mejoras en eficiencia de las medidas de política descritas anteriormente</w:t>
      </w:r>
      <w:r w:rsidR="002E3E43" w:rsidRPr="00FA5324">
        <w:rPr>
          <w:lang w:val="es-DO"/>
        </w:rPr>
        <w:t xml:space="preserve"> </w:t>
      </w:r>
      <w:r w:rsidR="00FA0334" w:rsidRPr="00FA5324">
        <w:rPr>
          <w:lang w:val="es-DO"/>
        </w:rPr>
        <w:t xml:space="preserve">para los países de medianos ingresos </w:t>
      </w:r>
      <w:r w:rsidR="0068165A" w:rsidRPr="00FA5324">
        <w:rPr>
          <w:lang w:val="es-DO"/>
        </w:rPr>
        <w:t xml:space="preserve">(ver </w:t>
      </w:r>
      <w:r w:rsidR="007D15C8" w:rsidRPr="008450F1">
        <w:rPr>
          <w:lang w:val="es-DO"/>
        </w:rPr>
        <w:fldChar w:fldCharType="begin"/>
      </w:r>
      <w:r w:rsidR="007D15C8" w:rsidRPr="008450F1">
        <w:rPr>
          <w:lang w:val="es-DO"/>
        </w:rPr>
        <w:instrText xml:space="preserve"> REF _Ref399139393 \h </w:instrText>
      </w:r>
      <w:r w:rsidR="00C62A67" w:rsidRPr="008450F1">
        <w:rPr>
          <w:lang w:val="es-DO"/>
        </w:rPr>
        <w:instrText xml:space="preserve"> \* MERGEFORMAT </w:instrText>
      </w:r>
      <w:r w:rsidR="007D15C8" w:rsidRPr="008450F1">
        <w:rPr>
          <w:lang w:val="es-DO"/>
        </w:rPr>
      </w:r>
      <w:r w:rsidR="007D15C8" w:rsidRPr="008450F1">
        <w:rPr>
          <w:lang w:val="es-DO"/>
        </w:rPr>
        <w:fldChar w:fldCharType="separate"/>
      </w:r>
      <w:r w:rsidR="00A04D48" w:rsidRPr="008450F1">
        <w:rPr>
          <w:lang w:val="es-DO"/>
        </w:rPr>
        <w:t xml:space="preserve">Tabla </w:t>
      </w:r>
      <w:r w:rsidR="00A04D48" w:rsidRPr="008450F1">
        <w:rPr>
          <w:noProof/>
          <w:lang w:val="es-DO"/>
        </w:rPr>
        <w:t>5</w:t>
      </w:r>
      <w:r w:rsidR="007D15C8" w:rsidRPr="008450F1">
        <w:rPr>
          <w:lang w:val="es-DO"/>
        </w:rPr>
        <w:fldChar w:fldCharType="end"/>
      </w:r>
      <w:r w:rsidR="0068165A" w:rsidRPr="008450F1">
        <w:rPr>
          <w:lang w:val="es-DO"/>
        </w:rPr>
        <w:t>)</w:t>
      </w:r>
      <w:r w:rsidRPr="008450F1">
        <w:rPr>
          <w:lang w:val="es-DO"/>
        </w:rPr>
        <w:t xml:space="preserve">. </w:t>
      </w:r>
      <w:r w:rsidR="00F30958" w:rsidRPr="00FA5324">
        <w:rPr>
          <w:lang w:val="es-DO"/>
        </w:rPr>
        <w:t>Para calcular el benef</w:t>
      </w:r>
      <w:r w:rsidR="0051371E" w:rsidRPr="00FA5324">
        <w:rPr>
          <w:lang w:val="es-DO"/>
        </w:rPr>
        <w:t>i</w:t>
      </w:r>
      <w:r w:rsidR="00F30958" w:rsidRPr="00FA5324">
        <w:rPr>
          <w:lang w:val="es-DO"/>
        </w:rPr>
        <w:t xml:space="preserve">cio monetario logrado por el </w:t>
      </w:r>
      <w:r w:rsidR="008F1D59" w:rsidRPr="00FA5324">
        <w:rPr>
          <w:lang w:val="es-DO"/>
        </w:rPr>
        <w:t xml:space="preserve">ahorro se multiplicó </w:t>
      </w:r>
      <w:r w:rsidR="00F30958" w:rsidRPr="00FA5324">
        <w:rPr>
          <w:lang w:val="es-DO"/>
        </w:rPr>
        <w:t>el porcentaje de ahorro que se lograría por la intervención seg</w:t>
      </w:r>
      <w:r w:rsidR="008F1D59" w:rsidRPr="00FA5324">
        <w:rPr>
          <w:lang w:val="es-DO"/>
        </w:rPr>
        <w:t>ún la literatura por el gasto pú</w:t>
      </w:r>
      <w:r w:rsidR="00F30958" w:rsidRPr="00FA5324">
        <w:rPr>
          <w:lang w:val="es-DO"/>
        </w:rPr>
        <w:t>blico en ese insumo</w:t>
      </w:r>
      <w:r w:rsidR="008F1D59" w:rsidRPr="00FA5324">
        <w:rPr>
          <w:lang w:val="es-DO"/>
        </w:rPr>
        <w:t xml:space="preserve"> </w:t>
      </w:r>
      <w:r w:rsidR="008318E1" w:rsidRPr="00FA5324">
        <w:rPr>
          <w:lang w:val="es-DO"/>
        </w:rPr>
        <w:t xml:space="preserve">(recurso humano, </w:t>
      </w:r>
      <w:r w:rsidR="007E70A2" w:rsidRPr="00FA5324">
        <w:rPr>
          <w:lang w:val="es-DO"/>
        </w:rPr>
        <w:t>medicamentos</w:t>
      </w:r>
      <w:r w:rsidR="008318E1" w:rsidRPr="00FA5324">
        <w:rPr>
          <w:lang w:val="es-DO"/>
        </w:rPr>
        <w:t xml:space="preserve"> </w:t>
      </w:r>
      <w:r w:rsidR="007E70A2" w:rsidRPr="00FA5324">
        <w:rPr>
          <w:lang w:val="es-DO"/>
        </w:rPr>
        <w:t xml:space="preserve">y </w:t>
      </w:r>
      <w:r w:rsidR="008318E1" w:rsidRPr="00FA5324">
        <w:rPr>
          <w:lang w:val="es-DO"/>
        </w:rPr>
        <w:t>hospitales)</w:t>
      </w:r>
      <w:r w:rsidR="00F30958" w:rsidRPr="00FA5324">
        <w:rPr>
          <w:lang w:val="es-DO"/>
        </w:rPr>
        <w:t xml:space="preserve">. Para los casos de </w:t>
      </w:r>
      <w:r w:rsidR="008F1D59" w:rsidRPr="00FA5324">
        <w:rPr>
          <w:lang w:val="es-DO"/>
        </w:rPr>
        <w:t>los porcentajes de ahorro de</w:t>
      </w:r>
      <w:r w:rsidR="00F30958" w:rsidRPr="00FA5324">
        <w:rPr>
          <w:lang w:val="es-DO"/>
        </w:rPr>
        <w:t xml:space="preserve"> </w:t>
      </w:r>
      <w:r w:rsidR="00324D32" w:rsidRPr="008450F1">
        <w:rPr>
          <w:lang w:val="es-DO"/>
        </w:rPr>
        <w:t>plan</w:t>
      </w:r>
      <w:r w:rsidR="00324D32" w:rsidRPr="00FA5324">
        <w:rPr>
          <w:lang w:val="es-DO"/>
        </w:rPr>
        <w:t xml:space="preserve"> de </w:t>
      </w:r>
      <w:r w:rsidR="00324D32" w:rsidRPr="008450F1">
        <w:rPr>
          <w:lang w:val="es-DO"/>
        </w:rPr>
        <w:t>beneficios</w:t>
      </w:r>
      <w:r w:rsidR="00F30958" w:rsidRPr="00FA5324">
        <w:rPr>
          <w:lang w:val="es-DO"/>
        </w:rPr>
        <w:t xml:space="preserve"> y fugas que no se asocia</w:t>
      </w:r>
      <w:r w:rsidR="008F1D59" w:rsidRPr="00FA5324">
        <w:rPr>
          <w:lang w:val="es-DO"/>
        </w:rPr>
        <w:t>n</w:t>
      </w:r>
      <w:r w:rsidR="00F30958" w:rsidRPr="00FA5324">
        <w:rPr>
          <w:lang w:val="es-DO"/>
        </w:rPr>
        <w:t xml:space="preserve"> </w:t>
      </w:r>
      <w:r w:rsidR="00F30958" w:rsidRPr="00FA5324">
        <w:rPr>
          <w:lang w:val="es-DO"/>
        </w:rPr>
        <w:lastRenderedPageBreak/>
        <w:t xml:space="preserve">a un rubro </w:t>
      </w:r>
      <w:r w:rsidR="00F30958" w:rsidRPr="008450F1">
        <w:rPr>
          <w:lang w:val="es-DO"/>
        </w:rPr>
        <w:t>espec</w:t>
      </w:r>
      <w:r w:rsidR="004D7348" w:rsidRPr="008450F1">
        <w:rPr>
          <w:lang w:val="es-DO"/>
        </w:rPr>
        <w:t>í</w:t>
      </w:r>
      <w:r w:rsidR="00F30958" w:rsidRPr="008450F1">
        <w:rPr>
          <w:lang w:val="es-DO"/>
        </w:rPr>
        <w:t>fico</w:t>
      </w:r>
      <w:r w:rsidR="00F30958" w:rsidRPr="00FA5324">
        <w:rPr>
          <w:lang w:val="es-DO"/>
        </w:rPr>
        <w:t xml:space="preserve"> del gasto, se multiplic</w:t>
      </w:r>
      <w:r w:rsidR="008F1D59" w:rsidRPr="00FA5324">
        <w:rPr>
          <w:lang w:val="es-DO"/>
        </w:rPr>
        <w:t>ó</w:t>
      </w:r>
      <w:r w:rsidR="00F30958" w:rsidRPr="00FA5324">
        <w:rPr>
          <w:lang w:val="es-DO"/>
        </w:rPr>
        <w:t xml:space="preserve"> por </w:t>
      </w:r>
      <w:r w:rsidR="008318E1" w:rsidRPr="00FA5324">
        <w:rPr>
          <w:lang w:val="es-DO"/>
        </w:rPr>
        <w:t xml:space="preserve">la diferencia entre el gasto total y los rubros para los insumos. Con el fin de tener una EE conservadora, </w:t>
      </w:r>
      <w:r w:rsidR="008F1D59" w:rsidRPr="00FA5324">
        <w:rPr>
          <w:lang w:val="es-DO"/>
        </w:rPr>
        <w:t>no se empleó</w:t>
      </w:r>
      <w:r w:rsidR="008318E1" w:rsidRPr="00FA5324">
        <w:rPr>
          <w:lang w:val="es-DO"/>
        </w:rPr>
        <w:t xml:space="preserve"> todo el porcentaje de ahorro reportado en la literatur</w:t>
      </w:r>
      <w:r w:rsidR="008F1D59" w:rsidRPr="00FA5324">
        <w:rPr>
          <w:lang w:val="es-DO"/>
        </w:rPr>
        <w:t xml:space="preserve">a si no la </w:t>
      </w:r>
      <w:r w:rsidR="008318E1" w:rsidRPr="00FA5324">
        <w:rPr>
          <w:lang w:val="es-DO"/>
        </w:rPr>
        <w:t xml:space="preserve">mitad de este. En el caso de los ahorros por fugas y por </w:t>
      </w:r>
      <w:r w:rsidR="00324D32" w:rsidRPr="008450F1">
        <w:rPr>
          <w:lang w:val="es-DO"/>
        </w:rPr>
        <w:t>plan</w:t>
      </w:r>
      <w:r w:rsidR="00324D32" w:rsidRPr="00FA5324">
        <w:rPr>
          <w:lang w:val="es-DO"/>
        </w:rPr>
        <w:t xml:space="preserve"> de </w:t>
      </w:r>
      <w:r w:rsidR="00324D32" w:rsidRPr="008450F1">
        <w:rPr>
          <w:lang w:val="es-DO"/>
        </w:rPr>
        <w:t>beneficios</w:t>
      </w:r>
      <w:r w:rsidR="002F1D8C" w:rsidRPr="008450F1">
        <w:rPr>
          <w:lang w:val="es-DO"/>
        </w:rPr>
        <w:t>,</w:t>
      </w:r>
      <w:r w:rsidR="008F1D59" w:rsidRPr="00FA5324">
        <w:rPr>
          <w:lang w:val="es-DO"/>
        </w:rPr>
        <w:t xml:space="preserve"> que serí</w:t>
      </w:r>
      <w:r w:rsidR="008318E1" w:rsidRPr="00FA5324">
        <w:rPr>
          <w:lang w:val="es-DO"/>
        </w:rPr>
        <w:t>an multiplicados por el mismo rubro</w:t>
      </w:r>
      <w:r w:rsidR="002F1D8C" w:rsidRPr="008450F1">
        <w:rPr>
          <w:lang w:val="es-DO"/>
        </w:rPr>
        <w:t>,</w:t>
      </w:r>
      <w:r w:rsidR="008318E1" w:rsidRPr="00FA5324">
        <w:rPr>
          <w:lang w:val="es-DO"/>
        </w:rPr>
        <w:t xml:space="preserve"> </w:t>
      </w:r>
      <w:r w:rsidR="008F1D59" w:rsidRPr="00FA5324">
        <w:rPr>
          <w:lang w:val="es-DO"/>
        </w:rPr>
        <w:t>se decidió</w:t>
      </w:r>
      <w:r w:rsidR="008318E1" w:rsidRPr="00FA5324">
        <w:rPr>
          <w:lang w:val="es-DO"/>
        </w:rPr>
        <w:t xml:space="preserve"> multiplicar por una cuarta parte del porcentaje de ahorro reportado en la </w:t>
      </w:r>
      <w:r w:rsidR="007E70A2" w:rsidRPr="00FA5324">
        <w:rPr>
          <w:lang w:val="es-DO"/>
        </w:rPr>
        <w:t>literatura</w:t>
      </w:r>
      <w:r w:rsidR="008318E1" w:rsidRPr="00FA5324">
        <w:rPr>
          <w:lang w:val="es-DO"/>
        </w:rPr>
        <w:t>. Este tipo de aproximación permite minimizar la probabilidad de error tipo I</w:t>
      </w:r>
      <w:r w:rsidR="002F1D8C" w:rsidRPr="008450F1">
        <w:rPr>
          <w:lang w:val="es-DO"/>
        </w:rPr>
        <w:t>,</w:t>
      </w:r>
      <w:r w:rsidR="008318E1" w:rsidRPr="00FA5324">
        <w:rPr>
          <w:lang w:val="es-DO"/>
        </w:rPr>
        <w:t xml:space="preserve"> es de</w:t>
      </w:r>
      <w:r w:rsidR="007670F5" w:rsidRPr="00FA5324">
        <w:rPr>
          <w:lang w:val="es-DO"/>
        </w:rPr>
        <w:t>cir</w:t>
      </w:r>
      <w:r w:rsidR="002F1D8C" w:rsidRPr="008450F1">
        <w:rPr>
          <w:lang w:val="es-DO"/>
        </w:rPr>
        <w:t>,</w:t>
      </w:r>
      <w:r w:rsidR="007670F5" w:rsidRPr="00FA5324">
        <w:rPr>
          <w:lang w:val="es-DO"/>
        </w:rPr>
        <w:t xml:space="preserve"> concluir que la evaluación es</w:t>
      </w:r>
      <w:r w:rsidR="008318E1" w:rsidRPr="00FA5324">
        <w:rPr>
          <w:lang w:val="es-DO"/>
        </w:rPr>
        <w:t xml:space="preserve"> rentable cuando realmente no lo es. </w:t>
      </w:r>
    </w:p>
    <w:p w:rsidR="002F1D8C" w:rsidRPr="008450F1" w:rsidRDefault="002F1D8C" w:rsidP="00AF0916">
      <w:pPr>
        <w:spacing w:after="0" w:line="240" w:lineRule="auto"/>
        <w:rPr>
          <w:lang w:val="es-DO"/>
        </w:rPr>
      </w:pPr>
    </w:p>
    <w:p w:rsidR="006402CB" w:rsidRPr="008450F1" w:rsidRDefault="008F1D59" w:rsidP="00AF0916">
      <w:pPr>
        <w:spacing w:after="0" w:line="240" w:lineRule="auto"/>
        <w:rPr>
          <w:lang w:val="es-DO"/>
        </w:rPr>
      </w:pPr>
      <w:r w:rsidRPr="00FA5324">
        <w:rPr>
          <w:lang w:val="es-DO"/>
        </w:rPr>
        <w:t>Además se supuso que los</w:t>
      </w:r>
      <w:r w:rsidR="00782DCE" w:rsidRPr="00FA5324">
        <w:rPr>
          <w:lang w:val="es-DO"/>
        </w:rPr>
        <w:t xml:space="preserve"> </w:t>
      </w:r>
      <w:r w:rsidR="007670F5" w:rsidRPr="00FA5324">
        <w:rPr>
          <w:lang w:val="es-DO"/>
        </w:rPr>
        <w:t>a</w:t>
      </w:r>
      <w:r w:rsidR="00782DCE" w:rsidRPr="00FA5324">
        <w:rPr>
          <w:lang w:val="es-DO"/>
        </w:rPr>
        <w:t xml:space="preserve">horros no ocurrían de manera </w:t>
      </w:r>
      <w:r w:rsidRPr="00FA5324">
        <w:rPr>
          <w:lang w:val="es-DO"/>
        </w:rPr>
        <w:t>i</w:t>
      </w:r>
      <w:r w:rsidR="00782DCE" w:rsidRPr="00FA5324">
        <w:rPr>
          <w:lang w:val="es-DO"/>
        </w:rPr>
        <w:t>nmediata con la aplicación de las medidas</w:t>
      </w:r>
      <w:r w:rsidR="002F1D8C" w:rsidRPr="008450F1">
        <w:rPr>
          <w:lang w:val="es-DO"/>
        </w:rPr>
        <w:t>,</w:t>
      </w:r>
      <w:r w:rsidR="00782DCE" w:rsidRPr="008450F1">
        <w:rPr>
          <w:lang w:val="es-DO"/>
        </w:rPr>
        <w:t xml:space="preserve"> sino</w:t>
      </w:r>
      <w:r w:rsidR="00782DCE" w:rsidRPr="00FA5324">
        <w:rPr>
          <w:lang w:val="es-DO"/>
        </w:rPr>
        <w:t xml:space="preserve"> que el porcentaje de ahorro aumentaba gradualmente. </w:t>
      </w:r>
      <w:r w:rsidR="006402CB" w:rsidRPr="00FA5324">
        <w:rPr>
          <w:lang w:val="es-DO"/>
        </w:rPr>
        <w:t>Los rubros mencionados en la tabla anterior se estimaron como porcentajes del gasto público total</w:t>
      </w:r>
      <w:r w:rsidR="00AF0916" w:rsidRPr="008450F1">
        <w:rPr>
          <w:lang w:val="es-DO"/>
        </w:rPr>
        <w:t xml:space="preserve"> en salud</w:t>
      </w:r>
      <w:r w:rsidR="006402CB" w:rsidRPr="00FA5324">
        <w:rPr>
          <w:lang w:val="es-DO"/>
        </w:rPr>
        <w:t>. El gasto público total se compone del gasto de ambos regímenes, más el gasto central y el</w:t>
      </w:r>
      <w:r w:rsidR="007670F5" w:rsidRPr="00FA5324">
        <w:rPr>
          <w:lang w:val="es-DO"/>
        </w:rPr>
        <w:t xml:space="preserve"> Ministerio de S</w:t>
      </w:r>
      <w:r w:rsidR="006402CB" w:rsidRPr="00FA5324">
        <w:rPr>
          <w:lang w:val="es-DO"/>
        </w:rPr>
        <w:t>alud. En la siguiente sección se explica cómo se simul</w:t>
      </w:r>
      <w:r w:rsidRPr="00FA5324">
        <w:rPr>
          <w:lang w:val="es-DO"/>
        </w:rPr>
        <w:t>ó</w:t>
      </w:r>
      <w:r w:rsidR="006402CB" w:rsidRPr="00FA5324">
        <w:rPr>
          <w:lang w:val="es-DO"/>
        </w:rPr>
        <w:t xml:space="preserve"> el gasto público total para los años del análisis. Los porcentajes se calcula</w:t>
      </w:r>
      <w:r w:rsidR="007670F5" w:rsidRPr="00FA5324">
        <w:rPr>
          <w:lang w:val="es-DO"/>
        </w:rPr>
        <w:t>ron del reporte del Informe de Gasto P</w:t>
      </w:r>
      <w:r w:rsidR="006402CB" w:rsidRPr="00FA5324">
        <w:rPr>
          <w:lang w:val="es-DO"/>
        </w:rPr>
        <w:t xml:space="preserve">úblico del año 2012, como se presenta en </w:t>
      </w:r>
      <w:r w:rsidR="007D15C8" w:rsidRPr="008450F1">
        <w:rPr>
          <w:lang w:val="es-DO"/>
        </w:rPr>
        <w:fldChar w:fldCharType="begin"/>
      </w:r>
      <w:r w:rsidR="007D15C8" w:rsidRPr="008450F1">
        <w:rPr>
          <w:lang w:val="es-DO"/>
        </w:rPr>
        <w:instrText xml:space="preserve"> REF _Ref399139439 \h </w:instrText>
      </w:r>
      <w:r w:rsidR="00C62A67" w:rsidRPr="008450F1">
        <w:rPr>
          <w:lang w:val="es-DO"/>
        </w:rPr>
        <w:instrText xml:space="preserve"> \* MERGEFORMAT </w:instrText>
      </w:r>
      <w:r w:rsidR="007D15C8" w:rsidRPr="008450F1">
        <w:rPr>
          <w:lang w:val="es-DO"/>
        </w:rPr>
      </w:r>
      <w:r w:rsidR="007D15C8" w:rsidRPr="008450F1">
        <w:rPr>
          <w:lang w:val="es-DO"/>
        </w:rPr>
        <w:fldChar w:fldCharType="separate"/>
      </w:r>
      <w:r w:rsidR="00E624CD" w:rsidRPr="008450F1">
        <w:rPr>
          <w:lang w:val="es-DO"/>
        </w:rPr>
        <w:t xml:space="preserve">Tabla </w:t>
      </w:r>
      <w:r w:rsidR="00E624CD" w:rsidRPr="008450F1">
        <w:rPr>
          <w:noProof/>
          <w:lang w:val="es-DO"/>
        </w:rPr>
        <w:t>6</w:t>
      </w:r>
      <w:r w:rsidR="007D15C8" w:rsidRPr="008450F1">
        <w:rPr>
          <w:lang w:val="es-DO"/>
        </w:rPr>
        <w:fldChar w:fldCharType="end"/>
      </w:r>
      <w:r w:rsidR="00BD66B4" w:rsidRPr="008450F1">
        <w:rPr>
          <w:lang w:val="es-DO"/>
        </w:rPr>
        <w:t>.</w:t>
      </w:r>
    </w:p>
    <w:p w:rsidR="00477D9E" w:rsidRPr="00FA5324" w:rsidRDefault="00477D9E" w:rsidP="00FA5324">
      <w:pPr>
        <w:spacing w:after="0" w:line="240" w:lineRule="auto"/>
        <w:rPr>
          <w:lang w:val="es-DO"/>
        </w:rPr>
      </w:pPr>
    </w:p>
    <w:p w:rsidR="007D15C8" w:rsidRPr="00FA5324" w:rsidRDefault="007D15C8" w:rsidP="00FA5324">
      <w:pPr>
        <w:pStyle w:val="Caption"/>
        <w:keepNext/>
        <w:spacing w:after="0"/>
        <w:jc w:val="center"/>
        <w:rPr>
          <w:i w:val="0"/>
          <w:color w:val="auto"/>
          <w:lang w:val="es-DO"/>
        </w:rPr>
      </w:pPr>
      <w:bookmarkStart w:id="18" w:name="_Ref399139393"/>
      <w:r w:rsidRPr="00FA5324">
        <w:rPr>
          <w:i w:val="0"/>
          <w:color w:val="auto"/>
          <w:lang w:val="es-DO"/>
        </w:rPr>
        <w:t xml:space="preserve">Tabla </w:t>
      </w:r>
      <w:r w:rsidR="00BC2072" w:rsidRPr="00FA5324">
        <w:rPr>
          <w:i w:val="0"/>
          <w:color w:val="auto"/>
          <w:lang w:val="es-DO"/>
        </w:rPr>
        <w:fldChar w:fldCharType="begin"/>
      </w:r>
      <w:r w:rsidR="00BC2072" w:rsidRPr="00FA5324">
        <w:rPr>
          <w:i w:val="0"/>
          <w:color w:val="auto"/>
          <w:lang w:val="es-DO"/>
        </w:rPr>
        <w:instrText xml:space="preserve"> SEQ Tabla \* ARABIC </w:instrText>
      </w:r>
      <w:r w:rsidR="00BC2072" w:rsidRPr="00FA5324">
        <w:rPr>
          <w:i w:val="0"/>
          <w:color w:val="auto"/>
          <w:lang w:val="es-DO"/>
        </w:rPr>
        <w:fldChar w:fldCharType="separate"/>
      </w:r>
      <w:r w:rsidR="00A04D48" w:rsidRPr="00FA5324">
        <w:rPr>
          <w:i w:val="0"/>
          <w:color w:val="auto"/>
          <w:lang w:val="es-DO"/>
        </w:rPr>
        <w:t>5</w:t>
      </w:r>
      <w:r w:rsidR="00BC2072" w:rsidRPr="00FA5324">
        <w:rPr>
          <w:i w:val="0"/>
          <w:color w:val="auto"/>
          <w:lang w:val="es-DO"/>
        </w:rPr>
        <w:fldChar w:fldCharType="end"/>
      </w:r>
      <w:bookmarkEnd w:id="18"/>
      <w:r w:rsidRPr="00FA5324">
        <w:rPr>
          <w:i w:val="0"/>
          <w:color w:val="auto"/>
          <w:lang w:val="es-DO"/>
        </w:rPr>
        <w:t>. Ahorro logrado mediante las intervenciones en la eficiencia en salud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7"/>
        <w:gridCol w:w="2196"/>
        <w:gridCol w:w="2744"/>
        <w:gridCol w:w="1738"/>
        <w:gridCol w:w="1268"/>
      </w:tblGrid>
      <w:tr w:rsidR="00A60F38" w:rsidRPr="008450F1" w:rsidTr="00AF0916">
        <w:trPr>
          <w:trHeight w:val="20"/>
        </w:trPr>
        <w:tc>
          <w:tcPr>
            <w:tcW w:w="734" w:type="pct"/>
            <w:shd w:val="clear" w:color="auto" w:fill="AEAAAA" w:themeFill="background2" w:themeFillShade="BF"/>
            <w:vAlign w:val="center"/>
          </w:tcPr>
          <w:p w:rsidR="0008435B" w:rsidRPr="00FA5324" w:rsidRDefault="0008435B" w:rsidP="00AF0916">
            <w:pPr>
              <w:pStyle w:val="Tabla"/>
              <w:jc w:val="center"/>
              <w:rPr>
                <w:rFonts w:ascii="Times New Roman" w:hAnsi="Times New Roman"/>
                <w:b/>
                <w:color w:val="auto"/>
                <w:lang w:val="es-DO"/>
              </w:rPr>
            </w:pPr>
            <w:r w:rsidRPr="008450F1">
              <w:rPr>
                <w:rFonts w:ascii="Times New Roman" w:hAnsi="Times New Roman"/>
                <w:b/>
                <w:color w:val="auto"/>
                <w:szCs w:val="20"/>
                <w:lang w:val="es-DO"/>
              </w:rPr>
              <w:t>Categoría de ineficiencia</w:t>
            </w:r>
          </w:p>
        </w:tc>
        <w:tc>
          <w:tcPr>
            <w:tcW w:w="1179" w:type="pct"/>
            <w:shd w:val="clear" w:color="auto" w:fill="AEAAAA" w:themeFill="background2" w:themeFillShade="BF"/>
          </w:tcPr>
          <w:p w:rsidR="0008435B" w:rsidRPr="008450F1" w:rsidRDefault="0008435B" w:rsidP="00AF0916">
            <w:pPr>
              <w:pStyle w:val="Tabla"/>
              <w:jc w:val="center"/>
              <w:rPr>
                <w:rFonts w:ascii="Times New Roman" w:hAnsi="Times New Roman"/>
                <w:b/>
                <w:color w:val="auto"/>
                <w:szCs w:val="20"/>
                <w:lang w:val="es-DO"/>
              </w:rPr>
            </w:pPr>
            <w:r w:rsidRPr="008450F1">
              <w:rPr>
                <w:rFonts w:ascii="Times New Roman" w:hAnsi="Times New Roman"/>
                <w:b/>
                <w:color w:val="auto"/>
                <w:szCs w:val="20"/>
                <w:lang w:val="es-DO"/>
              </w:rPr>
              <w:t>A. Porcentaje del gasto público en salud dedicado a la categoría</w:t>
            </w:r>
          </w:p>
        </w:tc>
        <w:tc>
          <w:tcPr>
            <w:tcW w:w="1473" w:type="pct"/>
            <w:shd w:val="clear" w:color="auto" w:fill="AEAAAA" w:themeFill="background2" w:themeFillShade="BF"/>
            <w:vAlign w:val="center"/>
          </w:tcPr>
          <w:p w:rsidR="0008435B" w:rsidRPr="00FA5324" w:rsidRDefault="0008435B" w:rsidP="00AF0916">
            <w:pPr>
              <w:pStyle w:val="Tabla"/>
              <w:jc w:val="center"/>
              <w:rPr>
                <w:rFonts w:ascii="Times New Roman" w:hAnsi="Times New Roman"/>
                <w:b/>
                <w:color w:val="auto"/>
                <w:lang w:val="es-DO"/>
              </w:rPr>
            </w:pPr>
            <w:r w:rsidRPr="008450F1">
              <w:rPr>
                <w:rFonts w:ascii="Times New Roman" w:hAnsi="Times New Roman"/>
                <w:b/>
                <w:color w:val="auto"/>
                <w:szCs w:val="20"/>
                <w:lang w:val="es-DO"/>
              </w:rPr>
              <w:t xml:space="preserve">B. </w:t>
            </w:r>
            <w:r w:rsidR="00E624CD" w:rsidRPr="00FA5324">
              <w:rPr>
                <w:rFonts w:ascii="Times New Roman" w:hAnsi="Times New Roman"/>
                <w:b/>
                <w:bCs w:val="0"/>
                <w:color w:val="auto"/>
                <w:lang w:val="es-DO"/>
              </w:rPr>
              <w:t>P</w:t>
            </w:r>
            <w:r w:rsidRPr="00FA5324">
              <w:rPr>
                <w:rFonts w:ascii="Times New Roman" w:hAnsi="Times New Roman"/>
                <w:b/>
                <w:bCs w:val="0"/>
                <w:color w:val="auto"/>
                <w:lang w:val="es-DO"/>
              </w:rPr>
              <w:t xml:space="preserve">otenciales ahorros </w:t>
            </w:r>
            <w:r w:rsidRPr="008450F1">
              <w:rPr>
                <w:rFonts w:ascii="Times New Roman" w:hAnsi="Times New Roman"/>
                <w:b/>
                <w:color w:val="auto"/>
                <w:szCs w:val="20"/>
                <w:lang w:val="es-DO"/>
              </w:rPr>
              <w:t xml:space="preserve">como % del gasto </w:t>
            </w:r>
            <w:r w:rsidRPr="00FA5324">
              <w:rPr>
                <w:rFonts w:ascii="Times New Roman" w:hAnsi="Times New Roman"/>
                <w:b/>
                <w:bCs w:val="0"/>
                <w:color w:val="auto"/>
                <w:lang w:val="es-DO"/>
              </w:rPr>
              <w:t>por eficiencia</w:t>
            </w:r>
            <w:r w:rsidR="000726CC" w:rsidRPr="008450F1">
              <w:rPr>
                <w:rFonts w:ascii="Times New Roman" w:hAnsi="Times New Roman"/>
                <w:b/>
                <w:color w:val="auto"/>
                <w:szCs w:val="20"/>
                <w:lang w:val="es-DO"/>
              </w:rPr>
              <w:t xml:space="preserve"> para el año 20 del análisis</w:t>
            </w:r>
          </w:p>
        </w:tc>
        <w:tc>
          <w:tcPr>
            <w:tcW w:w="933" w:type="pct"/>
            <w:shd w:val="clear" w:color="auto" w:fill="AEAAAA" w:themeFill="background2" w:themeFillShade="BF"/>
          </w:tcPr>
          <w:p w:rsidR="0008435B" w:rsidRPr="00FA5324" w:rsidDel="00566468" w:rsidRDefault="0008435B" w:rsidP="00AF0916">
            <w:pPr>
              <w:pStyle w:val="Tabla"/>
              <w:jc w:val="center"/>
              <w:rPr>
                <w:rFonts w:ascii="Times New Roman" w:hAnsi="Times New Roman"/>
                <w:b/>
                <w:color w:val="auto"/>
                <w:lang w:val="es-DO"/>
              </w:rPr>
            </w:pPr>
            <w:r w:rsidRPr="008450F1">
              <w:rPr>
                <w:rFonts w:ascii="Times New Roman" w:hAnsi="Times New Roman"/>
                <w:b/>
                <w:color w:val="auto"/>
                <w:szCs w:val="20"/>
                <w:lang w:val="es-DO"/>
              </w:rPr>
              <w:t>C. Ahorro anual generado</w:t>
            </w:r>
            <w:r w:rsidR="000621CB" w:rsidRPr="008450F1">
              <w:rPr>
                <w:rFonts w:ascii="Times New Roman" w:hAnsi="Times New Roman"/>
                <w:b/>
                <w:color w:val="auto"/>
                <w:szCs w:val="20"/>
                <w:lang w:val="es-DO"/>
              </w:rPr>
              <w:t xml:space="preserve"> </w:t>
            </w:r>
            <w:r w:rsidR="00BD66B4" w:rsidRPr="008450F1">
              <w:rPr>
                <w:rFonts w:ascii="Times New Roman" w:hAnsi="Times New Roman"/>
                <w:b/>
                <w:color w:val="auto"/>
                <w:szCs w:val="20"/>
                <w:lang w:val="es-DO"/>
              </w:rPr>
              <w:t>(</w:t>
            </w:r>
            <w:r w:rsidR="000621CB" w:rsidRPr="008450F1">
              <w:rPr>
                <w:rFonts w:ascii="Times New Roman" w:hAnsi="Times New Roman"/>
                <w:b/>
                <w:color w:val="auto"/>
                <w:szCs w:val="20"/>
                <w:lang w:val="es-DO"/>
              </w:rPr>
              <w:t>antes de descuento</w:t>
            </w:r>
            <w:r w:rsidR="00BD66B4" w:rsidRPr="008450F1">
              <w:rPr>
                <w:rFonts w:ascii="Times New Roman" w:hAnsi="Times New Roman"/>
                <w:b/>
                <w:color w:val="auto"/>
                <w:szCs w:val="20"/>
                <w:lang w:val="es-DO"/>
              </w:rPr>
              <w:t>)</w:t>
            </w:r>
          </w:p>
        </w:tc>
        <w:tc>
          <w:tcPr>
            <w:tcW w:w="681" w:type="pct"/>
            <w:shd w:val="clear" w:color="auto" w:fill="AEAAAA" w:themeFill="background2" w:themeFillShade="BF"/>
            <w:vAlign w:val="center"/>
          </w:tcPr>
          <w:p w:rsidR="0008435B" w:rsidRPr="00FA5324" w:rsidRDefault="0008435B" w:rsidP="00AF0916">
            <w:pPr>
              <w:pStyle w:val="Tabla"/>
              <w:jc w:val="center"/>
              <w:rPr>
                <w:rFonts w:ascii="Times New Roman" w:hAnsi="Times New Roman"/>
                <w:b/>
                <w:color w:val="auto"/>
                <w:lang w:val="es-DO"/>
              </w:rPr>
            </w:pPr>
            <w:r w:rsidRPr="008450F1">
              <w:rPr>
                <w:rFonts w:ascii="Times New Roman" w:hAnsi="Times New Roman"/>
                <w:b/>
                <w:color w:val="auto"/>
                <w:szCs w:val="20"/>
                <w:lang w:val="es-DO"/>
              </w:rPr>
              <w:t>Incremento supuesto</w:t>
            </w:r>
          </w:p>
        </w:tc>
      </w:tr>
      <w:tr w:rsidR="00FA5324" w:rsidRPr="008450F1" w:rsidTr="00635AF4">
        <w:trPr>
          <w:trHeight w:val="20"/>
        </w:trPr>
        <w:tc>
          <w:tcPr>
            <w:tcW w:w="734" w:type="pct"/>
            <w:shd w:val="clear" w:color="auto" w:fill="auto"/>
            <w:vAlign w:val="center"/>
          </w:tcPr>
          <w:p w:rsidR="00FA5324" w:rsidRPr="00FA5324" w:rsidRDefault="00FA5324" w:rsidP="00AF0916">
            <w:pPr>
              <w:pStyle w:val="Tabla"/>
              <w:rPr>
                <w:rFonts w:ascii="Times New Roman" w:hAnsi="Times New Roman"/>
                <w:color w:val="auto"/>
                <w:lang w:val="es-DO"/>
              </w:rPr>
            </w:pPr>
            <w:r w:rsidRPr="00FA5324">
              <w:rPr>
                <w:rFonts w:ascii="Times New Roman" w:hAnsi="Times New Roman"/>
                <w:color w:val="auto"/>
                <w:lang w:val="es-DO"/>
              </w:rPr>
              <w:t>Recursos humanos</w:t>
            </w:r>
          </w:p>
        </w:tc>
        <w:tc>
          <w:tcPr>
            <w:tcW w:w="1179" w:type="pct"/>
            <w:vAlign w:val="center"/>
          </w:tcPr>
          <w:p w:rsidR="00FA5324" w:rsidRPr="00FA5324" w:rsidDel="00566468" w:rsidRDefault="00FA5324" w:rsidP="00FA5324">
            <w:pPr>
              <w:pStyle w:val="Tabla"/>
              <w:rPr>
                <w:rFonts w:ascii="Times New Roman" w:hAnsi="Times New Roman"/>
                <w:color w:val="auto"/>
                <w:lang w:val="es-DO"/>
              </w:rPr>
            </w:pPr>
            <w:r w:rsidRPr="00FA5324">
              <w:rPr>
                <w:rFonts w:ascii="Times New Roman" w:hAnsi="Times New Roman"/>
                <w:color w:val="auto"/>
                <w:lang w:val="es-DO"/>
              </w:rPr>
              <w:t>Gastos en servicios personales</w:t>
            </w:r>
          </w:p>
        </w:tc>
        <w:tc>
          <w:tcPr>
            <w:tcW w:w="1473" w:type="pct"/>
            <w:shd w:val="clear" w:color="auto" w:fill="auto"/>
            <w:vAlign w:val="center"/>
          </w:tcPr>
          <w:p w:rsidR="00FA5324" w:rsidRPr="008450F1" w:rsidRDefault="00FA5324" w:rsidP="00AF0916">
            <w:pPr>
              <w:pStyle w:val="Tabla"/>
              <w:jc w:val="center"/>
              <w:rPr>
                <w:rFonts w:ascii="Times New Roman" w:hAnsi="Times New Roman"/>
                <w:color w:val="auto"/>
                <w:szCs w:val="20"/>
                <w:lang w:val="es-DO"/>
              </w:rPr>
            </w:pPr>
            <w:r w:rsidRPr="008450F1">
              <w:rPr>
                <w:rFonts w:ascii="Times New Roman" w:hAnsi="Times New Roman"/>
                <w:color w:val="auto"/>
                <w:szCs w:val="20"/>
                <w:lang w:val="es-DO"/>
              </w:rPr>
              <w:t>7.5%</w:t>
            </w:r>
          </w:p>
          <w:p w:rsidR="00FA5324" w:rsidRPr="008450F1" w:rsidRDefault="00FA5324" w:rsidP="00AF0916">
            <w:pPr>
              <w:pStyle w:val="Tabla"/>
              <w:rPr>
                <w:rFonts w:ascii="Times New Roman" w:hAnsi="Times New Roman"/>
                <w:color w:val="auto"/>
                <w:szCs w:val="20"/>
                <w:lang w:val="es-DO"/>
              </w:rPr>
            </w:pPr>
            <w:r w:rsidRPr="008450F1">
              <w:rPr>
                <w:rFonts w:ascii="Times New Roman" w:hAnsi="Times New Roman"/>
                <w:color w:val="auto"/>
                <w:szCs w:val="20"/>
                <w:lang w:val="es-DO"/>
              </w:rPr>
              <w:t xml:space="preserve">Para una aproximación conservadora se emplea la mitad del rango inferior reportado por </w:t>
            </w:r>
            <w:r w:rsidRPr="008450F1">
              <w:rPr>
                <w:rFonts w:ascii="Times New Roman" w:hAnsi="Times New Roman"/>
                <w:noProof/>
                <w:color w:val="auto"/>
                <w:szCs w:val="20"/>
                <w:lang w:val="es-DO"/>
              </w:rPr>
              <w:t>Chisholm &amp; Evans (2010)</w:t>
            </w:r>
            <w:r w:rsidRPr="008450F1">
              <w:rPr>
                <w:rFonts w:ascii="Times New Roman" w:hAnsi="Times New Roman"/>
                <w:color w:val="auto"/>
                <w:szCs w:val="20"/>
                <w:lang w:val="es-DO"/>
              </w:rPr>
              <w:t xml:space="preserve"> </w:t>
            </w:r>
          </w:p>
        </w:tc>
        <w:tc>
          <w:tcPr>
            <w:tcW w:w="933" w:type="pct"/>
            <w:vMerge w:val="restart"/>
            <w:vAlign w:val="center"/>
          </w:tcPr>
          <w:p w:rsidR="00FA5324" w:rsidRPr="008450F1" w:rsidRDefault="00FA5324" w:rsidP="00AF0916">
            <w:pPr>
              <w:pStyle w:val="Tabla"/>
              <w:rPr>
                <w:rFonts w:ascii="Times New Roman" w:hAnsi="Times New Roman"/>
                <w:color w:val="auto"/>
                <w:szCs w:val="20"/>
                <w:lang w:val="es-DO"/>
              </w:rPr>
            </w:pPr>
            <w:r w:rsidRPr="008450F1">
              <w:rPr>
                <w:rFonts w:ascii="Times New Roman" w:hAnsi="Times New Roman"/>
                <w:color w:val="auto"/>
                <w:szCs w:val="20"/>
                <w:lang w:val="es-DO"/>
              </w:rPr>
              <w:t>A *(Valor total del gasto público para el año t) *B</w:t>
            </w:r>
          </w:p>
          <w:p w:rsidR="00FA5324" w:rsidRPr="008450F1" w:rsidRDefault="00FA5324" w:rsidP="00AF0916">
            <w:pPr>
              <w:pStyle w:val="Tabla"/>
              <w:rPr>
                <w:rFonts w:ascii="Times New Roman" w:hAnsi="Times New Roman"/>
                <w:color w:val="auto"/>
                <w:szCs w:val="20"/>
                <w:lang w:val="es-DO"/>
              </w:rPr>
            </w:pPr>
          </w:p>
        </w:tc>
        <w:tc>
          <w:tcPr>
            <w:tcW w:w="681" w:type="pct"/>
            <w:vAlign w:val="center"/>
          </w:tcPr>
          <w:p w:rsidR="00FA5324" w:rsidRPr="00FA5324" w:rsidDel="00566468" w:rsidRDefault="00FA5324" w:rsidP="00FA5324">
            <w:pPr>
              <w:pStyle w:val="Tabla"/>
              <w:rPr>
                <w:rFonts w:ascii="Times New Roman" w:hAnsi="Times New Roman"/>
                <w:color w:val="auto"/>
                <w:lang w:val="es-DO"/>
              </w:rPr>
            </w:pPr>
            <w:r w:rsidRPr="008450F1">
              <w:rPr>
                <w:rFonts w:ascii="Times New Roman" w:hAnsi="Times New Roman"/>
                <w:color w:val="auto"/>
                <w:szCs w:val="20"/>
                <w:lang w:val="es-DO"/>
              </w:rPr>
              <w:t xml:space="preserve">Se asume que los beneficios inician en el </w:t>
            </w:r>
            <w:r w:rsidRPr="00FA5324">
              <w:rPr>
                <w:rFonts w:ascii="Times New Roman" w:hAnsi="Times New Roman"/>
                <w:color w:val="auto"/>
                <w:lang w:val="es-DO"/>
              </w:rPr>
              <w:t xml:space="preserve">tercer año </w:t>
            </w:r>
            <w:r w:rsidRPr="008450F1">
              <w:rPr>
                <w:rFonts w:ascii="Times New Roman" w:hAnsi="Times New Roman"/>
                <w:color w:val="auto"/>
                <w:szCs w:val="20"/>
                <w:lang w:val="es-DO"/>
              </w:rPr>
              <w:t xml:space="preserve">del horizonte temporal y van creciendo gradualmente </w:t>
            </w:r>
            <w:r w:rsidRPr="00FA5324">
              <w:rPr>
                <w:rFonts w:ascii="Times New Roman" w:hAnsi="Times New Roman"/>
                <w:color w:val="auto"/>
                <w:lang w:val="es-DO"/>
              </w:rPr>
              <w:t xml:space="preserve">hasta </w:t>
            </w:r>
            <w:r w:rsidRPr="008450F1">
              <w:rPr>
                <w:rFonts w:ascii="Times New Roman" w:hAnsi="Times New Roman"/>
                <w:color w:val="auto"/>
                <w:szCs w:val="20"/>
                <w:lang w:val="es-DO"/>
              </w:rPr>
              <w:t>alcanzar el máximo</w:t>
            </w:r>
            <w:r w:rsidRPr="00FA5324">
              <w:rPr>
                <w:rFonts w:ascii="Times New Roman" w:hAnsi="Times New Roman"/>
                <w:color w:val="auto"/>
                <w:lang w:val="es-DO"/>
              </w:rPr>
              <w:t xml:space="preserve"> en el año 20</w:t>
            </w:r>
          </w:p>
        </w:tc>
      </w:tr>
      <w:tr w:rsidR="00FA5324" w:rsidRPr="008450F1" w:rsidTr="00635AF4">
        <w:trPr>
          <w:trHeight w:val="20"/>
        </w:trPr>
        <w:tc>
          <w:tcPr>
            <w:tcW w:w="734" w:type="pct"/>
            <w:shd w:val="clear" w:color="auto" w:fill="auto"/>
            <w:vAlign w:val="center"/>
            <w:hideMark/>
          </w:tcPr>
          <w:p w:rsidR="00FA5324" w:rsidRPr="00FA5324" w:rsidRDefault="00FA5324" w:rsidP="00AF0916">
            <w:pPr>
              <w:pStyle w:val="Tabla"/>
              <w:rPr>
                <w:rFonts w:ascii="Times New Roman" w:hAnsi="Times New Roman"/>
                <w:color w:val="auto"/>
                <w:lang w:val="es-DO"/>
              </w:rPr>
            </w:pPr>
            <w:r w:rsidRPr="00FA5324">
              <w:rPr>
                <w:rFonts w:ascii="Times New Roman" w:hAnsi="Times New Roman"/>
                <w:color w:val="auto"/>
                <w:lang w:val="es-DO"/>
              </w:rPr>
              <w:t>Medicamentos</w:t>
            </w:r>
          </w:p>
        </w:tc>
        <w:tc>
          <w:tcPr>
            <w:tcW w:w="1179" w:type="pct"/>
            <w:vAlign w:val="center"/>
          </w:tcPr>
          <w:p w:rsidR="00FA5324" w:rsidRPr="00FA5324" w:rsidDel="00566468" w:rsidRDefault="00FA5324" w:rsidP="00FA5324">
            <w:pPr>
              <w:pStyle w:val="Tabla"/>
              <w:rPr>
                <w:rFonts w:ascii="Times New Roman" w:hAnsi="Times New Roman"/>
                <w:color w:val="auto"/>
                <w:lang w:val="es-DO"/>
              </w:rPr>
            </w:pPr>
            <w:r w:rsidRPr="00FA5324">
              <w:rPr>
                <w:rFonts w:ascii="Times New Roman" w:hAnsi="Times New Roman"/>
                <w:color w:val="auto"/>
                <w:lang w:val="es-DO"/>
              </w:rPr>
              <w:t>Compra de medicamentos</w:t>
            </w:r>
          </w:p>
        </w:tc>
        <w:tc>
          <w:tcPr>
            <w:tcW w:w="1473" w:type="pct"/>
            <w:vAlign w:val="center"/>
          </w:tcPr>
          <w:p w:rsidR="00FA5324" w:rsidRPr="008450F1" w:rsidRDefault="00FA5324" w:rsidP="00AF0916">
            <w:pPr>
              <w:pStyle w:val="Tabla"/>
              <w:jc w:val="center"/>
              <w:rPr>
                <w:rFonts w:ascii="Times New Roman" w:hAnsi="Times New Roman"/>
                <w:color w:val="auto"/>
                <w:szCs w:val="20"/>
                <w:lang w:val="es-DO"/>
              </w:rPr>
            </w:pPr>
            <w:r w:rsidRPr="008450F1">
              <w:rPr>
                <w:rFonts w:ascii="Times New Roman" w:hAnsi="Times New Roman"/>
                <w:color w:val="auto"/>
                <w:szCs w:val="20"/>
                <w:lang w:val="es-DO"/>
              </w:rPr>
              <w:t>5%</w:t>
            </w:r>
          </w:p>
          <w:p w:rsidR="00FA5324" w:rsidRPr="008450F1" w:rsidRDefault="00FA5324" w:rsidP="00AF0916">
            <w:pPr>
              <w:pStyle w:val="Tabla"/>
              <w:rPr>
                <w:rFonts w:ascii="Times New Roman" w:hAnsi="Times New Roman"/>
                <w:color w:val="auto"/>
                <w:szCs w:val="20"/>
                <w:lang w:val="es-DO"/>
              </w:rPr>
            </w:pPr>
            <w:r w:rsidRPr="008450F1">
              <w:rPr>
                <w:rFonts w:ascii="Times New Roman" w:hAnsi="Times New Roman"/>
                <w:color w:val="auto"/>
                <w:szCs w:val="20"/>
                <w:lang w:val="es-DO"/>
              </w:rPr>
              <w:t xml:space="preserve">Para una aproximación conservadora se emplea la mitad del rango inferior reportado por </w:t>
            </w:r>
            <w:r w:rsidRPr="008450F1">
              <w:rPr>
                <w:rFonts w:ascii="Times New Roman" w:hAnsi="Times New Roman"/>
                <w:noProof/>
                <w:color w:val="auto"/>
                <w:szCs w:val="20"/>
                <w:lang w:val="es-DO"/>
              </w:rPr>
              <w:t>Chisholm &amp; Evans (2010)</w:t>
            </w:r>
          </w:p>
          <w:p w:rsidR="00FA5324" w:rsidRPr="008450F1" w:rsidRDefault="00FA5324" w:rsidP="00AF0916">
            <w:pPr>
              <w:pStyle w:val="Tabla"/>
              <w:rPr>
                <w:rFonts w:ascii="Times New Roman" w:hAnsi="Times New Roman"/>
                <w:color w:val="auto"/>
                <w:szCs w:val="20"/>
                <w:lang w:val="es-DO"/>
              </w:rPr>
            </w:pPr>
          </w:p>
        </w:tc>
        <w:tc>
          <w:tcPr>
            <w:tcW w:w="933" w:type="pct"/>
            <w:vMerge/>
            <w:shd w:val="clear" w:color="auto" w:fill="auto"/>
            <w:vAlign w:val="center"/>
          </w:tcPr>
          <w:p w:rsidR="00FA5324" w:rsidRPr="008450F1" w:rsidRDefault="00FA5324" w:rsidP="00AF0916">
            <w:pPr>
              <w:pStyle w:val="Tabla"/>
              <w:rPr>
                <w:rFonts w:ascii="Times New Roman" w:hAnsi="Times New Roman"/>
                <w:color w:val="auto"/>
                <w:szCs w:val="20"/>
                <w:lang w:val="es-DO"/>
              </w:rPr>
            </w:pPr>
          </w:p>
        </w:tc>
        <w:tc>
          <w:tcPr>
            <w:tcW w:w="681" w:type="pct"/>
            <w:vAlign w:val="center"/>
          </w:tcPr>
          <w:p w:rsidR="00FA5324" w:rsidRPr="008450F1" w:rsidDel="00566468" w:rsidRDefault="00FA5324" w:rsidP="00AF0916">
            <w:pPr>
              <w:pStyle w:val="Tabla"/>
              <w:rPr>
                <w:rFonts w:ascii="Times New Roman" w:hAnsi="Times New Roman"/>
                <w:color w:val="auto"/>
                <w:szCs w:val="20"/>
                <w:lang w:val="es-DO"/>
              </w:rPr>
            </w:pPr>
          </w:p>
        </w:tc>
      </w:tr>
      <w:tr w:rsidR="00FA5324" w:rsidRPr="008450F1" w:rsidTr="00635AF4">
        <w:trPr>
          <w:trHeight w:val="20"/>
        </w:trPr>
        <w:tc>
          <w:tcPr>
            <w:tcW w:w="734" w:type="pct"/>
            <w:shd w:val="clear" w:color="auto" w:fill="auto"/>
            <w:vAlign w:val="center"/>
          </w:tcPr>
          <w:p w:rsidR="00FA5324" w:rsidRPr="00FA5324" w:rsidRDefault="00FA5324" w:rsidP="00AF0916">
            <w:pPr>
              <w:pStyle w:val="Tabla"/>
              <w:rPr>
                <w:rFonts w:ascii="Times New Roman" w:hAnsi="Times New Roman"/>
                <w:color w:val="auto"/>
                <w:lang w:val="es-DO"/>
              </w:rPr>
            </w:pPr>
            <w:r w:rsidRPr="00FA5324">
              <w:rPr>
                <w:rFonts w:ascii="Times New Roman" w:hAnsi="Times New Roman"/>
                <w:color w:val="auto"/>
                <w:lang w:val="es-DO"/>
              </w:rPr>
              <w:t>Hospitales</w:t>
            </w:r>
          </w:p>
        </w:tc>
        <w:tc>
          <w:tcPr>
            <w:tcW w:w="1179" w:type="pct"/>
            <w:vAlign w:val="center"/>
          </w:tcPr>
          <w:p w:rsidR="00FA5324" w:rsidRPr="00FA5324" w:rsidDel="00566468" w:rsidRDefault="00FA5324" w:rsidP="00FA5324">
            <w:pPr>
              <w:pStyle w:val="Tabla"/>
              <w:rPr>
                <w:rFonts w:ascii="Times New Roman" w:hAnsi="Times New Roman"/>
                <w:color w:val="auto"/>
                <w:lang w:val="es-DO"/>
              </w:rPr>
            </w:pPr>
            <w:r w:rsidRPr="00FA5324">
              <w:rPr>
                <w:rFonts w:ascii="Times New Roman" w:hAnsi="Times New Roman"/>
                <w:color w:val="auto"/>
                <w:lang w:val="es-DO"/>
              </w:rPr>
              <w:t>Transferencia de activos y capital</w:t>
            </w:r>
          </w:p>
        </w:tc>
        <w:tc>
          <w:tcPr>
            <w:tcW w:w="1473" w:type="pct"/>
            <w:vAlign w:val="center"/>
          </w:tcPr>
          <w:p w:rsidR="00FA5324" w:rsidRPr="008450F1" w:rsidRDefault="00FA5324" w:rsidP="00AF0916">
            <w:pPr>
              <w:pStyle w:val="Tabla"/>
              <w:jc w:val="center"/>
              <w:rPr>
                <w:rFonts w:ascii="Times New Roman" w:hAnsi="Times New Roman"/>
                <w:color w:val="auto"/>
                <w:szCs w:val="20"/>
                <w:lang w:val="es-DO"/>
              </w:rPr>
            </w:pPr>
            <w:r w:rsidRPr="008450F1">
              <w:rPr>
                <w:rFonts w:ascii="Times New Roman" w:hAnsi="Times New Roman"/>
                <w:color w:val="auto"/>
                <w:szCs w:val="20"/>
                <w:lang w:val="es-DO"/>
              </w:rPr>
              <w:t>7.5%</w:t>
            </w:r>
          </w:p>
          <w:p w:rsidR="00FA5324" w:rsidRPr="008450F1" w:rsidRDefault="00FA5324" w:rsidP="00AF0916">
            <w:pPr>
              <w:pStyle w:val="Tabla"/>
              <w:rPr>
                <w:rFonts w:ascii="Times New Roman" w:hAnsi="Times New Roman"/>
                <w:color w:val="auto"/>
                <w:szCs w:val="20"/>
                <w:lang w:val="es-DO"/>
              </w:rPr>
            </w:pPr>
            <w:r w:rsidRPr="008450F1">
              <w:rPr>
                <w:rFonts w:ascii="Times New Roman" w:hAnsi="Times New Roman"/>
                <w:color w:val="auto"/>
                <w:szCs w:val="20"/>
                <w:lang w:val="es-DO"/>
              </w:rPr>
              <w:t xml:space="preserve">Para una aproximación conservadora se emplea la mitad del rango inferior reportado por </w:t>
            </w:r>
            <w:r w:rsidRPr="008450F1">
              <w:rPr>
                <w:rFonts w:ascii="Times New Roman" w:hAnsi="Times New Roman"/>
                <w:noProof/>
                <w:color w:val="auto"/>
                <w:szCs w:val="20"/>
                <w:lang w:val="es-DO"/>
              </w:rPr>
              <w:t>Chisholm &amp; Evans (2010)</w:t>
            </w:r>
          </w:p>
        </w:tc>
        <w:tc>
          <w:tcPr>
            <w:tcW w:w="933" w:type="pct"/>
            <w:vMerge/>
            <w:shd w:val="clear" w:color="auto" w:fill="auto"/>
            <w:vAlign w:val="center"/>
          </w:tcPr>
          <w:p w:rsidR="00FA5324" w:rsidRPr="008450F1" w:rsidRDefault="00FA5324" w:rsidP="00AF0916">
            <w:pPr>
              <w:pStyle w:val="Tabla"/>
              <w:rPr>
                <w:rFonts w:ascii="Times New Roman" w:hAnsi="Times New Roman"/>
                <w:color w:val="auto"/>
                <w:szCs w:val="20"/>
                <w:lang w:val="es-DO"/>
              </w:rPr>
            </w:pPr>
          </w:p>
        </w:tc>
        <w:tc>
          <w:tcPr>
            <w:tcW w:w="681" w:type="pct"/>
            <w:vAlign w:val="center"/>
          </w:tcPr>
          <w:p w:rsidR="00FA5324" w:rsidRPr="008450F1" w:rsidDel="00566468" w:rsidRDefault="00FA5324" w:rsidP="00AF0916">
            <w:pPr>
              <w:pStyle w:val="Tabla"/>
              <w:rPr>
                <w:rFonts w:ascii="Times New Roman" w:hAnsi="Times New Roman"/>
                <w:color w:val="auto"/>
                <w:szCs w:val="20"/>
                <w:lang w:val="es-DO"/>
              </w:rPr>
            </w:pPr>
          </w:p>
        </w:tc>
      </w:tr>
      <w:tr w:rsidR="00FA5324" w:rsidRPr="008450F1" w:rsidTr="00635AF4">
        <w:trPr>
          <w:trHeight w:val="20"/>
        </w:trPr>
        <w:tc>
          <w:tcPr>
            <w:tcW w:w="734" w:type="pct"/>
            <w:shd w:val="clear" w:color="auto" w:fill="auto"/>
            <w:vAlign w:val="center"/>
            <w:hideMark/>
          </w:tcPr>
          <w:p w:rsidR="00FA5324" w:rsidRPr="00FA5324" w:rsidRDefault="00FA5324" w:rsidP="00AF0916">
            <w:pPr>
              <w:pStyle w:val="Tabla"/>
              <w:rPr>
                <w:rFonts w:ascii="Times New Roman" w:hAnsi="Times New Roman"/>
                <w:color w:val="auto"/>
                <w:lang w:val="es-DO"/>
              </w:rPr>
            </w:pPr>
            <w:r w:rsidRPr="00FA5324">
              <w:rPr>
                <w:rFonts w:ascii="Times New Roman" w:hAnsi="Times New Roman"/>
                <w:color w:val="auto"/>
                <w:lang w:val="es-DO"/>
              </w:rPr>
              <w:t>Fugas</w:t>
            </w:r>
          </w:p>
        </w:tc>
        <w:tc>
          <w:tcPr>
            <w:tcW w:w="1179" w:type="pct"/>
            <w:vAlign w:val="center"/>
          </w:tcPr>
          <w:p w:rsidR="00FA5324" w:rsidRPr="00FA5324" w:rsidDel="00566468" w:rsidRDefault="00FA5324" w:rsidP="00FA5324">
            <w:pPr>
              <w:pStyle w:val="Tabla"/>
              <w:rPr>
                <w:rFonts w:ascii="Times New Roman" w:hAnsi="Times New Roman"/>
                <w:color w:val="auto"/>
                <w:lang w:val="es-DO"/>
              </w:rPr>
            </w:pPr>
            <w:r w:rsidRPr="00FA5324">
              <w:rPr>
                <w:rFonts w:ascii="Times New Roman" w:hAnsi="Times New Roman"/>
                <w:color w:val="auto"/>
                <w:lang w:val="es-DO"/>
              </w:rPr>
              <w:t>Otros, la diferencia entre el gasto total y los rubros anteriores</w:t>
            </w:r>
          </w:p>
        </w:tc>
        <w:tc>
          <w:tcPr>
            <w:tcW w:w="1473" w:type="pct"/>
            <w:shd w:val="clear" w:color="auto" w:fill="auto"/>
            <w:vAlign w:val="center"/>
          </w:tcPr>
          <w:p w:rsidR="00FA5324" w:rsidRPr="008450F1" w:rsidRDefault="00FA5324" w:rsidP="00AF0916">
            <w:pPr>
              <w:pStyle w:val="Tabla"/>
              <w:jc w:val="center"/>
              <w:rPr>
                <w:rFonts w:ascii="Times New Roman" w:hAnsi="Times New Roman"/>
                <w:color w:val="auto"/>
                <w:szCs w:val="20"/>
                <w:lang w:val="es-DO"/>
              </w:rPr>
            </w:pPr>
            <w:r w:rsidRPr="008450F1">
              <w:rPr>
                <w:rFonts w:ascii="Times New Roman" w:hAnsi="Times New Roman"/>
                <w:color w:val="auto"/>
                <w:szCs w:val="20"/>
                <w:lang w:val="es-DO"/>
              </w:rPr>
              <w:t>1.3%</w:t>
            </w:r>
          </w:p>
          <w:p w:rsidR="00FA5324" w:rsidRPr="008450F1" w:rsidRDefault="00FA5324" w:rsidP="00AF0916">
            <w:pPr>
              <w:pStyle w:val="Tabla"/>
              <w:rPr>
                <w:rFonts w:ascii="Times New Roman" w:hAnsi="Times New Roman"/>
                <w:color w:val="auto"/>
                <w:szCs w:val="20"/>
                <w:lang w:val="es-DO"/>
              </w:rPr>
            </w:pPr>
            <w:r w:rsidRPr="008450F1">
              <w:rPr>
                <w:rFonts w:ascii="Times New Roman" w:hAnsi="Times New Roman"/>
                <w:color w:val="auto"/>
                <w:szCs w:val="20"/>
                <w:lang w:val="es-DO"/>
              </w:rPr>
              <w:t xml:space="preserve">Dado que el ahorro en fugas al igual que el de plan de beneficios se refieren a los mismos recursos, se emplea ¼ del intervalo inferior reportado por </w:t>
            </w:r>
            <w:r w:rsidRPr="008450F1">
              <w:rPr>
                <w:rFonts w:ascii="Times New Roman" w:hAnsi="Times New Roman"/>
                <w:noProof/>
                <w:color w:val="auto"/>
                <w:szCs w:val="20"/>
                <w:lang w:val="es-DO"/>
              </w:rPr>
              <w:t>Chisholm &amp; Evans (2010)</w:t>
            </w:r>
          </w:p>
        </w:tc>
        <w:tc>
          <w:tcPr>
            <w:tcW w:w="933" w:type="pct"/>
            <w:vMerge/>
            <w:vAlign w:val="center"/>
          </w:tcPr>
          <w:p w:rsidR="00FA5324" w:rsidRPr="008450F1" w:rsidRDefault="00FA5324" w:rsidP="00AF0916">
            <w:pPr>
              <w:pStyle w:val="Tabla"/>
              <w:rPr>
                <w:rFonts w:ascii="Times New Roman" w:hAnsi="Times New Roman"/>
                <w:color w:val="auto"/>
                <w:szCs w:val="20"/>
                <w:lang w:val="es-DO"/>
              </w:rPr>
            </w:pPr>
          </w:p>
        </w:tc>
        <w:tc>
          <w:tcPr>
            <w:tcW w:w="681" w:type="pct"/>
            <w:vAlign w:val="center"/>
          </w:tcPr>
          <w:p w:rsidR="00FA5324" w:rsidRPr="008450F1" w:rsidDel="00566468" w:rsidRDefault="00FA5324" w:rsidP="00AF0916">
            <w:pPr>
              <w:pStyle w:val="Tabla"/>
              <w:rPr>
                <w:rFonts w:ascii="Times New Roman" w:hAnsi="Times New Roman"/>
                <w:color w:val="auto"/>
                <w:szCs w:val="20"/>
                <w:lang w:val="es-DO"/>
              </w:rPr>
            </w:pPr>
          </w:p>
        </w:tc>
      </w:tr>
      <w:tr w:rsidR="00C62A67" w:rsidRPr="008450F1" w:rsidTr="00FA5324">
        <w:trPr>
          <w:trHeight w:val="20"/>
        </w:trPr>
        <w:tc>
          <w:tcPr>
            <w:tcW w:w="734" w:type="pct"/>
            <w:shd w:val="clear" w:color="auto" w:fill="auto"/>
            <w:vAlign w:val="center"/>
            <w:hideMark/>
          </w:tcPr>
          <w:p w:rsidR="000726CC" w:rsidRPr="00FA5324" w:rsidRDefault="000726CC" w:rsidP="00AF0916">
            <w:pPr>
              <w:pStyle w:val="Tabla"/>
              <w:rPr>
                <w:rFonts w:ascii="Times New Roman" w:hAnsi="Times New Roman"/>
                <w:color w:val="auto"/>
                <w:lang w:val="es-DO"/>
              </w:rPr>
            </w:pPr>
            <w:r w:rsidRPr="008450F1">
              <w:rPr>
                <w:rFonts w:ascii="Times New Roman" w:hAnsi="Times New Roman"/>
                <w:color w:val="auto"/>
                <w:szCs w:val="20"/>
                <w:lang w:val="es-DO"/>
              </w:rPr>
              <w:t>Plan</w:t>
            </w:r>
            <w:r w:rsidRPr="00FA5324">
              <w:rPr>
                <w:rFonts w:ascii="Times New Roman" w:hAnsi="Times New Roman"/>
                <w:color w:val="auto"/>
                <w:lang w:val="es-DO"/>
              </w:rPr>
              <w:t xml:space="preserve"> de </w:t>
            </w:r>
            <w:r w:rsidRPr="008450F1">
              <w:rPr>
                <w:rFonts w:ascii="Times New Roman" w:hAnsi="Times New Roman"/>
                <w:color w:val="auto"/>
                <w:szCs w:val="20"/>
                <w:lang w:val="es-DO"/>
              </w:rPr>
              <w:t>Beneficios</w:t>
            </w:r>
            <w:r w:rsidRPr="00FA5324">
              <w:rPr>
                <w:rFonts w:ascii="Times New Roman" w:hAnsi="Times New Roman"/>
                <w:color w:val="auto"/>
                <w:lang w:val="es-DO"/>
              </w:rPr>
              <w:t xml:space="preserve"> </w:t>
            </w:r>
          </w:p>
        </w:tc>
        <w:tc>
          <w:tcPr>
            <w:tcW w:w="1179" w:type="pct"/>
            <w:vAlign w:val="center"/>
          </w:tcPr>
          <w:p w:rsidR="000726CC" w:rsidRPr="00FA5324" w:rsidDel="00566468" w:rsidRDefault="000726CC" w:rsidP="00FA5324">
            <w:pPr>
              <w:pStyle w:val="Tabla"/>
              <w:rPr>
                <w:rFonts w:ascii="Times New Roman" w:hAnsi="Times New Roman"/>
                <w:color w:val="auto"/>
                <w:lang w:val="es-DO"/>
              </w:rPr>
            </w:pPr>
          </w:p>
        </w:tc>
        <w:tc>
          <w:tcPr>
            <w:tcW w:w="1473" w:type="pct"/>
            <w:shd w:val="clear" w:color="auto" w:fill="auto"/>
            <w:vAlign w:val="center"/>
          </w:tcPr>
          <w:p w:rsidR="00BD66B4" w:rsidRPr="008450F1" w:rsidRDefault="000726CC" w:rsidP="00AF0916">
            <w:pPr>
              <w:pStyle w:val="Tabla"/>
              <w:jc w:val="center"/>
              <w:rPr>
                <w:rFonts w:ascii="Times New Roman" w:hAnsi="Times New Roman"/>
                <w:color w:val="auto"/>
                <w:szCs w:val="20"/>
                <w:lang w:val="es-DO"/>
              </w:rPr>
            </w:pPr>
            <w:r w:rsidRPr="008450F1">
              <w:rPr>
                <w:rFonts w:ascii="Times New Roman" w:hAnsi="Times New Roman"/>
                <w:color w:val="auto"/>
                <w:szCs w:val="20"/>
                <w:lang w:val="es-DO"/>
              </w:rPr>
              <w:t>2.5%</w:t>
            </w:r>
          </w:p>
          <w:p w:rsidR="000726CC" w:rsidRPr="00FA5324" w:rsidRDefault="00BD66B4" w:rsidP="00FA5324">
            <w:pPr>
              <w:pStyle w:val="Tabla"/>
              <w:rPr>
                <w:rFonts w:ascii="Times New Roman" w:hAnsi="Times New Roman"/>
                <w:color w:val="auto"/>
                <w:lang w:val="es-DO"/>
              </w:rPr>
            </w:pPr>
            <w:r w:rsidRPr="008450F1">
              <w:rPr>
                <w:rFonts w:ascii="Times New Roman" w:hAnsi="Times New Roman"/>
                <w:color w:val="auto"/>
                <w:szCs w:val="20"/>
                <w:lang w:val="es-DO"/>
              </w:rPr>
              <w:t>D</w:t>
            </w:r>
            <w:r w:rsidR="000726CC" w:rsidRPr="008450F1">
              <w:rPr>
                <w:rFonts w:ascii="Times New Roman" w:hAnsi="Times New Roman"/>
                <w:color w:val="auto"/>
                <w:szCs w:val="20"/>
                <w:lang w:val="es-DO"/>
              </w:rPr>
              <w:t>ado que el ahorro en fugas al igual que el de plan de beneficios se refieren a los mismos recursos</w:t>
            </w:r>
            <w:r w:rsidRPr="008450F1">
              <w:rPr>
                <w:rFonts w:ascii="Times New Roman" w:hAnsi="Times New Roman"/>
                <w:color w:val="auto"/>
                <w:szCs w:val="20"/>
                <w:lang w:val="es-DO"/>
              </w:rPr>
              <w:t>,</w:t>
            </w:r>
            <w:r w:rsidR="000726CC" w:rsidRPr="008450F1">
              <w:rPr>
                <w:rFonts w:ascii="Times New Roman" w:hAnsi="Times New Roman"/>
                <w:color w:val="auto"/>
                <w:szCs w:val="20"/>
                <w:lang w:val="es-DO"/>
              </w:rPr>
              <w:t xml:space="preserve"> se emplea ¼ </w:t>
            </w:r>
            <w:r w:rsidR="000726CC" w:rsidRPr="008450F1">
              <w:rPr>
                <w:rFonts w:ascii="Times New Roman" w:hAnsi="Times New Roman"/>
                <w:color w:val="auto"/>
                <w:szCs w:val="20"/>
                <w:lang w:val="es-DO"/>
              </w:rPr>
              <w:lastRenderedPageBreak/>
              <w:t xml:space="preserve">del intervalo inferior reportado por </w:t>
            </w:r>
            <w:r w:rsidRPr="008450F1">
              <w:rPr>
                <w:rFonts w:ascii="Times New Roman" w:hAnsi="Times New Roman"/>
                <w:noProof/>
                <w:color w:val="auto"/>
                <w:szCs w:val="20"/>
                <w:lang w:val="es-DO"/>
              </w:rPr>
              <w:t>Chisholm &amp; Evans (2010)</w:t>
            </w:r>
          </w:p>
        </w:tc>
        <w:tc>
          <w:tcPr>
            <w:tcW w:w="933" w:type="pct"/>
            <w:vMerge/>
            <w:vAlign w:val="center"/>
          </w:tcPr>
          <w:p w:rsidR="000726CC" w:rsidRPr="00FA5324" w:rsidRDefault="000726CC" w:rsidP="00FA5324">
            <w:pPr>
              <w:pStyle w:val="Tabla"/>
              <w:rPr>
                <w:rFonts w:ascii="Times New Roman" w:hAnsi="Times New Roman"/>
                <w:color w:val="auto"/>
                <w:lang w:val="es-DO"/>
              </w:rPr>
            </w:pPr>
          </w:p>
        </w:tc>
        <w:tc>
          <w:tcPr>
            <w:tcW w:w="681" w:type="pct"/>
            <w:vAlign w:val="center"/>
          </w:tcPr>
          <w:p w:rsidR="000726CC" w:rsidRPr="008450F1" w:rsidRDefault="000726CC" w:rsidP="00AF0916">
            <w:pPr>
              <w:pStyle w:val="Tabla"/>
              <w:rPr>
                <w:rFonts w:ascii="Times New Roman" w:hAnsi="Times New Roman"/>
                <w:color w:val="auto"/>
                <w:szCs w:val="20"/>
                <w:lang w:val="es-DO"/>
              </w:rPr>
            </w:pPr>
          </w:p>
        </w:tc>
      </w:tr>
    </w:tbl>
    <w:p w:rsidR="004938C5" w:rsidRPr="008450F1" w:rsidRDefault="00476150" w:rsidP="00AF0916">
      <w:pPr>
        <w:spacing w:after="0" w:line="240" w:lineRule="auto"/>
        <w:jc w:val="left"/>
        <w:rPr>
          <w:i/>
          <w:noProof/>
          <w:sz w:val="18"/>
          <w:lang w:val="es-DO"/>
        </w:rPr>
      </w:pPr>
      <w:r w:rsidRPr="00FA5324">
        <w:rPr>
          <w:i/>
          <w:sz w:val="18"/>
          <w:lang w:val="es-DO"/>
        </w:rPr>
        <w:lastRenderedPageBreak/>
        <w:t>Fuente</w:t>
      </w:r>
      <w:r w:rsidR="009D38BE" w:rsidRPr="00FA5324">
        <w:rPr>
          <w:i/>
          <w:sz w:val="18"/>
          <w:lang w:val="es-DO"/>
        </w:rPr>
        <w:t xml:space="preserve">: </w:t>
      </w:r>
      <w:r w:rsidR="00BD66B4" w:rsidRPr="008450F1">
        <w:rPr>
          <w:i/>
          <w:noProof/>
          <w:sz w:val="18"/>
          <w:lang w:val="es-DO"/>
        </w:rPr>
        <w:t>Chisholm &amp; Evans (2010)</w:t>
      </w:r>
    </w:p>
    <w:p w:rsidR="00476150" w:rsidRDefault="00476150" w:rsidP="00AF0916">
      <w:pPr>
        <w:spacing w:after="0" w:line="240" w:lineRule="auto"/>
        <w:jc w:val="left"/>
        <w:rPr>
          <w:i/>
          <w:lang w:val="es-DO"/>
        </w:rPr>
      </w:pPr>
    </w:p>
    <w:p w:rsidR="00BF6812" w:rsidRDefault="00BF6812" w:rsidP="00AF0916">
      <w:pPr>
        <w:spacing w:after="0" w:line="240" w:lineRule="auto"/>
        <w:jc w:val="left"/>
        <w:rPr>
          <w:i/>
          <w:lang w:val="es-DO"/>
        </w:rPr>
      </w:pPr>
    </w:p>
    <w:p w:rsidR="00BF6812" w:rsidRPr="00FA5324" w:rsidRDefault="00BF6812" w:rsidP="00FA5324">
      <w:pPr>
        <w:spacing w:after="0" w:line="240" w:lineRule="auto"/>
        <w:jc w:val="left"/>
        <w:rPr>
          <w:i/>
          <w:lang w:val="es-DO"/>
        </w:rPr>
      </w:pPr>
    </w:p>
    <w:p w:rsidR="007D15C8" w:rsidRPr="00FA5324" w:rsidRDefault="007D15C8" w:rsidP="00FA5324">
      <w:pPr>
        <w:pStyle w:val="Caption"/>
        <w:keepNext/>
        <w:spacing w:after="0"/>
        <w:jc w:val="center"/>
        <w:rPr>
          <w:i w:val="0"/>
          <w:color w:val="auto"/>
          <w:lang w:val="es-DO"/>
        </w:rPr>
      </w:pPr>
      <w:bookmarkStart w:id="19" w:name="_Ref399139439"/>
      <w:r w:rsidRPr="00FA5324">
        <w:rPr>
          <w:i w:val="0"/>
          <w:color w:val="auto"/>
          <w:lang w:val="es-DO"/>
        </w:rPr>
        <w:t xml:space="preserve">Tabla </w:t>
      </w:r>
      <w:r w:rsidR="00BC2072" w:rsidRPr="00FA5324">
        <w:rPr>
          <w:i w:val="0"/>
          <w:color w:val="auto"/>
          <w:lang w:val="es-DO"/>
        </w:rPr>
        <w:fldChar w:fldCharType="begin"/>
      </w:r>
      <w:r w:rsidR="00BC2072" w:rsidRPr="00FA5324">
        <w:rPr>
          <w:i w:val="0"/>
          <w:color w:val="auto"/>
          <w:lang w:val="es-DO"/>
        </w:rPr>
        <w:instrText xml:space="preserve"> SEQ Tabla \* ARABIC </w:instrText>
      </w:r>
      <w:r w:rsidR="00BC2072" w:rsidRPr="00FA5324">
        <w:rPr>
          <w:i w:val="0"/>
          <w:color w:val="auto"/>
          <w:lang w:val="es-DO"/>
        </w:rPr>
        <w:fldChar w:fldCharType="separate"/>
      </w:r>
      <w:r w:rsidR="00A04D48" w:rsidRPr="00FA5324">
        <w:rPr>
          <w:i w:val="0"/>
          <w:color w:val="auto"/>
          <w:lang w:val="es-DO"/>
        </w:rPr>
        <w:t>6</w:t>
      </w:r>
      <w:r w:rsidR="00BC2072" w:rsidRPr="00FA5324">
        <w:rPr>
          <w:i w:val="0"/>
          <w:color w:val="auto"/>
          <w:lang w:val="es-DO"/>
        </w:rPr>
        <w:fldChar w:fldCharType="end"/>
      </w:r>
      <w:bookmarkEnd w:id="19"/>
      <w:r w:rsidRPr="00FA5324">
        <w:rPr>
          <w:i w:val="0"/>
          <w:color w:val="auto"/>
          <w:lang w:val="es-DO"/>
        </w:rPr>
        <w:t xml:space="preserve">. Porcentajes del </w:t>
      </w:r>
      <w:r w:rsidR="004938C5" w:rsidRPr="008450F1">
        <w:rPr>
          <w:i w:val="0"/>
          <w:color w:val="auto"/>
          <w:lang w:val="es-DO"/>
        </w:rPr>
        <w:t>G</w:t>
      </w:r>
      <w:r w:rsidRPr="008450F1">
        <w:rPr>
          <w:i w:val="0"/>
          <w:color w:val="auto"/>
          <w:lang w:val="es-DO"/>
        </w:rPr>
        <w:t xml:space="preserve">asto </w:t>
      </w:r>
      <w:r w:rsidR="004938C5" w:rsidRPr="008450F1">
        <w:rPr>
          <w:i w:val="0"/>
          <w:color w:val="auto"/>
          <w:lang w:val="es-DO"/>
        </w:rPr>
        <w:t>T</w:t>
      </w:r>
      <w:r w:rsidRPr="008450F1">
        <w:rPr>
          <w:i w:val="0"/>
          <w:color w:val="auto"/>
          <w:lang w:val="es-DO"/>
        </w:rPr>
        <w:t>otal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7"/>
        <w:gridCol w:w="1648"/>
        <w:gridCol w:w="2548"/>
      </w:tblGrid>
      <w:tr w:rsidR="004938C5" w:rsidRPr="008450F1" w:rsidTr="00FA5324">
        <w:trPr>
          <w:trHeight w:val="300"/>
        </w:trPr>
        <w:tc>
          <w:tcPr>
            <w:tcW w:w="2747" w:type="pct"/>
            <w:shd w:val="clear" w:color="auto" w:fill="AEAAAA" w:themeFill="background2" w:themeFillShade="BF"/>
            <w:noWrap/>
            <w:vAlign w:val="bottom"/>
            <w:hideMark/>
          </w:tcPr>
          <w:p w:rsidR="008E72B8" w:rsidRPr="00FA5324" w:rsidRDefault="008E72B8" w:rsidP="00AF0916">
            <w:pPr>
              <w:pStyle w:val="Tabla"/>
              <w:rPr>
                <w:rFonts w:ascii="Times New Roman" w:hAnsi="Times New Roman"/>
                <w:b/>
                <w:color w:val="auto"/>
                <w:lang w:val="es-DO"/>
              </w:rPr>
            </w:pPr>
          </w:p>
        </w:tc>
        <w:tc>
          <w:tcPr>
            <w:tcW w:w="885" w:type="pct"/>
            <w:shd w:val="clear" w:color="auto" w:fill="AEAAAA" w:themeFill="background2" w:themeFillShade="BF"/>
            <w:noWrap/>
            <w:vAlign w:val="bottom"/>
            <w:hideMark/>
          </w:tcPr>
          <w:p w:rsidR="008E72B8" w:rsidRPr="00FA5324" w:rsidRDefault="008E72B8" w:rsidP="00AF0916">
            <w:pPr>
              <w:pStyle w:val="Tabla"/>
              <w:rPr>
                <w:rFonts w:ascii="Times New Roman" w:hAnsi="Times New Roman"/>
                <w:b/>
                <w:color w:val="auto"/>
                <w:lang w:val="es-DO"/>
              </w:rPr>
            </w:pPr>
            <w:r w:rsidRPr="00FA5324">
              <w:rPr>
                <w:rFonts w:ascii="Times New Roman" w:hAnsi="Times New Roman"/>
                <w:b/>
                <w:color w:val="auto"/>
                <w:lang w:val="es-DO"/>
              </w:rPr>
              <w:t>Porcentaje del Gasto Total</w:t>
            </w:r>
          </w:p>
        </w:tc>
        <w:tc>
          <w:tcPr>
            <w:tcW w:w="1368" w:type="pct"/>
            <w:shd w:val="clear" w:color="auto" w:fill="AEAAAA" w:themeFill="background2" w:themeFillShade="BF"/>
            <w:noWrap/>
            <w:vAlign w:val="bottom"/>
            <w:hideMark/>
          </w:tcPr>
          <w:p w:rsidR="008E72B8" w:rsidRPr="00FA5324" w:rsidRDefault="008E72B8" w:rsidP="00AF0916">
            <w:pPr>
              <w:pStyle w:val="Tabla"/>
              <w:rPr>
                <w:rFonts w:ascii="Times New Roman" w:hAnsi="Times New Roman"/>
                <w:b/>
                <w:color w:val="auto"/>
                <w:lang w:val="es-DO"/>
              </w:rPr>
            </w:pPr>
            <w:r w:rsidRPr="008450F1">
              <w:rPr>
                <w:rFonts w:ascii="Times New Roman" w:hAnsi="Times New Roman"/>
                <w:b/>
                <w:color w:val="auto"/>
                <w:lang w:val="es-DO"/>
              </w:rPr>
              <w:t xml:space="preserve"> </w:t>
            </w:r>
            <w:r w:rsidR="004938C5" w:rsidRPr="008450F1">
              <w:rPr>
                <w:rFonts w:ascii="Times New Roman" w:hAnsi="Times New Roman"/>
                <w:b/>
                <w:color w:val="auto"/>
                <w:lang w:val="es-DO"/>
              </w:rPr>
              <w:t>Gasto Total en</w:t>
            </w:r>
            <w:r w:rsidR="004938C5" w:rsidRPr="00FA5324">
              <w:rPr>
                <w:rFonts w:ascii="Times New Roman" w:hAnsi="Times New Roman"/>
                <w:b/>
                <w:color w:val="auto"/>
                <w:lang w:val="es-DO"/>
              </w:rPr>
              <w:t xml:space="preserve"> </w:t>
            </w:r>
            <w:r w:rsidRPr="00FA5324">
              <w:rPr>
                <w:rFonts w:ascii="Times New Roman" w:hAnsi="Times New Roman"/>
                <w:b/>
                <w:color w:val="auto"/>
                <w:lang w:val="es-DO"/>
              </w:rPr>
              <w:t xml:space="preserve">Millones de DOP Corrientes de 2012 </w:t>
            </w:r>
          </w:p>
        </w:tc>
      </w:tr>
      <w:tr w:rsidR="004938C5" w:rsidRPr="008450F1" w:rsidTr="00FA5324">
        <w:trPr>
          <w:trHeight w:val="300"/>
        </w:trPr>
        <w:tc>
          <w:tcPr>
            <w:tcW w:w="2747" w:type="pct"/>
            <w:shd w:val="clear" w:color="auto" w:fill="auto"/>
            <w:noWrap/>
            <w:vAlign w:val="bottom"/>
            <w:hideMark/>
          </w:tcPr>
          <w:p w:rsidR="008E72B8" w:rsidRPr="00FA5324" w:rsidRDefault="008E72B8" w:rsidP="00AF0916">
            <w:pPr>
              <w:pStyle w:val="Tabla"/>
              <w:rPr>
                <w:rFonts w:ascii="Times New Roman" w:hAnsi="Times New Roman"/>
                <w:color w:val="auto"/>
                <w:lang w:val="es-DO"/>
              </w:rPr>
            </w:pPr>
            <w:r w:rsidRPr="00FA5324">
              <w:rPr>
                <w:rFonts w:ascii="Times New Roman" w:hAnsi="Times New Roman"/>
                <w:color w:val="auto"/>
                <w:lang w:val="es-DO"/>
              </w:rPr>
              <w:t>Gasto Total</w:t>
            </w:r>
          </w:p>
        </w:tc>
        <w:tc>
          <w:tcPr>
            <w:tcW w:w="885" w:type="pct"/>
            <w:shd w:val="clear" w:color="auto" w:fill="auto"/>
            <w:noWrap/>
            <w:vAlign w:val="center"/>
            <w:hideMark/>
          </w:tcPr>
          <w:p w:rsidR="008E72B8" w:rsidRPr="00FA5324" w:rsidRDefault="008E72B8" w:rsidP="00AF0916">
            <w:pPr>
              <w:pStyle w:val="Tabla"/>
              <w:jc w:val="center"/>
              <w:rPr>
                <w:rFonts w:ascii="Times New Roman" w:hAnsi="Times New Roman"/>
                <w:color w:val="auto"/>
                <w:lang w:val="es-DO"/>
              </w:rPr>
            </w:pPr>
            <w:r w:rsidRPr="00FA5324">
              <w:rPr>
                <w:rFonts w:ascii="Times New Roman" w:hAnsi="Times New Roman"/>
                <w:color w:val="auto"/>
                <w:lang w:val="es-DO"/>
              </w:rPr>
              <w:t>100%</w:t>
            </w:r>
          </w:p>
        </w:tc>
        <w:tc>
          <w:tcPr>
            <w:tcW w:w="1368" w:type="pct"/>
            <w:shd w:val="clear" w:color="auto" w:fill="auto"/>
            <w:noWrap/>
            <w:vAlign w:val="center"/>
            <w:hideMark/>
          </w:tcPr>
          <w:p w:rsidR="008E72B8" w:rsidRPr="00FA5324" w:rsidRDefault="008E72B8" w:rsidP="00FA5324">
            <w:pPr>
              <w:pStyle w:val="Tabla"/>
              <w:jc w:val="center"/>
              <w:rPr>
                <w:rFonts w:ascii="Times New Roman" w:hAnsi="Times New Roman"/>
                <w:color w:val="auto"/>
                <w:lang w:val="es-DO"/>
              </w:rPr>
            </w:pPr>
            <w:r w:rsidRPr="00FA5324">
              <w:rPr>
                <w:rFonts w:ascii="Times New Roman" w:hAnsi="Times New Roman"/>
                <w:color w:val="auto"/>
                <w:lang w:val="es-DO"/>
              </w:rPr>
              <w:t>$63,881.96</w:t>
            </w:r>
          </w:p>
        </w:tc>
      </w:tr>
      <w:tr w:rsidR="004938C5" w:rsidRPr="008450F1" w:rsidTr="00FA5324">
        <w:trPr>
          <w:trHeight w:val="300"/>
        </w:trPr>
        <w:tc>
          <w:tcPr>
            <w:tcW w:w="2747" w:type="pct"/>
            <w:shd w:val="clear" w:color="auto" w:fill="auto"/>
            <w:noWrap/>
            <w:vAlign w:val="bottom"/>
            <w:hideMark/>
          </w:tcPr>
          <w:p w:rsidR="008E72B8" w:rsidRPr="00FA5324" w:rsidRDefault="008E72B8" w:rsidP="00AF0916">
            <w:pPr>
              <w:pStyle w:val="Tabla"/>
              <w:rPr>
                <w:rFonts w:ascii="Times New Roman" w:hAnsi="Times New Roman"/>
                <w:color w:val="auto"/>
                <w:lang w:val="es-DO"/>
              </w:rPr>
            </w:pPr>
            <w:r w:rsidRPr="00FA5324">
              <w:rPr>
                <w:rFonts w:ascii="Times New Roman" w:hAnsi="Times New Roman"/>
                <w:bCs w:val="0"/>
                <w:color w:val="auto"/>
                <w:lang w:val="es-DO"/>
              </w:rPr>
              <w:t>Medicamentos</w:t>
            </w:r>
            <w:r w:rsidR="004938C5" w:rsidRPr="008450F1">
              <w:rPr>
                <w:rFonts w:ascii="Times New Roman" w:hAnsi="Times New Roman"/>
                <w:color w:val="auto"/>
                <w:lang w:val="es-DO"/>
              </w:rPr>
              <w:t xml:space="preserve"> </w:t>
            </w:r>
            <w:r w:rsidRPr="00FA5324">
              <w:rPr>
                <w:rFonts w:ascii="Times New Roman" w:hAnsi="Times New Roman"/>
                <w:color w:val="auto"/>
                <w:lang w:val="es-DO"/>
              </w:rPr>
              <w:t xml:space="preserve">(Gasto en </w:t>
            </w:r>
            <w:r w:rsidR="004938C5" w:rsidRPr="008450F1">
              <w:rPr>
                <w:rFonts w:ascii="Times New Roman" w:hAnsi="Times New Roman"/>
                <w:color w:val="auto"/>
                <w:lang w:val="es-DO"/>
              </w:rPr>
              <w:t>m</w:t>
            </w:r>
            <w:r w:rsidRPr="008450F1">
              <w:rPr>
                <w:rFonts w:ascii="Times New Roman" w:hAnsi="Times New Roman"/>
                <w:color w:val="auto"/>
                <w:lang w:val="es-DO"/>
              </w:rPr>
              <w:t>edicamentos</w:t>
            </w:r>
            <w:r w:rsidRPr="00FA5324">
              <w:rPr>
                <w:rFonts w:ascii="Times New Roman" w:hAnsi="Times New Roman"/>
                <w:color w:val="auto"/>
                <w:lang w:val="es-DO"/>
              </w:rPr>
              <w:t>)</w:t>
            </w:r>
          </w:p>
        </w:tc>
        <w:tc>
          <w:tcPr>
            <w:tcW w:w="885" w:type="pct"/>
            <w:shd w:val="clear" w:color="auto" w:fill="auto"/>
            <w:noWrap/>
            <w:vAlign w:val="center"/>
            <w:hideMark/>
          </w:tcPr>
          <w:p w:rsidR="008E72B8" w:rsidRPr="00FA5324" w:rsidRDefault="008E72B8" w:rsidP="00AF0916">
            <w:pPr>
              <w:pStyle w:val="Tabla"/>
              <w:jc w:val="center"/>
              <w:rPr>
                <w:rFonts w:ascii="Times New Roman" w:hAnsi="Times New Roman"/>
                <w:color w:val="auto"/>
                <w:lang w:val="es-DO"/>
              </w:rPr>
            </w:pPr>
            <w:r w:rsidRPr="00FA5324">
              <w:rPr>
                <w:rFonts w:ascii="Times New Roman" w:hAnsi="Times New Roman"/>
                <w:color w:val="auto"/>
                <w:lang w:val="es-DO"/>
              </w:rPr>
              <w:t>8%</w:t>
            </w:r>
          </w:p>
        </w:tc>
        <w:tc>
          <w:tcPr>
            <w:tcW w:w="1368" w:type="pct"/>
            <w:shd w:val="clear" w:color="auto" w:fill="auto"/>
            <w:noWrap/>
            <w:vAlign w:val="center"/>
            <w:hideMark/>
          </w:tcPr>
          <w:p w:rsidR="008E72B8" w:rsidRPr="00FA5324" w:rsidRDefault="008E72B8" w:rsidP="00FA5324">
            <w:pPr>
              <w:pStyle w:val="Tabla"/>
              <w:jc w:val="center"/>
              <w:rPr>
                <w:rFonts w:ascii="Times New Roman" w:hAnsi="Times New Roman"/>
                <w:color w:val="auto"/>
                <w:lang w:val="es-DO"/>
              </w:rPr>
            </w:pPr>
            <w:r w:rsidRPr="00FA5324">
              <w:rPr>
                <w:rFonts w:ascii="Times New Roman" w:hAnsi="Times New Roman"/>
                <w:color w:val="auto"/>
                <w:lang w:val="es-DO"/>
              </w:rPr>
              <w:t>$5,197</w:t>
            </w:r>
          </w:p>
        </w:tc>
      </w:tr>
      <w:tr w:rsidR="004938C5" w:rsidRPr="008450F1" w:rsidTr="00FA5324">
        <w:trPr>
          <w:trHeight w:val="300"/>
        </w:trPr>
        <w:tc>
          <w:tcPr>
            <w:tcW w:w="2747" w:type="pct"/>
            <w:shd w:val="clear" w:color="auto" w:fill="auto"/>
            <w:noWrap/>
            <w:vAlign w:val="bottom"/>
            <w:hideMark/>
          </w:tcPr>
          <w:p w:rsidR="008E72B8" w:rsidRPr="00FA5324" w:rsidRDefault="008E72B8" w:rsidP="00AF0916">
            <w:pPr>
              <w:pStyle w:val="Tabla"/>
              <w:rPr>
                <w:rFonts w:ascii="Times New Roman" w:hAnsi="Times New Roman"/>
                <w:color w:val="auto"/>
                <w:lang w:val="es-DO"/>
              </w:rPr>
            </w:pPr>
            <w:r w:rsidRPr="00FA5324">
              <w:rPr>
                <w:rFonts w:ascii="Times New Roman" w:hAnsi="Times New Roman"/>
                <w:bCs w:val="0"/>
                <w:color w:val="auto"/>
                <w:lang w:val="es-DO"/>
              </w:rPr>
              <w:t>Recursos Humanos</w:t>
            </w:r>
            <w:r w:rsidR="004938C5" w:rsidRPr="008450F1">
              <w:rPr>
                <w:rFonts w:ascii="Times New Roman" w:hAnsi="Times New Roman"/>
                <w:color w:val="auto"/>
                <w:lang w:val="es-DO"/>
              </w:rPr>
              <w:t xml:space="preserve"> </w:t>
            </w:r>
            <w:r w:rsidRPr="00FA5324">
              <w:rPr>
                <w:rFonts w:ascii="Times New Roman" w:hAnsi="Times New Roman"/>
                <w:color w:val="auto"/>
                <w:lang w:val="es-DO"/>
              </w:rPr>
              <w:t>(Servicios personales)</w:t>
            </w:r>
          </w:p>
        </w:tc>
        <w:tc>
          <w:tcPr>
            <w:tcW w:w="885" w:type="pct"/>
            <w:shd w:val="clear" w:color="auto" w:fill="auto"/>
            <w:noWrap/>
            <w:vAlign w:val="center"/>
            <w:hideMark/>
          </w:tcPr>
          <w:p w:rsidR="008E72B8" w:rsidRPr="00FA5324" w:rsidRDefault="008E72B8" w:rsidP="00AF0916">
            <w:pPr>
              <w:pStyle w:val="Tabla"/>
              <w:jc w:val="center"/>
              <w:rPr>
                <w:rFonts w:ascii="Times New Roman" w:hAnsi="Times New Roman"/>
                <w:color w:val="auto"/>
                <w:lang w:val="es-DO"/>
              </w:rPr>
            </w:pPr>
            <w:r w:rsidRPr="00FA5324">
              <w:rPr>
                <w:rFonts w:ascii="Times New Roman" w:hAnsi="Times New Roman"/>
                <w:color w:val="auto"/>
                <w:lang w:val="es-DO"/>
              </w:rPr>
              <w:t>32%</w:t>
            </w:r>
          </w:p>
        </w:tc>
        <w:tc>
          <w:tcPr>
            <w:tcW w:w="1368" w:type="pct"/>
            <w:shd w:val="clear" w:color="auto" w:fill="auto"/>
            <w:noWrap/>
            <w:vAlign w:val="center"/>
            <w:hideMark/>
          </w:tcPr>
          <w:p w:rsidR="008E72B8" w:rsidRPr="00FA5324" w:rsidRDefault="008E72B8" w:rsidP="00FA5324">
            <w:pPr>
              <w:pStyle w:val="Tabla"/>
              <w:jc w:val="center"/>
              <w:rPr>
                <w:rFonts w:ascii="Times New Roman" w:hAnsi="Times New Roman"/>
                <w:color w:val="auto"/>
                <w:lang w:val="es-DO"/>
              </w:rPr>
            </w:pPr>
            <w:r w:rsidRPr="00FA5324">
              <w:rPr>
                <w:rFonts w:ascii="Times New Roman" w:hAnsi="Times New Roman"/>
                <w:color w:val="auto"/>
                <w:lang w:val="es-DO"/>
              </w:rPr>
              <w:t>$20,592</w:t>
            </w:r>
          </w:p>
        </w:tc>
      </w:tr>
      <w:tr w:rsidR="004938C5" w:rsidRPr="008450F1" w:rsidTr="00FA5324">
        <w:trPr>
          <w:trHeight w:val="300"/>
        </w:trPr>
        <w:tc>
          <w:tcPr>
            <w:tcW w:w="2747" w:type="pct"/>
            <w:shd w:val="clear" w:color="auto" w:fill="auto"/>
            <w:noWrap/>
            <w:vAlign w:val="bottom"/>
            <w:hideMark/>
          </w:tcPr>
          <w:p w:rsidR="008E72B8" w:rsidRPr="00FA5324" w:rsidRDefault="008E72B8" w:rsidP="00AF0916">
            <w:pPr>
              <w:pStyle w:val="Tabla"/>
              <w:rPr>
                <w:rFonts w:ascii="Times New Roman" w:hAnsi="Times New Roman"/>
                <w:color w:val="auto"/>
                <w:lang w:val="es-DO"/>
              </w:rPr>
            </w:pPr>
            <w:r w:rsidRPr="00FA5324">
              <w:rPr>
                <w:rFonts w:ascii="Times New Roman" w:hAnsi="Times New Roman"/>
                <w:bCs w:val="0"/>
                <w:color w:val="auto"/>
                <w:lang w:val="es-DO"/>
              </w:rPr>
              <w:t>Hospitales</w:t>
            </w:r>
            <w:r w:rsidR="004938C5" w:rsidRPr="008450F1">
              <w:rPr>
                <w:rFonts w:ascii="Times New Roman" w:hAnsi="Times New Roman"/>
                <w:color w:val="auto"/>
                <w:lang w:val="es-DO"/>
              </w:rPr>
              <w:t xml:space="preserve"> </w:t>
            </w:r>
            <w:r w:rsidRPr="00FA5324">
              <w:rPr>
                <w:rFonts w:ascii="Times New Roman" w:hAnsi="Times New Roman"/>
                <w:bCs w:val="0"/>
                <w:color w:val="auto"/>
                <w:lang w:val="es-DO"/>
              </w:rPr>
              <w:t xml:space="preserve">(Transferencias </w:t>
            </w:r>
            <w:r w:rsidR="004938C5" w:rsidRPr="00FA5324">
              <w:rPr>
                <w:rFonts w:ascii="Times New Roman" w:hAnsi="Times New Roman"/>
                <w:bCs w:val="0"/>
                <w:color w:val="auto"/>
                <w:lang w:val="es-DO"/>
              </w:rPr>
              <w:t>c</w:t>
            </w:r>
            <w:r w:rsidRPr="00FA5324">
              <w:rPr>
                <w:rFonts w:ascii="Times New Roman" w:hAnsi="Times New Roman"/>
                <w:bCs w:val="0"/>
                <w:color w:val="auto"/>
                <w:lang w:val="es-DO"/>
              </w:rPr>
              <w:t>orrientes</w:t>
            </w:r>
            <w:r w:rsidR="004938C5" w:rsidRPr="008450F1">
              <w:rPr>
                <w:rFonts w:ascii="Times New Roman" w:hAnsi="Times New Roman"/>
                <w:color w:val="auto"/>
                <w:lang w:val="es-DO"/>
              </w:rPr>
              <w:t xml:space="preserve"> _ </w:t>
            </w:r>
            <w:r w:rsidRPr="00FA5324">
              <w:rPr>
                <w:rFonts w:ascii="Times New Roman" w:hAnsi="Times New Roman"/>
                <w:color w:val="auto"/>
                <w:lang w:val="es-DO"/>
              </w:rPr>
              <w:t>Transferencias de capital)</w:t>
            </w:r>
          </w:p>
        </w:tc>
        <w:tc>
          <w:tcPr>
            <w:tcW w:w="885" w:type="pct"/>
            <w:shd w:val="clear" w:color="auto" w:fill="auto"/>
            <w:noWrap/>
            <w:vAlign w:val="center"/>
            <w:hideMark/>
          </w:tcPr>
          <w:p w:rsidR="008E72B8" w:rsidRPr="00FA5324" w:rsidRDefault="008E72B8" w:rsidP="00AF0916">
            <w:pPr>
              <w:pStyle w:val="Tabla"/>
              <w:jc w:val="center"/>
              <w:rPr>
                <w:rFonts w:ascii="Times New Roman" w:hAnsi="Times New Roman"/>
                <w:color w:val="auto"/>
                <w:lang w:val="es-DO"/>
              </w:rPr>
            </w:pPr>
            <w:r w:rsidRPr="00FA5324">
              <w:rPr>
                <w:rFonts w:ascii="Times New Roman" w:hAnsi="Times New Roman"/>
                <w:color w:val="auto"/>
                <w:lang w:val="es-DO"/>
              </w:rPr>
              <w:t>25%</w:t>
            </w:r>
          </w:p>
        </w:tc>
        <w:tc>
          <w:tcPr>
            <w:tcW w:w="1368" w:type="pct"/>
            <w:shd w:val="clear" w:color="auto" w:fill="auto"/>
            <w:noWrap/>
            <w:vAlign w:val="center"/>
            <w:hideMark/>
          </w:tcPr>
          <w:p w:rsidR="008E72B8" w:rsidRPr="00FA5324" w:rsidRDefault="008E72B8" w:rsidP="00FA5324">
            <w:pPr>
              <w:pStyle w:val="Tabla"/>
              <w:jc w:val="center"/>
              <w:rPr>
                <w:rFonts w:ascii="Times New Roman" w:hAnsi="Times New Roman"/>
                <w:color w:val="auto"/>
                <w:lang w:val="es-DO"/>
              </w:rPr>
            </w:pPr>
            <w:r w:rsidRPr="00FA5324">
              <w:rPr>
                <w:rFonts w:ascii="Times New Roman" w:hAnsi="Times New Roman"/>
                <w:color w:val="auto"/>
                <w:lang w:val="es-DO"/>
              </w:rPr>
              <w:t>$15,943</w:t>
            </w:r>
          </w:p>
        </w:tc>
      </w:tr>
      <w:tr w:rsidR="004938C5" w:rsidRPr="008450F1" w:rsidTr="00FA5324">
        <w:trPr>
          <w:trHeight w:val="300"/>
        </w:trPr>
        <w:tc>
          <w:tcPr>
            <w:tcW w:w="2747" w:type="pct"/>
            <w:shd w:val="clear" w:color="auto" w:fill="auto"/>
            <w:noWrap/>
            <w:vAlign w:val="bottom"/>
            <w:hideMark/>
          </w:tcPr>
          <w:p w:rsidR="008E72B8" w:rsidRPr="00FA5324" w:rsidRDefault="008E72B8" w:rsidP="00AF0916">
            <w:pPr>
              <w:pStyle w:val="Tabla"/>
              <w:rPr>
                <w:rFonts w:ascii="Times New Roman" w:hAnsi="Times New Roman"/>
                <w:color w:val="auto"/>
                <w:lang w:val="es-DO"/>
              </w:rPr>
            </w:pPr>
            <w:r w:rsidRPr="00FA5324">
              <w:rPr>
                <w:rFonts w:ascii="Times New Roman" w:hAnsi="Times New Roman"/>
                <w:color w:val="auto"/>
                <w:lang w:val="es-DO"/>
              </w:rPr>
              <w:t>Resto</w:t>
            </w:r>
          </w:p>
        </w:tc>
        <w:tc>
          <w:tcPr>
            <w:tcW w:w="885" w:type="pct"/>
            <w:shd w:val="clear" w:color="auto" w:fill="auto"/>
            <w:noWrap/>
            <w:vAlign w:val="center"/>
            <w:hideMark/>
          </w:tcPr>
          <w:p w:rsidR="008E72B8" w:rsidRPr="00FA5324" w:rsidRDefault="008E72B8" w:rsidP="00AF0916">
            <w:pPr>
              <w:pStyle w:val="Tabla"/>
              <w:jc w:val="center"/>
              <w:rPr>
                <w:rFonts w:ascii="Times New Roman" w:hAnsi="Times New Roman"/>
                <w:color w:val="auto"/>
                <w:lang w:val="es-DO"/>
              </w:rPr>
            </w:pPr>
            <w:r w:rsidRPr="00FA5324">
              <w:rPr>
                <w:rFonts w:ascii="Times New Roman" w:hAnsi="Times New Roman"/>
                <w:color w:val="auto"/>
                <w:lang w:val="es-DO"/>
              </w:rPr>
              <w:t>35%</w:t>
            </w:r>
          </w:p>
        </w:tc>
        <w:tc>
          <w:tcPr>
            <w:tcW w:w="1368" w:type="pct"/>
            <w:shd w:val="clear" w:color="auto" w:fill="auto"/>
            <w:noWrap/>
            <w:vAlign w:val="center"/>
            <w:hideMark/>
          </w:tcPr>
          <w:p w:rsidR="008E72B8" w:rsidRPr="00FA5324" w:rsidRDefault="008E72B8" w:rsidP="00FA5324">
            <w:pPr>
              <w:pStyle w:val="Tabla"/>
              <w:jc w:val="center"/>
              <w:rPr>
                <w:rFonts w:ascii="Times New Roman" w:hAnsi="Times New Roman"/>
                <w:color w:val="auto"/>
                <w:lang w:val="es-DO"/>
              </w:rPr>
            </w:pPr>
            <w:r w:rsidRPr="00FA5324">
              <w:rPr>
                <w:rFonts w:ascii="Times New Roman" w:hAnsi="Times New Roman"/>
                <w:color w:val="auto"/>
                <w:lang w:val="es-DO"/>
              </w:rPr>
              <w:t>$22,150</w:t>
            </w:r>
          </w:p>
        </w:tc>
      </w:tr>
    </w:tbl>
    <w:p w:rsidR="008E72B8" w:rsidRPr="008450F1" w:rsidRDefault="008E72B8" w:rsidP="00AF0916">
      <w:pPr>
        <w:spacing w:after="0" w:line="240" w:lineRule="auto"/>
        <w:jc w:val="left"/>
        <w:rPr>
          <w:i/>
          <w:sz w:val="18"/>
          <w:lang w:val="es-DO"/>
        </w:rPr>
      </w:pPr>
      <w:r w:rsidRPr="00FA5324">
        <w:rPr>
          <w:i/>
          <w:sz w:val="18"/>
          <w:lang w:val="es-DO"/>
        </w:rPr>
        <w:t xml:space="preserve">Fuente cálculos propios a partir de </w:t>
      </w:r>
      <w:r w:rsidR="004938C5" w:rsidRPr="008450F1">
        <w:rPr>
          <w:i/>
          <w:noProof/>
          <w:sz w:val="18"/>
          <w:lang w:val="es-DO"/>
        </w:rPr>
        <w:t>Ministerio de Salud Pública (2012)</w:t>
      </w:r>
    </w:p>
    <w:p w:rsidR="004938C5" w:rsidRPr="00FA5324" w:rsidRDefault="004938C5" w:rsidP="00FA5324">
      <w:pPr>
        <w:spacing w:after="0" w:line="240" w:lineRule="auto"/>
        <w:rPr>
          <w:lang w:val="es-DO"/>
        </w:rPr>
      </w:pPr>
    </w:p>
    <w:p w:rsidR="00345770" w:rsidRPr="00FA5324" w:rsidRDefault="006A5B1B" w:rsidP="00FA5324">
      <w:pPr>
        <w:spacing w:after="0" w:line="240" w:lineRule="auto"/>
        <w:rPr>
          <w:lang w:val="es-DO"/>
        </w:rPr>
      </w:pPr>
      <w:r w:rsidRPr="00FA5324">
        <w:rPr>
          <w:lang w:val="es-DO"/>
        </w:rPr>
        <w:t>Excepto para la Carrera Sanitaria, los</w:t>
      </w:r>
      <w:r w:rsidR="002D1E23" w:rsidRPr="00FA5324">
        <w:rPr>
          <w:lang w:val="es-DO"/>
        </w:rPr>
        <w:t xml:space="preserve"> valores</w:t>
      </w:r>
      <w:r w:rsidR="00DF5C7B" w:rsidRPr="00FA5324">
        <w:rPr>
          <w:lang w:val="es-DO"/>
        </w:rPr>
        <w:t xml:space="preserve"> de costos </w:t>
      </w:r>
      <w:r w:rsidR="002D1E23" w:rsidRPr="00FA5324">
        <w:rPr>
          <w:lang w:val="es-DO"/>
        </w:rPr>
        <w:t>de las acciones de políti</w:t>
      </w:r>
      <w:r w:rsidR="007670F5" w:rsidRPr="00FA5324">
        <w:rPr>
          <w:lang w:val="es-DO"/>
        </w:rPr>
        <w:t>ca</w:t>
      </w:r>
      <w:r w:rsidR="00DF5C7B" w:rsidRPr="00FA5324">
        <w:rPr>
          <w:lang w:val="es-DO"/>
        </w:rPr>
        <w:t xml:space="preserve"> se obtuvieron del costo</w:t>
      </w:r>
      <w:r w:rsidR="007670F5" w:rsidRPr="00FA5324">
        <w:rPr>
          <w:lang w:val="es-DO"/>
        </w:rPr>
        <w:t xml:space="preserve"> de</w:t>
      </w:r>
      <w:r w:rsidR="00DF5C7B" w:rsidRPr="00FA5324">
        <w:rPr>
          <w:lang w:val="es-DO"/>
        </w:rPr>
        <w:t xml:space="preserve"> </w:t>
      </w:r>
      <w:r w:rsidR="006402CB" w:rsidRPr="00FA5324">
        <w:rPr>
          <w:lang w:val="es-DO"/>
        </w:rPr>
        <w:t>medidas similares llevadas a cabo</w:t>
      </w:r>
      <w:r w:rsidR="00DF5C7B" w:rsidRPr="00FA5324">
        <w:rPr>
          <w:lang w:val="es-DO"/>
        </w:rPr>
        <w:t xml:space="preserve"> en Colombia. Es de señalarse que</w:t>
      </w:r>
      <w:r w:rsidR="004938C5" w:rsidRPr="008450F1">
        <w:rPr>
          <w:lang w:val="es-DO"/>
        </w:rPr>
        <w:t>,</w:t>
      </w:r>
      <w:r w:rsidR="00DF5C7B" w:rsidRPr="00FA5324">
        <w:rPr>
          <w:lang w:val="es-DO"/>
        </w:rPr>
        <w:t xml:space="preserve"> </w:t>
      </w:r>
      <w:r w:rsidR="006970E0" w:rsidRPr="00FA5324">
        <w:rPr>
          <w:lang w:val="es-DO"/>
        </w:rPr>
        <w:t>al igual que en pensiones</w:t>
      </w:r>
      <w:r w:rsidR="004938C5" w:rsidRPr="008450F1">
        <w:rPr>
          <w:lang w:val="es-DO"/>
        </w:rPr>
        <w:t>,</w:t>
      </w:r>
      <w:r w:rsidR="006970E0" w:rsidRPr="00FA5324">
        <w:rPr>
          <w:lang w:val="es-DO"/>
        </w:rPr>
        <w:t xml:space="preserve"> </w:t>
      </w:r>
      <w:r w:rsidR="00DF5C7B" w:rsidRPr="00FA5324">
        <w:rPr>
          <w:lang w:val="es-DO"/>
        </w:rPr>
        <w:t xml:space="preserve">el sistema dominicano </w:t>
      </w:r>
      <w:r w:rsidR="006970E0" w:rsidRPr="00FA5324">
        <w:rPr>
          <w:lang w:val="es-DO"/>
        </w:rPr>
        <w:t xml:space="preserve">de </w:t>
      </w:r>
      <w:r w:rsidR="007E70A2" w:rsidRPr="00FA5324">
        <w:rPr>
          <w:lang w:val="es-DO"/>
        </w:rPr>
        <w:t>salud</w:t>
      </w:r>
      <w:r w:rsidR="006970E0" w:rsidRPr="00FA5324">
        <w:rPr>
          <w:lang w:val="es-DO"/>
        </w:rPr>
        <w:t xml:space="preserve"> </w:t>
      </w:r>
      <w:r w:rsidR="00DF5C7B" w:rsidRPr="00FA5324">
        <w:rPr>
          <w:lang w:val="es-DO"/>
        </w:rPr>
        <w:t xml:space="preserve">guarda una gran </w:t>
      </w:r>
      <w:r w:rsidR="004938C5" w:rsidRPr="008450F1">
        <w:rPr>
          <w:lang w:val="es-DO"/>
        </w:rPr>
        <w:t>similitud</w:t>
      </w:r>
      <w:r w:rsidR="004938C5" w:rsidRPr="00FA5324">
        <w:rPr>
          <w:lang w:val="es-DO"/>
        </w:rPr>
        <w:t xml:space="preserve"> </w:t>
      </w:r>
      <w:r w:rsidR="00DF5C7B" w:rsidRPr="00FA5324">
        <w:rPr>
          <w:lang w:val="es-DO"/>
        </w:rPr>
        <w:t xml:space="preserve">con el </w:t>
      </w:r>
      <w:r w:rsidR="008B6043" w:rsidRPr="00FA5324">
        <w:rPr>
          <w:lang w:val="es-DO"/>
        </w:rPr>
        <w:t>sistema c</w:t>
      </w:r>
      <w:r w:rsidR="00DF5C7B" w:rsidRPr="00FA5324">
        <w:rPr>
          <w:lang w:val="es-DO"/>
        </w:rPr>
        <w:t xml:space="preserve">olombiano y que en otros análisis </w:t>
      </w:r>
      <w:r w:rsidR="006402CB" w:rsidRPr="00FA5324">
        <w:rPr>
          <w:lang w:val="es-DO"/>
        </w:rPr>
        <w:t xml:space="preserve">para RD </w:t>
      </w:r>
      <w:r w:rsidR="00DF5C7B" w:rsidRPr="00FA5324">
        <w:rPr>
          <w:lang w:val="es-DO"/>
        </w:rPr>
        <w:t>se han empleado los costos de Colombia como referencia para los cálculos, por ejemplo</w:t>
      </w:r>
      <w:r w:rsidR="006402CB" w:rsidRPr="00FA5324">
        <w:rPr>
          <w:lang w:val="es-DO"/>
        </w:rPr>
        <w:t>,</w:t>
      </w:r>
      <w:r w:rsidR="00DF5C7B" w:rsidRPr="00FA5324">
        <w:rPr>
          <w:lang w:val="es-DO"/>
        </w:rPr>
        <w:t xml:space="preserve"> en la última propuesta de actualización del PDSS de la </w:t>
      </w:r>
      <w:r w:rsidR="00862F2B" w:rsidRPr="008450F1">
        <w:rPr>
          <w:lang w:val="es-DO"/>
        </w:rPr>
        <w:t>Superintendencia de Salud y Riesgos Laborales (</w:t>
      </w:r>
      <w:r w:rsidR="00DF5C7B" w:rsidRPr="008450F1">
        <w:rPr>
          <w:lang w:val="es-DO"/>
        </w:rPr>
        <w:t>SISALRIL</w:t>
      </w:r>
      <w:r w:rsidR="00862F2B" w:rsidRPr="008450F1">
        <w:rPr>
          <w:lang w:val="es-DO"/>
        </w:rPr>
        <w:t>)</w:t>
      </w:r>
      <w:r w:rsidR="00DF5C7B" w:rsidRPr="008450F1">
        <w:rPr>
          <w:lang w:val="es-DO"/>
        </w:rPr>
        <w:t xml:space="preserve">. </w:t>
      </w:r>
      <w:r w:rsidR="00345770" w:rsidRPr="008450F1">
        <w:rPr>
          <w:lang w:val="es-DO"/>
        </w:rPr>
        <w:t>Igual que para los beneficios, l</w:t>
      </w:r>
      <w:r w:rsidR="00DF5C7B" w:rsidRPr="008450F1">
        <w:rPr>
          <w:lang w:val="es-DO"/>
        </w:rPr>
        <w:t>os</w:t>
      </w:r>
      <w:r w:rsidR="00DF5C7B" w:rsidRPr="00FA5324">
        <w:rPr>
          <w:lang w:val="es-DO"/>
        </w:rPr>
        <w:t xml:space="preserve"> costos se convirtieron primero a dólares empleando la equiva</w:t>
      </w:r>
      <w:r w:rsidR="00846A47" w:rsidRPr="00FA5324">
        <w:rPr>
          <w:lang w:val="es-DO"/>
        </w:rPr>
        <w:t>lencia por paridad adquisitiva -</w:t>
      </w:r>
      <w:r w:rsidR="00DF5C7B" w:rsidRPr="00FA5324">
        <w:rPr>
          <w:lang w:val="es-DO"/>
        </w:rPr>
        <w:t>PPP-, luego se indexaron al año 2015 según el IPC de Estados Unidos, y se convirtieron a DOP empleando la tasa de PPP</w:t>
      </w:r>
      <w:r w:rsidRPr="00FA5324">
        <w:rPr>
          <w:lang w:val="es-DO"/>
        </w:rPr>
        <w:t xml:space="preserve">. </w:t>
      </w:r>
      <w:r w:rsidR="00DF5C7B" w:rsidRPr="00FA5324">
        <w:rPr>
          <w:lang w:val="es-DO"/>
        </w:rPr>
        <w:t xml:space="preserve">En la </w:t>
      </w:r>
      <w:r w:rsidR="008B09E2" w:rsidRPr="00FA5324">
        <w:rPr>
          <w:lang w:val="es-DO"/>
        </w:rPr>
        <w:t xml:space="preserve">Tabla </w:t>
      </w:r>
      <w:r w:rsidR="00A82A97" w:rsidRPr="00FA5324">
        <w:rPr>
          <w:lang w:val="es-DO"/>
        </w:rPr>
        <w:t>7</w:t>
      </w:r>
      <w:r w:rsidR="008B0B7A" w:rsidRPr="00FA5324">
        <w:rPr>
          <w:lang w:val="es-DO"/>
        </w:rPr>
        <w:t xml:space="preserve"> </w:t>
      </w:r>
      <w:r w:rsidR="00DF5C7B" w:rsidRPr="00FA5324">
        <w:rPr>
          <w:lang w:val="es-DO"/>
        </w:rPr>
        <w:t xml:space="preserve">se </w:t>
      </w:r>
      <w:r w:rsidR="00930BCC" w:rsidRPr="00FA5324">
        <w:rPr>
          <w:lang w:val="es-DO"/>
        </w:rPr>
        <w:t>detallan los parámetros de costos empleados.</w:t>
      </w:r>
    </w:p>
    <w:p w:rsidR="00DF5C7B" w:rsidRPr="008450F1" w:rsidRDefault="00DF5C7B" w:rsidP="00AF0916">
      <w:pPr>
        <w:spacing w:after="0" w:line="240" w:lineRule="auto"/>
        <w:rPr>
          <w:lang w:val="es-DO"/>
        </w:rPr>
      </w:pPr>
    </w:p>
    <w:p w:rsidR="007D15C8" w:rsidRPr="00FA5324" w:rsidRDefault="007D15C8" w:rsidP="00FA5324">
      <w:pPr>
        <w:pStyle w:val="Caption"/>
        <w:keepNext/>
        <w:spacing w:after="0"/>
        <w:jc w:val="center"/>
        <w:rPr>
          <w:i w:val="0"/>
          <w:color w:val="auto"/>
          <w:lang w:val="es-DO"/>
        </w:rPr>
      </w:pPr>
      <w:r w:rsidRPr="00FA5324">
        <w:rPr>
          <w:i w:val="0"/>
          <w:color w:val="auto"/>
          <w:lang w:val="es-DO"/>
        </w:rPr>
        <w:t xml:space="preserve">Tabla </w:t>
      </w:r>
      <w:r w:rsidR="00BC2072" w:rsidRPr="00FA5324">
        <w:rPr>
          <w:i w:val="0"/>
          <w:color w:val="auto"/>
          <w:lang w:val="es-DO"/>
        </w:rPr>
        <w:fldChar w:fldCharType="begin"/>
      </w:r>
      <w:r w:rsidR="00BC2072" w:rsidRPr="00FA5324">
        <w:rPr>
          <w:i w:val="0"/>
          <w:color w:val="auto"/>
          <w:lang w:val="es-DO"/>
        </w:rPr>
        <w:instrText xml:space="preserve"> SEQ Tabla \* ARABIC </w:instrText>
      </w:r>
      <w:r w:rsidR="00BC2072" w:rsidRPr="00FA5324">
        <w:rPr>
          <w:i w:val="0"/>
          <w:color w:val="auto"/>
          <w:lang w:val="es-DO"/>
        </w:rPr>
        <w:fldChar w:fldCharType="separate"/>
      </w:r>
      <w:r w:rsidR="00A04D48" w:rsidRPr="00FA5324">
        <w:rPr>
          <w:i w:val="0"/>
          <w:color w:val="auto"/>
          <w:lang w:val="es-DO"/>
        </w:rPr>
        <w:t>7</w:t>
      </w:r>
      <w:r w:rsidR="00BC2072" w:rsidRPr="00FA5324">
        <w:rPr>
          <w:i w:val="0"/>
          <w:color w:val="auto"/>
          <w:lang w:val="es-DO"/>
        </w:rPr>
        <w:fldChar w:fldCharType="end"/>
      </w:r>
      <w:r w:rsidRPr="00FA5324">
        <w:rPr>
          <w:i w:val="0"/>
          <w:color w:val="auto"/>
          <w:lang w:val="es-DO"/>
        </w:rPr>
        <w:t xml:space="preserve">. Componente III  </w:t>
      </w:r>
      <w:r w:rsidR="007E70A2" w:rsidRPr="00FA5324">
        <w:rPr>
          <w:i w:val="0"/>
          <w:color w:val="auto"/>
          <w:lang w:val="es-DO"/>
        </w:rPr>
        <w:t>parámetros</w:t>
      </w:r>
      <w:r w:rsidRPr="00FA5324">
        <w:rPr>
          <w:i w:val="0"/>
          <w:color w:val="auto"/>
          <w:lang w:val="es-DO"/>
        </w:rPr>
        <w:t xml:space="preserve"> de costos empleados en el modelo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9"/>
        <w:gridCol w:w="1738"/>
        <w:gridCol w:w="952"/>
        <w:gridCol w:w="3073"/>
        <w:gridCol w:w="1451"/>
      </w:tblGrid>
      <w:tr w:rsidR="00A60F38" w:rsidRPr="008450F1" w:rsidTr="00E9491C">
        <w:trPr>
          <w:trHeight w:val="300"/>
          <w:tblHeader/>
        </w:trPr>
        <w:tc>
          <w:tcPr>
            <w:tcW w:w="1127" w:type="pct"/>
            <w:shd w:val="clear" w:color="auto" w:fill="AEAAAA" w:themeFill="background2" w:themeFillShade="BF"/>
            <w:noWrap/>
            <w:vAlign w:val="center"/>
          </w:tcPr>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Costo Incremental</w:t>
            </w:r>
          </w:p>
        </w:tc>
        <w:tc>
          <w:tcPr>
            <w:tcW w:w="933" w:type="pct"/>
            <w:shd w:val="clear" w:color="auto" w:fill="AEAAAA" w:themeFill="background2" w:themeFillShade="BF"/>
            <w:noWrap/>
            <w:vAlign w:val="center"/>
          </w:tcPr>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Costo anual Millones de DOP constantes de 2015</w:t>
            </w:r>
          </w:p>
        </w:tc>
        <w:tc>
          <w:tcPr>
            <w:tcW w:w="511" w:type="pct"/>
            <w:shd w:val="clear" w:color="auto" w:fill="AEAAAA" w:themeFill="background2" w:themeFillShade="BF"/>
            <w:noWrap/>
            <w:vAlign w:val="center"/>
          </w:tcPr>
          <w:p w:rsidR="00345770" w:rsidRPr="008450F1"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Año</w:t>
            </w:r>
          </w:p>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País</w:t>
            </w:r>
          </w:p>
        </w:tc>
        <w:tc>
          <w:tcPr>
            <w:tcW w:w="1650" w:type="pct"/>
            <w:shd w:val="clear" w:color="auto" w:fill="AEAAAA" w:themeFill="background2" w:themeFillShade="BF"/>
            <w:noWrap/>
            <w:vAlign w:val="center"/>
          </w:tcPr>
          <w:p w:rsidR="00911BF6" w:rsidRPr="00FA5324" w:rsidRDefault="00911BF6" w:rsidP="00AF0916">
            <w:pPr>
              <w:pStyle w:val="Tabla"/>
              <w:jc w:val="center"/>
              <w:rPr>
                <w:rFonts w:ascii="Times New Roman" w:hAnsi="Times New Roman"/>
                <w:color w:val="auto"/>
                <w:u w:val="single"/>
                <w:lang w:val="es-DO"/>
              </w:rPr>
            </w:pPr>
            <w:r w:rsidRPr="00FA5324">
              <w:rPr>
                <w:rFonts w:ascii="Times New Roman" w:hAnsi="Times New Roman"/>
                <w:color w:val="auto"/>
                <w:lang w:val="es-DO"/>
              </w:rPr>
              <w:t>Fuente</w:t>
            </w:r>
          </w:p>
        </w:tc>
        <w:tc>
          <w:tcPr>
            <w:tcW w:w="779" w:type="pct"/>
            <w:shd w:val="clear" w:color="auto" w:fill="AEAAAA" w:themeFill="background2" w:themeFillShade="BF"/>
            <w:noWrap/>
            <w:vAlign w:val="center"/>
          </w:tcPr>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Notas</w:t>
            </w:r>
          </w:p>
        </w:tc>
      </w:tr>
      <w:tr w:rsidR="00C62A67" w:rsidRPr="008450F1" w:rsidTr="00FA5324">
        <w:trPr>
          <w:trHeight w:val="600"/>
        </w:trPr>
        <w:tc>
          <w:tcPr>
            <w:tcW w:w="1127" w:type="pct"/>
            <w:shd w:val="clear" w:color="auto" w:fill="auto"/>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Unidad actuarial</w:t>
            </w:r>
          </w:p>
        </w:tc>
        <w:tc>
          <w:tcPr>
            <w:tcW w:w="933" w:type="pct"/>
            <w:shd w:val="clear" w:color="auto" w:fill="auto"/>
            <w:noWrap/>
            <w:vAlign w:val="center"/>
            <w:hideMark/>
          </w:tcPr>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$40.52</w:t>
            </w:r>
          </w:p>
        </w:tc>
        <w:tc>
          <w:tcPr>
            <w:tcW w:w="511" w:type="pct"/>
            <w:shd w:val="clear" w:color="auto" w:fill="auto"/>
            <w:noWrap/>
            <w:vAlign w:val="center"/>
            <w:hideMark/>
          </w:tcPr>
          <w:p w:rsidR="00911BF6" w:rsidRPr="00FA5324" w:rsidRDefault="00911BF6" w:rsidP="00FA5324">
            <w:pPr>
              <w:pStyle w:val="Tabla"/>
              <w:jc w:val="center"/>
              <w:rPr>
                <w:rFonts w:ascii="Times New Roman" w:hAnsi="Times New Roman"/>
                <w:color w:val="auto"/>
                <w:lang w:val="es-DO"/>
              </w:rPr>
            </w:pPr>
            <w:r w:rsidRPr="00FA5324">
              <w:rPr>
                <w:rFonts w:ascii="Times New Roman" w:hAnsi="Times New Roman"/>
                <w:color w:val="auto"/>
                <w:lang w:val="es-DO"/>
              </w:rPr>
              <w:t>2014 Colombia</w:t>
            </w:r>
          </w:p>
        </w:tc>
        <w:tc>
          <w:tcPr>
            <w:tcW w:w="1650"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 xml:space="preserve">Informe de </w:t>
            </w:r>
            <w:r w:rsidR="008B6043" w:rsidRPr="00FA5324">
              <w:rPr>
                <w:rFonts w:ascii="Times New Roman" w:hAnsi="Times New Roman"/>
                <w:color w:val="auto"/>
                <w:lang w:val="es-DO"/>
              </w:rPr>
              <w:t>ejecución</w:t>
            </w:r>
            <w:r w:rsidRPr="00FA5324">
              <w:rPr>
                <w:rFonts w:ascii="Times New Roman" w:hAnsi="Times New Roman"/>
                <w:color w:val="auto"/>
                <w:lang w:val="es-DO"/>
              </w:rPr>
              <w:t xml:space="preserve"> presupuestal SUPERSALUD</w:t>
            </w:r>
            <w:r w:rsidR="00700A20" w:rsidRPr="00FA5324">
              <w:rPr>
                <w:rFonts w:ascii="Times New Roman" w:hAnsi="Times New Roman"/>
                <w:color w:val="auto"/>
                <w:lang w:val="es-DO"/>
              </w:rPr>
              <w:t xml:space="preserve"> - http://www.supersalud.gov.co/supersalud/LinkClick.aspx?fileticket=EK2o875%2bISI%3d&amp;tabid=829&amp;mid=2555 </w:t>
            </w:r>
          </w:p>
        </w:tc>
        <w:tc>
          <w:tcPr>
            <w:tcW w:w="779"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p>
        </w:tc>
      </w:tr>
      <w:tr w:rsidR="00C62A67" w:rsidRPr="008450F1" w:rsidTr="00FA5324">
        <w:trPr>
          <w:trHeight w:val="300"/>
        </w:trPr>
        <w:tc>
          <w:tcPr>
            <w:tcW w:w="1127" w:type="pct"/>
            <w:shd w:val="clear" w:color="auto" w:fill="auto"/>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Sistema de monitoreo</w:t>
            </w:r>
          </w:p>
        </w:tc>
        <w:tc>
          <w:tcPr>
            <w:tcW w:w="933" w:type="pct"/>
            <w:shd w:val="clear" w:color="auto" w:fill="auto"/>
            <w:noWrap/>
            <w:vAlign w:val="center"/>
            <w:hideMark/>
          </w:tcPr>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$149.55</w:t>
            </w:r>
          </w:p>
        </w:tc>
        <w:tc>
          <w:tcPr>
            <w:tcW w:w="511" w:type="pct"/>
            <w:shd w:val="clear" w:color="auto" w:fill="auto"/>
            <w:noWrap/>
            <w:vAlign w:val="center"/>
            <w:hideMark/>
          </w:tcPr>
          <w:p w:rsidR="00911BF6" w:rsidRPr="00FA5324" w:rsidRDefault="00911BF6" w:rsidP="00FA5324">
            <w:pPr>
              <w:pStyle w:val="Tabla"/>
              <w:jc w:val="center"/>
              <w:rPr>
                <w:rFonts w:ascii="Times New Roman" w:hAnsi="Times New Roman"/>
                <w:color w:val="auto"/>
                <w:lang w:val="es-DO"/>
              </w:rPr>
            </w:pPr>
            <w:r w:rsidRPr="00FA5324">
              <w:rPr>
                <w:rFonts w:ascii="Times New Roman" w:hAnsi="Times New Roman"/>
                <w:color w:val="auto"/>
                <w:lang w:val="es-DO"/>
              </w:rPr>
              <w:t>2014 Colombia</w:t>
            </w:r>
          </w:p>
        </w:tc>
        <w:tc>
          <w:tcPr>
            <w:tcW w:w="1650" w:type="pct"/>
            <w:shd w:val="clear" w:color="auto" w:fill="auto"/>
            <w:noWrap/>
            <w:vAlign w:val="center"/>
            <w:hideMark/>
          </w:tcPr>
          <w:p w:rsidR="00FD4AE8"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Presupuesto MSPS a julio 2014</w:t>
            </w:r>
            <w:r w:rsidR="00FD4AE8" w:rsidRPr="00FA5324">
              <w:rPr>
                <w:rFonts w:ascii="Times New Roman" w:hAnsi="Times New Roman"/>
                <w:color w:val="auto"/>
                <w:lang w:val="es-DO"/>
              </w:rPr>
              <w:t xml:space="preserve"> http://www.minsalud.gov.co/Ministerio/RCuentas/Paginas/Informacion-financiera.aspx </w:t>
            </w:r>
          </w:p>
        </w:tc>
        <w:tc>
          <w:tcPr>
            <w:tcW w:w="779"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Se ajusta por población</w:t>
            </w:r>
            <w:r w:rsidR="00345770" w:rsidRPr="008450F1">
              <w:rPr>
                <w:rFonts w:ascii="Times New Roman" w:hAnsi="Times New Roman"/>
                <w:color w:val="auto"/>
                <w:lang w:val="es-DO"/>
              </w:rPr>
              <w:t>:</w:t>
            </w:r>
            <w:r w:rsidRPr="00FA5324">
              <w:rPr>
                <w:rFonts w:ascii="Times New Roman" w:hAnsi="Times New Roman"/>
                <w:color w:val="auto"/>
                <w:lang w:val="es-DO"/>
              </w:rPr>
              <w:t xml:space="preserve"> 10.2 Millones </w:t>
            </w:r>
            <w:r w:rsidR="00345770" w:rsidRPr="008450F1">
              <w:rPr>
                <w:rFonts w:ascii="Times New Roman" w:hAnsi="Times New Roman"/>
                <w:color w:val="auto"/>
                <w:lang w:val="es-DO"/>
              </w:rPr>
              <w:t>RD;</w:t>
            </w:r>
            <w:r w:rsidR="00345770" w:rsidRPr="00FA5324">
              <w:rPr>
                <w:rFonts w:ascii="Times New Roman" w:hAnsi="Times New Roman"/>
                <w:color w:val="auto"/>
                <w:lang w:val="es-DO"/>
              </w:rPr>
              <w:t xml:space="preserve"> </w:t>
            </w:r>
            <w:r w:rsidRPr="00FA5324">
              <w:rPr>
                <w:rFonts w:ascii="Times New Roman" w:hAnsi="Times New Roman"/>
                <w:color w:val="auto"/>
                <w:lang w:val="es-DO"/>
              </w:rPr>
              <w:t>47.6 COL</w:t>
            </w:r>
          </w:p>
        </w:tc>
      </w:tr>
      <w:tr w:rsidR="00C62A67" w:rsidRPr="008450F1" w:rsidTr="00FA5324">
        <w:trPr>
          <w:trHeight w:val="600"/>
        </w:trPr>
        <w:tc>
          <w:tcPr>
            <w:tcW w:w="1127" w:type="pct"/>
            <w:shd w:val="clear" w:color="auto" w:fill="auto"/>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Instituto Coordinador de los Servicios Públicos de Salud</w:t>
            </w:r>
          </w:p>
        </w:tc>
        <w:tc>
          <w:tcPr>
            <w:tcW w:w="933" w:type="pct"/>
            <w:shd w:val="clear" w:color="auto" w:fill="auto"/>
            <w:noWrap/>
            <w:vAlign w:val="center"/>
            <w:hideMark/>
          </w:tcPr>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$4.94</w:t>
            </w:r>
          </w:p>
        </w:tc>
        <w:tc>
          <w:tcPr>
            <w:tcW w:w="511" w:type="pct"/>
            <w:shd w:val="clear" w:color="auto" w:fill="auto"/>
            <w:noWrap/>
            <w:vAlign w:val="center"/>
            <w:hideMark/>
          </w:tcPr>
          <w:p w:rsidR="00911BF6" w:rsidRPr="00FA5324" w:rsidRDefault="00911BF6" w:rsidP="00FA5324">
            <w:pPr>
              <w:pStyle w:val="Tabla"/>
              <w:jc w:val="center"/>
              <w:rPr>
                <w:rFonts w:ascii="Times New Roman" w:hAnsi="Times New Roman"/>
                <w:color w:val="auto"/>
                <w:lang w:val="es-DO"/>
              </w:rPr>
            </w:pPr>
            <w:r w:rsidRPr="00FA5324">
              <w:rPr>
                <w:rFonts w:ascii="Times New Roman" w:hAnsi="Times New Roman"/>
                <w:color w:val="auto"/>
                <w:lang w:val="es-DO"/>
              </w:rPr>
              <w:t>2013 Colombia</w:t>
            </w:r>
          </w:p>
        </w:tc>
        <w:tc>
          <w:tcPr>
            <w:tcW w:w="1650"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P</w:t>
            </w:r>
            <w:r w:rsidR="00700A20" w:rsidRPr="00FA5324">
              <w:rPr>
                <w:rFonts w:ascii="Times New Roman" w:hAnsi="Times New Roman"/>
                <w:color w:val="auto"/>
                <w:lang w:val="es-DO"/>
              </w:rPr>
              <w:t xml:space="preserve">lan </w:t>
            </w:r>
            <w:r w:rsidRPr="00FA5324">
              <w:rPr>
                <w:rFonts w:ascii="Times New Roman" w:hAnsi="Times New Roman"/>
                <w:color w:val="auto"/>
                <w:lang w:val="es-DO"/>
              </w:rPr>
              <w:t>O</w:t>
            </w:r>
            <w:r w:rsidR="00700A20" w:rsidRPr="00FA5324">
              <w:rPr>
                <w:rFonts w:ascii="Times New Roman" w:hAnsi="Times New Roman"/>
                <w:color w:val="auto"/>
                <w:lang w:val="es-DO"/>
              </w:rPr>
              <w:t xml:space="preserve">perativo Anual de Inversiones – </w:t>
            </w:r>
            <w:r w:rsidRPr="00FA5324">
              <w:rPr>
                <w:rFonts w:ascii="Times New Roman" w:hAnsi="Times New Roman"/>
                <w:color w:val="auto"/>
                <w:lang w:val="es-DO"/>
              </w:rPr>
              <w:t>2013</w:t>
            </w:r>
            <w:r w:rsidR="00700A20" w:rsidRPr="00FA5324">
              <w:rPr>
                <w:rFonts w:ascii="Times New Roman" w:hAnsi="Times New Roman"/>
                <w:color w:val="auto"/>
                <w:lang w:val="es-DO"/>
              </w:rPr>
              <w:t xml:space="preserve"> Departamento de Antioquia/Colombia</w:t>
            </w:r>
          </w:p>
          <w:p w:rsidR="00700A20" w:rsidRPr="00FA5324" w:rsidRDefault="00700A20" w:rsidP="00AF0916">
            <w:pPr>
              <w:pStyle w:val="Tabla"/>
              <w:rPr>
                <w:rFonts w:ascii="Times New Roman" w:hAnsi="Times New Roman"/>
                <w:color w:val="auto"/>
                <w:lang w:val="es-DO"/>
              </w:rPr>
            </w:pPr>
            <w:r w:rsidRPr="00FA5324">
              <w:rPr>
                <w:rFonts w:ascii="Times New Roman" w:hAnsi="Times New Roman"/>
                <w:color w:val="auto"/>
                <w:lang w:val="es-DO"/>
              </w:rPr>
              <w:t xml:space="preserve">http://www.antioquia.gov.co/antioquia-v1/organismos/planeacion/finanzas/poai.html </w:t>
            </w:r>
          </w:p>
        </w:tc>
        <w:tc>
          <w:tcPr>
            <w:tcW w:w="779"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p>
        </w:tc>
      </w:tr>
      <w:tr w:rsidR="00C62A67" w:rsidRPr="008450F1" w:rsidTr="00FA5324">
        <w:trPr>
          <w:trHeight w:val="600"/>
        </w:trPr>
        <w:tc>
          <w:tcPr>
            <w:tcW w:w="1127" w:type="pct"/>
            <w:shd w:val="clear" w:color="auto" w:fill="auto"/>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 xml:space="preserve">Ejecución de la Política Nacional de Calidad en Salud </w:t>
            </w:r>
            <w:r w:rsidR="009A2674" w:rsidRPr="00FA5324">
              <w:rPr>
                <w:rFonts w:ascii="Times New Roman" w:hAnsi="Times New Roman"/>
                <w:color w:val="auto"/>
                <w:lang w:val="es-DO"/>
              </w:rPr>
              <w:t xml:space="preserve">en la </w:t>
            </w:r>
            <w:r w:rsidR="009A2674" w:rsidRPr="008450F1">
              <w:rPr>
                <w:rFonts w:ascii="Times New Roman" w:hAnsi="Times New Roman"/>
                <w:color w:val="auto"/>
                <w:lang w:val="es-DO"/>
              </w:rPr>
              <w:t>parte</w:t>
            </w:r>
            <w:r w:rsidR="009A2674" w:rsidRPr="00FA5324">
              <w:rPr>
                <w:rFonts w:ascii="Times New Roman" w:hAnsi="Times New Roman"/>
                <w:color w:val="auto"/>
                <w:lang w:val="es-DO"/>
              </w:rPr>
              <w:t xml:space="preserve"> de </w:t>
            </w:r>
            <w:r w:rsidR="009A2674" w:rsidRPr="008450F1">
              <w:rPr>
                <w:rFonts w:ascii="Times New Roman" w:hAnsi="Times New Roman"/>
                <w:color w:val="auto"/>
                <w:lang w:val="es-DO"/>
              </w:rPr>
              <w:t>empoderamiento</w:t>
            </w:r>
          </w:p>
        </w:tc>
        <w:tc>
          <w:tcPr>
            <w:tcW w:w="933" w:type="pct"/>
            <w:shd w:val="clear" w:color="auto" w:fill="auto"/>
            <w:noWrap/>
            <w:vAlign w:val="center"/>
            <w:hideMark/>
          </w:tcPr>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$1.93</w:t>
            </w:r>
          </w:p>
        </w:tc>
        <w:tc>
          <w:tcPr>
            <w:tcW w:w="511" w:type="pct"/>
            <w:shd w:val="clear" w:color="auto" w:fill="auto"/>
            <w:noWrap/>
            <w:vAlign w:val="center"/>
            <w:hideMark/>
          </w:tcPr>
          <w:p w:rsidR="00911BF6" w:rsidRPr="00FA5324" w:rsidRDefault="00911BF6" w:rsidP="00FA5324">
            <w:pPr>
              <w:pStyle w:val="Tabla"/>
              <w:jc w:val="center"/>
              <w:rPr>
                <w:rFonts w:ascii="Times New Roman" w:hAnsi="Times New Roman"/>
                <w:color w:val="auto"/>
                <w:lang w:val="es-DO"/>
              </w:rPr>
            </w:pPr>
            <w:r w:rsidRPr="00FA5324">
              <w:rPr>
                <w:rFonts w:ascii="Times New Roman" w:hAnsi="Times New Roman"/>
                <w:color w:val="auto"/>
                <w:lang w:val="es-DO"/>
              </w:rPr>
              <w:t>2014 Colombia</w:t>
            </w:r>
          </w:p>
        </w:tc>
        <w:tc>
          <w:tcPr>
            <w:tcW w:w="1650"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 xml:space="preserve">Ejecución presupuestal MSPS </w:t>
            </w:r>
            <w:r w:rsidR="00FD4AE8" w:rsidRPr="00FA5324">
              <w:rPr>
                <w:rFonts w:ascii="Times New Roman" w:hAnsi="Times New Roman"/>
                <w:color w:val="auto"/>
                <w:lang w:val="es-DO"/>
              </w:rPr>
              <w:t>–</w:t>
            </w:r>
            <w:r w:rsidRPr="00FA5324">
              <w:rPr>
                <w:rFonts w:ascii="Times New Roman" w:hAnsi="Times New Roman"/>
                <w:color w:val="auto"/>
                <w:lang w:val="es-DO"/>
              </w:rPr>
              <w:t xml:space="preserve"> abril</w:t>
            </w:r>
            <w:r w:rsidR="00FD4AE8" w:rsidRPr="00FA5324">
              <w:rPr>
                <w:rFonts w:ascii="Times New Roman" w:hAnsi="Times New Roman"/>
                <w:color w:val="auto"/>
                <w:lang w:val="es-DO"/>
              </w:rPr>
              <w:t xml:space="preserve"> http://www.minsalud.gov.co/Ministerio/RCuentas/Paginas/Informacion-financiera.aspx </w:t>
            </w:r>
          </w:p>
        </w:tc>
        <w:tc>
          <w:tcPr>
            <w:tcW w:w="779"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p>
        </w:tc>
      </w:tr>
      <w:tr w:rsidR="00C62A67" w:rsidRPr="008450F1" w:rsidTr="00FA5324">
        <w:trPr>
          <w:trHeight w:val="600"/>
        </w:trPr>
        <w:tc>
          <w:tcPr>
            <w:tcW w:w="1127" w:type="pct"/>
            <w:shd w:val="clear" w:color="auto" w:fill="auto"/>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lastRenderedPageBreak/>
              <w:t xml:space="preserve">La implementación de la Política Nacional de Calidad en Salud </w:t>
            </w:r>
            <w:r w:rsidR="009A2674" w:rsidRPr="00FA5324">
              <w:rPr>
                <w:rFonts w:ascii="Times New Roman" w:hAnsi="Times New Roman"/>
                <w:color w:val="auto"/>
                <w:lang w:val="es-DO"/>
              </w:rPr>
              <w:t xml:space="preserve">en la </w:t>
            </w:r>
            <w:r w:rsidR="009A2674" w:rsidRPr="008450F1">
              <w:rPr>
                <w:rFonts w:ascii="Times New Roman" w:hAnsi="Times New Roman"/>
                <w:color w:val="auto"/>
                <w:lang w:val="es-DO"/>
              </w:rPr>
              <w:t>parte</w:t>
            </w:r>
            <w:r w:rsidR="009A2674" w:rsidRPr="00FA5324">
              <w:rPr>
                <w:rFonts w:ascii="Times New Roman" w:hAnsi="Times New Roman"/>
                <w:color w:val="auto"/>
                <w:lang w:val="es-DO"/>
              </w:rPr>
              <w:t xml:space="preserve"> de </w:t>
            </w:r>
            <w:r w:rsidR="009A2674" w:rsidRPr="008450F1">
              <w:rPr>
                <w:rFonts w:ascii="Times New Roman" w:hAnsi="Times New Roman"/>
                <w:color w:val="auto"/>
                <w:lang w:val="es-DO"/>
              </w:rPr>
              <w:t>medicamento</w:t>
            </w:r>
          </w:p>
        </w:tc>
        <w:tc>
          <w:tcPr>
            <w:tcW w:w="933" w:type="pct"/>
            <w:shd w:val="clear" w:color="auto" w:fill="auto"/>
            <w:noWrap/>
            <w:vAlign w:val="center"/>
            <w:hideMark/>
          </w:tcPr>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$9.65</w:t>
            </w:r>
          </w:p>
        </w:tc>
        <w:tc>
          <w:tcPr>
            <w:tcW w:w="511" w:type="pct"/>
            <w:shd w:val="clear" w:color="auto" w:fill="auto"/>
            <w:noWrap/>
            <w:vAlign w:val="center"/>
            <w:hideMark/>
          </w:tcPr>
          <w:p w:rsidR="00911BF6" w:rsidRPr="00FA5324" w:rsidRDefault="00911BF6" w:rsidP="00FA5324">
            <w:pPr>
              <w:pStyle w:val="Tabla"/>
              <w:jc w:val="center"/>
              <w:rPr>
                <w:rFonts w:ascii="Times New Roman" w:hAnsi="Times New Roman"/>
                <w:color w:val="auto"/>
                <w:lang w:val="es-DO"/>
              </w:rPr>
            </w:pPr>
            <w:r w:rsidRPr="00FA5324">
              <w:rPr>
                <w:rFonts w:ascii="Times New Roman" w:hAnsi="Times New Roman"/>
                <w:color w:val="auto"/>
                <w:lang w:val="es-DO"/>
              </w:rPr>
              <w:t>2014 Colombia</w:t>
            </w:r>
          </w:p>
        </w:tc>
        <w:tc>
          <w:tcPr>
            <w:tcW w:w="1650"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Presupuesto MSPS a julio 2014</w:t>
            </w:r>
            <w:r w:rsidR="00FD4AE8" w:rsidRPr="00FA5324">
              <w:rPr>
                <w:rFonts w:ascii="Times New Roman" w:hAnsi="Times New Roman"/>
                <w:color w:val="auto"/>
                <w:lang w:val="es-DO"/>
              </w:rPr>
              <w:t xml:space="preserve"> http://www.minsalud.gov.co/Ministerio/RCuentas/Paginas/Informacion-financiera.aspx</w:t>
            </w:r>
          </w:p>
        </w:tc>
        <w:tc>
          <w:tcPr>
            <w:tcW w:w="779"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Capacitación y formación RH de MSPS nacional</w:t>
            </w:r>
          </w:p>
        </w:tc>
      </w:tr>
      <w:tr w:rsidR="00C62A67" w:rsidRPr="008450F1" w:rsidTr="00FA5324">
        <w:trPr>
          <w:trHeight w:val="600"/>
        </w:trPr>
        <w:tc>
          <w:tcPr>
            <w:tcW w:w="1127" w:type="pct"/>
            <w:shd w:val="clear" w:color="auto" w:fill="auto"/>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Actualización el PDSS</w:t>
            </w:r>
          </w:p>
        </w:tc>
        <w:tc>
          <w:tcPr>
            <w:tcW w:w="933" w:type="pct"/>
            <w:shd w:val="clear" w:color="auto" w:fill="auto"/>
            <w:noWrap/>
            <w:vAlign w:val="center"/>
            <w:hideMark/>
          </w:tcPr>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$57.89</w:t>
            </w:r>
          </w:p>
        </w:tc>
        <w:tc>
          <w:tcPr>
            <w:tcW w:w="511" w:type="pct"/>
            <w:shd w:val="clear" w:color="auto" w:fill="auto"/>
            <w:noWrap/>
            <w:vAlign w:val="center"/>
            <w:hideMark/>
          </w:tcPr>
          <w:p w:rsidR="00911BF6" w:rsidRPr="00FA5324" w:rsidRDefault="00911BF6" w:rsidP="00FA5324">
            <w:pPr>
              <w:pStyle w:val="Tabla"/>
              <w:jc w:val="center"/>
              <w:rPr>
                <w:rFonts w:ascii="Times New Roman" w:hAnsi="Times New Roman"/>
                <w:color w:val="auto"/>
                <w:lang w:val="es-DO"/>
              </w:rPr>
            </w:pPr>
            <w:r w:rsidRPr="00FA5324">
              <w:rPr>
                <w:rFonts w:ascii="Times New Roman" w:hAnsi="Times New Roman"/>
                <w:color w:val="auto"/>
                <w:lang w:val="es-DO"/>
              </w:rPr>
              <w:t>2014 Colombia</w:t>
            </w:r>
          </w:p>
        </w:tc>
        <w:tc>
          <w:tcPr>
            <w:tcW w:w="1650"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Presupuesto MSPS a julio 2014</w:t>
            </w:r>
            <w:r w:rsidR="00FD4AE8" w:rsidRPr="00FA5324">
              <w:rPr>
                <w:rFonts w:ascii="Times New Roman" w:hAnsi="Times New Roman"/>
                <w:color w:val="auto"/>
                <w:lang w:val="es-DO"/>
              </w:rPr>
              <w:t xml:space="preserve"> http://www.minsalud.gov.co/Ministerio/RCuentas/Paginas/Informacion-financiera.aspx</w:t>
            </w:r>
          </w:p>
        </w:tc>
        <w:tc>
          <w:tcPr>
            <w:tcW w:w="779"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p>
        </w:tc>
      </w:tr>
      <w:tr w:rsidR="00C62A67" w:rsidRPr="008450F1" w:rsidTr="00FA5324">
        <w:trPr>
          <w:trHeight w:val="600"/>
        </w:trPr>
        <w:tc>
          <w:tcPr>
            <w:tcW w:w="1127" w:type="pct"/>
            <w:shd w:val="clear" w:color="auto" w:fill="auto"/>
            <w:vAlign w:val="center"/>
            <w:hideMark/>
          </w:tcPr>
          <w:p w:rsidR="00911BF6" w:rsidRPr="00FA5324" w:rsidRDefault="00846A47" w:rsidP="00AF0916">
            <w:pPr>
              <w:pStyle w:val="Tabla"/>
              <w:rPr>
                <w:rFonts w:ascii="Times New Roman" w:hAnsi="Times New Roman"/>
                <w:color w:val="auto"/>
                <w:lang w:val="es-DO"/>
              </w:rPr>
            </w:pPr>
            <w:r w:rsidRPr="00FA5324">
              <w:rPr>
                <w:rFonts w:ascii="Times New Roman" w:hAnsi="Times New Roman"/>
                <w:color w:val="auto"/>
                <w:lang w:val="es-DO"/>
              </w:rPr>
              <w:t>L</w:t>
            </w:r>
            <w:r w:rsidR="00911BF6" w:rsidRPr="00FA5324">
              <w:rPr>
                <w:rFonts w:ascii="Times New Roman" w:hAnsi="Times New Roman"/>
                <w:color w:val="auto"/>
                <w:lang w:val="es-DO"/>
              </w:rPr>
              <w:t>a implementación del modelo, manuales, capacitaciones, adecuaciones</w:t>
            </w:r>
          </w:p>
        </w:tc>
        <w:tc>
          <w:tcPr>
            <w:tcW w:w="933" w:type="pct"/>
            <w:shd w:val="clear" w:color="auto" w:fill="auto"/>
            <w:noWrap/>
            <w:vAlign w:val="center"/>
            <w:hideMark/>
          </w:tcPr>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$9.65</w:t>
            </w:r>
          </w:p>
        </w:tc>
        <w:tc>
          <w:tcPr>
            <w:tcW w:w="511" w:type="pct"/>
            <w:shd w:val="clear" w:color="auto" w:fill="auto"/>
            <w:noWrap/>
            <w:vAlign w:val="center"/>
            <w:hideMark/>
          </w:tcPr>
          <w:p w:rsidR="00911BF6" w:rsidRPr="00FA5324" w:rsidRDefault="00911BF6" w:rsidP="00FA5324">
            <w:pPr>
              <w:pStyle w:val="Tabla"/>
              <w:jc w:val="center"/>
              <w:rPr>
                <w:rFonts w:ascii="Times New Roman" w:hAnsi="Times New Roman"/>
                <w:color w:val="auto"/>
                <w:lang w:val="es-DO"/>
              </w:rPr>
            </w:pPr>
            <w:r w:rsidRPr="00FA5324">
              <w:rPr>
                <w:rFonts w:ascii="Times New Roman" w:hAnsi="Times New Roman"/>
                <w:color w:val="auto"/>
                <w:lang w:val="es-DO"/>
              </w:rPr>
              <w:t>2014 Colombia</w:t>
            </w:r>
          </w:p>
        </w:tc>
        <w:tc>
          <w:tcPr>
            <w:tcW w:w="1650"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Presupuesto MSPS a julio 2014</w:t>
            </w:r>
            <w:r w:rsidR="00FD4AE8" w:rsidRPr="00FA5324">
              <w:rPr>
                <w:rFonts w:ascii="Times New Roman" w:hAnsi="Times New Roman"/>
                <w:color w:val="auto"/>
                <w:lang w:val="es-DO"/>
              </w:rPr>
              <w:t xml:space="preserve"> http://www.minsalud.gov.co/Ministerio/RCuentas/Paginas/Informacion-financiera.aspx</w:t>
            </w:r>
          </w:p>
        </w:tc>
        <w:tc>
          <w:tcPr>
            <w:tcW w:w="779"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Capacitación y formación RH de MSPS nacional</w:t>
            </w:r>
          </w:p>
        </w:tc>
      </w:tr>
      <w:tr w:rsidR="00C62A67" w:rsidRPr="008450F1" w:rsidTr="00FA5324">
        <w:trPr>
          <w:trHeight w:val="600"/>
        </w:trPr>
        <w:tc>
          <w:tcPr>
            <w:tcW w:w="1127" w:type="pct"/>
            <w:shd w:val="clear" w:color="auto" w:fill="auto"/>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La implementación de la Política Nacional de Calidad en Salud en la Parte de Calidad de los Servicios</w:t>
            </w:r>
          </w:p>
        </w:tc>
        <w:tc>
          <w:tcPr>
            <w:tcW w:w="933" w:type="pct"/>
            <w:shd w:val="clear" w:color="auto" w:fill="auto"/>
            <w:noWrap/>
            <w:vAlign w:val="center"/>
            <w:hideMark/>
          </w:tcPr>
          <w:p w:rsidR="00911BF6" w:rsidRPr="00FA5324" w:rsidRDefault="00911BF6" w:rsidP="00AF0916">
            <w:pPr>
              <w:pStyle w:val="Tabla"/>
              <w:jc w:val="center"/>
              <w:rPr>
                <w:rFonts w:ascii="Times New Roman" w:hAnsi="Times New Roman"/>
                <w:color w:val="auto"/>
                <w:lang w:val="es-DO"/>
              </w:rPr>
            </w:pPr>
            <w:r w:rsidRPr="00FA5324">
              <w:rPr>
                <w:rFonts w:ascii="Times New Roman" w:hAnsi="Times New Roman"/>
                <w:color w:val="auto"/>
                <w:lang w:val="es-DO"/>
              </w:rPr>
              <w:t>$17.27</w:t>
            </w:r>
          </w:p>
        </w:tc>
        <w:tc>
          <w:tcPr>
            <w:tcW w:w="511" w:type="pct"/>
            <w:shd w:val="clear" w:color="auto" w:fill="auto"/>
            <w:noWrap/>
            <w:vAlign w:val="center"/>
            <w:hideMark/>
          </w:tcPr>
          <w:p w:rsidR="00911BF6" w:rsidRPr="00FA5324" w:rsidRDefault="00142A46" w:rsidP="00FA5324">
            <w:pPr>
              <w:pStyle w:val="Tabla"/>
              <w:jc w:val="center"/>
              <w:rPr>
                <w:rFonts w:ascii="Times New Roman" w:hAnsi="Times New Roman"/>
                <w:color w:val="auto"/>
                <w:lang w:val="es-DO"/>
              </w:rPr>
            </w:pPr>
            <w:r w:rsidRPr="00FA5324">
              <w:rPr>
                <w:rFonts w:ascii="Times New Roman" w:hAnsi="Times New Roman"/>
                <w:color w:val="auto"/>
                <w:lang w:val="es-DO"/>
              </w:rPr>
              <w:t>2014 - Colombia</w:t>
            </w:r>
          </w:p>
        </w:tc>
        <w:tc>
          <w:tcPr>
            <w:tcW w:w="1650"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r w:rsidRPr="00FA5324">
              <w:rPr>
                <w:rFonts w:ascii="Times New Roman" w:hAnsi="Times New Roman"/>
                <w:color w:val="auto"/>
                <w:lang w:val="es-DO"/>
              </w:rPr>
              <w:t>Ejecución presupuestal MSPS abril</w:t>
            </w:r>
            <w:r w:rsidR="00FD4AE8" w:rsidRPr="00FA5324">
              <w:rPr>
                <w:rFonts w:ascii="Times New Roman" w:hAnsi="Times New Roman"/>
                <w:color w:val="auto"/>
                <w:lang w:val="es-DO"/>
              </w:rPr>
              <w:t xml:space="preserve"> http://www.minsalud.gov.co/Ministerio/RCuentas/Paginas/Informacion-financiera.aspx</w:t>
            </w:r>
          </w:p>
        </w:tc>
        <w:tc>
          <w:tcPr>
            <w:tcW w:w="779" w:type="pct"/>
            <w:shd w:val="clear" w:color="auto" w:fill="auto"/>
            <w:noWrap/>
            <w:vAlign w:val="center"/>
            <w:hideMark/>
          </w:tcPr>
          <w:p w:rsidR="00911BF6" w:rsidRPr="00FA5324" w:rsidRDefault="00911BF6" w:rsidP="00AF0916">
            <w:pPr>
              <w:pStyle w:val="Tabla"/>
              <w:rPr>
                <w:rFonts w:ascii="Times New Roman" w:hAnsi="Times New Roman"/>
                <w:color w:val="auto"/>
                <w:lang w:val="es-DO"/>
              </w:rPr>
            </w:pPr>
          </w:p>
        </w:tc>
      </w:tr>
    </w:tbl>
    <w:p w:rsidR="00DF5C7B" w:rsidRPr="00FA5324" w:rsidRDefault="00C94EF8" w:rsidP="00FA5324">
      <w:pPr>
        <w:spacing w:after="0" w:line="240" w:lineRule="auto"/>
        <w:jc w:val="left"/>
        <w:rPr>
          <w:i/>
          <w:sz w:val="18"/>
          <w:lang w:val="es-DO"/>
        </w:rPr>
      </w:pPr>
      <w:r w:rsidRPr="00FA5324">
        <w:rPr>
          <w:i/>
          <w:sz w:val="18"/>
          <w:lang w:val="es-DO"/>
        </w:rPr>
        <w:t>Fuente:</w:t>
      </w:r>
      <w:r w:rsidR="00911BF6" w:rsidRPr="00FA5324">
        <w:rPr>
          <w:i/>
          <w:sz w:val="18"/>
          <w:lang w:val="es-DO"/>
        </w:rPr>
        <w:t xml:space="preserve"> elaborado a partir de </w:t>
      </w:r>
      <w:r w:rsidR="00155B3A" w:rsidRPr="00FA5324">
        <w:rPr>
          <w:i/>
          <w:sz w:val="18"/>
          <w:lang w:val="es-DO"/>
        </w:rPr>
        <w:t>las referencias mencionadas</w:t>
      </w:r>
      <w:r w:rsidR="00911BF6" w:rsidRPr="00FA5324">
        <w:rPr>
          <w:i/>
          <w:sz w:val="18"/>
          <w:lang w:val="es-DO"/>
        </w:rPr>
        <w:t xml:space="preserve"> los valores monetarios se convirtieron empleado los datos de FMI.</w:t>
      </w:r>
    </w:p>
    <w:p w:rsidR="008B48E7" w:rsidRPr="008450F1" w:rsidRDefault="008B48E7" w:rsidP="00AF0916">
      <w:pPr>
        <w:spacing w:after="0" w:line="240" w:lineRule="auto"/>
        <w:rPr>
          <w:lang w:val="es-DO"/>
        </w:rPr>
      </w:pPr>
    </w:p>
    <w:p w:rsidR="00930BCC" w:rsidRPr="00FA5324" w:rsidRDefault="00782DCE" w:rsidP="00FA5324">
      <w:pPr>
        <w:spacing w:after="0" w:line="240" w:lineRule="auto"/>
        <w:rPr>
          <w:lang w:val="es-DO"/>
        </w:rPr>
      </w:pPr>
      <w:r w:rsidRPr="00FA5324">
        <w:rPr>
          <w:lang w:val="es-DO"/>
        </w:rPr>
        <w:t>La Ley de Carrera Sanitaria bu</w:t>
      </w:r>
      <w:r w:rsidR="008F1D59" w:rsidRPr="00FA5324">
        <w:rPr>
          <w:lang w:val="es-DO"/>
        </w:rPr>
        <w:t>sca hacer frente al desafío</w:t>
      </w:r>
      <w:r w:rsidR="00846A47" w:rsidRPr="00FA5324">
        <w:rPr>
          <w:lang w:val="es-DO"/>
        </w:rPr>
        <w:t xml:space="preserve"> de </w:t>
      </w:r>
      <w:r w:rsidR="00B51537" w:rsidRPr="00FA5324">
        <w:rPr>
          <w:lang w:val="es-DO"/>
        </w:rPr>
        <w:t>desarrollo</w:t>
      </w:r>
      <w:r w:rsidR="00B51537" w:rsidRPr="008450F1">
        <w:rPr>
          <w:i/>
          <w:lang w:val="es-DO"/>
        </w:rPr>
        <w:t xml:space="preserve"> </w:t>
      </w:r>
      <w:r w:rsidR="00B51537" w:rsidRPr="00FA5324">
        <w:rPr>
          <w:i/>
          <w:lang w:val="es-DO"/>
        </w:rPr>
        <w:t>“Faltan</w:t>
      </w:r>
      <w:r w:rsidRPr="00FA5324">
        <w:rPr>
          <w:i/>
          <w:lang w:val="es-DO"/>
        </w:rPr>
        <w:t xml:space="preserve"> incentivos para la distribución geográfica equitativa de los recursos humanos en salud y reglamentos para el ejercicio de la profesión”</w:t>
      </w:r>
      <w:r w:rsidRPr="00FA5324">
        <w:rPr>
          <w:lang w:val="es-DO"/>
        </w:rPr>
        <w:t xml:space="preserve"> (Matriz de </w:t>
      </w:r>
      <w:r w:rsidR="007E70A2" w:rsidRPr="00FA5324">
        <w:rPr>
          <w:lang w:val="es-DO"/>
        </w:rPr>
        <w:t>Política</w:t>
      </w:r>
      <w:r w:rsidRPr="00FA5324">
        <w:rPr>
          <w:lang w:val="es-DO"/>
        </w:rPr>
        <w:t>). Esta medida puede generar un</w:t>
      </w:r>
      <w:r w:rsidR="007E70A2" w:rsidRPr="00FA5324">
        <w:rPr>
          <w:lang w:val="es-DO"/>
        </w:rPr>
        <w:t>a</w:t>
      </w:r>
      <w:r w:rsidRPr="00FA5324">
        <w:rPr>
          <w:lang w:val="es-DO"/>
        </w:rPr>
        <w:t xml:space="preserve"> importante </w:t>
      </w:r>
      <w:r w:rsidR="007E70A2" w:rsidRPr="00FA5324">
        <w:rPr>
          <w:lang w:val="es-DO"/>
        </w:rPr>
        <w:t>presión</w:t>
      </w:r>
      <w:r w:rsidRPr="00FA5324">
        <w:rPr>
          <w:lang w:val="es-DO"/>
        </w:rPr>
        <w:t xml:space="preserve"> fiscal que debe ser sopesada </w:t>
      </w:r>
      <w:r w:rsidR="007E70A2" w:rsidRPr="00FA5324">
        <w:rPr>
          <w:lang w:val="es-DO"/>
        </w:rPr>
        <w:t>frente</w:t>
      </w:r>
      <w:r w:rsidR="008F1D59" w:rsidRPr="00FA5324">
        <w:rPr>
          <w:lang w:val="es-DO"/>
        </w:rPr>
        <w:t xml:space="preserve"> a los posibles beneficios. </w:t>
      </w:r>
      <w:r w:rsidRPr="00FA5324">
        <w:rPr>
          <w:lang w:val="es-DO"/>
        </w:rPr>
        <w:t>Sin embargo</w:t>
      </w:r>
      <w:r w:rsidR="00846A47" w:rsidRPr="00FA5324">
        <w:rPr>
          <w:lang w:val="es-DO"/>
        </w:rPr>
        <w:t>,</w:t>
      </w:r>
      <w:r w:rsidRPr="00FA5324">
        <w:rPr>
          <w:lang w:val="es-DO"/>
        </w:rPr>
        <w:t xml:space="preserve"> metodoló</w:t>
      </w:r>
      <w:r w:rsidR="008F1D59" w:rsidRPr="00FA5324">
        <w:rPr>
          <w:lang w:val="es-DO"/>
        </w:rPr>
        <w:t>gicamente implica un gran desafí</w:t>
      </w:r>
      <w:r w:rsidRPr="00FA5324">
        <w:rPr>
          <w:lang w:val="es-DO"/>
        </w:rPr>
        <w:t xml:space="preserve">o pues </w:t>
      </w:r>
      <w:r w:rsidR="007E70A2" w:rsidRPr="00FA5324">
        <w:rPr>
          <w:lang w:val="es-DO"/>
        </w:rPr>
        <w:t>aún</w:t>
      </w:r>
      <w:r w:rsidRPr="00FA5324">
        <w:rPr>
          <w:lang w:val="es-DO"/>
        </w:rPr>
        <w:t xml:space="preserve"> no se han tomado todas las </w:t>
      </w:r>
      <w:r w:rsidR="007E70A2" w:rsidRPr="00FA5324">
        <w:rPr>
          <w:lang w:val="es-DO"/>
        </w:rPr>
        <w:t>decisiones</w:t>
      </w:r>
      <w:r w:rsidRPr="00FA5324">
        <w:rPr>
          <w:lang w:val="es-DO"/>
        </w:rPr>
        <w:t xml:space="preserve"> operativas que permitan una estimación exacta al costo de la medida. Teniendo en cuenta que el objetivo es incentivar la </w:t>
      </w:r>
      <w:r w:rsidR="007E70A2" w:rsidRPr="00FA5324">
        <w:rPr>
          <w:lang w:val="es-DO"/>
        </w:rPr>
        <w:t>distribución</w:t>
      </w:r>
      <w:r w:rsidRPr="00FA5324">
        <w:rPr>
          <w:lang w:val="es-DO"/>
        </w:rPr>
        <w:t xml:space="preserve"> </w:t>
      </w:r>
      <w:r w:rsidR="008F1D59" w:rsidRPr="00FA5324">
        <w:rPr>
          <w:lang w:val="es-DO"/>
        </w:rPr>
        <w:t>geográfica e</w:t>
      </w:r>
      <w:r w:rsidRPr="00FA5324">
        <w:rPr>
          <w:lang w:val="es-DO"/>
        </w:rPr>
        <w:t>quitativa</w:t>
      </w:r>
      <w:r w:rsidR="009956B6" w:rsidRPr="008450F1">
        <w:rPr>
          <w:lang w:val="es-DO"/>
        </w:rPr>
        <w:t>,</w:t>
      </w:r>
      <w:r w:rsidRPr="00FA5324">
        <w:rPr>
          <w:lang w:val="es-DO"/>
        </w:rPr>
        <w:t xml:space="preserve"> se </w:t>
      </w:r>
      <w:r w:rsidR="008F1D59" w:rsidRPr="00FA5324">
        <w:rPr>
          <w:lang w:val="es-DO"/>
        </w:rPr>
        <w:t>r</w:t>
      </w:r>
      <w:r w:rsidRPr="00FA5324">
        <w:rPr>
          <w:lang w:val="es-DO"/>
        </w:rPr>
        <w:t>e</w:t>
      </w:r>
      <w:r w:rsidR="008F1D59" w:rsidRPr="00FA5324">
        <w:rPr>
          <w:lang w:val="es-DO"/>
        </w:rPr>
        <w:t>alizó</w:t>
      </w:r>
      <w:r w:rsidRPr="00FA5324">
        <w:rPr>
          <w:lang w:val="es-DO"/>
        </w:rPr>
        <w:t xml:space="preserve"> una estimación de las provincias que tendrían un déficit </w:t>
      </w:r>
      <w:r w:rsidR="00DC69BB" w:rsidRPr="00FA5324">
        <w:rPr>
          <w:lang w:val="es-DO"/>
        </w:rPr>
        <w:t xml:space="preserve">de </w:t>
      </w:r>
      <w:r w:rsidR="009956B6" w:rsidRPr="008450F1">
        <w:rPr>
          <w:lang w:val="es-DO"/>
        </w:rPr>
        <w:t>RH</w:t>
      </w:r>
      <w:r w:rsidR="00DC69BB" w:rsidRPr="00FA5324">
        <w:rPr>
          <w:lang w:val="es-DO"/>
        </w:rPr>
        <w:t>.</w:t>
      </w:r>
      <w:r w:rsidRPr="00FA5324">
        <w:rPr>
          <w:lang w:val="es-DO"/>
        </w:rPr>
        <w:t xml:space="preserve"> </w:t>
      </w:r>
      <w:r w:rsidR="00DC69BB" w:rsidRPr="00FA5324">
        <w:rPr>
          <w:lang w:val="es-DO"/>
        </w:rPr>
        <w:t>Estas brechas se estimaron como la diferencia en el número de recurso humano</w:t>
      </w:r>
      <w:r w:rsidR="008F1D59" w:rsidRPr="00FA5324">
        <w:rPr>
          <w:lang w:val="es-DO"/>
        </w:rPr>
        <w:t xml:space="preserve"> por cada</w:t>
      </w:r>
      <w:r w:rsidR="00DC69BB" w:rsidRPr="00FA5324">
        <w:rPr>
          <w:lang w:val="es-DO"/>
        </w:rPr>
        <w:t xml:space="preserve"> 100,000 habitantes frente al promedio nacional </w:t>
      </w:r>
      <w:r w:rsidR="00846A47" w:rsidRPr="00FA5324">
        <w:rPr>
          <w:lang w:val="es-DO"/>
        </w:rPr>
        <w:t>(</w:t>
      </w:r>
      <w:r w:rsidR="00DC69BB" w:rsidRPr="00FA5324">
        <w:rPr>
          <w:lang w:val="es-DO"/>
        </w:rPr>
        <w:t xml:space="preserve">ver </w:t>
      </w:r>
      <w:r w:rsidR="007D15C8" w:rsidRPr="008450F1">
        <w:rPr>
          <w:lang w:val="es-DO"/>
        </w:rPr>
        <w:fldChar w:fldCharType="begin"/>
      </w:r>
      <w:r w:rsidR="007D15C8" w:rsidRPr="008450F1">
        <w:rPr>
          <w:lang w:val="es-DO"/>
        </w:rPr>
        <w:instrText xml:space="preserve"> REF _Ref399139638 \h </w:instrText>
      </w:r>
      <w:r w:rsidR="00C62A67" w:rsidRPr="008450F1">
        <w:rPr>
          <w:lang w:val="es-DO"/>
        </w:rPr>
        <w:instrText xml:space="preserve"> \* MERGEFORMAT </w:instrText>
      </w:r>
      <w:r w:rsidR="007D15C8" w:rsidRPr="008450F1">
        <w:rPr>
          <w:lang w:val="es-DO"/>
        </w:rPr>
      </w:r>
      <w:r w:rsidR="007D15C8" w:rsidRPr="008450F1">
        <w:rPr>
          <w:lang w:val="es-DO"/>
        </w:rPr>
        <w:fldChar w:fldCharType="separate"/>
      </w:r>
      <w:r w:rsidR="00A04D48" w:rsidRPr="008450F1">
        <w:rPr>
          <w:lang w:val="es-DO"/>
        </w:rPr>
        <w:t xml:space="preserve">Tabla </w:t>
      </w:r>
      <w:r w:rsidR="00A04D48" w:rsidRPr="008450F1">
        <w:rPr>
          <w:noProof/>
          <w:lang w:val="es-DO"/>
        </w:rPr>
        <w:t>16</w:t>
      </w:r>
      <w:r w:rsidR="007D15C8" w:rsidRPr="008450F1">
        <w:rPr>
          <w:lang w:val="es-DO"/>
        </w:rPr>
        <w:fldChar w:fldCharType="end"/>
      </w:r>
      <w:r w:rsidR="00846A47" w:rsidRPr="00FA5324">
        <w:rPr>
          <w:lang w:val="es-DO"/>
        </w:rPr>
        <w:t>) para aquellas provincias con</w:t>
      </w:r>
      <w:r w:rsidR="00DC69BB" w:rsidRPr="00FA5324">
        <w:rPr>
          <w:lang w:val="es-DO"/>
        </w:rPr>
        <w:t xml:space="preserve"> menos recursos que el promedio nacional. Se supuso que la brecha de recurso humano se empezaba a cerrar desde el primer </w:t>
      </w:r>
      <w:r w:rsidR="00DB5E93" w:rsidRPr="00FA5324">
        <w:rPr>
          <w:lang w:val="es-DO"/>
        </w:rPr>
        <w:t xml:space="preserve">año y </w:t>
      </w:r>
      <w:r w:rsidR="00DC69BB" w:rsidRPr="00FA5324">
        <w:rPr>
          <w:lang w:val="es-DO"/>
        </w:rPr>
        <w:t>que esta brecha se cerraría en 5 años. Como el dato de las brechas se obtuvo para el 2010</w:t>
      </w:r>
      <w:r w:rsidR="009956B6" w:rsidRPr="00FA5324">
        <w:rPr>
          <w:lang w:val="es-DO"/>
        </w:rPr>
        <w:t xml:space="preserve">, </w:t>
      </w:r>
      <w:r w:rsidR="009956B6" w:rsidRPr="008450F1">
        <w:rPr>
          <w:lang w:val="es-DO"/>
        </w:rPr>
        <w:t>este</w:t>
      </w:r>
      <w:r w:rsidR="00DC69BB" w:rsidRPr="008450F1">
        <w:rPr>
          <w:lang w:val="es-DO"/>
        </w:rPr>
        <w:t xml:space="preserve"> </w:t>
      </w:r>
      <w:r w:rsidR="00DC69BB" w:rsidRPr="00FA5324">
        <w:rPr>
          <w:lang w:val="es-DO"/>
        </w:rPr>
        <w:t>se ajustó según el crecimiento de la población. Una ve</w:t>
      </w:r>
      <w:r w:rsidR="00DB5E93" w:rsidRPr="00FA5324">
        <w:rPr>
          <w:lang w:val="es-DO"/>
        </w:rPr>
        <w:t>z</w:t>
      </w:r>
      <w:r w:rsidR="00DC69BB" w:rsidRPr="00FA5324">
        <w:rPr>
          <w:lang w:val="es-DO"/>
        </w:rPr>
        <w:t xml:space="preserve"> estimada la necesidad de </w:t>
      </w:r>
      <w:r w:rsidR="009956B6" w:rsidRPr="008450F1">
        <w:rPr>
          <w:lang w:val="es-DO"/>
        </w:rPr>
        <w:t>RH,</w:t>
      </w:r>
      <w:r w:rsidR="00DC69BB" w:rsidRPr="00FA5324">
        <w:rPr>
          <w:lang w:val="es-DO"/>
        </w:rPr>
        <w:t xml:space="preserve"> y como se le podr</w:t>
      </w:r>
      <w:r w:rsidR="00DB5E93" w:rsidRPr="00FA5324">
        <w:rPr>
          <w:lang w:val="es-DO"/>
        </w:rPr>
        <w:t>í</w:t>
      </w:r>
      <w:r w:rsidR="00DC69BB" w:rsidRPr="00FA5324">
        <w:rPr>
          <w:lang w:val="es-DO"/>
        </w:rPr>
        <w:t xml:space="preserve">a dar respuesta año </w:t>
      </w:r>
      <w:r w:rsidR="007E70A2" w:rsidRPr="00FA5324">
        <w:rPr>
          <w:lang w:val="es-DO"/>
        </w:rPr>
        <w:t xml:space="preserve">a </w:t>
      </w:r>
      <w:r w:rsidR="00DC69BB" w:rsidRPr="00FA5324">
        <w:rPr>
          <w:lang w:val="es-DO"/>
        </w:rPr>
        <w:t>año, se estim</w:t>
      </w:r>
      <w:r w:rsidR="008F1D59" w:rsidRPr="00FA5324">
        <w:rPr>
          <w:lang w:val="es-DO"/>
        </w:rPr>
        <w:t>ó</w:t>
      </w:r>
      <w:r w:rsidR="00DC69BB" w:rsidRPr="00FA5324">
        <w:rPr>
          <w:lang w:val="es-DO"/>
        </w:rPr>
        <w:t xml:space="preserve"> el costo de generar los incentivos para la ubicación de este </w:t>
      </w:r>
      <w:r w:rsidR="009956B6" w:rsidRPr="008450F1">
        <w:rPr>
          <w:lang w:val="es-DO"/>
        </w:rPr>
        <w:t>RH</w:t>
      </w:r>
      <w:r w:rsidR="00DC69BB" w:rsidRPr="008450F1">
        <w:rPr>
          <w:lang w:val="es-DO"/>
        </w:rPr>
        <w:t>.</w:t>
      </w:r>
      <w:r w:rsidR="00DC69BB" w:rsidRPr="00FA5324">
        <w:rPr>
          <w:lang w:val="es-DO"/>
        </w:rPr>
        <w:t xml:space="preserve"> Ante la in</w:t>
      </w:r>
      <w:r w:rsidR="008F1D59" w:rsidRPr="00FA5324">
        <w:rPr>
          <w:lang w:val="es-DO"/>
        </w:rPr>
        <w:t>c</w:t>
      </w:r>
      <w:r w:rsidR="00DC69BB" w:rsidRPr="00FA5324">
        <w:rPr>
          <w:lang w:val="es-DO"/>
        </w:rPr>
        <w:t>erti</w:t>
      </w:r>
      <w:r w:rsidR="008F1D59" w:rsidRPr="00FA5324">
        <w:rPr>
          <w:lang w:val="es-DO"/>
        </w:rPr>
        <w:t>d</w:t>
      </w:r>
      <w:r w:rsidR="00DC69BB" w:rsidRPr="00FA5324">
        <w:rPr>
          <w:lang w:val="es-DO"/>
        </w:rPr>
        <w:t>umbre frente al costo que tendría esta medida</w:t>
      </w:r>
      <w:r w:rsidR="009956B6" w:rsidRPr="008450F1">
        <w:rPr>
          <w:lang w:val="es-DO"/>
        </w:rPr>
        <w:t>,</w:t>
      </w:r>
      <w:r w:rsidR="00DC69BB" w:rsidRPr="00FA5324">
        <w:rPr>
          <w:lang w:val="es-DO"/>
        </w:rPr>
        <w:t xml:space="preserve"> se prefirió tener una sobre estimación que llegar a hacer un subestimación. </w:t>
      </w:r>
      <w:r w:rsidR="007E70A2" w:rsidRPr="00FA5324">
        <w:rPr>
          <w:lang w:val="es-DO"/>
        </w:rPr>
        <w:t>Así</w:t>
      </w:r>
      <w:r w:rsidR="00DC69BB" w:rsidRPr="00FA5324">
        <w:rPr>
          <w:lang w:val="es-DO"/>
        </w:rPr>
        <w:t xml:space="preserve"> que el costo anual para incentivar al </w:t>
      </w:r>
      <w:r w:rsidR="009956B6" w:rsidRPr="008450F1">
        <w:rPr>
          <w:lang w:val="es-DO"/>
        </w:rPr>
        <w:t>RH</w:t>
      </w:r>
      <w:r w:rsidR="00DC69BB" w:rsidRPr="00FA5324">
        <w:rPr>
          <w:lang w:val="es-DO"/>
        </w:rPr>
        <w:t xml:space="preserve"> a cubrir el déficit en la provincia con brechas se </w:t>
      </w:r>
      <w:r w:rsidR="007E70A2" w:rsidRPr="00FA5324">
        <w:rPr>
          <w:lang w:val="es-DO"/>
        </w:rPr>
        <w:t>estimó</w:t>
      </w:r>
      <w:r w:rsidR="00DC69BB" w:rsidRPr="00FA5324">
        <w:rPr>
          <w:lang w:val="es-DO"/>
        </w:rPr>
        <w:t xml:space="preserve"> como el 300% del costo actual del recurso humano</w:t>
      </w:r>
      <w:r w:rsidR="00DC69BB" w:rsidRPr="008450F1">
        <w:rPr>
          <w:lang w:val="es-DO"/>
        </w:rPr>
        <w:t xml:space="preserve"> </w:t>
      </w:r>
      <w:r w:rsidR="000E46E0" w:rsidRPr="008450F1">
        <w:rPr>
          <w:lang w:val="es-DO"/>
        </w:rPr>
        <w:t>(</w:t>
      </w:r>
      <w:r w:rsidR="00DC69BB" w:rsidRPr="008450F1">
        <w:rPr>
          <w:lang w:val="es-DO"/>
        </w:rPr>
        <w:t xml:space="preserve">Ver </w:t>
      </w:r>
      <w:r w:rsidR="007D15C8" w:rsidRPr="008450F1">
        <w:rPr>
          <w:lang w:val="es-DO"/>
        </w:rPr>
        <w:fldChar w:fldCharType="begin"/>
      </w:r>
      <w:r w:rsidR="007D15C8" w:rsidRPr="008450F1">
        <w:rPr>
          <w:lang w:val="es-DO"/>
        </w:rPr>
        <w:instrText xml:space="preserve"> REF _Ref399139663 \h </w:instrText>
      </w:r>
      <w:r w:rsidR="00C62A67" w:rsidRPr="008450F1">
        <w:rPr>
          <w:lang w:val="es-DO"/>
        </w:rPr>
        <w:instrText xml:space="preserve"> \* MERGEFORMAT </w:instrText>
      </w:r>
      <w:r w:rsidR="007D15C8" w:rsidRPr="008450F1">
        <w:rPr>
          <w:lang w:val="es-DO"/>
        </w:rPr>
      </w:r>
      <w:r w:rsidR="007D15C8" w:rsidRPr="008450F1">
        <w:rPr>
          <w:lang w:val="es-DO"/>
        </w:rPr>
        <w:fldChar w:fldCharType="separate"/>
      </w:r>
      <w:r w:rsidR="00A04D48" w:rsidRPr="008450F1">
        <w:rPr>
          <w:lang w:val="es-DO"/>
        </w:rPr>
        <w:t xml:space="preserve">Tabla </w:t>
      </w:r>
      <w:r w:rsidR="00A04D48" w:rsidRPr="008450F1">
        <w:rPr>
          <w:noProof/>
          <w:lang w:val="es-DO"/>
        </w:rPr>
        <w:t>8</w:t>
      </w:r>
      <w:r w:rsidR="007D15C8" w:rsidRPr="008450F1">
        <w:rPr>
          <w:lang w:val="es-DO"/>
        </w:rPr>
        <w:fldChar w:fldCharType="end"/>
      </w:r>
      <w:r w:rsidR="000E46E0" w:rsidRPr="008450F1">
        <w:rPr>
          <w:lang w:val="es-DO"/>
        </w:rPr>
        <w:t>)</w:t>
      </w:r>
      <w:r w:rsidR="00846A47" w:rsidRPr="008450F1">
        <w:rPr>
          <w:lang w:val="es-DO"/>
        </w:rPr>
        <w:t>.</w:t>
      </w:r>
    </w:p>
    <w:p w:rsidR="009956B6" w:rsidRPr="008450F1" w:rsidRDefault="009956B6" w:rsidP="00AF0916">
      <w:pPr>
        <w:spacing w:after="0" w:line="240" w:lineRule="auto"/>
        <w:rPr>
          <w:lang w:val="es-DO"/>
        </w:rPr>
      </w:pPr>
    </w:p>
    <w:p w:rsidR="00DC69BB" w:rsidRPr="00FA5324" w:rsidRDefault="00DC69BB" w:rsidP="00FA5324">
      <w:pPr>
        <w:spacing w:after="0" w:line="240" w:lineRule="auto"/>
        <w:rPr>
          <w:lang w:val="es-DO"/>
        </w:rPr>
      </w:pPr>
      <w:r w:rsidRPr="00FA5324">
        <w:rPr>
          <w:lang w:val="es-DO"/>
        </w:rPr>
        <w:t xml:space="preserve">Como parte de los desencadenantes del segundo tramo se contempla </w:t>
      </w:r>
      <w:r w:rsidRPr="00FA5324">
        <w:rPr>
          <w:i/>
          <w:lang w:val="es-DO"/>
        </w:rPr>
        <w:t xml:space="preserve">“Que </w:t>
      </w:r>
      <w:r w:rsidR="003E73A4" w:rsidRPr="00FA5324">
        <w:rPr>
          <w:i/>
          <w:lang w:val="es-DO"/>
        </w:rPr>
        <w:t xml:space="preserve">el presupuesto refleje las necesidades de financiamiento para organizar la red asistencial” </w:t>
      </w:r>
      <w:r w:rsidR="003E73A4" w:rsidRPr="00FA5324">
        <w:rPr>
          <w:lang w:val="es-DO"/>
        </w:rPr>
        <w:t>(Matriz de Política)</w:t>
      </w:r>
      <w:r w:rsidR="003E73A4" w:rsidRPr="00FA5324">
        <w:rPr>
          <w:i/>
          <w:lang w:val="es-DO"/>
        </w:rPr>
        <w:t xml:space="preserve">, </w:t>
      </w:r>
      <w:r w:rsidR="003E73A4" w:rsidRPr="00FA5324">
        <w:rPr>
          <w:lang w:val="es-DO"/>
        </w:rPr>
        <w:t>lo que incluye el</w:t>
      </w:r>
      <w:r w:rsidRPr="00FA5324">
        <w:rPr>
          <w:lang w:val="es-DO"/>
        </w:rPr>
        <w:t xml:space="preserve"> </w:t>
      </w:r>
      <w:r w:rsidR="003E73A4" w:rsidRPr="00FA5324">
        <w:rPr>
          <w:lang w:val="es-DO"/>
        </w:rPr>
        <w:t>dimensionamiento de</w:t>
      </w:r>
      <w:r w:rsidRPr="00FA5324">
        <w:rPr>
          <w:lang w:val="es-DO"/>
        </w:rPr>
        <w:t xml:space="preserve"> los recursos necesarios (físicos, humanos y tecnológicos) para la implementación del modelo de atención</w:t>
      </w:r>
      <w:r w:rsidR="000E46E0" w:rsidRPr="008450F1">
        <w:rPr>
          <w:lang w:val="es-DO"/>
        </w:rPr>
        <w:t>,</w:t>
      </w:r>
      <w:r w:rsidRPr="008450F1">
        <w:rPr>
          <w:lang w:val="es-DO"/>
        </w:rPr>
        <w:t xml:space="preserve"> </w:t>
      </w:r>
      <w:r w:rsidR="000E46E0" w:rsidRPr="008450F1">
        <w:rPr>
          <w:lang w:val="es-DO"/>
        </w:rPr>
        <w:t>c</w:t>
      </w:r>
      <w:r w:rsidRPr="008450F1">
        <w:rPr>
          <w:lang w:val="es-DO"/>
        </w:rPr>
        <w:t xml:space="preserve">on </w:t>
      </w:r>
      <w:r w:rsidR="000E46E0" w:rsidRPr="008450F1">
        <w:rPr>
          <w:lang w:val="es-DO"/>
        </w:rPr>
        <w:t>lo que</w:t>
      </w:r>
      <w:r w:rsidR="000E46E0" w:rsidRPr="00FA5324">
        <w:rPr>
          <w:lang w:val="es-DO"/>
        </w:rPr>
        <w:t xml:space="preserve"> se</w:t>
      </w:r>
      <w:r w:rsidRPr="00FA5324">
        <w:rPr>
          <w:lang w:val="es-DO"/>
        </w:rPr>
        <w:t xml:space="preserve"> lograría la efectiva implementación del nuevo modelo. Para el presente an</w:t>
      </w:r>
      <w:r w:rsidR="00DB5E93" w:rsidRPr="00FA5324">
        <w:rPr>
          <w:lang w:val="es-DO"/>
        </w:rPr>
        <w:t>á</w:t>
      </w:r>
      <w:r w:rsidRPr="00FA5324">
        <w:rPr>
          <w:lang w:val="es-DO"/>
        </w:rPr>
        <w:t>lisis</w:t>
      </w:r>
      <w:r w:rsidR="000E46E0" w:rsidRPr="008450F1">
        <w:rPr>
          <w:lang w:val="es-DO"/>
        </w:rPr>
        <w:t>,</w:t>
      </w:r>
      <w:r w:rsidRPr="00FA5324">
        <w:rPr>
          <w:lang w:val="es-DO"/>
        </w:rPr>
        <w:t xml:space="preserve"> se supone que el dimensionamiento de lo</w:t>
      </w:r>
      <w:r w:rsidR="00DB5E93" w:rsidRPr="00FA5324">
        <w:rPr>
          <w:lang w:val="es-DO"/>
        </w:rPr>
        <w:t xml:space="preserve">s </w:t>
      </w:r>
      <w:r w:rsidR="007E70A2" w:rsidRPr="00FA5324">
        <w:rPr>
          <w:lang w:val="es-DO"/>
        </w:rPr>
        <w:t>recursos</w:t>
      </w:r>
      <w:r w:rsidRPr="00FA5324">
        <w:rPr>
          <w:lang w:val="es-DO"/>
        </w:rPr>
        <w:t xml:space="preserve"> físico</w:t>
      </w:r>
      <w:r w:rsidR="00DB5E93" w:rsidRPr="00FA5324">
        <w:rPr>
          <w:lang w:val="es-DO"/>
        </w:rPr>
        <w:t>s</w:t>
      </w:r>
      <w:r w:rsidRPr="00FA5324">
        <w:rPr>
          <w:lang w:val="es-DO"/>
        </w:rPr>
        <w:t xml:space="preserve"> evidenci</w:t>
      </w:r>
      <w:r w:rsidR="00DB5E93" w:rsidRPr="00FA5324">
        <w:rPr>
          <w:lang w:val="es-DO"/>
        </w:rPr>
        <w:t xml:space="preserve">arían </w:t>
      </w:r>
      <w:r w:rsidRPr="00FA5324">
        <w:rPr>
          <w:lang w:val="es-DO"/>
        </w:rPr>
        <w:t xml:space="preserve">las brechas que existen en algunas provincias. Y se supone además que estas brechas iniciarían a ser cubiertas en </w:t>
      </w:r>
      <w:r w:rsidR="007E70A2" w:rsidRPr="00FA5324">
        <w:rPr>
          <w:lang w:val="es-DO"/>
        </w:rPr>
        <w:t>el tercer año</w:t>
      </w:r>
      <w:r w:rsidRPr="00FA5324">
        <w:rPr>
          <w:lang w:val="es-DO"/>
        </w:rPr>
        <w:t xml:space="preserve"> de operación</w:t>
      </w:r>
      <w:r w:rsidR="000E46E0" w:rsidRPr="008450F1">
        <w:rPr>
          <w:lang w:val="es-DO"/>
        </w:rPr>
        <w:t>,</w:t>
      </w:r>
      <w:r w:rsidRPr="00FA5324">
        <w:rPr>
          <w:lang w:val="es-DO"/>
        </w:rPr>
        <w:t xml:space="preserve"> pues antes se requeriría </w:t>
      </w:r>
      <w:r w:rsidR="00DB5E93" w:rsidRPr="00FA5324">
        <w:rPr>
          <w:lang w:val="es-DO"/>
        </w:rPr>
        <w:t xml:space="preserve">la elaboración de estudio y diseño. </w:t>
      </w:r>
      <w:r w:rsidR="008450F1" w:rsidRPr="008450F1">
        <w:rPr>
          <w:lang w:val="es-DO"/>
        </w:rPr>
        <w:t>Una</w:t>
      </w:r>
      <w:r w:rsidR="008450F1" w:rsidRPr="00FA5324">
        <w:rPr>
          <w:lang w:val="es-DO"/>
        </w:rPr>
        <w:t xml:space="preserve"> vez</w:t>
      </w:r>
      <w:r w:rsidR="00DB5E93" w:rsidRPr="00FA5324">
        <w:rPr>
          <w:lang w:val="es-DO"/>
        </w:rPr>
        <w:t xml:space="preserve"> </w:t>
      </w:r>
      <w:r w:rsidRPr="00FA5324">
        <w:rPr>
          <w:lang w:val="es-DO"/>
        </w:rPr>
        <w:t xml:space="preserve">iniciado el cubrimiento de las </w:t>
      </w:r>
      <w:r w:rsidR="007E70A2" w:rsidRPr="00FA5324">
        <w:rPr>
          <w:lang w:val="es-DO"/>
        </w:rPr>
        <w:t>brechas</w:t>
      </w:r>
      <w:r w:rsidR="00E9491C" w:rsidRPr="008450F1">
        <w:rPr>
          <w:lang w:val="es-DO"/>
        </w:rPr>
        <w:t>,</w:t>
      </w:r>
      <w:r w:rsidRPr="00FA5324">
        <w:rPr>
          <w:lang w:val="es-DO"/>
        </w:rPr>
        <w:t xml:space="preserve"> se requeriría de unos cinco </w:t>
      </w:r>
      <w:r w:rsidR="007E70A2" w:rsidRPr="00FA5324">
        <w:rPr>
          <w:lang w:val="es-DO"/>
        </w:rPr>
        <w:t>años para</w:t>
      </w:r>
      <w:r w:rsidRPr="00FA5324">
        <w:rPr>
          <w:lang w:val="es-DO"/>
        </w:rPr>
        <w:t xml:space="preserve"> cerra</w:t>
      </w:r>
      <w:r w:rsidR="00DB5E93" w:rsidRPr="00FA5324">
        <w:rPr>
          <w:lang w:val="es-DO"/>
        </w:rPr>
        <w:t>r</w:t>
      </w:r>
      <w:r w:rsidRPr="00FA5324">
        <w:rPr>
          <w:lang w:val="es-DO"/>
        </w:rPr>
        <w:t>las. En la Tabla 16</w:t>
      </w:r>
      <w:r w:rsidR="00DB5E93" w:rsidRPr="00FA5324">
        <w:rPr>
          <w:lang w:val="es-DO"/>
        </w:rPr>
        <w:t xml:space="preserve"> se presenta el cál</w:t>
      </w:r>
      <w:r w:rsidRPr="00FA5324">
        <w:rPr>
          <w:lang w:val="es-DO"/>
        </w:rPr>
        <w:t xml:space="preserve">culo de brechas de </w:t>
      </w:r>
      <w:r w:rsidR="007E70A2" w:rsidRPr="00FA5324">
        <w:rPr>
          <w:lang w:val="es-DO"/>
        </w:rPr>
        <w:t>infraestructura</w:t>
      </w:r>
      <w:r w:rsidR="00DB5E93" w:rsidRPr="00FA5324">
        <w:rPr>
          <w:lang w:val="es-DO"/>
        </w:rPr>
        <w:t>. La brecha se estimó con el nú</w:t>
      </w:r>
      <w:r w:rsidRPr="00FA5324">
        <w:rPr>
          <w:lang w:val="es-DO"/>
        </w:rPr>
        <w:t>mero de camas</w:t>
      </w:r>
      <w:r w:rsidR="000E46E0" w:rsidRPr="008450F1">
        <w:rPr>
          <w:lang w:val="es-DO"/>
        </w:rPr>
        <w:t>,</w:t>
      </w:r>
      <w:r w:rsidRPr="00FA5324">
        <w:rPr>
          <w:lang w:val="es-DO"/>
        </w:rPr>
        <w:t xml:space="preserve"> que es una buena aproximación por ser el principal </w:t>
      </w:r>
      <w:r w:rsidR="007E70A2" w:rsidRPr="00FA5324">
        <w:rPr>
          <w:i/>
          <w:lang w:val="es-DO"/>
        </w:rPr>
        <w:t>cost driver</w:t>
      </w:r>
      <w:r w:rsidRPr="00FA5324">
        <w:rPr>
          <w:lang w:val="es-DO"/>
        </w:rPr>
        <w:t xml:space="preserve"> en </w:t>
      </w:r>
      <w:r w:rsidR="007E70A2" w:rsidRPr="00FA5324">
        <w:rPr>
          <w:lang w:val="es-DO"/>
        </w:rPr>
        <w:t>infraestructura</w:t>
      </w:r>
      <w:r w:rsidRPr="00FA5324">
        <w:rPr>
          <w:lang w:val="es-DO"/>
        </w:rPr>
        <w:t xml:space="preserve"> sanitaria. En la Tabla 8 se presentan los costos empleados.</w:t>
      </w:r>
    </w:p>
    <w:p w:rsidR="00E9491C" w:rsidRPr="008450F1" w:rsidRDefault="00E9491C" w:rsidP="00AF0916">
      <w:pPr>
        <w:spacing w:after="0" w:line="240" w:lineRule="auto"/>
        <w:rPr>
          <w:lang w:val="es-DO"/>
        </w:rPr>
      </w:pPr>
    </w:p>
    <w:p w:rsidR="007D15C8" w:rsidRPr="00FA5324" w:rsidRDefault="007D15C8" w:rsidP="00FA5324">
      <w:pPr>
        <w:pStyle w:val="Caption"/>
        <w:keepNext/>
        <w:spacing w:after="0"/>
        <w:jc w:val="center"/>
        <w:rPr>
          <w:i w:val="0"/>
          <w:color w:val="auto"/>
          <w:lang w:val="es-DO"/>
        </w:rPr>
      </w:pPr>
      <w:bookmarkStart w:id="20" w:name="_Ref399139663"/>
      <w:r w:rsidRPr="00FA5324">
        <w:rPr>
          <w:i w:val="0"/>
          <w:color w:val="auto"/>
          <w:lang w:val="es-DO"/>
        </w:rPr>
        <w:t xml:space="preserve">Tabla </w:t>
      </w:r>
      <w:r w:rsidR="00BC2072" w:rsidRPr="00FA5324">
        <w:rPr>
          <w:i w:val="0"/>
          <w:color w:val="auto"/>
          <w:lang w:val="es-DO"/>
        </w:rPr>
        <w:fldChar w:fldCharType="begin"/>
      </w:r>
      <w:r w:rsidR="00BC2072" w:rsidRPr="00FA5324">
        <w:rPr>
          <w:i w:val="0"/>
          <w:color w:val="auto"/>
          <w:lang w:val="es-DO"/>
        </w:rPr>
        <w:instrText xml:space="preserve"> SEQ Tabla \* ARABIC </w:instrText>
      </w:r>
      <w:r w:rsidR="00BC2072" w:rsidRPr="00FA5324">
        <w:rPr>
          <w:i w:val="0"/>
          <w:color w:val="auto"/>
          <w:lang w:val="es-DO"/>
        </w:rPr>
        <w:fldChar w:fldCharType="separate"/>
      </w:r>
      <w:r w:rsidR="00A04D48" w:rsidRPr="00FA5324">
        <w:rPr>
          <w:i w:val="0"/>
          <w:color w:val="auto"/>
          <w:lang w:val="es-DO"/>
        </w:rPr>
        <w:t>8</w:t>
      </w:r>
      <w:r w:rsidR="00BC2072" w:rsidRPr="00FA5324">
        <w:rPr>
          <w:i w:val="0"/>
          <w:color w:val="auto"/>
          <w:lang w:val="es-DO"/>
        </w:rPr>
        <w:fldChar w:fldCharType="end"/>
      </w:r>
      <w:bookmarkEnd w:id="20"/>
      <w:r w:rsidRPr="00FA5324">
        <w:rPr>
          <w:i w:val="0"/>
          <w:color w:val="auto"/>
          <w:lang w:val="es-DO"/>
        </w:rPr>
        <w:t>. Parámetros costo Recurso Humano y Camas</w:t>
      </w:r>
    </w:p>
    <w:tbl>
      <w:tblPr>
        <w:tblStyle w:val="TableGrid"/>
        <w:tblW w:w="0" w:type="auto"/>
        <w:tblLayout w:type="fixed"/>
        <w:tblLook w:val="04A0" w:firstRow="1" w:lastRow="0" w:firstColumn="1" w:lastColumn="0" w:noHBand="0" w:noVBand="1"/>
      </w:tblPr>
      <w:tblGrid>
        <w:gridCol w:w="1566"/>
        <w:gridCol w:w="1399"/>
        <w:gridCol w:w="2970"/>
        <w:gridCol w:w="3228"/>
      </w:tblGrid>
      <w:tr w:rsidR="00C62A67" w:rsidRPr="008450F1" w:rsidTr="00FA5324">
        <w:trPr>
          <w:tblHeader/>
        </w:trPr>
        <w:tc>
          <w:tcPr>
            <w:tcW w:w="1566" w:type="dxa"/>
            <w:shd w:val="clear" w:color="auto" w:fill="AEAAAA" w:themeFill="background2" w:themeFillShade="BF"/>
            <w:vAlign w:val="center"/>
          </w:tcPr>
          <w:p w:rsidR="00175892" w:rsidRPr="00FA5324" w:rsidRDefault="00175892" w:rsidP="00FA5324">
            <w:pPr>
              <w:pStyle w:val="Tabla"/>
              <w:jc w:val="center"/>
              <w:rPr>
                <w:rFonts w:ascii="Times New Roman" w:hAnsi="Times New Roman"/>
                <w:b/>
                <w:color w:val="auto"/>
                <w:lang w:val="es-DO"/>
              </w:rPr>
            </w:pPr>
            <w:r w:rsidRPr="00FA5324">
              <w:rPr>
                <w:rFonts w:ascii="Times New Roman" w:hAnsi="Times New Roman"/>
                <w:b/>
                <w:color w:val="auto"/>
                <w:lang w:val="es-DO"/>
              </w:rPr>
              <w:t>Parámetro</w:t>
            </w:r>
          </w:p>
        </w:tc>
        <w:tc>
          <w:tcPr>
            <w:tcW w:w="1399" w:type="dxa"/>
            <w:shd w:val="clear" w:color="auto" w:fill="AEAAAA" w:themeFill="background2" w:themeFillShade="BF"/>
            <w:vAlign w:val="center"/>
          </w:tcPr>
          <w:p w:rsidR="00175892" w:rsidRPr="00FA5324" w:rsidRDefault="00175892" w:rsidP="00FA5324">
            <w:pPr>
              <w:pStyle w:val="Tabla"/>
              <w:jc w:val="center"/>
              <w:rPr>
                <w:rFonts w:ascii="Times New Roman" w:hAnsi="Times New Roman"/>
                <w:b/>
                <w:color w:val="auto"/>
                <w:lang w:val="es-DO"/>
              </w:rPr>
            </w:pPr>
            <w:r w:rsidRPr="00FA5324">
              <w:rPr>
                <w:rFonts w:ascii="Times New Roman" w:hAnsi="Times New Roman"/>
                <w:b/>
                <w:color w:val="auto"/>
                <w:lang w:val="es-DO"/>
              </w:rPr>
              <w:t>Valor</w:t>
            </w:r>
          </w:p>
        </w:tc>
        <w:tc>
          <w:tcPr>
            <w:tcW w:w="2970" w:type="dxa"/>
            <w:shd w:val="clear" w:color="auto" w:fill="AEAAAA" w:themeFill="background2" w:themeFillShade="BF"/>
            <w:vAlign w:val="center"/>
          </w:tcPr>
          <w:p w:rsidR="00175892" w:rsidRPr="00FA5324" w:rsidRDefault="00175892" w:rsidP="00FA5324">
            <w:pPr>
              <w:pStyle w:val="Tabla"/>
              <w:jc w:val="center"/>
              <w:rPr>
                <w:rFonts w:ascii="Times New Roman" w:hAnsi="Times New Roman"/>
                <w:b/>
                <w:color w:val="auto"/>
                <w:lang w:val="es-DO"/>
              </w:rPr>
            </w:pPr>
            <w:r w:rsidRPr="00FA5324">
              <w:rPr>
                <w:rFonts w:ascii="Times New Roman" w:hAnsi="Times New Roman"/>
                <w:b/>
                <w:color w:val="auto"/>
                <w:lang w:val="es-DO"/>
              </w:rPr>
              <w:t>Fuente</w:t>
            </w:r>
          </w:p>
        </w:tc>
        <w:tc>
          <w:tcPr>
            <w:tcW w:w="3228" w:type="dxa"/>
            <w:shd w:val="clear" w:color="auto" w:fill="AEAAAA" w:themeFill="background2" w:themeFillShade="BF"/>
            <w:vAlign w:val="center"/>
          </w:tcPr>
          <w:p w:rsidR="00175892" w:rsidRPr="00FA5324" w:rsidRDefault="00175892" w:rsidP="00FA5324">
            <w:pPr>
              <w:pStyle w:val="Tabla"/>
              <w:jc w:val="center"/>
              <w:rPr>
                <w:rFonts w:ascii="Times New Roman" w:hAnsi="Times New Roman"/>
                <w:b/>
                <w:color w:val="auto"/>
                <w:lang w:val="es-DO"/>
              </w:rPr>
            </w:pPr>
            <w:r w:rsidRPr="00FA5324">
              <w:rPr>
                <w:rFonts w:ascii="Times New Roman" w:hAnsi="Times New Roman"/>
                <w:b/>
                <w:color w:val="auto"/>
                <w:lang w:val="es-DO"/>
              </w:rPr>
              <w:t>Notas</w:t>
            </w:r>
          </w:p>
        </w:tc>
      </w:tr>
      <w:tr w:rsidR="00C62A67" w:rsidRPr="008450F1" w:rsidTr="00FA5324">
        <w:tc>
          <w:tcPr>
            <w:tcW w:w="1566" w:type="dxa"/>
            <w:vAlign w:val="center"/>
          </w:tcPr>
          <w:p w:rsidR="00175892" w:rsidRPr="00FA5324" w:rsidRDefault="00175892" w:rsidP="00FA5324">
            <w:pPr>
              <w:pStyle w:val="Tabla"/>
              <w:jc w:val="center"/>
              <w:rPr>
                <w:rFonts w:ascii="Times New Roman" w:hAnsi="Times New Roman"/>
                <w:color w:val="auto"/>
                <w:lang w:val="pt-BR"/>
              </w:rPr>
            </w:pPr>
            <w:r w:rsidRPr="00FA5324">
              <w:rPr>
                <w:rFonts w:ascii="Times New Roman" w:hAnsi="Times New Roman"/>
                <w:color w:val="auto"/>
                <w:lang w:val="pt-BR"/>
              </w:rPr>
              <w:lastRenderedPageBreak/>
              <w:t>Costo anual por médico DOP 2015</w:t>
            </w:r>
          </w:p>
        </w:tc>
        <w:tc>
          <w:tcPr>
            <w:tcW w:w="1399" w:type="dxa"/>
            <w:vAlign w:val="center"/>
          </w:tcPr>
          <w:p w:rsidR="00175892" w:rsidRPr="00FA5324" w:rsidRDefault="00175892" w:rsidP="00FA5324">
            <w:pPr>
              <w:pStyle w:val="Tabla"/>
              <w:jc w:val="center"/>
              <w:rPr>
                <w:rFonts w:ascii="Times New Roman" w:hAnsi="Times New Roman"/>
                <w:color w:val="auto"/>
                <w:lang w:val="es-DO"/>
              </w:rPr>
            </w:pPr>
            <w:r w:rsidRPr="00FA5324">
              <w:rPr>
                <w:rFonts w:ascii="Times New Roman" w:hAnsi="Times New Roman"/>
                <w:color w:val="auto"/>
                <w:lang w:val="es-DO"/>
              </w:rPr>
              <w:t>$1,086,657.10</w:t>
            </w:r>
          </w:p>
        </w:tc>
        <w:tc>
          <w:tcPr>
            <w:tcW w:w="2970" w:type="dxa"/>
            <w:vAlign w:val="center"/>
          </w:tcPr>
          <w:p w:rsidR="00175892" w:rsidRPr="00FA5324" w:rsidRDefault="00AA3DCF" w:rsidP="00FA5324">
            <w:pPr>
              <w:pStyle w:val="Tabla"/>
              <w:jc w:val="center"/>
              <w:rPr>
                <w:rFonts w:ascii="Times New Roman" w:hAnsi="Times New Roman"/>
                <w:color w:val="auto"/>
                <w:lang w:val="es-DO"/>
              </w:rPr>
            </w:pPr>
            <w:hyperlink r:id="rId20" w:history="1">
              <w:r w:rsidR="00846A47" w:rsidRPr="00FA5324">
                <w:rPr>
                  <w:color w:val="auto"/>
                  <w:lang w:val="es-DO"/>
                </w:rPr>
                <w:t>http://www.listin.com.do/la-republica/2010/5/20/142691/print</w:t>
              </w:r>
            </w:hyperlink>
          </w:p>
        </w:tc>
        <w:tc>
          <w:tcPr>
            <w:tcW w:w="3228" w:type="dxa"/>
            <w:vAlign w:val="center"/>
          </w:tcPr>
          <w:p w:rsidR="00175892" w:rsidRPr="00FA5324" w:rsidRDefault="00175892" w:rsidP="00FA5324">
            <w:pPr>
              <w:pStyle w:val="Tabla"/>
              <w:jc w:val="center"/>
              <w:rPr>
                <w:rFonts w:ascii="Times New Roman" w:hAnsi="Times New Roman"/>
                <w:color w:val="auto"/>
                <w:lang w:val="es-DO"/>
              </w:rPr>
            </w:pPr>
            <w:r w:rsidRPr="00FA5324">
              <w:rPr>
                <w:rFonts w:ascii="Times New Roman" w:hAnsi="Times New Roman"/>
                <w:color w:val="auto"/>
                <w:lang w:val="es-DO"/>
              </w:rPr>
              <w:t>Se estima un incremento del 300% sobre el costo actual</w:t>
            </w:r>
          </w:p>
        </w:tc>
      </w:tr>
      <w:tr w:rsidR="00C62A67" w:rsidRPr="008450F1" w:rsidTr="00FA5324">
        <w:tc>
          <w:tcPr>
            <w:tcW w:w="1566" w:type="dxa"/>
            <w:vAlign w:val="center"/>
          </w:tcPr>
          <w:p w:rsidR="00175892" w:rsidRPr="00FA5324" w:rsidRDefault="00175892" w:rsidP="00FA5324">
            <w:pPr>
              <w:pStyle w:val="Tabla"/>
              <w:jc w:val="center"/>
              <w:rPr>
                <w:rFonts w:ascii="Times New Roman" w:hAnsi="Times New Roman"/>
                <w:color w:val="auto"/>
                <w:lang w:val="pt-BR"/>
              </w:rPr>
            </w:pPr>
            <w:r w:rsidRPr="00FA5324">
              <w:rPr>
                <w:rFonts w:ascii="Times New Roman" w:hAnsi="Times New Roman"/>
                <w:color w:val="auto"/>
                <w:lang w:val="pt-BR"/>
              </w:rPr>
              <w:t xml:space="preserve">Costo </w:t>
            </w:r>
            <w:r w:rsidR="00142A46" w:rsidRPr="00FA5324">
              <w:rPr>
                <w:rFonts w:ascii="Times New Roman" w:hAnsi="Times New Roman"/>
                <w:color w:val="auto"/>
                <w:lang w:val="pt-BR"/>
              </w:rPr>
              <w:t>an</w:t>
            </w:r>
            <w:r w:rsidRPr="00FA5324">
              <w:rPr>
                <w:rFonts w:ascii="Times New Roman" w:hAnsi="Times New Roman"/>
                <w:color w:val="auto"/>
                <w:lang w:val="pt-BR"/>
              </w:rPr>
              <w:t xml:space="preserve">ual </w:t>
            </w:r>
            <w:r w:rsidR="00142A46" w:rsidRPr="00FA5324">
              <w:rPr>
                <w:rFonts w:ascii="Times New Roman" w:hAnsi="Times New Roman"/>
                <w:color w:val="auto"/>
                <w:lang w:val="pt-BR"/>
              </w:rPr>
              <w:t>enf</w:t>
            </w:r>
            <w:r w:rsidRPr="00FA5324">
              <w:rPr>
                <w:rFonts w:ascii="Times New Roman" w:hAnsi="Times New Roman"/>
                <w:color w:val="auto"/>
                <w:lang w:val="pt-BR"/>
              </w:rPr>
              <w:t>ermera DOP 2015s</w:t>
            </w:r>
          </w:p>
        </w:tc>
        <w:tc>
          <w:tcPr>
            <w:tcW w:w="1399" w:type="dxa"/>
            <w:vAlign w:val="center"/>
          </w:tcPr>
          <w:p w:rsidR="00175892" w:rsidRPr="00FA5324" w:rsidRDefault="00175892" w:rsidP="00FA5324">
            <w:pPr>
              <w:pStyle w:val="Tabla"/>
              <w:jc w:val="center"/>
              <w:rPr>
                <w:rFonts w:ascii="Times New Roman" w:hAnsi="Times New Roman"/>
                <w:color w:val="auto"/>
                <w:lang w:val="es-DO"/>
              </w:rPr>
            </w:pPr>
            <w:r w:rsidRPr="00FA5324">
              <w:rPr>
                <w:rFonts w:ascii="Times New Roman" w:hAnsi="Times New Roman"/>
                <w:color w:val="auto"/>
                <w:lang w:val="es-DO"/>
              </w:rPr>
              <w:t>$500,400.54</w:t>
            </w:r>
          </w:p>
        </w:tc>
        <w:tc>
          <w:tcPr>
            <w:tcW w:w="2970" w:type="dxa"/>
            <w:vAlign w:val="center"/>
          </w:tcPr>
          <w:p w:rsidR="00175892" w:rsidRPr="00FA5324" w:rsidRDefault="00AA3DCF" w:rsidP="00FA5324">
            <w:pPr>
              <w:pStyle w:val="Tabla"/>
              <w:jc w:val="center"/>
              <w:rPr>
                <w:rFonts w:ascii="Times New Roman" w:hAnsi="Times New Roman"/>
                <w:color w:val="auto"/>
                <w:lang w:val="es-DO"/>
              </w:rPr>
            </w:pPr>
            <w:hyperlink r:id="rId21" w:anchor=".VBvbhhaJU-I" w:history="1">
              <w:r w:rsidR="00846A47" w:rsidRPr="00FA5324">
                <w:rPr>
                  <w:color w:val="auto"/>
                  <w:lang w:val="es-DO"/>
                </w:rPr>
                <w:t>http://www.ultimasnoticias.com.do/enfermeras-paralizan-labores-hospitales-publicos-en-reclamo-aumento-salarial/#.VBvbhhaJU-I</w:t>
              </w:r>
            </w:hyperlink>
          </w:p>
        </w:tc>
        <w:tc>
          <w:tcPr>
            <w:tcW w:w="3228" w:type="dxa"/>
            <w:vAlign w:val="center"/>
          </w:tcPr>
          <w:p w:rsidR="00175892" w:rsidRPr="00FA5324" w:rsidRDefault="00175892" w:rsidP="00FA5324">
            <w:pPr>
              <w:pStyle w:val="Tabla"/>
              <w:jc w:val="center"/>
              <w:rPr>
                <w:rFonts w:ascii="Times New Roman" w:hAnsi="Times New Roman"/>
                <w:color w:val="auto"/>
                <w:lang w:val="es-DO"/>
              </w:rPr>
            </w:pPr>
            <w:r w:rsidRPr="00FA5324">
              <w:rPr>
                <w:rFonts w:ascii="Times New Roman" w:hAnsi="Times New Roman"/>
                <w:color w:val="auto"/>
                <w:lang w:val="es-DO"/>
              </w:rPr>
              <w:t>Se estima un incremento del 300% sobre el costo actual</w:t>
            </w:r>
          </w:p>
        </w:tc>
      </w:tr>
      <w:tr w:rsidR="00C62A67" w:rsidRPr="008450F1" w:rsidTr="00FA5324">
        <w:tc>
          <w:tcPr>
            <w:tcW w:w="1566" w:type="dxa"/>
            <w:vAlign w:val="center"/>
          </w:tcPr>
          <w:p w:rsidR="00175892" w:rsidRPr="00FA5324" w:rsidRDefault="00175892" w:rsidP="00FA5324">
            <w:pPr>
              <w:pStyle w:val="Tabla"/>
              <w:jc w:val="center"/>
              <w:rPr>
                <w:rFonts w:ascii="Times New Roman" w:hAnsi="Times New Roman"/>
                <w:color w:val="auto"/>
                <w:lang w:val="es-DO"/>
              </w:rPr>
            </w:pPr>
            <w:r w:rsidRPr="00FA5324">
              <w:rPr>
                <w:rFonts w:ascii="Times New Roman" w:hAnsi="Times New Roman"/>
                <w:color w:val="auto"/>
                <w:lang w:val="es-DO"/>
              </w:rPr>
              <w:t>Costo no recurrente por cama  millones DOP 2013</w:t>
            </w:r>
          </w:p>
        </w:tc>
        <w:tc>
          <w:tcPr>
            <w:tcW w:w="1399" w:type="dxa"/>
            <w:vAlign w:val="center"/>
          </w:tcPr>
          <w:p w:rsidR="00175892" w:rsidRPr="00FA5324" w:rsidRDefault="00175892" w:rsidP="00FA5324">
            <w:pPr>
              <w:pStyle w:val="Tabla"/>
              <w:jc w:val="center"/>
              <w:rPr>
                <w:rFonts w:ascii="Times New Roman" w:hAnsi="Times New Roman"/>
                <w:color w:val="auto"/>
                <w:lang w:val="es-DO"/>
              </w:rPr>
            </w:pPr>
            <w:r w:rsidRPr="00FA5324">
              <w:rPr>
                <w:rFonts w:ascii="Times New Roman" w:hAnsi="Times New Roman"/>
                <w:color w:val="auto"/>
                <w:lang w:val="es-DO"/>
              </w:rPr>
              <w:t>$3.44</w:t>
            </w:r>
          </w:p>
        </w:tc>
        <w:tc>
          <w:tcPr>
            <w:tcW w:w="2970" w:type="dxa"/>
            <w:vAlign w:val="center"/>
          </w:tcPr>
          <w:p w:rsidR="00175892" w:rsidRPr="00FA5324" w:rsidRDefault="00175892" w:rsidP="00FA5324">
            <w:pPr>
              <w:pStyle w:val="Tabla"/>
              <w:jc w:val="center"/>
              <w:rPr>
                <w:rFonts w:ascii="Times New Roman" w:hAnsi="Times New Roman"/>
                <w:color w:val="auto"/>
                <w:lang w:val="es-DO"/>
              </w:rPr>
            </w:pPr>
            <w:r w:rsidRPr="00FA5324">
              <w:rPr>
                <w:rFonts w:ascii="Times New Roman" w:hAnsi="Times New Roman"/>
                <w:color w:val="auto"/>
                <w:lang w:val="es-DO"/>
              </w:rPr>
              <w:t>http://hospitalcalventi.gov.do/nuestra-historia/</w:t>
            </w:r>
          </w:p>
        </w:tc>
        <w:tc>
          <w:tcPr>
            <w:tcW w:w="3228" w:type="dxa"/>
            <w:vAlign w:val="center"/>
          </w:tcPr>
          <w:p w:rsidR="00175892" w:rsidRPr="00FA5324" w:rsidRDefault="004147F2" w:rsidP="00FA5324">
            <w:pPr>
              <w:pStyle w:val="Tabla"/>
              <w:jc w:val="center"/>
              <w:rPr>
                <w:rFonts w:ascii="Times New Roman" w:hAnsi="Times New Roman"/>
                <w:color w:val="auto"/>
                <w:lang w:val="es-DO"/>
              </w:rPr>
            </w:pPr>
            <w:r w:rsidRPr="00FA5324">
              <w:rPr>
                <w:rFonts w:ascii="Times New Roman" w:hAnsi="Times New Roman"/>
                <w:color w:val="auto"/>
                <w:lang w:val="es-DO"/>
              </w:rPr>
              <w:t>Se calcula dividiendo el costo del Hospital Regional Doctor Vinicio Calventi por el número de camas. Esto es una sobre estimación porque este hospital es de lata complejidad y las camas a construirse serian de baja complejidad.</w:t>
            </w:r>
          </w:p>
        </w:tc>
      </w:tr>
      <w:tr w:rsidR="00C62A67" w:rsidRPr="008450F1" w:rsidTr="00FA5324">
        <w:tc>
          <w:tcPr>
            <w:tcW w:w="1566" w:type="dxa"/>
            <w:vAlign w:val="center"/>
          </w:tcPr>
          <w:p w:rsidR="004147F2" w:rsidRPr="00FA5324" w:rsidRDefault="004147F2" w:rsidP="00FA5324">
            <w:pPr>
              <w:pStyle w:val="Tabla"/>
              <w:jc w:val="center"/>
              <w:rPr>
                <w:rFonts w:ascii="Times New Roman" w:hAnsi="Times New Roman"/>
                <w:color w:val="auto"/>
                <w:lang w:val="es-DO"/>
              </w:rPr>
            </w:pPr>
            <w:r w:rsidRPr="00FA5324">
              <w:rPr>
                <w:rFonts w:ascii="Times New Roman" w:hAnsi="Times New Roman"/>
                <w:color w:val="auto"/>
                <w:lang w:val="es-DO"/>
              </w:rPr>
              <w:t>Brecha de Médicos en 2010</w:t>
            </w:r>
          </w:p>
        </w:tc>
        <w:tc>
          <w:tcPr>
            <w:tcW w:w="1399" w:type="dxa"/>
            <w:vAlign w:val="center"/>
          </w:tcPr>
          <w:p w:rsidR="004147F2" w:rsidRPr="00FA5324" w:rsidRDefault="004147F2" w:rsidP="00FA5324">
            <w:pPr>
              <w:pStyle w:val="Tabla"/>
              <w:jc w:val="center"/>
              <w:rPr>
                <w:rFonts w:ascii="Times New Roman" w:hAnsi="Times New Roman"/>
                <w:color w:val="auto"/>
                <w:lang w:val="es-DO"/>
              </w:rPr>
            </w:pPr>
            <w:r w:rsidRPr="00FA5324">
              <w:rPr>
                <w:rFonts w:ascii="Times New Roman" w:hAnsi="Times New Roman"/>
                <w:color w:val="auto"/>
                <w:lang w:val="es-DO"/>
              </w:rPr>
              <w:t>600.00</w:t>
            </w:r>
          </w:p>
        </w:tc>
        <w:tc>
          <w:tcPr>
            <w:tcW w:w="2970" w:type="dxa"/>
            <w:vMerge w:val="restart"/>
            <w:vAlign w:val="center"/>
          </w:tcPr>
          <w:p w:rsidR="004147F2" w:rsidRPr="00FA5324" w:rsidRDefault="004147F2" w:rsidP="00FA5324">
            <w:pPr>
              <w:pStyle w:val="Tabla"/>
              <w:jc w:val="center"/>
              <w:rPr>
                <w:rFonts w:ascii="Times New Roman" w:hAnsi="Times New Roman"/>
                <w:color w:val="auto"/>
                <w:lang w:val="es-DO"/>
              </w:rPr>
            </w:pPr>
            <w:r w:rsidRPr="00FA5324">
              <w:rPr>
                <w:rFonts w:ascii="Times New Roman" w:hAnsi="Times New Roman"/>
                <w:color w:val="auto"/>
                <w:lang w:val="es-DO"/>
              </w:rPr>
              <w:t>Ver tabla anterior.</w:t>
            </w:r>
          </w:p>
          <w:p w:rsidR="004147F2" w:rsidRPr="00FA5324" w:rsidRDefault="004147F2" w:rsidP="00FA5324">
            <w:pPr>
              <w:pStyle w:val="Tabla"/>
              <w:jc w:val="center"/>
              <w:rPr>
                <w:rFonts w:ascii="Times New Roman" w:hAnsi="Times New Roman"/>
                <w:color w:val="auto"/>
                <w:lang w:val="es-DO"/>
              </w:rPr>
            </w:pPr>
          </w:p>
        </w:tc>
        <w:tc>
          <w:tcPr>
            <w:tcW w:w="3228" w:type="dxa"/>
            <w:vMerge w:val="restart"/>
            <w:vAlign w:val="center"/>
          </w:tcPr>
          <w:p w:rsidR="004147F2" w:rsidRPr="00FA5324" w:rsidRDefault="004147F2" w:rsidP="00FA5324">
            <w:pPr>
              <w:pStyle w:val="Tabla"/>
              <w:jc w:val="center"/>
              <w:rPr>
                <w:rFonts w:ascii="Times New Roman" w:hAnsi="Times New Roman"/>
                <w:color w:val="auto"/>
                <w:lang w:val="es-DO"/>
              </w:rPr>
            </w:pPr>
            <w:r w:rsidRPr="00FA5324">
              <w:rPr>
                <w:rFonts w:ascii="Times New Roman" w:hAnsi="Times New Roman"/>
                <w:color w:val="auto"/>
                <w:lang w:val="es-DO"/>
              </w:rPr>
              <w:t>La brecha se ajusta por crecimiento poblacional. Se empieza a cerrar desde el primer año de manera creciente lineal durante 5 años. Y luego se incrementa el personal según el crecimiento poblacional</w:t>
            </w:r>
          </w:p>
        </w:tc>
      </w:tr>
      <w:tr w:rsidR="00C62A67" w:rsidRPr="008450F1" w:rsidTr="00FA5324">
        <w:tc>
          <w:tcPr>
            <w:tcW w:w="1566" w:type="dxa"/>
            <w:vAlign w:val="center"/>
          </w:tcPr>
          <w:p w:rsidR="004147F2" w:rsidRPr="00FA5324" w:rsidRDefault="004147F2" w:rsidP="00FA5324">
            <w:pPr>
              <w:pStyle w:val="Tabla"/>
              <w:jc w:val="center"/>
              <w:rPr>
                <w:rFonts w:ascii="Times New Roman" w:hAnsi="Times New Roman"/>
                <w:color w:val="auto"/>
                <w:lang w:val="es-DO"/>
              </w:rPr>
            </w:pPr>
            <w:r w:rsidRPr="00FA5324">
              <w:rPr>
                <w:rFonts w:ascii="Times New Roman" w:hAnsi="Times New Roman"/>
                <w:color w:val="auto"/>
                <w:lang w:val="es-DO"/>
              </w:rPr>
              <w:t>Brecha de Enfermeras en 2010</w:t>
            </w:r>
          </w:p>
        </w:tc>
        <w:tc>
          <w:tcPr>
            <w:tcW w:w="1399" w:type="dxa"/>
            <w:vAlign w:val="center"/>
          </w:tcPr>
          <w:p w:rsidR="004147F2" w:rsidRPr="00FA5324" w:rsidRDefault="004147F2" w:rsidP="00FA5324">
            <w:pPr>
              <w:pStyle w:val="Tabla"/>
              <w:jc w:val="center"/>
              <w:rPr>
                <w:rFonts w:ascii="Times New Roman" w:hAnsi="Times New Roman"/>
                <w:color w:val="auto"/>
                <w:lang w:val="es-DO"/>
              </w:rPr>
            </w:pPr>
            <w:r w:rsidRPr="00FA5324">
              <w:rPr>
                <w:rFonts w:ascii="Times New Roman" w:hAnsi="Times New Roman"/>
                <w:color w:val="auto"/>
                <w:lang w:val="es-DO"/>
              </w:rPr>
              <w:t>79.00</w:t>
            </w:r>
          </w:p>
        </w:tc>
        <w:tc>
          <w:tcPr>
            <w:tcW w:w="2970" w:type="dxa"/>
            <w:vMerge/>
            <w:vAlign w:val="center"/>
          </w:tcPr>
          <w:p w:rsidR="004147F2" w:rsidRPr="00FA5324" w:rsidRDefault="004147F2" w:rsidP="00FA5324">
            <w:pPr>
              <w:pStyle w:val="Tabla"/>
              <w:jc w:val="center"/>
              <w:rPr>
                <w:rFonts w:ascii="Times New Roman" w:hAnsi="Times New Roman"/>
                <w:color w:val="auto"/>
                <w:lang w:val="es-DO"/>
              </w:rPr>
            </w:pPr>
          </w:p>
        </w:tc>
        <w:tc>
          <w:tcPr>
            <w:tcW w:w="3228" w:type="dxa"/>
            <w:vMerge/>
            <w:vAlign w:val="center"/>
          </w:tcPr>
          <w:p w:rsidR="004147F2" w:rsidRPr="00FA5324" w:rsidRDefault="004147F2" w:rsidP="00FA5324">
            <w:pPr>
              <w:pStyle w:val="Tabla"/>
              <w:jc w:val="center"/>
              <w:rPr>
                <w:rFonts w:ascii="Times New Roman" w:hAnsi="Times New Roman"/>
                <w:color w:val="auto"/>
                <w:lang w:val="es-DO"/>
              </w:rPr>
            </w:pPr>
          </w:p>
        </w:tc>
      </w:tr>
      <w:tr w:rsidR="00C62A67" w:rsidRPr="008450F1" w:rsidTr="00FA5324">
        <w:tc>
          <w:tcPr>
            <w:tcW w:w="1566" w:type="dxa"/>
            <w:vAlign w:val="center"/>
          </w:tcPr>
          <w:p w:rsidR="004147F2" w:rsidRPr="00FA5324" w:rsidRDefault="004147F2" w:rsidP="00FA5324">
            <w:pPr>
              <w:pStyle w:val="Tabla"/>
              <w:jc w:val="center"/>
              <w:rPr>
                <w:rFonts w:ascii="Times New Roman" w:hAnsi="Times New Roman"/>
                <w:color w:val="auto"/>
                <w:lang w:val="es-DO"/>
              </w:rPr>
            </w:pPr>
            <w:r w:rsidRPr="00FA5324">
              <w:rPr>
                <w:rFonts w:ascii="Times New Roman" w:hAnsi="Times New Roman"/>
                <w:color w:val="auto"/>
                <w:lang w:val="es-DO"/>
              </w:rPr>
              <w:t>Brecha de camas en 2010</w:t>
            </w:r>
          </w:p>
        </w:tc>
        <w:tc>
          <w:tcPr>
            <w:tcW w:w="1399" w:type="dxa"/>
            <w:vAlign w:val="center"/>
          </w:tcPr>
          <w:p w:rsidR="004147F2" w:rsidRPr="00FA5324" w:rsidRDefault="004147F2" w:rsidP="00FA5324">
            <w:pPr>
              <w:pStyle w:val="Tabla"/>
              <w:jc w:val="center"/>
              <w:rPr>
                <w:rFonts w:ascii="Times New Roman" w:hAnsi="Times New Roman"/>
                <w:color w:val="auto"/>
                <w:lang w:val="es-DO"/>
              </w:rPr>
            </w:pPr>
            <w:r w:rsidRPr="00FA5324">
              <w:rPr>
                <w:rFonts w:ascii="Times New Roman" w:hAnsi="Times New Roman"/>
                <w:color w:val="auto"/>
                <w:lang w:val="es-DO"/>
              </w:rPr>
              <w:t>567</w:t>
            </w:r>
          </w:p>
        </w:tc>
        <w:tc>
          <w:tcPr>
            <w:tcW w:w="2970" w:type="dxa"/>
            <w:vMerge/>
            <w:vAlign w:val="center"/>
          </w:tcPr>
          <w:p w:rsidR="004147F2" w:rsidRPr="00FA5324" w:rsidRDefault="004147F2" w:rsidP="00FA5324">
            <w:pPr>
              <w:pStyle w:val="Tabla"/>
              <w:jc w:val="center"/>
              <w:rPr>
                <w:rFonts w:ascii="Times New Roman" w:hAnsi="Times New Roman"/>
                <w:color w:val="auto"/>
                <w:lang w:val="es-DO"/>
              </w:rPr>
            </w:pPr>
          </w:p>
        </w:tc>
        <w:tc>
          <w:tcPr>
            <w:tcW w:w="3228" w:type="dxa"/>
            <w:vAlign w:val="center"/>
          </w:tcPr>
          <w:p w:rsidR="004147F2" w:rsidRPr="00FA5324" w:rsidRDefault="004147F2" w:rsidP="00FA5324">
            <w:pPr>
              <w:pStyle w:val="Tabla"/>
              <w:jc w:val="center"/>
              <w:rPr>
                <w:rFonts w:ascii="Times New Roman" w:hAnsi="Times New Roman"/>
                <w:color w:val="auto"/>
                <w:lang w:val="es-DO"/>
              </w:rPr>
            </w:pPr>
            <w:r w:rsidRPr="00FA5324">
              <w:rPr>
                <w:rFonts w:ascii="Times New Roman" w:hAnsi="Times New Roman"/>
                <w:color w:val="auto"/>
                <w:lang w:val="es-DO"/>
              </w:rPr>
              <w:t>La brecha se ajusta por crecimiento poblacional. Se empieza a cerrar desde el tercer* año de manera creciente lineal durante 5 años. Y luego se incrementan las camas según el crecimiento poblacional.</w:t>
            </w:r>
          </w:p>
        </w:tc>
      </w:tr>
    </w:tbl>
    <w:p w:rsidR="008B4A04" w:rsidRPr="008450F1" w:rsidRDefault="008B4A04" w:rsidP="00AF0916">
      <w:pPr>
        <w:spacing w:after="0" w:line="240" w:lineRule="auto"/>
        <w:jc w:val="left"/>
        <w:rPr>
          <w:i/>
          <w:sz w:val="18"/>
          <w:lang w:val="es-DO"/>
        </w:rPr>
      </w:pPr>
      <w:r w:rsidRPr="008450F1">
        <w:rPr>
          <w:i/>
          <w:sz w:val="18"/>
          <w:lang w:val="es-DO"/>
        </w:rPr>
        <w:t>Fuente: elaborado a partir de las referencias mencionadas.</w:t>
      </w:r>
    </w:p>
    <w:p w:rsidR="00E9491C" w:rsidRPr="008450F1" w:rsidRDefault="00E9491C" w:rsidP="00AF0916">
      <w:pPr>
        <w:pStyle w:val="Heading2"/>
        <w:spacing w:before="0" w:after="0" w:line="240" w:lineRule="auto"/>
        <w:ind w:left="0"/>
        <w:rPr>
          <w:lang w:val="es-DO"/>
        </w:rPr>
      </w:pPr>
    </w:p>
    <w:p w:rsidR="00244EBC" w:rsidRPr="008450F1" w:rsidRDefault="009D28B6" w:rsidP="00AF0916">
      <w:pPr>
        <w:pStyle w:val="Heading2"/>
        <w:spacing w:before="0" w:after="0" w:line="240" w:lineRule="auto"/>
        <w:rPr>
          <w:lang w:val="es-DO"/>
        </w:rPr>
      </w:pPr>
      <w:bookmarkStart w:id="21" w:name="_Toc401244714"/>
      <w:r w:rsidRPr="00FA5324">
        <w:rPr>
          <w:lang w:val="es-DO"/>
        </w:rPr>
        <w:t xml:space="preserve">C. </w:t>
      </w:r>
      <w:r w:rsidR="00244EBC" w:rsidRPr="00FA5324">
        <w:rPr>
          <w:lang w:val="es-DO"/>
        </w:rPr>
        <w:t xml:space="preserve">Proyecciones </w:t>
      </w:r>
      <w:r w:rsidR="00930BCC" w:rsidRPr="00FA5324">
        <w:rPr>
          <w:lang w:val="es-DO"/>
        </w:rPr>
        <w:t>para l</w:t>
      </w:r>
      <w:r w:rsidR="00230706" w:rsidRPr="00FA5324">
        <w:rPr>
          <w:lang w:val="es-DO"/>
        </w:rPr>
        <w:t xml:space="preserve">as valoraciones </w:t>
      </w:r>
      <w:r w:rsidR="00846A47" w:rsidRPr="00FA5324">
        <w:rPr>
          <w:lang w:val="es-DO"/>
        </w:rPr>
        <w:t xml:space="preserve">de </w:t>
      </w:r>
      <w:r w:rsidR="00846A47" w:rsidRPr="008450F1">
        <w:rPr>
          <w:lang w:val="es-DO"/>
        </w:rPr>
        <w:t>costo</w:t>
      </w:r>
      <w:r w:rsidR="00E9491C" w:rsidRPr="008450F1">
        <w:rPr>
          <w:lang w:val="es-DO"/>
        </w:rPr>
        <w:t>s</w:t>
      </w:r>
      <w:r w:rsidR="00230706" w:rsidRPr="00FA5324">
        <w:rPr>
          <w:lang w:val="es-DO"/>
        </w:rPr>
        <w:t xml:space="preserve"> y </w:t>
      </w:r>
      <w:r w:rsidR="00930BCC" w:rsidRPr="00FA5324">
        <w:rPr>
          <w:lang w:val="es-DO"/>
        </w:rPr>
        <w:t>beneficio</w:t>
      </w:r>
      <w:r w:rsidR="00230706" w:rsidRPr="00FA5324">
        <w:rPr>
          <w:lang w:val="es-DO"/>
        </w:rPr>
        <w:t>s</w:t>
      </w:r>
      <w:bookmarkEnd w:id="21"/>
      <w:r w:rsidR="00930BCC" w:rsidRPr="00FA5324">
        <w:rPr>
          <w:lang w:val="es-DO"/>
        </w:rPr>
        <w:t xml:space="preserve"> </w:t>
      </w:r>
    </w:p>
    <w:p w:rsidR="00E9491C" w:rsidRPr="00FA5324" w:rsidRDefault="00E9491C" w:rsidP="00FA5324">
      <w:pPr>
        <w:spacing w:after="0" w:line="240" w:lineRule="auto"/>
        <w:rPr>
          <w:lang w:val="es-DO"/>
        </w:rPr>
      </w:pPr>
    </w:p>
    <w:p w:rsidR="00E9491C" w:rsidRPr="00FA5324" w:rsidRDefault="00930BCC" w:rsidP="00FA5324">
      <w:pPr>
        <w:spacing w:after="0" w:line="240" w:lineRule="auto"/>
        <w:rPr>
          <w:lang w:val="es-DO"/>
        </w:rPr>
      </w:pPr>
      <w:r w:rsidRPr="00FA5324">
        <w:rPr>
          <w:lang w:val="es-DO"/>
        </w:rPr>
        <w:t>Para construir los escenarios de costos y beneficios se realizaron</w:t>
      </w:r>
      <w:r w:rsidR="00846A47" w:rsidRPr="00FA5324">
        <w:rPr>
          <w:lang w:val="es-DO"/>
        </w:rPr>
        <w:t xml:space="preserve"> proyecciones</w:t>
      </w:r>
      <w:r w:rsidR="00230706" w:rsidRPr="00FA5324">
        <w:rPr>
          <w:lang w:val="es-DO"/>
        </w:rPr>
        <w:t>: (1)</w:t>
      </w:r>
      <w:r w:rsidR="00244EBC" w:rsidRPr="00FA5324">
        <w:rPr>
          <w:lang w:val="es-DO"/>
        </w:rPr>
        <w:t xml:space="preserve"> </w:t>
      </w:r>
      <w:r w:rsidR="00846A47" w:rsidRPr="00FA5324">
        <w:rPr>
          <w:lang w:val="es-DO"/>
        </w:rPr>
        <w:t>del PIB;</w:t>
      </w:r>
      <w:r w:rsidR="00244EBC" w:rsidRPr="00FA5324">
        <w:rPr>
          <w:lang w:val="es-DO"/>
        </w:rPr>
        <w:t xml:space="preserve"> </w:t>
      </w:r>
      <w:r w:rsidR="00230706" w:rsidRPr="00FA5324">
        <w:rPr>
          <w:lang w:val="es-DO"/>
        </w:rPr>
        <w:t xml:space="preserve">(2) </w:t>
      </w:r>
      <w:r w:rsidR="00244EBC" w:rsidRPr="00FA5324">
        <w:rPr>
          <w:lang w:val="es-DO"/>
        </w:rPr>
        <w:t>de la afiliación</w:t>
      </w:r>
      <w:r w:rsidR="00846A47" w:rsidRPr="00FA5324">
        <w:rPr>
          <w:lang w:val="es-DO"/>
        </w:rPr>
        <w:t>;</w:t>
      </w:r>
      <w:r w:rsidR="00244EBC" w:rsidRPr="00FA5324">
        <w:rPr>
          <w:lang w:val="es-DO"/>
        </w:rPr>
        <w:t xml:space="preserve"> y </w:t>
      </w:r>
      <w:r w:rsidR="00230706" w:rsidRPr="00FA5324">
        <w:rPr>
          <w:lang w:val="es-DO"/>
        </w:rPr>
        <w:t xml:space="preserve">(3) </w:t>
      </w:r>
      <w:r w:rsidR="00244EBC" w:rsidRPr="00FA5324">
        <w:rPr>
          <w:lang w:val="es-DO"/>
        </w:rPr>
        <w:t xml:space="preserve">del gasto en salud. </w:t>
      </w:r>
      <w:r w:rsidRPr="00FA5324">
        <w:rPr>
          <w:lang w:val="es-DO"/>
        </w:rPr>
        <w:t>La</w:t>
      </w:r>
      <w:r w:rsidR="00244EBC" w:rsidRPr="00FA5324">
        <w:rPr>
          <w:lang w:val="es-DO"/>
        </w:rPr>
        <w:t xml:space="preserve"> </w:t>
      </w:r>
      <w:r w:rsidR="007D15C8" w:rsidRPr="00FA5324">
        <w:rPr>
          <w:lang w:val="es-DO"/>
        </w:rPr>
        <w:fldChar w:fldCharType="begin"/>
      </w:r>
      <w:r w:rsidR="007D15C8" w:rsidRPr="00FA5324">
        <w:rPr>
          <w:lang w:val="es-DO"/>
        </w:rPr>
        <w:instrText xml:space="preserve"> REF _Ref399139700 \h</w:instrText>
      </w:r>
      <w:r w:rsidR="007D15C8" w:rsidRPr="008450F1">
        <w:rPr>
          <w:lang w:val="es-DO"/>
        </w:rPr>
        <w:instrText xml:space="preserve"> </w:instrText>
      </w:r>
      <w:r w:rsidR="00C62A67" w:rsidRPr="008450F1">
        <w:rPr>
          <w:lang w:val="es-DO"/>
        </w:rPr>
        <w:instrText xml:space="preserve"> \* MERGEFORMAT</w:instrText>
      </w:r>
      <w:r w:rsidR="00C62A67" w:rsidRPr="00FA5324">
        <w:rPr>
          <w:lang w:val="es-DO"/>
        </w:rPr>
        <w:instrText xml:space="preserve"> </w:instrText>
      </w:r>
      <w:r w:rsidR="007D15C8" w:rsidRPr="00FA5324">
        <w:rPr>
          <w:lang w:val="es-DO"/>
        </w:rPr>
      </w:r>
      <w:r w:rsidR="007D15C8" w:rsidRPr="00FA5324">
        <w:rPr>
          <w:lang w:val="es-DO"/>
        </w:rPr>
        <w:fldChar w:fldCharType="separate"/>
      </w:r>
      <w:r w:rsidR="00A04D48" w:rsidRPr="00FA5324">
        <w:rPr>
          <w:lang w:val="es-DO"/>
        </w:rPr>
        <w:t>Tabla 9</w:t>
      </w:r>
      <w:r w:rsidR="007D15C8" w:rsidRPr="00FA5324">
        <w:rPr>
          <w:lang w:val="es-DO"/>
        </w:rPr>
        <w:fldChar w:fldCharType="end"/>
      </w:r>
      <w:r w:rsidR="00A82A97" w:rsidRPr="00FA5324">
        <w:rPr>
          <w:lang w:val="es-DO"/>
        </w:rPr>
        <w:t xml:space="preserve"> </w:t>
      </w:r>
      <w:r w:rsidRPr="00FA5324">
        <w:rPr>
          <w:lang w:val="es-DO"/>
        </w:rPr>
        <w:t xml:space="preserve">presenta detalles de las mismas. </w:t>
      </w:r>
    </w:p>
    <w:p w:rsidR="00E9491C" w:rsidRPr="008450F1" w:rsidRDefault="00E9491C" w:rsidP="00AF0916">
      <w:pPr>
        <w:spacing w:after="0" w:line="240" w:lineRule="auto"/>
        <w:jc w:val="left"/>
        <w:rPr>
          <w:lang w:val="es-DO"/>
        </w:rPr>
      </w:pPr>
      <w:bookmarkStart w:id="22" w:name="_Ref399139700"/>
    </w:p>
    <w:p w:rsidR="008A3FD8" w:rsidRPr="00FA5324" w:rsidRDefault="007D15C8" w:rsidP="00FA5324">
      <w:pPr>
        <w:keepNext/>
        <w:spacing w:after="0" w:line="240" w:lineRule="auto"/>
        <w:jc w:val="center"/>
        <w:rPr>
          <w:lang w:val="es-DO"/>
        </w:rPr>
      </w:pPr>
      <w:r w:rsidRPr="00FA5324">
        <w:rPr>
          <w:sz w:val="18"/>
          <w:lang w:val="es-DO"/>
        </w:rPr>
        <w:t xml:space="preserve">Tabla </w:t>
      </w:r>
      <w:r w:rsidR="00BC2072" w:rsidRPr="00FA5324">
        <w:rPr>
          <w:sz w:val="18"/>
          <w:lang w:val="es-DO"/>
        </w:rPr>
        <w:fldChar w:fldCharType="begin"/>
      </w:r>
      <w:r w:rsidR="00BC2072" w:rsidRPr="00FA5324">
        <w:rPr>
          <w:sz w:val="18"/>
          <w:lang w:val="es-DO"/>
        </w:rPr>
        <w:instrText xml:space="preserve"> SEQ Tabla \* ARABIC </w:instrText>
      </w:r>
      <w:r w:rsidR="00BC2072" w:rsidRPr="00FA5324">
        <w:rPr>
          <w:sz w:val="18"/>
          <w:lang w:val="es-DO"/>
        </w:rPr>
        <w:fldChar w:fldCharType="separate"/>
      </w:r>
      <w:r w:rsidR="00A04D48" w:rsidRPr="00FA5324">
        <w:rPr>
          <w:sz w:val="18"/>
          <w:lang w:val="es-DO"/>
        </w:rPr>
        <w:t>9</w:t>
      </w:r>
      <w:r w:rsidR="00BC2072" w:rsidRPr="00FA5324">
        <w:rPr>
          <w:sz w:val="18"/>
          <w:lang w:val="es-DO"/>
        </w:rPr>
        <w:fldChar w:fldCharType="end"/>
      </w:r>
      <w:bookmarkEnd w:id="22"/>
      <w:r w:rsidRPr="00FA5324">
        <w:rPr>
          <w:sz w:val="18"/>
          <w:lang w:val="es-DO"/>
        </w:rPr>
        <w:t>. Metodología de cálculo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0"/>
        <w:gridCol w:w="4653"/>
      </w:tblGrid>
      <w:tr w:rsidR="008A3FD8" w:rsidRPr="008450F1" w:rsidTr="00FA5324">
        <w:trPr>
          <w:trHeight w:val="20"/>
          <w:tblHeader/>
          <w:jc w:val="center"/>
        </w:trPr>
        <w:tc>
          <w:tcPr>
            <w:tcW w:w="2502" w:type="pct"/>
            <w:shd w:val="clear" w:color="auto" w:fill="AEAAAA" w:themeFill="background2" w:themeFillShade="BF"/>
            <w:noWrap/>
            <w:vAlign w:val="center"/>
          </w:tcPr>
          <w:p w:rsidR="00244EBC" w:rsidRPr="00FA5324" w:rsidRDefault="00AB0AC6" w:rsidP="00FA5324">
            <w:pPr>
              <w:pStyle w:val="Tabla"/>
              <w:keepLines/>
              <w:jc w:val="center"/>
              <w:rPr>
                <w:rFonts w:ascii="Times New Roman" w:hAnsi="Times New Roman"/>
                <w:b/>
                <w:color w:val="auto"/>
                <w:lang w:val="es-DO"/>
              </w:rPr>
            </w:pPr>
            <w:r w:rsidRPr="00FA5324">
              <w:rPr>
                <w:rFonts w:ascii="Times New Roman" w:hAnsi="Times New Roman"/>
                <w:b/>
                <w:color w:val="auto"/>
                <w:lang w:val="es-DO"/>
              </w:rPr>
              <w:t>Cá</w:t>
            </w:r>
            <w:r w:rsidR="00244EBC" w:rsidRPr="00FA5324">
              <w:rPr>
                <w:rFonts w:ascii="Times New Roman" w:hAnsi="Times New Roman"/>
                <w:b/>
                <w:color w:val="auto"/>
                <w:lang w:val="es-DO"/>
              </w:rPr>
              <w:t>lculo de las variables</w:t>
            </w:r>
          </w:p>
        </w:tc>
        <w:tc>
          <w:tcPr>
            <w:tcW w:w="2498" w:type="pct"/>
            <w:shd w:val="clear" w:color="auto" w:fill="AEAAAA" w:themeFill="background2" w:themeFillShade="BF"/>
            <w:vAlign w:val="center"/>
          </w:tcPr>
          <w:p w:rsidR="00244EBC" w:rsidRPr="00FA5324" w:rsidRDefault="00244EBC" w:rsidP="00FA5324">
            <w:pPr>
              <w:pStyle w:val="Tabla"/>
              <w:keepLines/>
              <w:jc w:val="center"/>
              <w:rPr>
                <w:rFonts w:ascii="Times New Roman" w:hAnsi="Times New Roman"/>
                <w:b/>
                <w:color w:val="auto"/>
                <w:lang w:val="es-DO"/>
              </w:rPr>
            </w:pPr>
            <w:r w:rsidRPr="00FA5324">
              <w:rPr>
                <w:rFonts w:ascii="Times New Roman" w:hAnsi="Times New Roman"/>
                <w:b/>
                <w:color w:val="auto"/>
                <w:lang w:val="es-DO"/>
              </w:rPr>
              <w:t>Notas</w:t>
            </w:r>
          </w:p>
        </w:tc>
      </w:tr>
      <w:tr w:rsidR="008A3FD8" w:rsidRPr="008450F1" w:rsidTr="00FA5324">
        <w:trPr>
          <w:trHeight w:val="20"/>
          <w:jc w:val="center"/>
        </w:trPr>
        <w:tc>
          <w:tcPr>
            <w:tcW w:w="2502" w:type="pct"/>
            <w:shd w:val="clear" w:color="auto" w:fill="auto"/>
            <w:noWrap/>
            <w:vAlign w:val="center"/>
          </w:tcPr>
          <w:p w:rsidR="00B202FE" w:rsidRPr="008450F1" w:rsidRDefault="000A4583" w:rsidP="00AF0916">
            <w:pPr>
              <w:pStyle w:val="Tabla"/>
              <w:keepLines/>
              <w:rPr>
                <w:lang w:val="es-DO"/>
              </w:rPr>
            </w:pPr>
            <w:r w:rsidRPr="008450F1">
              <w:rPr>
                <w:rFonts w:ascii="Times New Roman" w:hAnsi="Times New Roman"/>
                <w:color w:val="auto"/>
                <w:lang w:val="es-DO"/>
              </w:rPr>
              <w:t xml:space="preserve">‘PIB’ = </w:t>
            </w:r>
            <w:r w:rsidR="00B202FE" w:rsidRPr="008450F1">
              <w:rPr>
                <w:rFonts w:ascii="Times New Roman" w:hAnsi="Times New Roman"/>
                <w:color w:val="auto"/>
                <w:lang w:val="es-DO"/>
              </w:rPr>
              <w:t xml:space="preserve">Año*121,509.826+-241,823,655.247 </w:t>
            </w:r>
          </w:p>
          <w:p w:rsidR="000A4583" w:rsidRPr="00FA5324" w:rsidRDefault="00B202FE" w:rsidP="00FA5324">
            <w:pPr>
              <w:pStyle w:val="Tabla"/>
              <w:keepLines/>
              <w:rPr>
                <w:lang w:val="es-DO"/>
              </w:rPr>
            </w:pPr>
            <w:r w:rsidRPr="008450F1">
              <w:rPr>
                <w:rFonts w:ascii="Times New Roman" w:hAnsi="Times New Roman"/>
                <w:color w:val="auto"/>
                <w:lang w:val="es-DO"/>
              </w:rPr>
              <w:t>R² =0.996"</w:t>
            </w:r>
          </w:p>
        </w:tc>
        <w:tc>
          <w:tcPr>
            <w:tcW w:w="2498" w:type="pct"/>
            <w:vAlign w:val="center"/>
          </w:tcPr>
          <w:p w:rsidR="000A4583" w:rsidRPr="00FA5324" w:rsidRDefault="000A4583" w:rsidP="00FA5324">
            <w:pPr>
              <w:pStyle w:val="Tabla"/>
              <w:keepLines/>
              <w:rPr>
                <w:rFonts w:ascii="Times New Roman" w:hAnsi="Times New Roman"/>
                <w:color w:val="auto"/>
                <w:lang w:val="es-DO"/>
              </w:rPr>
            </w:pPr>
            <w:r w:rsidRPr="00FA5324">
              <w:rPr>
                <w:rFonts w:ascii="Times New Roman" w:hAnsi="Times New Roman"/>
                <w:color w:val="auto"/>
                <w:lang w:val="es-DO"/>
              </w:rPr>
              <w:t xml:space="preserve">Estimado </w:t>
            </w:r>
            <w:r w:rsidR="007E70A2" w:rsidRPr="00FA5324">
              <w:rPr>
                <w:rFonts w:ascii="Times New Roman" w:hAnsi="Times New Roman"/>
                <w:color w:val="auto"/>
                <w:lang w:val="es-DO"/>
              </w:rPr>
              <w:t>a partir</w:t>
            </w:r>
            <w:r w:rsidRPr="00FA5324">
              <w:rPr>
                <w:rFonts w:ascii="Times New Roman" w:hAnsi="Times New Roman"/>
                <w:color w:val="auto"/>
                <w:lang w:val="es-DO"/>
              </w:rPr>
              <w:t xml:space="preserve"> de la serie de PIB del IMF.</w:t>
            </w:r>
          </w:p>
        </w:tc>
      </w:tr>
      <w:tr w:rsidR="008A3FD8" w:rsidRPr="008450F1" w:rsidTr="00FA5324">
        <w:trPr>
          <w:trHeight w:val="20"/>
          <w:jc w:val="center"/>
        </w:trPr>
        <w:tc>
          <w:tcPr>
            <w:tcW w:w="2502" w:type="pct"/>
            <w:shd w:val="clear" w:color="auto" w:fill="auto"/>
            <w:noWrap/>
            <w:vAlign w:val="center"/>
          </w:tcPr>
          <w:p w:rsidR="001D25D4" w:rsidRPr="00FA5324" w:rsidRDefault="001D25D4" w:rsidP="00FA5324">
            <w:pPr>
              <w:pStyle w:val="Tabla"/>
              <w:keepLines/>
              <w:rPr>
                <w:lang w:val="es-DO"/>
              </w:rPr>
            </w:pPr>
            <w:r w:rsidRPr="008450F1">
              <w:rPr>
                <w:rFonts w:ascii="Times New Roman" w:hAnsi="Times New Roman"/>
                <w:color w:val="auto"/>
                <w:lang w:val="es-DO"/>
              </w:rPr>
              <w:t xml:space="preserve">‘% Cotizantes pensiones de los ocupados </w:t>
            </w:r>
            <w:r w:rsidR="00B51537" w:rsidRPr="008450F1">
              <w:rPr>
                <w:rFonts w:ascii="Times New Roman" w:hAnsi="Times New Roman"/>
                <w:color w:val="auto"/>
                <w:lang w:val="es-DO"/>
              </w:rPr>
              <w:t>contra factual</w:t>
            </w:r>
            <w:r w:rsidRPr="008450F1">
              <w:rPr>
                <w:rFonts w:ascii="Times New Roman" w:hAnsi="Times New Roman"/>
                <w:color w:val="auto"/>
                <w:lang w:val="es-DO"/>
              </w:rPr>
              <w:t>’= 34.3%</w:t>
            </w:r>
          </w:p>
        </w:tc>
        <w:tc>
          <w:tcPr>
            <w:tcW w:w="2498" w:type="pct"/>
            <w:vAlign w:val="center"/>
          </w:tcPr>
          <w:p w:rsidR="001D25D4" w:rsidRPr="00FA5324" w:rsidRDefault="001D25D4" w:rsidP="00FA5324">
            <w:pPr>
              <w:pStyle w:val="Tabla"/>
              <w:keepLines/>
              <w:rPr>
                <w:rFonts w:ascii="Times New Roman" w:hAnsi="Times New Roman"/>
                <w:color w:val="auto"/>
                <w:lang w:val="es-DO"/>
              </w:rPr>
            </w:pPr>
            <w:r w:rsidRPr="008450F1">
              <w:rPr>
                <w:rFonts w:ascii="Times New Roman" w:hAnsi="Times New Roman"/>
                <w:color w:val="auto"/>
                <w:lang w:val="es-DO"/>
              </w:rPr>
              <w:t>Se asume que permanece constante el valor de la línea base de la matriz de resultados</w:t>
            </w:r>
          </w:p>
        </w:tc>
      </w:tr>
      <w:tr w:rsidR="008A3FD8" w:rsidRPr="008450F1" w:rsidTr="00FA5324">
        <w:trPr>
          <w:trHeight w:val="20"/>
          <w:jc w:val="center"/>
        </w:trPr>
        <w:tc>
          <w:tcPr>
            <w:tcW w:w="2502" w:type="pct"/>
            <w:shd w:val="clear" w:color="auto" w:fill="auto"/>
            <w:noWrap/>
            <w:vAlign w:val="center"/>
          </w:tcPr>
          <w:p w:rsidR="001D25D4" w:rsidRPr="00FA5324" w:rsidRDefault="009841AA" w:rsidP="00FA5324">
            <w:pPr>
              <w:pStyle w:val="Tabla"/>
              <w:keepLines/>
              <w:rPr>
                <w:lang w:val="es-DO"/>
              </w:rPr>
            </w:pPr>
            <w:r w:rsidRPr="008450F1">
              <w:rPr>
                <w:rFonts w:ascii="Times New Roman" w:hAnsi="Times New Roman"/>
                <w:color w:val="auto"/>
                <w:lang w:val="es-DO"/>
              </w:rPr>
              <w:t>Incremento cotizantes pensi</w:t>
            </w:r>
            <w:r w:rsidR="001D25D4" w:rsidRPr="008450F1">
              <w:rPr>
                <w:rFonts w:ascii="Times New Roman" w:hAnsi="Times New Roman"/>
                <w:color w:val="auto"/>
                <w:lang w:val="es-DO"/>
              </w:rPr>
              <w:t>ones de los ocupados con la operación = 1.</w:t>
            </w:r>
            <w:r w:rsidR="00882E06" w:rsidRPr="008450F1">
              <w:rPr>
                <w:rFonts w:ascii="Times New Roman" w:hAnsi="Times New Roman"/>
                <w:color w:val="auto"/>
                <w:lang w:val="es-DO"/>
              </w:rPr>
              <w:t>2</w:t>
            </w:r>
            <w:r w:rsidR="001D25D4" w:rsidRPr="008450F1">
              <w:rPr>
                <w:rFonts w:ascii="Times New Roman" w:hAnsi="Times New Roman"/>
                <w:color w:val="auto"/>
                <w:lang w:val="es-DO"/>
              </w:rPr>
              <w:t>5%  anual por los tres años</w:t>
            </w:r>
          </w:p>
        </w:tc>
        <w:tc>
          <w:tcPr>
            <w:tcW w:w="2498" w:type="pct"/>
            <w:vAlign w:val="center"/>
          </w:tcPr>
          <w:p w:rsidR="001D25D4" w:rsidRPr="00FA5324" w:rsidRDefault="001D25D4" w:rsidP="00FA5324">
            <w:pPr>
              <w:pStyle w:val="Tabla"/>
              <w:keepLines/>
              <w:rPr>
                <w:rFonts w:ascii="Times New Roman" w:hAnsi="Times New Roman"/>
                <w:color w:val="auto"/>
                <w:lang w:val="es-DO"/>
              </w:rPr>
            </w:pPr>
            <w:r w:rsidRPr="008450F1">
              <w:rPr>
                <w:rFonts w:ascii="Times New Roman" w:hAnsi="Times New Roman"/>
                <w:color w:val="auto"/>
                <w:lang w:val="es-DO"/>
              </w:rPr>
              <w:t>Según la matriz de resultados</w:t>
            </w:r>
          </w:p>
        </w:tc>
      </w:tr>
      <w:tr w:rsidR="008A3FD8" w:rsidRPr="008450F1" w:rsidTr="008A3FD8">
        <w:trPr>
          <w:trHeight w:val="20"/>
          <w:jc w:val="center"/>
        </w:trPr>
        <w:tc>
          <w:tcPr>
            <w:tcW w:w="2502" w:type="pct"/>
            <w:shd w:val="clear" w:color="auto" w:fill="auto"/>
            <w:noWrap/>
            <w:vAlign w:val="center"/>
          </w:tcPr>
          <w:p w:rsidR="009841AA" w:rsidRPr="008450F1" w:rsidRDefault="009841AA" w:rsidP="00AF0916">
            <w:pPr>
              <w:pStyle w:val="Tabla"/>
              <w:keepLines/>
              <w:rPr>
                <w:lang w:val="es-DO"/>
              </w:rPr>
            </w:pPr>
            <w:r w:rsidRPr="008450F1">
              <w:rPr>
                <w:rFonts w:ascii="Times New Roman" w:hAnsi="Times New Roman"/>
                <w:color w:val="auto"/>
                <w:lang w:val="es-DO"/>
              </w:rPr>
              <w:t>‘Patrimonio fondo año</w:t>
            </w:r>
            <w:r w:rsidRPr="008450F1">
              <w:rPr>
                <w:rFonts w:ascii="Times New Roman" w:hAnsi="Times New Roman"/>
                <w:color w:val="auto"/>
                <w:vertAlign w:val="subscript"/>
                <w:lang w:val="es-DO"/>
              </w:rPr>
              <w:t>t</w:t>
            </w:r>
            <w:r w:rsidRPr="008450F1">
              <w:rPr>
                <w:rFonts w:ascii="Times New Roman" w:hAnsi="Times New Roman"/>
                <w:color w:val="auto"/>
                <w:lang w:val="es-DO"/>
              </w:rPr>
              <w:t>’= ‘Patrimonio fondo año</w:t>
            </w:r>
            <w:r w:rsidRPr="008450F1">
              <w:rPr>
                <w:rFonts w:ascii="Times New Roman" w:hAnsi="Times New Roman"/>
                <w:color w:val="auto"/>
                <w:vertAlign w:val="subscript"/>
                <w:lang w:val="es-DO"/>
              </w:rPr>
              <w:t>t-1</w:t>
            </w:r>
            <w:r w:rsidRPr="008450F1">
              <w:rPr>
                <w:rFonts w:ascii="Times New Roman" w:hAnsi="Times New Roman"/>
                <w:color w:val="auto"/>
                <w:lang w:val="es-DO"/>
              </w:rPr>
              <w:t>’* ‘rentabili</w:t>
            </w:r>
            <w:r w:rsidR="00A31C72" w:rsidRPr="008450F1">
              <w:rPr>
                <w:rFonts w:ascii="Times New Roman" w:hAnsi="Times New Roman"/>
                <w:color w:val="auto"/>
                <w:lang w:val="es-DO"/>
              </w:rPr>
              <w:t>d</w:t>
            </w:r>
            <w:r w:rsidRPr="008450F1">
              <w:rPr>
                <w:rFonts w:ascii="Times New Roman" w:hAnsi="Times New Roman"/>
                <w:color w:val="auto"/>
                <w:lang w:val="es-DO"/>
              </w:rPr>
              <w:t>ad + 1’ + ‘Disper</w:t>
            </w:r>
            <w:r w:rsidR="00B51537" w:rsidRPr="008450F1">
              <w:rPr>
                <w:rFonts w:ascii="Times New Roman" w:hAnsi="Times New Roman"/>
                <w:color w:val="auto"/>
                <w:lang w:val="es-DO"/>
              </w:rPr>
              <w:t>s</w:t>
            </w:r>
            <w:r w:rsidRPr="008450F1">
              <w:rPr>
                <w:rFonts w:ascii="Times New Roman" w:hAnsi="Times New Roman"/>
                <w:color w:val="auto"/>
                <w:lang w:val="es-DO"/>
              </w:rPr>
              <w:t>i</w:t>
            </w:r>
            <w:r w:rsidR="00B51537" w:rsidRPr="008450F1">
              <w:rPr>
                <w:rFonts w:ascii="Times New Roman" w:hAnsi="Times New Roman"/>
                <w:color w:val="auto"/>
                <w:lang w:val="es-DO"/>
              </w:rPr>
              <w:t>ó</w:t>
            </w:r>
            <w:r w:rsidRPr="008450F1">
              <w:rPr>
                <w:rFonts w:ascii="Times New Roman" w:hAnsi="Times New Roman"/>
                <w:color w:val="auto"/>
                <w:lang w:val="es-DO"/>
              </w:rPr>
              <w:t>n año</w:t>
            </w:r>
            <w:r w:rsidRPr="008450F1">
              <w:rPr>
                <w:rFonts w:ascii="Times New Roman" w:hAnsi="Times New Roman"/>
                <w:color w:val="auto"/>
                <w:vertAlign w:val="subscript"/>
                <w:lang w:val="es-DO"/>
              </w:rPr>
              <w:t>t</w:t>
            </w:r>
            <w:r w:rsidRPr="008450F1">
              <w:rPr>
                <w:rFonts w:ascii="Times New Roman" w:hAnsi="Times New Roman"/>
                <w:color w:val="auto"/>
                <w:lang w:val="es-DO"/>
              </w:rPr>
              <w:t>’</w:t>
            </w:r>
          </w:p>
        </w:tc>
        <w:tc>
          <w:tcPr>
            <w:tcW w:w="2498" w:type="pct"/>
            <w:vAlign w:val="center"/>
          </w:tcPr>
          <w:p w:rsidR="009841AA" w:rsidRPr="008450F1" w:rsidRDefault="009841AA" w:rsidP="00AF0916">
            <w:pPr>
              <w:pStyle w:val="Tabla"/>
              <w:keepLines/>
              <w:rPr>
                <w:rFonts w:ascii="Times New Roman" w:hAnsi="Times New Roman"/>
                <w:color w:val="auto"/>
                <w:lang w:val="es-DO"/>
              </w:rPr>
            </w:pPr>
            <w:r w:rsidRPr="008450F1">
              <w:rPr>
                <w:rFonts w:ascii="Times New Roman" w:hAnsi="Times New Roman"/>
                <w:color w:val="auto"/>
                <w:lang w:val="es-DO"/>
              </w:rPr>
              <w:t>Elaboración teórica</w:t>
            </w:r>
          </w:p>
        </w:tc>
      </w:tr>
      <w:tr w:rsidR="008A3FD8" w:rsidRPr="008450F1" w:rsidTr="008A3FD8">
        <w:trPr>
          <w:trHeight w:val="20"/>
          <w:jc w:val="center"/>
        </w:trPr>
        <w:tc>
          <w:tcPr>
            <w:tcW w:w="2502" w:type="pct"/>
            <w:shd w:val="clear" w:color="auto" w:fill="auto"/>
            <w:noWrap/>
            <w:vAlign w:val="center"/>
          </w:tcPr>
          <w:p w:rsidR="00A31C72" w:rsidRPr="008450F1" w:rsidRDefault="00A31C72" w:rsidP="00AF0916">
            <w:pPr>
              <w:pStyle w:val="Tabla"/>
              <w:keepLines/>
              <w:rPr>
                <w:lang w:val="es-DO"/>
              </w:rPr>
            </w:pPr>
            <w:r w:rsidRPr="008450F1">
              <w:rPr>
                <w:rFonts w:ascii="Times New Roman" w:hAnsi="Times New Roman"/>
                <w:color w:val="auto"/>
                <w:lang w:val="es-DO"/>
              </w:rPr>
              <w:t>‘rentabilidad’= 13.2%</w:t>
            </w:r>
          </w:p>
        </w:tc>
        <w:tc>
          <w:tcPr>
            <w:tcW w:w="2498" w:type="pct"/>
            <w:vAlign w:val="center"/>
          </w:tcPr>
          <w:p w:rsidR="00A31C72" w:rsidRPr="008450F1" w:rsidRDefault="00A31C72" w:rsidP="00AF0916">
            <w:pPr>
              <w:pStyle w:val="Tabla"/>
              <w:keepLines/>
              <w:rPr>
                <w:rFonts w:ascii="Times New Roman" w:hAnsi="Times New Roman"/>
                <w:color w:val="auto"/>
                <w:lang w:val="es-DO"/>
              </w:rPr>
            </w:pPr>
            <w:r w:rsidRPr="008450F1">
              <w:rPr>
                <w:rFonts w:ascii="Times New Roman" w:hAnsi="Times New Roman"/>
                <w:color w:val="auto"/>
                <w:lang w:val="es-DO"/>
              </w:rPr>
              <w:t xml:space="preserve">Rentabilidad nominal del </w:t>
            </w:r>
            <w:r w:rsidR="00D76208" w:rsidRPr="008450F1">
              <w:rPr>
                <w:rFonts w:ascii="Times New Roman" w:hAnsi="Times New Roman"/>
                <w:color w:val="auto"/>
                <w:lang w:val="es-DO"/>
              </w:rPr>
              <w:t>ú</w:t>
            </w:r>
            <w:r w:rsidRPr="008450F1">
              <w:rPr>
                <w:rFonts w:ascii="Times New Roman" w:hAnsi="Times New Roman"/>
                <w:color w:val="auto"/>
                <w:lang w:val="es-DO"/>
              </w:rPr>
              <w:t>ltimo periodo</w:t>
            </w:r>
          </w:p>
        </w:tc>
      </w:tr>
      <w:tr w:rsidR="008A3FD8" w:rsidRPr="008450F1" w:rsidTr="008A3FD8">
        <w:trPr>
          <w:trHeight w:val="20"/>
          <w:jc w:val="center"/>
        </w:trPr>
        <w:tc>
          <w:tcPr>
            <w:tcW w:w="2502" w:type="pct"/>
            <w:shd w:val="clear" w:color="auto" w:fill="auto"/>
            <w:noWrap/>
            <w:vAlign w:val="center"/>
          </w:tcPr>
          <w:p w:rsidR="00A31C72" w:rsidRPr="008450F1" w:rsidRDefault="00A31C72" w:rsidP="00AF0916">
            <w:pPr>
              <w:pStyle w:val="Tabla"/>
              <w:keepLines/>
              <w:rPr>
                <w:lang w:val="es-DO"/>
              </w:rPr>
            </w:pPr>
            <w:r w:rsidRPr="008450F1">
              <w:rPr>
                <w:rFonts w:ascii="Times New Roman" w:hAnsi="Times New Roman"/>
                <w:color w:val="auto"/>
                <w:lang w:val="es-DO"/>
              </w:rPr>
              <w:t>‘</w:t>
            </w:r>
            <w:r w:rsidR="00B51537" w:rsidRPr="008450F1">
              <w:rPr>
                <w:rFonts w:ascii="Times New Roman" w:hAnsi="Times New Roman"/>
                <w:color w:val="auto"/>
                <w:lang w:val="es-DO"/>
              </w:rPr>
              <w:t>Dispersión</w:t>
            </w:r>
            <w:r w:rsidRPr="008450F1">
              <w:rPr>
                <w:rFonts w:ascii="Times New Roman" w:hAnsi="Times New Roman"/>
                <w:color w:val="auto"/>
                <w:lang w:val="es-DO"/>
              </w:rPr>
              <w:t xml:space="preserve"> año</w:t>
            </w:r>
            <w:r w:rsidRPr="008450F1">
              <w:rPr>
                <w:rFonts w:ascii="Times New Roman" w:hAnsi="Times New Roman"/>
                <w:color w:val="auto"/>
                <w:vertAlign w:val="subscript"/>
                <w:lang w:val="es-DO"/>
              </w:rPr>
              <w:t>t</w:t>
            </w:r>
            <w:r w:rsidRPr="008450F1">
              <w:rPr>
                <w:rFonts w:ascii="Times New Roman" w:hAnsi="Times New Roman"/>
                <w:color w:val="auto"/>
                <w:lang w:val="es-DO"/>
              </w:rPr>
              <w:t xml:space="preserve">’= ‘% Cotizantes pensiones de los ocupados’ *30,176.848+-12,957,041,344.550 </w:t>
            </w:r>
          </w:p>
        </w:tc>
        <w:tc>
          <w:tcPr>
            <w:tcW w:w="2498" w:type="pct"/>
            <w:vAlign w:val="center"/>
          </w:tcPr>
          <w:p w:rsidR="00A31C72" w:rsidRPr="008450F1" w:rsidRDefault="00A31C72" w:rsidP="00AF0916">
            <w:pPr>
              <w:pStyle w:val="Tabla"/>
              <w:keepLines/>
              <w:rPr>
                <w:rFonts w:ascii="Times New Roman" w:hAnsi="Times New Roman"/>
                <w:color w:val="auto"/>
                <w:lang w:val="es-DO"/>
              </w:rPr>
            </w:pPr>
            <w:r w:rsidRPr="008450F1">
              <w:rPr>
                <w:rFonts w:ascii="Times New Roman" w:hAnsi="Times New Roman"/>
                <w:color w:val="auto"/>
                <w:lang w:val="es-DO"/>
              </w:rPr>
              <w:t>Proyección a partir de las series del Informe Mensual Sistema Dominicano De Seguridad Social  (SDSS) Julio 2014</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‘Afiliados SDDS = ‘Afiliados RC’ + ‘Afiliados RS’</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Elaboración teórica y normativa</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‘Afiliados RC’ = ‘Hombres Titulares’ * ‘Densidad familiar de hombre titulares’ + ‘Mujeres Titulares’ * ‘Densidad familiar de mujeres titulares’</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Elaboración teórica y normativa</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 xml:space="preserve">‘Hombres Titulares’ = ‘Hombres en edad laboral’ * ‘Hombres económicamente activos%’ * ‘Hombres asalariados de los económicamente activos %’* </w:t>
            </w:r>
            <w:r w:rsidRPr="00FA5324">
              <w:rPr>
                <w:rFonts w:ascii="Times New Roman" w:hAnsi="Times New Roman"/>
                <w:color w:val="auto"/>
                <w:lang w:val="es-DO"/>
              </w:rPr>
              <w:lastRenderedPageBreak/>
              <w:t xml:space="preserve">‘Hombres titulares de los asalariados %’  </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lastRenderedPageBreak/>
              <w:t>Elaboración teórica y normativa</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lastRenderedPageBreak/>
              <w:t>‘Hombres en edad laboral’ =-0,358.019*año²+año*1,483,344.018+-1,532,378,491.975</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Proyección a partir de las series de la ONE</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‘Hombres económicamente activos%’ = 99%</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Suposición basada en los últimos cuatro valores</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‘Hombres asalariados de los económicamente activos %’= año*-0.005+9.566</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Proyección a partir de las series del SISDOM 2012</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‘Hombres titulares de los asalariados %’ =0.275*Log(año-2006)+0.454</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Proyección a partir de las series del SISDOM 2012</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 xml:space="preserve">‘Mujeres Titulares’ = ‘Mujeres en edad laboral’ * ‘Mujeres económicamente activos%’ * ‘Mujeres asalariados de los económicamente activos %’* ‘Mujeres titulares de los asalariados %’  </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Elaboración teórica y normativa</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‘Mujeres en edad laboral’ = -0,395.821*año²+año*1,636,516.229+-1,687,495,762.0</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Proyección a partir de las series del SISDOM 2012</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‘Mujeres económicamente activas %’ =año*0.007+-13.587</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Proyección a partir de las series del SISDOM 2012</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‘Mujeres asalariadas de las económicamente activas %’= año*0.000+0,1.260</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Proyección a partir de las series del SISDOM 2012</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‘Mujeres titulares de los asalariados %’ " =0.144*Log(año-2006)+0.452</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Proyección a partir de las series del SISDOM 2012 y la SISALRIL</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‘Afiliados RS’ = ‘Afiliados RS año anterior’+ ‘Incremento Afiliados RS’</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Elaboración teórica y normativa</w:t>
            </w:r>
          </w:p>
        </w:tc>
      </w:tr>
      <w:tr w:rsidR="008A3FD8" w:rsidRPr="008450F1" w:rsidTr="00FA5324">
        <w:trPr>
          <w:trHeight w:val="20"/>
          <w:jc w:val="center"/>
        </w:trPr>
        <w:tc>
          <w:tcPr>
            <w:tcW w:w="2502" w:type="pct"/>
            <w:shd w:val="clear" w:color="auto" w:fill="auto"/>
            <w:noWrap/>
            <w:vAlign w:val="center"/>
            <w:hideMark/>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‘Incremento Afiliados RS’= ‘Incremento PIB nominal%’* 3,520,253.692 -3,633,149.783</w:t>
            </w:r>
          </w:p>
        </w:tc>
        <w:tc>
          <w:tcPr>
            <w:tcW w:w="2498" w:type="pct"/>
            <w:vAlign w:val="center"/>
          </w:tcPr>
          <w:p w:rsidR="00244EBC" w:rsidRPr="00FA5324" w:rsidRDefault="00244EBC" w:rsidP="00FA5324">
            <w:pPr>
              <w:pStyle w:val="Tabla"/>
              <w:keepLines/>
              <w:rPr>
                <w:rFonts w:ascii="Times New Roman" w:hAnsi="Times New Roman"/>
                <w:color w:val="auto"/>
                <w:lang w:val="es-DO"/>
              </w:rPr>
            </w:pPr>
            <w:r w:rsidRPr="00FA5324">
              <w:rPr>
                <w:rFonts w:ascii="Times New Roman" w:hAnsi="Times New Roman"/>
                <w:color w:val="auto"/>
                <w:lang w:val="es-DO"/>
              </w:rPr>
              <w:t>Proyección a partir de las series de la SISALRIL, FMI, BM y coeficientes de</w:t>
            </w:r>
            <w:r w:rsidR="008010E5" w:rsidRPr="00FA5324">
              <w:rPr>
                <w:rFonts w:ascii="Times New Roman" w:hAnsi="Times New Roman"/>
                <w:color w:val="auto"/>
                <w:lang w:val="es-DO"/>
              </w:rPr>
              <w:t xml:space="preserve"> Davis 2004 </w:t>
            </w:r>
            <w:sdt>
              <w:sdtPr>
                <w:rPr>
                  <w:rFonts w:ascii="Times New Roman" w:hAnsi="Times New Roman"/>
                  <w:color w:val="auto"/>
                  <w:lang w:val="es-DO"/>
                </w:rPr>
                <w:id w:val="2057036151"/>
                <w:citation/>
              </w:sdtPr>
              <w:sdtEndPr/>
              <w:sdtContent>
                <w:r w:rsidR="008010E5" w:rsidRPr="00FA5324">
                  <w:rPr>
                    <w:rFonts w:ascii="Times New Roman" w:hAnsi="Times New Roman"/>
                    <w:color w:val="auto"/>
                    <w:lang w:val="es-DO"/>
                  </w:rPr>
                  <w:fldChar w:fldCharType="begin"/>
                </w:r>
                <w:r w:rsidR="008010E5" w:rsidRPr="00FA5324">
                  <w:rPr>
                    <w:rFonts w:ascii="Times New Roman" w:hAnsi="Times New Roman"/>
                    <w:color w:val="auto"/>
                    <w:lang w:val="es-DO"/>
                  </w:rPr>
                  <w:instrText xml:space="preserve"> CITATION Dav04 \l 9226 </w:instrText>
                </w:r>
                <w:r w:rsidR="008010E5" w:rsidRPr="00FA5324">
                  <w:rPr>
                    <w:rFonts w:ascii="Times New Roman" w:hAnsi="Times New Roman"/>
                    <w:color w:val="auto"/>
                    <w:lang w:val="es-DO"/>
                  </w:rPr>
                  <w:fldChar w:fldCharType="separate"/>
                </w:r>
                <w:r w:rsidR="00160DA0" w:rsidRPr="00FA5324">
                  <w:rPr>
                    <w:rFonts w:ascii="Times New Roman" w:hAnsi="Times New Roman"/>
                    <w:color w:val="auto"/>
                    <w:lang w:val="es-DO"/>
                  </w:rPr>
                  <w:t>(Davis &amp; Hu, 2004)</w:t>
                </w:r>
                <w:r w:rsidR="008010E5" w:rsidRPr="00FA5324">
                  <w:rPr>
                    <w:rFonts w:ascii="Times New Roman" w:hAnsi="Times New Roman"/>
                    <w:color w:val="auto"/>
                    <w:lang w:val="es-DO"/>
                  </w:rPr>
                  <w:fldChar w:fldCharType="end"/>
                </w:r>
              </w:sdtContent>
            </w:sdt>
            <w:r w:rsidRPr="00FA5324">
              <w:rPr>
                <w:rFonts w:ascii="Times New Roman" w:hAnsi="Times New Roman"/>
                <w:color w:val="auto"/>
                <w:lang w:val="es-DO"/>
              </w:rPr>
              <w:t xml:space="preserve"> </w:t>
            </w:r>
          </w:p>
        </w:tc>
      </w:tr>
      <w:tr w:rsidR="008A3FD8" w:rsidRPr="008450F1" w:rsidTr="00FA5324">
        <w:trPr>
          <w:trHeight w:val="20"/>
          <w:jc w:val="center"/>
        </w:trPr>
        <w:tc>
          <w:tcPr>
            <w:tcW w:w="2502" w:type="pct"/>
            <w:shd w:val="clear" w:color="auto" w:fill="auto"/>
            <w:noWrap/>
            <w:vAlign w:val="center"/>
          </w:tcPr>
          <w:p w:rsidR="006B4E6D" w:rsidRPr="00FA5324" w:rsidRDefault="006B4E6D" w:rsidP="00FA5324">
            <w:pPr>
              <w:pStyle w:val="Tabla"/>
              <w:keepLines/>
              <w:rPr>
                <w:rFonts w:ascii="Times New Roman" w:hAnsi="Times New Roman"/>
                <w:color w:val="auto"/>
                <w:lang w:val="es-DO"/>
              </w:rPr>
            </w:pPr>
            <w:r w:rsidRPr="00FA5324">
              <w:rPr>
                <w:rFonts w:ascii="Times New Roman" w:hAnsi="Times New Roman"/>
                <w:color w:val="auto"/>
                <w:lang w:val="es-DO"/>
              </w:rPr>
              <w:t>‘Gasto Publico en Salud’ = ‘Afiliados RC’ * ’Valor per cápita RC  ’ + ‘Afiliados RS’ * ‘Valor per cápita RS’ + ‘Gasto MSP’’</w:t>
            </w:r>
          </w:p>
        </w:tc>
        <w:tc>
          <w:tcPr>
            <w:tcW w:w="2498" w:type="pct"/>
            <w:vAlign w:val="center"/>
          </w:tcPr>
          <w:p w:rsidR="006B4E6D" w:rsidRPr="00FA5324" w:rsidRDefault="006B4E6D" w:rsidP="00FA5324">
            <w:pPr>
              <w:pStyle w:val="Tabla"/>
              <w:keepLines/>
              <w:rPr>
                <w:rFonts w:ascii="Times New Roman" w:hAnsi="Times New Roman"/>
                <w:color w:val="auto"/>
                <w:lang w:val="es-DO"/>
              </w:rPr>
            </w:pPr>
            <w:r w:rsidRPr="00FA5324">
              <w:rPr>
                <w:rFonts w:ascii="Times New Roman" w:hAnsi="Times New Roman"/>
                <w:color w:val="auto"/>
                <w:lang w:val="es-DO"/>
              </w:rPr>
              <w:t>Elaboración teórica y normativa</w:t>
            </w:r>
          </w:p>
        </w:tc>
      </w:tr>
      <w:tr w:rsidR="008A3FD8" w:rsidRPr="008450F1" w:rsidTr="00FA5324">
        <w:trPr>
          <w:trHeight w:val="20"/>
          <w:jc w:val="center"/>
        </w:trPr>
        <w:tc>
          <w:tcPr>
            <w:tcW w:w="2502" w:type="pct"/>
            <w:shd w:val="clear" w:color="auto" w:fill="auto"/>
            <w:noWrap/>
            <w:vAlign w:val="center"/>
          </w:tcPr>
          <w:p w:rsidR="006B4E6D" w:rsidRPr="00FA5324" w:rsidRDefault="006B4E6D" w:rsidP="00FA5324">
            <w:pPr>
              <w:pStyle w:val="Tabla"/>
              <w:keepLines/>
              <w:rPr>
                <w:rFonts w:ascii="Times New Roman" w:hAnsi="Times New Roman"/>
                <w:color w:val="auto"/>
                <w:lang w:val="es-DO"/>
              </w:rPr>
            </w:pPr>
            <w:r w:rsidRPr="00FA5324">
              <w:rPr>
                <w:rFonts w:ascii="Times New Roman" w:hAnsi="Times New Roman"/>
                <w:color w:val="auto"/>
                <w:lang w:val="es-DO"/>
              </w:rPr>
              <w:t xml:space="preserve">’Valor per cápita RC  ’ =  $ 10,953.68 </w:t>
            </w:r>
          </w:p>
          <w:p w:rsidR="006B4E6D" w:rsidRPr="00FA5324" w:rsidRDefault="006B4E6D" w:rsidP="00FA5324">
            <w:pPr>
              <w:pStyle w:val="Tabla"/>
              <w:keepLines/>
              <w:rPr>
                <w:rFonts w:ascii="Times New Roman" w:hAnsi="Times New Roman"/>
                <w:color w:val="auto"/>
                <w:lang w:val="es-DO"/>
              </w:rPr>
            </w:pPr>
          </w:p>
        </w:tc>
        <w:tc>
          <w:tcPr>
            <w:tcW w:w="2498" w:type="pct"/>
            <w:vAlign w:val="center"/>
          </w:tcPr>
          <w:p w:rsidR="006B4E6D" w:rsidRPr="00FA5324" w:rsidRDefault="006B4E6D" w:rsidP="00FA5324">
            <w:pPr>
              <w:pStyle w:val="Tabla"/>
              <w:keepLines/>
              <w:rPr>
                <w:rFonts w:ascii="Times New Roman" w:hAnsi="Times New Roman"/>
                <w:color w:val="auto"/>
                <w:lang w:val="es-DO"/>
              </w:rPr>
            </w:pPr>
            <w:r w:rsidRPr="00FA5324">
              <w:rPr>
                <w:rFonts w:ascii="Times New Roman" w:hAnsi="Times New Roman"/>
                <w:color w:val="auto"/>
                <w:lang w:val="es-DO"/>
              </w:rPr>
              <w:t>Se ajusta la cápita de 2014 por inflación para obtener la de 2015 se asume que la cápita permanece invariante en su valor real.</w:t>
            </w:r>
          </w:p>
        </w:tc>
      </w:tr>
      <w:tr w:rsidR="008A3FD8" w:rsidRPr="008450F1" w:rsidTr="00FA5324">
        <w:trPr>
          <w:trHeight w:val="20"/>
          <w:jc w:val="center"/>
        </w:trPr>
        <w:tc>
          <w:tcPr>
            <w:tcW w:w="2502" w:type="pct"/>
            <w:shd w:val="clear" w:color="auto" w:fill="auto"/>
            <w:noWrap/>
            <w:vAlign w:val="center"/>
          </w:tcPr>
          <w:p w:rsidR="006B4E6D" w:rsidRPr="00FA5324" w:rsidRDefault="006B4E6D" w:rsidP="00FA5324">
            <w:pPr>
              <w:pStyle w:val="Tabla"/>
              <w:keepLines/>
              <w:rPr>
                <w:rFonts w:ascii="Times New Roman" w:hAnsi="Times New Roman"/>
                <w:color w:val="auto"/>
                <w:lang w:val="es-DO"/>
              </w:rPr>
            </w:pPr>
            <w:r w:rsidRPr="00FA5324">
              <w:rPr>
                <w:rFonts w:ascii="Times New Roman" w:hAnsi="Times New Roman"/>
                <w:color w:val="auto"/>
                <w:lang w:val="es-DO"/>
              </w:rPr>
              <w:t xml:space="preserve">‘Valor per cápita RS’= $2,635.78 </w:t>
            </w:r>
          </w:p>
          <w:p w:rsidR="006B4E6D" w:rsidRPr="00FA5324" w:rsidRDefault="006B4E6D" w:rsidP="00FA5324">
            <w:pPr>
              <w:pStyle w:val="Tabla"/>
              <w:keepLines/>
              <w:rPr>
                <w:rFonts w:ascii="Times New Roman" w:hAnsi="Times New Roman"/>
                <w:color w:val="auto"/>
                <w:lang w:val="es-DO"/>
              </w:rPr>
            </w:pPr>
          </w:p>
        </w:tc>
        <w:tc>
          <w:tcPr>
            <w:tcW w:w="2498" w:type="pct"/>
            <w:vAlign w:val="center"/>
          </w:tcPr>
          <w:p w:rsidR="006B4E6D" w:rsidRPr="00FA5324" w:rsidRDefault="006B4E6D" w:rsidP="00FA5324">
            <w:pPr>
              <w:pStyle w:val="Tabla"/>
              <w:keepLines/>
              <w:rPr>
                <w:rFonts w:ascii="Times New Roman" w:hAnsi="Times New Roman"/>
                <w:color w:val="auto"/>
                <w:lang w:val="es-DO"/>
              </w:rPr>
            </w:pPr>
            <w:r w:rsidRPr="00FA5324">
              <w:rPr>
                <w:rFonts w:ascii="Times New Roman" w:hAnsi="Times New Roman"/>
                <w:color w:val="auto"/>
                <w:lang w:val="es-DO"/>
              </w:rPr>
              <w:t>Se ajusta la cápita de 2014 por inflación para obtener la de 2015 se asume que la cápita permanece invariante en su valor real.</w:t>
            </w:r>
          </w:p>
        </w:tc>
      </w:tr>
      <w:tr w:rsidR="008A3FD8" w:rsidRPr="008450F1" w:rsidTr="00FA5324">
        <w:trPr>
          <w:trHeight w:val="20"/>
          <w:jc w:val="center"/>
        </w:trPr>
        <w:tc>
          <w:tcPr>
            <w:tcW w:w="2502" w:type="pct"/>
            <w:shd w:val="clear" w:color="auto" w:fill="auto"/>
            <w:noWrap/>
            <w:vAlign w:val="center"/>
          </w:tcPr>
          <w:p w:rsidR="005E5B7A" w:rsidRPr="00FA5324" w:rsidRDefault="006B4E6D" w:rsidP="00FA5324">
            <w:pPr>
              <w:pStyle w:val="Tabla"/>
              <w:keepLines/>
              <w:rPr>
                <w:rFonts w:ascii="Times New Roman" w:hAnsi="Times New Roman"/>
                <w:color w:val="auto"/>
                <w:lang w:val="es-DO"/>
              </w:rPr>
            </w:pPr>
            <w:r w:rsidRPr="00FA5324">
              <w:rPr>
                <w:rFonts w:ascii="Times New Roman" w:hAnsi="Times New Roman"/>
                <w:color w:val="auto"/>
                <w:lang w:val="es-DO"/>
              </w:rPr>
              <w:t>‘Gasto MSP’’</w:t>
            </w:r>
            <w:r w:rsidR="005E5B7A" w:rsidRPr="00FA5324">
              <w:rPr>
                <w:rFonts w:ascii="Times New Roman" w:hAnsi="Times New Roman"/>
                <w:color w:val="auto"/>
                <w:lang w:val="es-DO"/>
              </w:rPr>
              <w:t xml:space="preserve"> =  $35,714 </w:t>
            </w:r>
          </w:p>
          <w:p w:rsidR="006B4E6D" w:rsidRPr="00FA5324" w:rsidRDefault="006B4E6D" w:rsidP="00FA5324">
            <w:pPr>
              <w:pStyle w:val="Tabla"/>
              <w:keepLines/>
              <w:rPr>
                <w:rFonts w:ascii="Times New Roman" w:hAnsi="Times New Roman"/>
                <w:color w:val="auto"/>
                <w:lang w:val="es-DO"/>
              </w:rPr>
            </w:pPr>
          </w:p>
        </w:tc>
        <w:tc>
          <w:tcPr>
            <w:tcW w:w="2498" w:type="pct"/>
            <w:vAlign w:val="center"/>
          </w:tcPr>
          <w:p w:rsidR="006B4E6D" w:rsidRPr="00FA5324" w:rsidRDefault="005E5B7A" w:rsidP="00FA5324">
            <w:pPr>
              <w:pStyle w:val="Tabla"/>
              <w:keepLines/>
              <w:rPr>
                <w:rFonts w:ascii="Times New Roman" w:hAnsi="Times New Roman"/>
                <w:color w:val="auto"/>
                <w:lang w:val="es-DO"/>
              </w:rPr>
            </w:pPr>
            <w:r w:rsidRPr="00FA5324">
              <w:rPr>
                <w:rFonts w:ascii="Times New Roman" w:hAnsi="Times New Roman"/>
                <w:color w:val="auto"/>
                <w:lang w:val="es-DO"/>
              </w:rPr>
              <w:t>La tasa de crecimiento del gasto del MSP ha venido disminuyendo e incluso para el último periodo reportado 2013 disminuye el gasto en términos reales. Se decide promediar al gasto de los tres últimos años y suponer que este sigue constante.</w:t>
            </w:r>
          </w:p>
        </w:tc>
      </w:tr>
    </w:tbl>
    <w:p w:rsidR="002A150F" w:rsidRPr="008450F1" w:rsidRDefault="002A150F" w:rsidP="00AF0916">
      <w:pPr>
        <w:pStyle w:val="Caption"/>
        <w:keepNext/>
        <w:spacing w:after="0"/>
        <w:jc w:val="left"/>
        <w:rPr>
          <w:color w:val="auto"/>
          <w:lang w:val="es-DO"/>
        </w:rPr>
      </w:pPr>
      <w:r w:rsidRPr="008450F1">
        <w:rPr>
          <w:color w:val="auto"/>
          <w:lang w:val="es-DO"/>
        </w:rPr>
        <w:t xml:space="preserve">Fuente: elaboración propia </w:t>
      </w:r>
    </w:p>
    <w:p w:rsidR="00AB0AC6" w:rsidRPr="00FA5324" w:rsidRDefault="00AB0AC6" w:rsidP="00FA5324">
      <w:pPr>
        <w:spacing w:after="0" w:line="240" w:lineRule="auto"/>
        <w:rPr>
          <w:lang w:val="es-DO"/>
        </w:rPr>
      </w:pPr>
    </w:p>
    <w:p w:rsidR="009D28B6" w:rsidRPr="00FA5324" w:rsidRDefault="009D28B6" w:rsidP="00FA5324">
      <w:pPr>
        <w:pStyle w:val="Heading3"/>
        <w:spacing w:before="0" w:line="240" w:lineRule="auto"/>
        <w:rPr>
          <w:lang w:val="es-DO"/>
        </w:rPr>
      </w:pPr>
      <w:bookmarkStart w:id="23" w:name="_Toc401244715"/>
      <w:r w:rsidRPr="00FA5324">
        <w:rPr>
          <w:rFonts w:ascii="Times New Roman" w:hAnsi="Times New Roman"/>
          <w:b w:val="0"/>
          <w:bCs w:val="0"/>
          <w:color w:val="auto"/>
          <w:lang w:val="es-DO"/>
        </w:rPr>
        <w:t xml:space="preserve">1. </w:t>
      </w:r>
      <w:r w:rsidR="00930BCC" w:rsidRPr="00FA5324">
        <w:rPr>
          <w:rFonts w:ascii="Times New Roman" w:hAnsi="Times New Roman"/>
          <w:b w:val="0"/>
          <w:bCs w:val="0"/>
          <w:color w:val="auto"/>
          <w:lang w:val="es-DO"/>
        </w:rPr>
        <w:t>Proyecciones del PIB</w:t>
      </w:r>
      <w:r w:rsidR="0096501F" w:rsidRPr="008450F1">
        <w:rPr>
          <w:rFonts w:ascii="Times New Roman" w:hAnsi="Times New Roman"/>
          <w:color w:val="auto"/>
          <w:lang w:val="es-DO"/>
        </w:rPr>
        <w:t xml:space="preserve"> y del patrimonio</w:t>
      </w:r>
      <w:r w:rsidR="0096501F" w:rsidRPr="00FA5324">
        <w:rPr>
          <w:rFonts w:ascii="Times New Roman" w:hAnsi="Times New Roman"/>
          <w:color w:val="auto"/>
          <w:lang w:val="es-DO"/>
        </w:rPr>
        <w:t xml:space="preserve"> de </w:t>
      </w:r>
      <w:r w:rsidR="0096501F" w:rsidRPr="008450F1">
        <w:rPr>
          <w:rFonts w:ascii="Times New Roman" w:hAnsi="Times New Roman"/>
          <w:color w:val="auto"/>
          <w:lang w:val="es-DO"/>
        </w:rPr>
        <w:t>los fondos</w:t>
      </w:r>
      <w:r w:rsidR="0096501F" w:rsidRPr="00FA5324">
        <w:rPr>
          <w:rFonts w:ascii="Times New Roman" w:hAnsi="Times New Roman"/>
          <w:color w:val="auto"/>
          <w:lang w:val="es-DO"/>
        </w:rPr>
        <w:t xml:space="preserve"> de </w:t>
      </w:r>
      <w:r w:rsidR="0096501F" w:rsidRPr="008450F1">
        <w:rPr>
          <w:rFonts w:ascii="Times New Roman" w:hAnsi="Times New Roman"/>
          <w:color w:val="auto"/>
          <w:lang w:val="es-DO"/>
        </w:rPr>
        <w:t>pensiones</w:t>
      </w:r>
      <w:r w:rsidR="00930BCC" w:rsidRPr="008450F1">
        <w:rPr>
          <w:rFonts w:ascii="Times New Roman" w:hAnsi="Times New Roman"/>
          <w:color w:val="auto"/>
          <w:lang w:val="es-DO"/>
        </w:rPr>
        <w:t>.</w:t>
      </w:r>
      <w:bookmarkEnd w:id="23"/>
    </w:p>
    <w:p w:rsidR="008A3FD8" w:rsidRPr="00FA5324" w:rsidRDefault="008A3FD8" w:rsidP="00AF0916">
      <w:pPr>
        <w:spacing w:after="0" w:line="240" w:lineRule="auto"/>
        <w:rPr>
          <w:lang w:val="es-DO"/>
        </w:rPr>
      </w:pPr>
    </w:p>
    <w:p w:rsidR="00B202FE" w:rsidRPr="008450F1" w:rsidRDefault="00B202FE" w:rsidP="00AF0916">
      <w:pPr>
        <w:spacing w:after="0" w:line="240" w:lineRule="auto"/>
        <w:rPr>
          <w:lang w:val="es-DO"/>
        </w:rPr>
      </w:pPr>
      <w:r w:rsidRPr="008450F1">
        <w:rPr>
          <w:lang w:val="es-DO"/>
        </w:rPr>
        <w:t>El PIB en el caso de la alternativa de implementar la intervención se estim</w:t>
      </w:r>
      <w:r w:rsidR="00005565" w:rsidRPr="008450F1">
        <w:rPr>
          <w:lang w:val="es-DO"/>
        </w:rPr>
        <w:t>ó</w:t>
      </w:r>
      <w:r w:rsidRPr="008450F1">
        <w:rPr>
          <w:lang w:val="es-DO"/>
        </w:rPr>
        <w:t xml:space="preserve"> mediante un modelo lineal de la serie histórica en función del año.</w:t>
      </w:r>
    </w:p>
    <w:p w:rsidR="008A3FD8" w:rsidRPr="008450F1" w:rsidRDefault="008A3FD8" w:rsidP="00AF0916">
      <w:pPr>
        <w:spacing w:after="0" w:line="240" w:lineRule="auto"/>
        <w:rPr>
          <w:rFonts w:eastAsia="Times New Roman"/>
          <w:lang w:val="es-DO" w:eastAsia="es-CO"/>
        </w:rPr>
      </w:pPr>
    </w:p>
    <w:p w:rsidR="00B202FE" w:rsidRPr="008450F1" w:rsidRDefault="00B202FE" w:rsidP="00AF0916">
      <w:pPr>
        <w:spacing w:after="0" w:line="240" w:lineRule="auto"/>
        <w:jc w:val="center"/>
        <w:rPr>
          <w:rFonts w:eastAsia="Times New Roman"/>
          <w:lang w:val="es-DO" w:eastAsia="es-CO"/>
        </w:rPr>
      </w:pPr>
      <w:r w:rsidRPr="008450F1">
        <w:rPr>
          <w:rFonts w:eastAsia="Times New Roman"/>
          <w:lang w:val="es-DO" w:eastAsia="es-CO"/>
        </w:rPr>
        <w:t>PIB=año*121,509.826+-241,823,655.247  (R² =0.996)</w:t>
      </w:r>
    </w:p>
    <w:p w:rsidR="0033190F" w:rsidRPr="008450F1" w:rsidRDefault="0033190F" w:rsidP="00AF0916">
      <w:pPr>
        <w:spacing w:after="0" w:line="240" w:lineRule="auto"/>
        <w:rPr>
          <w:lang w:val="es-DO"/>
        </w:rPr>
      </w:pPr>
    </w:p>
    <w:p w:rsidR="00886B6C" w:rsidRPr="00FA5324" w:rsidRDefault="00886B6C" w:rsidP="00FA5324">
      <w:pPr>
        <w:pStyle w:val="Caption"/>
        <w:keepNext/>
        <w:spacing w:after="0"/>
        <w:jc w:val="center"/>
        <w:rPr>
          <w:i w:val="0"/>
          <w:color w:val="auto"/>
          <w:lang w:val="es-DO"/>
        </w:rPr>
      </w:pPr>
      <w:r w:rsidRPr="00FA5324">
        <w:rPr>
          <w:lang w:val="es-DO"/>
        </w:rPr>
        <w:lastRenderedPageBreak/>
        <w:t>Gráfico</w:t>
      </w:r>
      <w:r w:rsidR="00C42369" w:rsidRPr="00FA5324">
        <w:rPr>
          <w:lang w:val="es-DO"/>
        </w:rPr>
        <w:t xml:space="preserve"> </w:t>
      </w:r>
      <w:r w:rsidR="00C42369" w:rsidRPr="008450F1">
        <w:rPr>
          <w:i w:val="0"/>
          <w:color w:val="auto"/>
          <w:lang w:val="es-DO"/>
        </w:rPr>
        <w:t>3</w:t>
      </w:r>
      <w:r w:rsidRPr="00FA5324">
        <w:rPr>
          <w:i w:val="0"/>
          <w:color w:val="auto"/>
          <w:lang w:val="es-DO"/>
        </w:rPr>
        <w:t>. Estimación y proyección del PIB (DOP Constantes de 2014</w:t>
      </w:r>
      <w:r w:rsidR="008A3FD8" w:rsidRPr="008450F1">
        <w:rPr>
          <w:i w:val="0"/>
          <w:color w:val="auto"/>
          <w:lang w:val="es-DO"/>
        </w:rPr>
        <w:t>)</w:t>
      </w:r>
    </w:p>
    <w:p w:rsidR="002E3E43" w:rsidRPr="008450F1" w:rsidRDefault="00244EBC" w:rsidP="00AF0916">
      <w:pPr>
        <w:spacing w:after="0" w:line="240" w:lineRule="auto"/>
        <w:jc w:val="center"/>
        <w:rPr>
          <w:lang w:val="es-DO"/>
        </w:rPr>
      </w:pPr>
      <w:r w:rsidRPr="008450F1">
        <w:rPr>
          <w:noProof/>
          <w:lang w:val="en-US" w:eastAsia="en-US"/>
        </w:rPr>
        <w:drawing>
          <wp:inline distT="0" distB="0" distL="0" distR="0" wp14:anchorId="0F5D2565" wp14:editId="037058A1">
            <wp:extent cx="4572000" cy="2655418"/>
            <wp:effectExtent l="0" t="0" r="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44EBC" w:rsidRPr="008450F1" w:rsidRDefault="00244EBC" w:rsidP="00AF0916">
      <w:pPr>
        <w:spacing w:after="0" w:line="240" w:lineRule="auto"/>
        <w:jc w:val="left"/>
        <w:rPr>
          <w:i/>
          <w:sz w:val="18"/>
          <w:lang w:val="es-DO"/>
        </w:rPr>
      </w:pPr>
      <w:r w:rsidRPr="00FA5324">
        <w:rPr>
          <w:i/>
          <w:sz w:val="18"/>
          <w:lang w:val="es-DO"/>
        </w:rPr>
        <w:t>Fuente</w:t>
      </w:r>
      <w:r w:rsidR="008010E5" w:rsidRPr="00FA5324">
        <w:rPr>
          <w:i/>
          <w:sz w:val="18"/>
          <w:lang w:val="es-DO"/>
        </w:rPr>
        <w:t>:</w:t>
      </w:r>
      <w:r w:rsidRPr="00FA5324">
        <w:rPr>
          <w:i/>
          <w:sz w:val="18"/>
          <w:lang w:val="es-DO"/>
        </w:rPr>
        <w:t xml:space="preserve"> estimaciones propias a partir de IMF para GDP</w:t>
      </w:r>
    </w:p>
    <w:p w:rsidR="0096501F" w:rsidRPr="008450F1" w:rsidRDefault="0096501F" w:rsidP="00AF0916">
      <w:pPr>
        <w:spacing w:after="0" w:line="240" w:lineRule="auto"/>
        <w:rPr>
          <w:lang w:val="es-DO"/>
        </w:rPr>
      </w:pPr>
    </w:p>
    <w:p w:rsidR="00423788" w:rsidRPr="008450F1" w:rsidRDefault="0096501F" w:rsidP="00AF0916">
      <w:pPr>
        <w:spacing w:after="0" w:line="240" w:lineRule="auto"/>
        <w:rPr>
          <w:lang w:val="es-DO"/>
        </w:rPr>
      </w:pPr>
      <w:r w:rsidRPr="008450F1">
        <w:rPr>
          <w:lang w:val="es-DO"/>
        </w:rPr>
        <w:t xml:space="preserve">El patrimonio de los fondos de pensiones se </w:t>
      </w:r>
      <w:r w:rsidR="00423788" w:rsidRPr="008450F1">
        <w:rPr>
          <w:lang w:val="es-DO"/>
        </w:rPr>
        <w:t>proyectó</w:t>
      </w:r>
      <w:r w:rsidRPr="008450F1">
        <w:rPr>
          <w:lang w:val="es-DO"/>
        </w:rPr>
        <w:t xml:space="preserve"> </w:t>
      </w:r>
      <w:r w:rsidR="00423788" w:rsidRPr="008450F1">
        <w:rPr>
          <w:lang w:val="es-DO"/>
        </w:rPr>
        <w:t>a partir</w:t>
      </w:r>
      <w:r w:rsidRPr="008450F1">
        <w:rPr>
          <w:lang w:val="es-DO"/>
        </w:rPr>
        <w:t xml:space="preserve"> de las cotizaciones realizadas que son dispersadas </w:t>
      </w:r>
      <w:r w:rsidR="00423788" w:rsidRPr="008450F1">
        <w:rPr>
          <w:lang w:val="es-DO"/>
        </w:rPr>
        <w:t>a los</w:t>
      </w:r>
      <w:r w:rsidRPr="008450F1">
        <w:rPr>
          <w:lang w:val="es-DO"/>
        </w:rPr>
        <w:t xml:space="preserve"> fondos de pensiones y la rentabilidad nominal </w:t>
      </w:r>
      <w:r w:rsidR="00423788" w:rsidRPr="008450F1">
        <w:rPr>
          <w:lang w:val="es-DO"/>
        </w:rPr>
        <w:t>de los fondos. La</w:t>
      </w:r>
      <w:r w:rsidR="00A04D48" w:rsidRPr="008450F1">
        <w:rPr>
          <w:lang w:val="es-DO"/>
        </w:rPr>
        <w:t>s</w:t>
      </w:r>
      <w:r w:rsidR="00423788" w:rsidRPr="008450F1">
        <w:rPr>
          <w:lang w:val="es-DO"/>
        </w:rPr>
        <w:t xml:space="preserve"> dispersiones se proyectaron a</w:t>
      </w:r>
      <w:r w:rsidR="00A04D48" w:rsidRPr="008450F1">
        <w:rPr>
          <w:lang w:val="es-DO"/>
        </w:rPr>
        <w:t xml:space="preserve"> </w:t>
      </w:r>
      <w:r w:rsidR="00423788" w:rsidRPr="008450F1">
        <w:rPr>
          <w:lang w:val="es-DO"/>
        </w:rPr>
        <w:t>partir de un modelo lineal en función del n</w:t>
      </w:r>
      <w:r w:rsidR="00A04D48" w:rsidRPr="008450F1">
        <w:rPr>
          <w:lang w:val="es-DO"/>
        </w:rPr>
        <w:t>ú</w:t>
      </w:r>
      <w:r w:rsidR="00423788" w:rsidRPr="008450F1">
        <w:rPr>
          <w:lang w:val="es-DO"/>
        </w:rPr>
        <w:t>mero de cotizantes, calculado empleando la serie histórica. El patrimonio del fondo en un periodo se calcul</w:t>
      </w:r>
      <w:r w:rsidR="00A04D48" w:rsidRPr="008450F1">
        <w:rPr>
          <w:lang w:val="es-DO"/>
        </w:rPr>
        <w:t>ó</w:t>
      </w:r>
      <w:r w:rsidR="00423788" w:rsidRPr="008450F1">
        <w:rPr>
          <w:lang w:val="es-DO"/>
        </w:rPr>
        <w:t xml:space="preserve"> como </w:t>
      </w:r>
      <w:r w:rsidR="009B79FB" w:rsidRPr="008450F1">
        <w:rPr>
          <w:lang w:val="es-DO"/>
        </w:rPr>
        <w:t>la suma de</w:t>
      </w:r>
      <w:r w:rsidR="00423788" w:rsidRPr="008450F1">
        <w:rPr>
          <w:lang w:val="es-DO"/>
        </w:rPr>
        <w:t>l patrimonio del fondo en el periodo anterior, la rentabilidad obtenida en el periodo anterior</w:t>
      </w:r>
      <w:r w:rsidR="009B79FB" w:rsidRPr="008450F1">
        <w:rPr>
          <w:lang w:val="es-DO"/>
        </w:rPr>
        <w:t xml:space="preserve"> y</w:t>
      </w:r>
      <w:r w:rsidR="00423788" w:rsidRPr="008450F1">
        <w:rPr>
          <w:lang w:val="es-DO"/>
        </w:rPr>
        <w:t xml:space="preserve"> la disper</w:t>
      </w:r>
      <w:r w:rsidR="00A04D48" w:rsidRPr="008450F1">
        <w:rPr>
          <w:lang w:val="es-DO"/>
        </w:rPr>
        <w:t>sió</w:t>
      </w:r>
      <w:r w:rsidR="00423788" w:rsidRPr="008450F1">
        <w:rPr>
          <w:lang w:val="es-DO"/>
        </w:rPr>
        <w:t>n. La</w:t>
      </w:r>
      <w:r w:rsidR="00A04D48" w:rsidRPr="008450F1">
        <w:rPr>
          <w:lang w:val="es-DO"/>
        </w:rPr>
        <w:t>s</w:t>
      </w:r>
      <w:r w:rsidR="00423788" w:rsidRPr="008450F1">
        <w:rPr>
          <w:lang w:val="es-DO"/>
        </w:rPr>
        <w:t xml:space="preserve"> f</w:t>
      </w:r>
      <w:r w:rsidR="00A04D48" w:rsidRPr="008450F1">
        <w:rPr>
          <w:lang w:val="es-DO"/>
        </w:rPr>
        <w:t>ó</w:t>
      </w:r>
      <w:r w:rsidR="00423788" w:rsidRPr="008450F1">
        <w:rPr>
          <w:lang w:val="es-DO"/>
        </w:rPr>
        <w:t xml:space="preserve">rmulas empleadas se presentan en la </w:t>
      </w:r>
      <w:r w:rsidR="00423788" w:rsidRPr="008450F1">
        <w:rPr>
          <w:lang w:val="es-DO"/>
        </w:rPr>
        <w:fldChar w:fldCharType="begin"/>
      </w:r>
      <w:r w:rsidR="00423788" w:rsidRPr="008450F1">
        <w:rPr>
          <w:lang w:val="es-DO"/>
        </w:rPr>
        <w:instrText xml:space="preserve"> REF _Ref399139700 \h </w:instrText>
      </w:r>
      <w:r w:rsidR="00C62A67" w:rsidRPr="008450F1">
        <w:rPr>
          <w:lang w:val="es-DO"/>
        </w:rPr>
        <w:instrText xml:space="preserve"> \* MERGEFORMAT </w:instrText>
      </w:r>
      <w:r w:rsidR="00423788" w:rsidRPr="008450F1">
        <w:rPr>
          <w:lang w:val="es-DO"/>
        </w:rPr>
      </w:r>
      <w:r w:rsidR="00423788" w:rsidRPr="008450F1">
        <w:rPr>
          <w:lang w:val="es-DO"/>
        </w:rPr>
        <w:fldChar w:fldCharType="separate"/>
      </w:r>
      <w:r w:rsidR="00A04D48" w:rsidRPr="008450F1">
        <w:rPr>
          <w:lang w:val="es-DO"/>
        </w:rPr>
        <w:t xml:space="preserve">Tabla </w:t>
      </w:r>
      <w:r w:rsidR="00A04D48" w:rsidRPr="008450F1">
        <w:rPr>
          <w:noProof/>
          <w:lang w:val="es-DO"/>
        </w:rPr>
        <w:t>9</w:t>
      </w:r>
      <w:r w:rsidR="00423788" w:rsidRPr="008450F1">
        <w:rPr>
          <w:lang w:val="es-DO"/>
        </w:rPr>
        <w:fldChar w:fldCharType="end"/>
      </w:r>
      <w:r w:rsidR="00423788" w:rsidRPr="008450F1">
        <w:rPr>
          <w:lang w:val="es-DO"/>
        </w:rPr>
        <w:t xml:space="preserve">. </w:t>
      </w:r>
    </w:p>
    <w:p w:rsidR="009B79FB" w:rsidRPr="008450F1" w:rsidRDefault="009B79FB" w:rsidP="00AF0916">
      <w:pPr>
        <w:spacing w:after="0" w:line="240" w:lineRule="auto"/>
        <w:rPr>
          <w:lang w:val="es-DO"/>
        </w:rPr>
      </w:pPr>
    </w:p>
    <w:p w:rsidR="0096501F" w:rsidRPr="00FA5324" w:rsidRDefault="00423788" w:rsidP="00FA5324">
      <w:pPr>
        <w:spacing w:after="0" w:line="240" w:lineRule="auto"/>
        <w:rPr>
          <w:lang w:val="es-DO"/>
        </w:rPr>
      </w:pPr>
      <w:r w:rsidRPr="008450F1">
        <w:rPr>
          <w:lang w:val="es-DO"/>
        </w:rPr>
        <w:t>Para el caso</w:t>
      </w:r>
      <w:r w:rsidRPr="00FA5324">
        <w:rPr>
          <w:lang w:val="es-DO"/>
        </w:rPr>
        <w:t xml:space="preserve"> del </w:t>
      </w:r>
      <w:r w:rsidR="00B51537" w:rsidRPr="008450F1">
        <w:rPr>
          <w:lang w:val="es-DO"/>
        </w:rPr>
        <w:t>contra factual</w:t>
      </w:r>
      <w:r w:rsidR="009B79FB" w:rsidRPr="008450F1">
        <w:rPr>
          <w:lang w:val="es-DO"/>
        </w:rPr>
        <w:t>,</w:t>
      </w:r>
      <w:r w:rsidRPr="008450F1">
        <w:rPr>
          <w:lang w:val="es-DO"/>
        </w:rPr>
        <w:t xml:space="preserve"> el porcentaje de cotizantes</w:t>
      </w:r>
      <w:r w:rsidRPr="00FA5324">
        <w:rPr>
          <w:lang w:val="es-DO"/>
        </w:rPr>
        <w:t xml:space="preserve"> de </w:t>
      </w:r>
      <w:r w:rsidRPr="008450F1">
        <w:rPr>
          <w:lang w:val="es-DO"/>
        </w:rPr>
        <w:t>los ocupados se tom</w:t>
      </w:r>
      <w:r w:rsidR="00A04D48" w:rsidRPr="008450F1">
        <w:rPr>
          <w:lang w:val="es-DO"/>
        </w:rPr>
        <w:t>ó</w:t>
      </w:r>
      <w:r w:rsidRPr="008450F1">
        <w:rPr>
          <w:lang w:val="es-DO"/>
        </w:rPr>
        <w:t xml:space="preserve"> como el valor de la línea base de la matriz de política y en el caso de la intervención se </w:t>
      </w:r>
      <w:r w:rsidR="00B51537" w:rsidRPr="008450F1">
        <w:rPr>
          <w:lang w:val="es-DO"/>
        </w:rPr>
        <w:t>empleó</w:t>
      </w:r>
      <w:r w:rsidRPr="008450F1">
        <w:rPr>
          <w:lang w:val="es-DO"/>
        </w:rPr>
        <w:t xml:space="preserve"> el valor de la</w:t>
      </w:r>
      <w:r w:rsidR="004D7348" w:rsidRPr="008450F1">
        <w:rPr>
          <w:lang w:val="es-DO"/>
        </w:rPr>
        <w:t>s</w:t>
      </w:r>
      <w:r w:rsidRPr="008450F1">
        <w:rPr>
          <w:lang w:val="es-DO"/>
        </w:rPr>
        <w:t xml:space="preserve"> metas de la matriz.</w:t>
      </w:r>
    </w:p>
    <w:p w:rsidR="009B79FB" w:rsidRPr="008450F1" w:rsidRDefault="009B79FB" w:rsidP="00AF0916">
      <w:pPr>
        <w:spacing w:after="0" w:line="240" w:lineRule="auto"/>
        <w:rPr>
          <w:lang w:val="es-DO"/>
        </w:rPr>
      </w:pPr>
    </w:p>
    <w:p w:rsidR="00244EBC" w:rsidRPr="00FA5324" w:rsidRDefault="009D28B6" w:rsidP="00FA5324">
      <w:pPr>
        <w:pStyle w:val="Heading3"/>
        <w:spacing w:before="0" w:line="240" w:lineRule="auto"/>
        <w:rPr>
          <w:rFonts w:ascii="Times New Roman" w:hAnsi="Times New Roman"/>
          <w:color w:val="auto"/>
          <w:lang w:val="es-DO"/>
        </w:rPr>
      </w:pPr>
      <w:bookmarkStart w:id="24" w:name="_Toc401244716"/>
      <w:r w:rsidRPr="00FA5324">
        <w:rPr>
          <w:rFonts w:ascii="Times New Roman" w:hAnsi="Times New Roman"/>
          <w:color w:val="auto"/>
          <w:lang w:val="es-DO"/>
        </w:rPr>
        <w:t xml:space="preserve">2. </w:t>
      </w:r>
      <w:r w:rsidR="00244EBC" w:rsidRPr="00FA5324">
        <w:rPr>
          <w:rFonts w:ascii="Times New Roman" w:hAnsi="Times New Roman"/>
          <w:color w:val="auto"/>
          <w:lang w:val="es-DO"/>
        </w:rPr>
        <w:t>Proyección de la afiliación al SDSS</w:t>
      </w:r>
      <w:r w:rsidR="00D5628A" w:rsidRPr="008450F1">
        <w:rPr>
          <w:rFonts w:ascii="Times New Roman" w:hAnsi="Times New Roman"/>
          <w:color w:val="auto"/>
          <w:lang w:val="es-DO"/>
        </w:rPr>
        <w:t xml:space="preserve"> en Salud</w:t>
      </w:r>
      <w:bookmarkEnd w:id="24"/>
    </w:p>
    <w:p w:rsidR="009B79FB" w:rsidRPr="008450F1" w:rsidRDefault="009B79FB" w:rsidP="00AF0916">
      <w:pPr>
        <w:spacing w:after="0" w:line="240" w:lineRule="auto"/>
        <w:rPr>
          <w:lang w:val="es-DO"/>
        </w:rPr>
      </w:pPr>
    </w:p>
    <w:p w:rsidR="00244EBC" w:rsidRPr="00FA5324" w:rsidRDefault="00244EBC" w:rsidP="00FA5324">
      <w:pPr>
        <w:spacing w:after="0" w:line="240" w:lineRule="auto"/>
        <w:rPr>
          <w:lang w:val="es-DO"/>
        </w:rPr>
      </w:pPr>
      <w:r w:rsidRPr="00FA5324">
        <w:rPr>
          <w:lang w:val="es-DO"/>
        </w:rPr>
        <w:t>Con el fin de pronosticar el gasto en salud</w:t>
      </w:r>
      <w:r w:rsidR="009B79FB" w:rsidRPr="008450F1">
        <w:rPr>
          <w:lang w:val="es-DO"/>
        </w:rPr>
        <w:t>,</w:t>
      </w:r>
      <w:r w:rsidRPr="00FA5324">
        <w:rPr>
          <w:lang w:val="es-DO"/>
        </w:rPr>
        <w:t xml:space="preserve"> se estimó la afiliación al SDSS para los años del horizonte temporal. El SDSS tiene </w:t>
      </w:r>
      <w:r w:rsidR="005375EE" w:rsidRPr="00FA5324">
        <w:rPr>
          <w:lang w:val="es-DO"/>
        </w:rPr>
        <w:t>dos regímenes</w:t>
      </w:r>
      <w:r w:rsidR="009B79FB" w:rsidRPr="008450F1">
        <w:rPr>
          <w:lang w:val="es-DO"/>
        </w:rPr>
        <w:t>,</w:t>
      </w:r>
      <w:r w:rsidR="005375EE" w:rsidRPr="00FA5324">
        <w:rPr>
          <w:lang w:val="es-DO"/>
        </w:rPr>
        <w:t xml:space="preserve"> uno contributivo  -</w:t>
      </w:r>
      <w:r w:rsidRPr="00FA5324">
        <w:rPr>
          <w:lang w:val="es-DO"/>
        </w:rPr>
        <w:t>RC- y otro subsidiado -RS-. La afiliación del RC depende de la cantidad de población en edad laboral, del porcentaje que se encuentra</w:t>
      </w:r>
      <w:r w:rsidR="005375EE" w:rsidRPr="00FA5324">
        <w:rPr>
          <w:lang w:val="es-DO"/>
        </w:rPr>
        <w:t xml:space="preserve"> activa</w:t>
      </w:r>
      <w:r w:rsidRPr="00FA5324">
        <w:rPr>
          <w:lang w:val="es-DO"/>
        </w:rPr>
        <w:t xml:space="preserve"> económicamente, </w:t>
      </w:r>
      <w:r w:rsidR="005375EE" w:rsidRPr="00FA5324">
        <w:rPr>
          <w:lang w:val="es-DO"/>
        </w:rPr>
        <w:t>d</w:t>
      </w:r>
      <w:r w:rsidRPr="00FA5324">
        <w:rPr>
          <w:lang w:val="es-DO"/>
        </w:rPr>
        <w:t xml:space="preserve">el porcentaje de asalariados, </w:t>
      </w:r>
      <w:r w:rsidR="005375EE" w:rsidRPr="00FA5324">
        <w:rPr>
          <w:lang w:val="es-DO"/>
        </w:rPr>
        <w:t>d</w:t>
      </w:r>
      <w:r w:rsidRPr="00FA5324">
        <w:rPr>
          <w:lang w:val="es-DO"/>
        </w:rPr>
        <w:t xml:space="preserve">el porcentaje de titularidad de estos afiliados y </w:t>
      </w:r>
      <w:r w:rsidR="005375EE" w:rsidRPr="00FA5324">
        <w:rPr>
          <w:lang w:val="es-DO"/>
        </w:rPr>
        <w:t xml:space="preserve">de </w:t>
      </w:r>
      <w:r w:rsidRPr="00FA5324">
        <w:rPr>
          <w:lang w:val="es-DO"/>
        </w:rPr>
        <w:t>la densidad familiar.</w:t>
      </w:r>
    </w:p>
    <w:p w:rsidR="009B79FB" w:rsidRPr="008450F1" w:rsidRDefault="009B79FB" w:rsidP="00AF0916">
      <w:pPr>
        <w:spacing w:after="0" w:line="240" w:lineRule="auto"/>
        <w:rPr>
          <w:lang w:val="es-DO" w:bidi="x-none"/>
        </w:rPr>
      </w:pPr>
    </w:p>
    <w:p w:rsidR="00244EBC" w:rsidRPr="00FA5324" w:rsidRDefault="00244EBC" w:rsidP="00FA5324">
      <w:pPr>
        <w:spacing w:after="0" w:line="240" w:lineRule="auto"/>
        <w:rPr>
          <w:lang w:val="es-DO"/>
        </w:rPr>
      </w:pPr>
      <w:r w:rsidRPr="00FA5324">
        <w:rPr>
          <w:lang w:val="es-DO"/>
        </w:rPr>
        <w:t>Esta estimación parte de las proyecciones poblacionales de la Oficina Nacional de Estadística</w:t>
      </w:r>
      <w:r w:rsidR="009B79FB" w:rsidRPr="008450F1">
        <w:rPr>
          <w:lang w:val="es-DO"/>
        </w:rPr>
        <w:t xml:space="preserve"> (ONE)</w:t>
      </w:r>
      <w:r w:rsidRPr="008450F1">
        <w:rPr>
          <w:lang w:val="es-DO"/>
        </w:rPr>
        <w:t>.</w:t>
      </w:r>
      <w:r w:rsidRPr="00FA5324">
        <w:rPr>
          <w:lang w:val="es-DO"/>
        </w:rPr>
        <w:t xml:space="preserve"> Con fecha reciente se tienen dos pr</w:t>
      </w:r>
      <w:r w:rsidR="005375EE" w:rsidRPr="00FA5324">
        <w:rPr>
          <w:lang w:val="es-DO"/>
        </w:rPr>
        <w:t>oyecciones poblacionales,</w:t>
      </w:r>
      <w:r w:rsidRPr="00FA5324">
        <w:rPr>
          <w:lang w:val="es-DO"/>
        </w:rPr>
        <w:t xml:space="preserve"> una realizada en 2007 y otra</w:t>
      </w:r>
      <w:r w:rsidR="004926BF" w:rsidRPr="00FA5324">
        <w:rPr>
          <w:lang w:val="es-DO"/>
        </w:rPr>
        <w:t xml:space="preserve"> </w:t>
      </w:r>
      <w:r w:rsidR="005375EE" w:rsidRPr="00FA5324">
        <w:rPr>
          <w:lang w:val="es-DO"/>
        </w:rPr>
        <w:t xml:space="preserve">en 2014, que se muestran en el </w:t>
      </w:r>
      <w:r w:rsidR="007D75F1" w:rsidRPr="008450F1">
        <w:rPr>
          <w:lang w:val="es-DO"/>
        </w:rPr>
        <w:t>gráfico 6 (</w:t>
      </w:r>
      <w:r w:rsidR="005375EE" w:rsidRPr="00FA5324">
        <w:rPr>
          <w:lang w:val="es-DO"/>
        </w:rPr>
        <w:t>A</w:t>
      </w:r>
      <w:r w:rsidR="004926BF" w:rsidRPr="00FA5324">
        <w:rPr>
          <w:lang w:val="es-DO"/>
        </w:rPr>
        <w:t>nexo 3</w:t>
      </w:r>
      <w:r w:rsidR="007D75F1" w:rsidRPr="008450F1">
        <w:rPr>
          <w:lang w:val="es-DO"/>
        </w:rPr>
        <w:t>)</w:t>
      </w:r>
      <w:r w:rsidRPr="008450F1">
        <w:rPr>
          <w:lang w:val="es-DO"/>
        </w:rPr>
        <w:t>.</w:t>
      </w:r>
      <w:r w:rsidRPr="00FA5324">
        <w:rPr>
          <w:lang w:val="es-DO"/>
        </w:rPr>
        <w:t xml:space="preserve"> La proyección de 2014 es inferior en cifras poblacionales que la de 2007 y se modela con una ajuste perfecto (R²=1) mediante una función polinómica de segundo grado. Mediante esta función</w:t>
      </w:r>
      <w:r w:rsidR="009B79FB" w:rsidRPr="008450F1">
        <w:rPr>
          <w:lang w:val="es-DO"/>
        </w:rPr>
        <w:t>,</w:t>
      </w:r>
      <w:r w:rsidRPr="00FA5324">
        <w:rPr>
          <w:lang w:val="es-DO"/>
        </w:rPr>
        <w:t xml:space="preserve"> se estimó la población para cada uno de los años del análisis. La población en edad laboral para cada género también se estimó mediante una función polinómica de segundo grado con un alto nivel de ajuste (R²=0,999).</w:t>
      </w:r>
    </w:p>
    <w:p w:rsidR="009B79FB" w:rsidRPr="008450F1" w:rsidRDefault="009B79FB" w:rsidP="00AF0916">
      <w:pPr>
        <w:spacing w:after="0" w:line="240" w:lineRule="auto"/>
        <w:rPr>
          <w:lang w:val="es-DO"/>
        </w:rPr>
      </w:pPr>
    </w:p>
    <w:p w:rsidR="0033190F" w:rsidRPr="008450F1" w:rsidRDefault="0033190F" w:rsidP="00AF0916">
      <w:pPr>
        <w:spacing w:after="0" w:line="240" w:lineRule="auto"/>
        <w:rPr>
          <w:lang w:val="es-DO"/>
        </w:rPr>
      </w:pPr>
      <w:r w:rsidRPr="00FA5324">
        <w:rPr>
          <w:lang w:val="es-DO"/>
        </w:rPr>
        <w:t xml:space="preserve">La población en edad laboral económicamente activa desagregada por </w:t>
      </w:r>
      <w:r w:rsidRPr="008450F1">
        <w:rPr>
          <w:lang w:val="es-DO"/>
        </w:rPr>
        <w:t>g</w:t>
      </w:r>
      <w:r w:rsidR="004D7348" w:rsidRPr="008450F1">
        <w:rPr>
          <w:lang w:val="es-DO"/>
        </w:rPr>
        <w:t>é</w:t>
      </w:r>
      <w:r w:rsidRPr="008450F1">
        <w:rPr>
          <w:lang w:val="es-DO"/>
        </w:rPr>
        <w:t>nero</w:t>
      </w:r>
      <w:r w:rsidRPr="00FA5324">
        <w:rPr>
          <w:lang w:val="es-DO"/>
        </w:rPr>
        <w:t xml:space="preserve"> se obtuvo del </w:t>
      </w:r>
      <w:r w:rsidR="009B79FB" w:rsidRPr="008450F1">
        <w:rPr>
          <w:lang w:val="es-DO"/>
        </w:rPr>
        <w:t>Sistema de Indicadores Social de RD (</w:t>
      </w:r>
      <w:r w:rsidRPr="00FA5324">
        <w:rPr>
          <w:lang w:val="es-DO"/>
        </w:rPr>
        <w:t>SISDOM</w:t>
      </w:r>
      <w:r w:rsidR="009B79FB" w:rsidRPr="008450F1">
        <w:rPr>
          <w:lang w:val="es-DO"/>
        </w:rPr>
        <w:t>)</w:t>
      </w:r>
      <w:r w:rsidRPr="00FA5324">
        <w:rPr>
          <w:lang w:val="es-DO"/>
        </w:rPr>
        <w:t xml:space="preserve"> 2012</w:t>
      </w:r>
      <w:r w:rsidR="009B79FB" w:rsidRPr="008450F1">
        <w:rPr>
          <w:lang w:val="es-DO"/>
        </w:rPr>
        <w:t>,</w:t>
      </w:r>
      <w:r w:rsidRPr="008450F1">
        <w:rPr>
          <w:lang w:val="es-DO"/>
        </w:rPr>
        <w:t xml:space="preserve"> </w:t>
      </w:r>
      <w:r w:rsidR="009B79FB" w:rsidRPr="008450F1">
        <w:rPr>
          <w:lang w:val="es-DO"/>
        </w:rPr>
        <w:t>f</w:t>
      </w:r>
      <w:r w:rsidRPr="008450F1">
        <w:rPr>
          <w:lang w:val="es-DO"/>
        </w:rPr>
        <w:t>icha</w:t>
      </w:r>
      <w:r w:rsidRPr="00FA5324">
        <w:rPr>
          <w:lang w:val="es-DO"/>
        </w:rPr>
        <w:t>: 06 3 002</w:t>
      </w:r>
      <w:r w:rsidR="009B79FB" w:rsidRPr="00FA5324">
        <w:rPr>
          <w:lang w:val="es-DO"/>
        </w:rPr>
        <w:t xml:space="preserve"> </w:t>
      </w:r>
      <w:r w:rsidR="009B79FB" w:rsidRPr="008450F1">
        <w:rPr>
          <w:lang w:val="es-DO"/>
        </w:rPr>
        <w:t>“</w:t>
      </w:r>
      <w:r w:rsidR="009B79FB" w:rsidRPr="00FA5324">
        <w:rPr>
          <w:lang w:val="es-DO"/>
        </w:rPr>
        <w:t>P</w:t>
      </w:r>
      <w:r w:rsidRPr="00FA5324">
        <w:rPr>
          <w:lang w:val="es-DO"/>
        </w:rPr>
        <w:t>oblac</w:t>
      </w:r>
      <w:r w:rsidR="005375EE" w:rsidRPr="00FA5324">
        <w:rPr>
          <w:lang w:val="es-DO"/>
        </w:rPr>
        <w:t>ión económicamente activa (PEA</w:t>
      </w:r>
      <w:r w:rsidR="005375EE" w:rsidRPr="008450F1">
        <w:rPr>
          <w:lang w:val="es-DO"/>
        </w:rPr>
        <w:t>)”</w:t>
      </w:r>
      <w:r w:rsidR="009B79FB" w:rsidRPr="008450F1">
        <w:rPr>
          <w:lang w:val="es-DO"/>
        </w:rPr>
        <w:t>.</w:t>
      </w:r>
      <w:r w:rsidRPr="008450F1">
        <w:rPr>
          <w:lang w:val="es-DO"/>
        </w:rPr>
        <w:t xml:space="preserve"> </w:t>
      </w:r>
      <w:r w:rsidR="009B79FB" w:rsidRPr="008450F1">
        <w:rPr>
          <w:lang w:val="es-DO"/>
        </w:rPr>
        <w:t>E</w:t>
      </w:r>
      <w:r w:rsidRPr="008450F1">
        <w:rPr>
          <w:lang w:val="es-DO"/>
        </w:rPr>
        <w:t>sta</w:t>
      </w:r>
      <w:r w:rsidRPr="00FA5324">
        <w:rPr>
          <w:lang w:val="es-DO"/>
        </w:rPr>
        <w:t xml:space="preserve"> se presenta en el Gráfico </w:t>
      </w:r>
      <w:r w:rsidR="007D75F1" w:rsidRPr="008450F1">
        <w:rPr>
          <w:noProof/>
          <w:lang w:val="es-DO"/>
        </w:rPr>
        <w:t xml:space="preserve">7 </w:t>
      </w:r>
      <w:r w:rsidR="007D75F1" w:rsidRPr="008450F1">
        <w:rPr>
          <w:lang w:val="es-DO"/>
        </w:rPr>
        <w:t>(Anexo 3)</w:t>
      </w:r>
      <w:r w:rsidRPr="008450F1">
        <w:rPr>
          <w:lang w:val="es-DO"/>
        </w:rPr>
        <w:t>.</w:t>
      </w:r>
      <w:r w:rsidRPr="00FA5324">
        <w:rPr>
          <w:lang w:val="es-DO"/>
        </w:rPr>
        <w:t xml:space="preserve"> Para el caso de las mujeres</w:t>
      </w:r>
      <w:r w:rsidR="009B79FB" w:rsidRPr="008450F1">
        <w:rPr>
          <w:lang w:val="es-DO"/>
        </w:rPr>
        <w:t>,</w:t>
      </w:r>
      <w:r w:rsidRPr="00FA5324">
        <w:rPr>
          <w:lang w:val="es-DO"/>
        </w:rPr>
        <w:t xml:space="preserve"> se empleó un modelo lineal para estimar el porcentaje de actividad laboral (R²=0,999) en los años subsiguientes. Para el caso </w:t>
      </w:r>
      <w:r w:rsidRPr="008450F1">
        <w:rPr>
          <w:lang w:val="es-DO"/>
        </w:rPr>
        <w:t>de</w:t>
      </w:r>
      <w:r w:rsidRPr="00FA5324">
        <w:rPr>
          <w:lang w:val="es-DO"/>
        </w:rPr>
        <w:t xml:space="preserve"> los </w:t>
      </w:r>
      <w:r w:rsidRPr="00FA5324">
        <w:rPr>
          <w:lang w:val="es-DO"/>
        </w:rPr>
        <w:lastRenderedPageBreak/>
        <w:t>hombres</w:t>
      </w:r>
      <w:r w:rsidR="009B79FB" w:rsidRPr="008450F1">
        <w:rPr>
          <w:lang w:val="es-DO"/>
        </w:rPr>
        <w:t>,</w:t>
      </w:r>
      <w:r w:rsidRPr="00FA5324">
        <w:rPr>
          <w:lang w:val="es-DO"/>
        </w:rPr>
        <w:t xml:space="preserve"> en los últimos 5 años el porcentaje </w:t>
      </w:r>
      <w:r w:rsidR="005375EE" w:rsidRPr="00FA5324">
        <w:rPr>
          <w:lang w:val="es-DO"/>
        </w:rPr>
        <w:t xml:space="preserve">de actividad laboral </w:t>
      </w:r>
      <w:r w:rsidR="009B79FB" w:rsidRPr="008450F1">
        <w:rPr>
          <w:lang w:val="es-DO"/>
        </w:rPr>
        <w:t xml:space="preserve">fue </w:t>
      </w:r>
      <w:r w:rsidR="005375EE" w:rsidRPr="008450F1">
        <w:rPr>
          <w:lang w:val="es-DO"/>
        </w:rPr>
        <w:t>de</w:t>
      </w:r>
      <w:r w:rsidR="005375EE" w:rsidRPr="00FA5324">
        <w:rPr>
          <w:lang w:val="es-DO"/>
        </w:rPr>
        <w:t xml:space="preserve"> 99%</w:t>
      </w:r>
      <w:r w:rsidRPr="00FA5324">
        <w:rPr>
          <w:lang w:val="es-DO"/>
        </w:rPr>
        <w:t xml:space="preserve"> y se asumió que este nivel continuaría durante los años del horizonte de análisis. La proporción de asalariados titulares se calculó a partir de los datos del </w:t>
      </w:r>
      <w:r w:rsidR="00862F2B" w:rsidRPr="008450F1">
        <w:rPr>
          <w:lang w:val="es-DO"/>
        </w:rPr>
        <w:t>SISDOM, f</w:t>
      </w:r>
      <w:r w:rsidRPr="008450F1">
        <w:rPr>
          <w:lang w:val="es-DO"/>
        </w:rPr>
        <w:t>icha</w:t>
      </w:r>
      <w:r w:rsidRPr="00FA5324">
        <w:rPr>
          <w:lang w:val="es-DO"/>
        </w:rPr>
        <w:t xml:space="preserve">: 06 3 002 </w:t>
      </w:r>
      <w:r w:rsidR="00862F2B" w:rsidRPr="008450F1">
        <w:rPr>
          <w:lang w:val="es-DO"/>
        </w:rPr>
        <w:t>“</w:t>
      </w:r>
      <w:r w:rsidRPr="00FA5324">
        <w:rPr>
          <w:lang w:val="es-DO"/>
        </w:rPr>
        <w:t>Población económicamente activa</w:t>
      </w:r>
      <w:r w:rsidR="005375EE" w:rsidRPr="00FA5324">
        <w:rPr>
          <w:lang w:val="es-DO"/>
        </w:rPr>
        <w:t>”</w:t>
      </w:r>
      <w:r w:rsidRPr="00FA5324">
        <w:rPr>
          <w:lang w:val="es-DO"/>
        </w:rPr>
        <w:t xml:space="preserve"> de población asalariada y los datos de afiliación de la SISALRIL, como se presenta en el Gráfico 8</w:t>
      </w:r>
      <w:r w:rsidR="007D75F1" w:rsidRPr="008450F1">
        <w:rPr>
          <w:noProof/>
          <w:lang w:val="es-DO"/>
        </w:rPr>
        <w:t xml:space="preserve"> </w:t>
      </w:r>
      <w:r w:rsidR="007D75F1" w:rsidRPr="008450F1">
        <w:rPr>
          <w:lang w:val="es-DO"/>
        </w:rPr>
        <w:t>(Anexo 3</w:t>
      </w:r>
      <w:r w:rsidR="008450F1">
        <w:rPr>
          <w:lang w:val="es-DO"/>
        </w:rPr>
        <w:t>)</w:t>
      </w:r>
      <w:r w:rsidRPr="008450F1">
        <w:rPr>
          <w:lang w:val="es-DO"/>
        </w:rPr>
        <w:t>.</w:t>
      </w:r>
    </w:p>
    <w:p w:rsidR="00862F2B" w:rsidRPr="00FA5324" w:rsidRDefault="00862F2B" w:rsidP="00FA5324">
      <w:pPr>
        <w:spacing w:after="0" w:line="240" w:lineRule="auto"/>
        <w:rPr>
          <w:lang w:val="es-DO"/>
        </w:rPr>
      </w:pPr>
    </w:p>
    <w:p w:rsidR="0033190F" w:rsidRPr="00FA5324" w:rsidRDefault="0033190F" w:rsidP="00FA5324">
      <w:pPr>
        <w:spacing w:after="0" w:line="240" w:lineRule="auto"/>
        <w:rPr>
          <w:lang w:val="es-DO"/>
        </w:rPr>
      </w:pPr>
      <w:r w:rsidRPr="00FA5324">
        <w:rPr>
          <w:lang w:val="es-DO"/>
        </w:rPr>
        <w:t>El crecimiento del RS se puede explicar en buena medida como crecimiento del P</w:t>
      </w:r>
      <w:r w:rsidR="005375EE" w:rsidRPr="00FA5324">
        <w:rPr>
          <w:lang w:val="es-DO"/>
        </w:rPr>
        <w:t>I</w:t>
      </w:r>
      <w:r w:rsidRPr="00FA5324">
        <w:rPr>
          <w:lang w:val="es-DO"/>
        </w:rPr>
        <w:t xml:space="preserve">B, que genera nuevos recursos que permiten la afiliación al RS. En el Gráfico </w:t>
      </w:r>
      <w:r w:rsidRPr="008450F1">
        <w:rPr>
          <w:noProof/>
          <w:lang w:val="es-DO"/>
        </w:rPr>
        <w:t>1</w:t>
      </w:r>
      <w:r w:rsidR="007D75F1" w:rsidRPr="008450F1">
        <w:rPr>
          <w:noProof/>
          <w:lang w:val="es-DO"/>
        </w:rPr>
        <w:t>1</w:t>
      </w:r>
      <w:r w:rsidRPr="00FA5324">
        <w:rPr>
          <w:lang w:val="es-DO"/>
        </w:rPr>
        <w:t xml:space="preserve"> se presenta el incremento anual en personas afiliadas al RS y el crecimiento del PIB. En este caso no se realizó un análisis de incremento por géneros</w:t>
      </w:r>
      <w:r w:rsidR="00862F2B" w:rsidRPr="008450F1">
        <w:rPr>
          <w:lang w:val="es-DO"/>
        </w:rPr>
        <w:t>,</w:t>
      </w:r>
      <w:r w:rsidRPr="00FA5324">
        <w:rPr>
          <w:lang w:val="es-DO"/>
        </w:rPr>
        <w:t xml:space="preserve"> pues su comportamiento era mucho más errático que el incremento total. Con base en esta relación y las proyecciones del PIB</w:t>
      </w:r>
      <w:r w:rsidR="00862F2B" w:rsidRPr="008450F1">
        <w:rPr>
          <w:lang w:val="es-DO"/>
        </w:rPr>
        <w:t>,</w:t>
      </w:r>
      <w:r w:rsidRPr="00FA5324">
        <w:rPr>
          <w:lang w:val="es-DO"/>
        </w:rPr>
        <w:t xml:space="preserve"> se simul</w:t>
      </w:r>
      <w:r w:rsidR="00DB5E93" w:rsidRPr="00FA5324">
        <w:rPr>
          <w:lang w:val="es-DO"/>
        </w:rPr>
        <w:t>ó</w:t>
      </w:r>
      <w:r w:rsidRPr="00FA5324">
        <w:rPr>
          <w:lang w:val="es-DO"/>
        </w:rPr>
        <w:t xml:space="preserve"> el número de afiliados al RS como se presenta en Gráfico </w:t>
      </w:r>
      <w:r w:rsidRPr="008450F1">
        <w:rPr>
          <w:noProof/>
          <w:lang w:val="es-DO"/>
        </w:rPr>
        <w:t>1</w:t>
      </w:r>
      <w:r w:rsidR="007D75F1" w:rsidRPr="008450F1">
        <w:rPr>
          <w:noProof/>
          <w:lang w:val="es-DO"/>
        </w:rPr>
        <w:t>2</w:t>
      </w:r>
      <w:r w:rsidRPr="00FA5324">
        <w:rPr>
          <w:lang w:val="es-DO"/>
        </w:rPr>
        <w:t xml:space="preserve">. La afiliación al SDSS viene dada por la suma de los afiliados del RS y del RC y se presenta en Gráfico </w:t>
      </w:r>
      <w:r w:rsidRPr="008450F1">
        <w:rPr>
          <w:noProof/>
          <w:lang w:val="es-DO"/>
        </w:rPr>
        <w:t>1</w:t>
      </w:r>
      <w:r w:rsidR="007D75F1" w:rsidRPr="008450F1">
        <w:rPr>
          <w:noProof/>
          <w:lang w:val="es-DO"/>
        </w:rPr>
        <w:t>3</w:t>
      </w:r>
      <w:r w:rsidRPr="00FA5324">
        <w:rPr>
          <w:lang w:val="es-DO"/>
        </w:rPr>
        <w:t>.</w:t>
      </w:r>
    </w:p>
    <w:p w:rsidR="00862F2B" w:rsidRPr="008450F1" w:rsidRDefault="00862F2B" w:rsidP="00AF0916">
      <w:pPr>
        <w:spacing w:after="0" w:line="240" w:lineRule="auto"/>
        <w:rPr>
          <w:lang w:val="es-DO"/>
        </w:rPr>
      </w:pPr>
    </w:p>
    <w:p w:rsidR="008B09E2" w:rsidRPr="008450F1" w:rsidRDefault="008B09E2" w:rsidP="00AF0916">
      <w:pPr>
        <w:pStyle w:val="Heading3"/>
        <w:spacing w:before="0" w:line="240" w:lineRule="auto"/>
        <w:rPr>
          <w:rFonts w:ascii="Times New Roman" w:hAnsi="Times New Roman"/>
          <w:color w:val="auto"/>
          <w:lang w:val="es-DO"/>
        </w:rPr>
      </w:pPr>
      <w:bookmarkStart w:id="25" w:name="_Toc401244717"/>
      <w:r w:rsidRPr="00FA5324">
        <w:rPr>
          <w:rFonts w:ascii="Times New Roman" w:hAnsi="Times New Roman"/>
          <w:color w:val="auto"/>
          <w:lang w:val="es-DO"/>
        </w:rPr>
        <w:t xml:space="preserve">3. Gasto </w:t>
      </w:r>
      <w:r w:rsidR="0033190F" w:rsidRPr="00FA5324">
        <w:rPr>
          <w:rFonts w:ascii="Times New Roman" w:hAnsi="Times New Roman"/>
          <w:color w:val="auto"/>
          <w:lang w:val="es-DO"/>
        </w:rPr>
        <w:t>p</w:t>
      </w:r>
      <w:r w:rsidR="00DB5E93" w:rsidRPr="00FA5324">
        <w:rPr>
          <w:rFonts w:ascii="Times New Roman" w:hAnsi="Times New Roman"/>
          <w:color w:val="auto"/>
          <w:lang w:val="es-DO"/>
        </w:rPr>
        <w:t>ú</w:t>
      </w:r>
      <w:r w:rsidR="0033190F" w:rsidRPr="00FA5324">
        <w:rPr>
          <w:rFonts w:ascii="Times New Roman" w:hAnsi="Times New Roman"/>
          <w:color w:val="auto"/>
          <w:lang w:val="es-DO"/>
        </w:rPr>
        <w:t xml:space="preserve">blico </w:t>
      </w:r>
      <w:r w:rsidRPr="00FA5324">
        <w:rPr>
          <w:rFonts w:ascii="Times New Roman" w:hAnsi="Times New Roman"/>
          <w:color w:val="auto"/>
          <w:lang w:val="es-DO"/>
        </w:rPr>
        <w:t>en salud</w:t>
      </w:r>
      <w:bookmarkEnd w:id="25"/>
    </w:p>
    <w:p w:rsidR="00862F2B" w:rsidRPr="00FA5324" w:rsidRDefault="00862F2B" w:rsidP="00FA5324">
      <w:pPr>
        <w:spacing w:after="0" w:line="240" w:lineRule="auto"/>
        <w:rPr>
          <w:lang w:val="es-DO"/>
        </w:rPr>
      </w:pPr>
    </w:p>
    <w:p w:rsidR="0033190F" w:rsidRPr="00FA5324" w:rsidRDefault="00DB5E93" w:rsidP="00FA5324">
      <w:pPr>
        <w:spacing w:after="0" w:line="240" w:lineRule="auto"/>
        <w:rPr>
          <w:lang w:val="es-DO"/>
        </w:rPr>
      </w:pPr>
      <w:r w:rsidRPr="00FA5324">
        <w:rPr>
          <w:lang w:val="es-DO"/>
        </w:rPr>
        <w:t>El gasto pú</w:t>
      </w:r>
      <w:r w:rsidR="0033190F" w:rsidRPr="00FA5324">
        <w:rPr>
          <w:lang w:val="es-DO"/>
        </w:rPr>
        <w:t>bl</w:t>
      </w:r>
      <w:r w:rsidRPr="00FA5324">
        <w:rPr>
          <w:lang w:val="es-DO"/>
        </w:rPr>
        <w:t>ico en salud se estimó</w:t>
      </w:r>
      <w:r w:rsidR="0033190F" w:rsidRPr="00FA5324">
        <w:rPr>
          <w:lang w:val="es-DO"/>
        </w:rPr>
        <w:t xml:space="preserve"> como la suma del gasto del RS, el RC y de los </w:t>
      </w:r>
      <w:r w:rsidR="007E70A2" w:rsidRPr="00FA5324">
        <w:rPr>
          <w:lang w:val="es-DO"/>
        </w:rPr>
        <w:t>recursos</w:t>
      </w:r>
      <w:r w:rsidR="0033190F" w:rsidRPr="00FA5324">
        <w:rPr>
          <w:lang w:val="es-DO"/>
        </w:rPr>
        <w:t xml:space="preserve"> asignados al MSP. El gasto </w:t>
      </w:r>
      <w:r w:rsidR="0033190F" w:rsidRPr="008450F1">
        <w:rPr>
          <w:lang w:val="es-DO"/>
        </w:rPr>
        <w:t>de</w:t>
      </w:r>
      <w:r w:rsidR="00862F2B" w:rsidRPr="008450F1">
        <w:rPr>
          <w:lang w:val="es-DO"/>
        </w:rPr>
        <w:t xml:space="preserve"> los regímenes</w:t>
      </w:r>
      <w:r w:rsidR="00862F2B" w:rsidRPr="00FA5324">
        <w:rPr>
          <w:lang w:val="es-DO"/>
        </w:rPr>
        <w:t xml:space="preserve"> </w:t>
      </w:r>
      <w:r w:rsidR="007E70A2" w:rsidRPr="00FA5324">
        <w:rPr>
          <w:lang w:val="es-DO"/>
        </w:rPr>
        <w:t>corresponde</w:t>
      </w:r>
      <w:r w:rsidR="0033190F" w:rsidRPr="00FA5324">
        <w:rPr>
          <w:lang w:val="es-DO"/>
        </w:rPr>
        <w:t xml:space="preserve"> al </w:t>
      </w:r>
      <w:r w:rsidR="007E70A2" w:rsidRPr="00FA5324">
        <w:rPr>
          <w:lang w:val="es-DO"/>
        </w:rPr>
        <w:t>número</w:t>
      </w:r>
      <w:r w:rsidR="0033190F" w:rsidRPr="00FA5324">
        <w:rPr>
          <w:lang w:val="es-DO"/>
        </w:rPr>
        <w:t xml:space="preserve"> de</w:t>
      </w:r>
      <w:r w:rsidRPr="00FA5324">
        <w:rPr>
          <w:lang w:val="es-DO"/>
        </w:rPr>
        <w:t xml:space="preserve"> afiliados por el valor de la cá</w:t>
      </w:r>
      <w:r w:rsidR="0033190F" w:rsidRPr="00FA5324">
        <w:rPr>
          <w:lang w:val="es-DO"/>
        </w:rPr>
        <w:t>pita</w:t>
      </w:r>
      <w:r w:rsidRPr="008450F1">
        <w:rPr>
          <w:lang w:val="es-DO"/>
        </w:rPr>
        <w:t>.</w:t>
      </w:r>
      <w:r w:rsidRPr="00FA5324">
        <w:rPr>
          <w:lang w:val="es-DO"/>
        </w:rPr>
        <w:t xml:space="preserve"> Para la proyecció</w:t>
      </w:r>
      <w:r w:rsidR="0033190F" w:rsidRPr="00FA5324">
        <w:rPr>
          <w:lang w:val="es-DO"/>
        </w:rPr>
        <w:t>n</w:t>
      </w:r>
      <w:r w:rsidR="00862F2B" w:rsidRPr="008450F1">
        <w:rPr>
          <w:lang w:val="es-DO"/>
        </w:rPr>
        <w:t>,</w:t>
      </w:r>
      <w:r w:rsidR="0033190F" w:rsidRPr="00FA5324">
        <w:rPr>
          <w:lang w:val="es-DO"/>
        </w:rPr>
        <w:t xml:space="preserve"> se asumió que la </w:t>
      </w:r>
      <w:r w:rsidR="007E70A2" w:rsidRPr="00FA5324">
        <w:rPr>
          <w:lang w:val="es-DO"/>
        </w:rPr>
        <w:t>cápita</w:t>
      </w:r>
      <w:r w:rsidR="0033190F" w:rsidRPr="00FA5324">
        <w:rPr>
          <w:lang w:val="es-DO"/>
        </w:rPr>
        <w:t xml:space="preserve"> se mantenía en el mismo valor real de 2014 año tras año. Para el gasto del MSP se </w:t>
      </w:r>
      <w:r w:rsidR="007E70A2" w:rsidRPr="00FA5324">
        <w:rPr>
          <w:lang w:val="es-DO"/>
        </w:rPr>
        <w:t>observó</w:t>
      </w:r>
      <w:r w:rsidR="0033190F" w:rsidRPr="00FA5324">
        <w:rPr>
          <w:lang w:val="es-DO"/>
        </w:rPr>
        <w:t xml:space="preserve"> el </w:t>
      </w:r>
      <w:r w:rsidR="007E70A2" w:rsidRPr="00FA5324">
        <w:rPr>
          <w:lang w:val="es-DO"/>
        </w:rPr>
        <w:t>comportamiento</w:t>
      </w:r>
      <w:r w:rsidR="0033190F" w:rsidRPr="00FA5324">
        <w:rPr>
          <w:lang w:val="es-DO"/>
        </w:rPr>
        <w:t xml:space="preserve"> histórico y se encontró que la tasa de crecimiento del gasto del MSP ha venido disminuyendo e incluso para el último periodo reportado </w:t>
      </w:r>
      <w:r w:rsidR="005375EE" w:rsidRPr="00FA5324">
        <w:rPr>
          <w:lang w:val="es-DO"/>
        </w:rPr>
        <w:t>(</w:t>
      </w:r>
      <w:r w:rsidR="0033190F" w:rsidRPr="00FA5324">
        <w:rPr>
          <w:lang w:val="es-DO"/>
        </w:rPr>
        <w:t>2013</w:t>
      </w:r>
      <w:r w:rsidR="005375EE" w:rsidRPr="00FA5324">
        <w:rPr>
          <w:lang w:val="es-DO"/>
        </w:rPr>
        <w:t>)</w:t>
      </w:r>
      <w:r w:rsidR="0033190F" w:rsidRPr="00FA5324">
        <w:rPr>
          <w:lang w:val="es-DO"/>
        </w:rPr>
        <w:t xml:space="preserve"> disminuye el gasto en términos reales. Por lo que se considera aceptable asumir que el gasto futuro del MSP será igual al </w:t>
      </w:r>
      <w:r w:rsidR="007E70A2" w:rsidRPr="00FA5324">
        <w:rPr>
          <w:lang w:val="es-DO"/>
        </w:rPr>
        <w:t>promedio</w:t>
      </w:r>
      <w:r w:rsidR="0033190F" w:rsidRPr="00FA5324">
        <w:rPr>
          <w:lang w:val="es-DO"/>
        </w:rPr>
        <w:t xml:space="preserve"> del gasto de los tres últimos años.</w:t>
      </w:r>
    </w:p>
    <w:p w:rsidR="00862F2B" w:rsidRPr="008450F1" w:rsidRDefault="00862F2B" w:rsidP="00AF0916">
      <w:pPr>
        <w:spacing w:after="0" w:line="240" w:lineRule="auto"/>
        <w:rPr>
          <w:lang w:val="es-DO"/>
        </w:rPr>
      </w:pPr>
    </w:p>
    <w:p w:rsidR="00563C28" w:rsidRPr="008450F1" w:rsidRDefault="00862F2B" w:rsidP="00AF0916">
      <w:pPr>
        <w:pStyle w:val="Heading1"/>
        <w:spacing w:before="0" w:after="0" w:line="240" w:lineRule="auto"/>
        <w:rPr>
          <w:lang w:val="es-DO"/>
        </w:rPr>
      </w:pPr>
      <w:bookmarkStart w:id="26" w:name="_Toc401244718"/>
      <w:r w:rsidRPr="008450F1">
        <w:rPr>
          <w:lang w:val="es-DO"/>
        </w:rPr>
        <w:t>BENEFICIOS ECONÓMICOS</w:t>
      </w:r>
      <w:bookmarkEnd w:id="26"/>
    </w:p>
    <w:p w:rsidR="00862F2B" w:rsidRPr="008450F1" w:rsidRDefault="00862F2B" w:rsidP="00AF0916">
      <w:pPr>
        <w:spacing w:after="0" w:line="240" w:lineRule="auto"/>
        <w:rPr>
          <w:lang w:val="es-DO"/>
        </w:rPr>
      </w:pPr>
    </w:p>
    <w:p w:rsidR="005E5B7A" w:rsidRPr="00FA5324" w:rsidRDefault="00C04ED5" w:rsidP="00FA5324">
      <w:pPr>
        <w:spacing w:after="0" w:line="240" w:lineRule="auto"/>
        <w:rPr>
          <w:lang w:val="es-DO"/>
        </w:rPr>
      </w:pPr>
      <w:r w:rsidRPr="00FA5324">
        <w:rPr>
          <w:lang w:val="es-DO"/>
        </w:rPr>
        <w:t xml:space="preserve">En el Anexo 4 se </w:t>
      </w:r>
      <w:r w:rsidRPr="008450F1">
        <w:rPr>
          <w:lang w:val="es-DO"/>
        </w:rPr>
        <w:t>presenta</w:t>
      </w:r>
      <w:r w:rsidRPr="00FA5324">
        <w:rPr>
          <w:lang w:val="es-DO"/>
        </w:rPr>
        <w:t xml:space="preserve"> l</w:t>
      </w:r>
      <w:r w:rsidR="001C7217" w:rsidRPr="00FA5324">
        <w:rPr>
          <w:lang w:val="es-DO"/>
        </w:rPr>
        <w:t xml:space="preserve">a estimación de los beneficios incrementales de la alternativa de realizar la operación frente a no realizarla. </w:t>
      </w:r>
      <w:r w:rsidRPr="00FA5324">
        <w:rPr>
          <w:lang w:val="es-DO"/>
        </w:rPr>
        <w:t xml:space="preserve">Para </w:t>
      </w:r>
      <w:r w:rsidR="001C7217" w:rsidRPr="00FA5324">
        <w:rPr>
          <w:lang w:val="es-DO"/>
        </w:rPr>
        <w:t xml:space="preserve">el caso base </w:t>
      </w:r>
      <w:r w:rsidR="00DB5E93" w:rsidRPr="00FA5324">
        <w:rPr>
          <w:lang w:val="es-DO"/>
        </w:rPr>
        <w:t xml:space="preserve">se </w:t>
      </w:r>
      <w:r w:rsidRPr="00FA5324">
        <w:rPr>
          <w:lang w:val="es-DO"/>
        </w:rPr>
        <w:t>detalla</w:t>
      </w:r>
      <w:r w:rsidR="00DB5E93" w:rsidRPr="00FA5324">
        <w:rPr>
          <w:lang w:val="es-DO"/>
        </w:rPr>
        <w:t>n pa</w:t>
      </w:r>
      <w:r w:rsidR="001C7217" w:rsidRPr="00FA5324">
        <w:rPr>
          <w:lang w:val="es-DO"/>
        </w:rPr>
        <w:t xml:space="preserve">ra cada uno de los </w:t>
      </w:r>
      <w:r w:rsidR="007E70A2" w:rsidRPr="00FA5324">
        <w:rPr>
          <w:lang w:val="es-DO"/>
        </w:rPr>
        <w:t>años y</w:t>
      </w:r>
      <w:r w:rsidR="00DB5E93" w:rsidRPr="00FA5324">
        <w:rPr>
          <w:lang w:val="es-DO"/>
        </w:rPr>
        <w:t xml:space="preserve"> actividades con </w:t>
      </w:r>
      <w:r w:rsidR="001C7217" w:rsidRPr="00FA5324">
        <w:rPr>
          <w:lang w:val="es-DO"/>
        </w:rPr>
        <w:t xml:space="preserve">y </w:t>
      </w:r>
      <w:r w:rsidR="00DB5E93" w:rsidRPr="00FA5324">
        <w:rPr>
          <w:lang w:val="es-DO"/>
        </w:rPr>
        <w:t xml:space="preserve">sin </w:t>
      </w:r>
      <w:r w:rsidR="005375EE" w:rsidRPr="00FA5324">
        <w:rPr>
          <w:lang w:val="es-DO"/>
        </w:rPr>
        <w:t>los</w:t>
      </w:r>
      <w:r w:rsidR="001C7217" w:rsidRPr="00FA5324">
        <w:rPr>
          <w:lang w:val="es-DO"/>
        </w:rPr>
        <w:t xml:space="preserve"> totales</w:t>
      </w:r>
      <w:r w:rsidR="00DB5E93" w:rsidRPr="00FA5324">
        <w:rPr>
          <w:lang w:val="es-DO"/>
        </w:rPr>
        <w:t>,</w:t>
      </w:r>
      <w:r w:rsidR="001C7217" w:rsidRPr="00FA5324">
        <w:rPr>
          <w:lang w:val="es-DO"/>
        </w:rPr>
        <w:t xml:space="preserve"> </w:t>
      </w:r>
      <w:r w:rsidR="00862F2B" w:rsidRPr="008450F1">
        <w:rPr>
          <w:lang w:val="es-DO"/>
        </w:rPr>
        <w:t xml:space="preserve">así como </w:t>
      </w:r>
      <w:r w:rsidR="001C7217" w:rsidRPr="00FA5324">
        <w:rPr>
          <w:lang w:val="es-DO"/>
        </w:rPr>
        <w:t xml:space="preserve">con y sin descuento. </w:t>
      </w:r>
      <w:r w:rsidR="00EC28C3" w:rsidRPr="00FA5324">
        <w:rPr>
          <w:lang w:val="es-DO"/>
        </w:rPr>
        <w:t>El</w:t>
      </w:r>
      <w:r w:rsidR="001C7217" w:rsidRPr="00FA5324">
        <w:rPr>
          <w:lang w:val="es-DO"/>
        </w:rPr>
        <w:t xml:space="preserve"> componente </w:t>
      </w:r>
      <w:r w:rsidR="001C7217" w:rsidRPr="008450F1">
        <w:rPr>
          <w:lang w:val="es-DO"/>
        </w:rPr>
        <w:t>I</w:t>
      </w:r>
      <w:r w:rsidR="003F7ED1" w:rsidRPr="008450F1">
        <w:rPr>
          <w:lang w:val="es-DO"/>
        </w:rPr>
        <w:t>I</w:t>
      </w:r>
      <w:r w:rsidR="001C7217" w:rsidRPr="008450F1">
        <w:rPr>
          <w:lang w:val="es-DO"/>
        </w:rPr>
        <w:t>I</w:t>
      </w:r>
      <w:r w:rsidR="001C7217" w:rsidRPr="00FA5324">
        <w:rPr>
          <w:lang w:val="es-DO"/>
        </w:rPr>
        <w:t xml:space="preserve"> presenta un beneficio superior</w:t>
      </w:r>
      <w:r w:rsidR="00EC28C3" w:rsidRPr="00FA5324">
        <w:rPr>
          <w:lang w:val="es-DO"/>
        </w:rPr>
        <w:t xml:space="preserve"> al componente </w:t>
      </w:r>
      <w:r w:rsidR="00EC28C3" w:rsidRPr="008450F1">
        <w:rPr>
          <w:lang w:val="es-DO"/>
        </w:rPr>
        <w:t>II</w:t>
      </w:r>
      <w:r w:rsidR="001C7217" w:rsidRPr="00FA5324">
        <w:rPr>
          <w:lang w:val="es-DO"/>
        </w:rPr>
        <w:t>.</w:t>
      </w:r>
      <w:r w:rsidR="008B09E2" w:rsidRPr="00FA5324">
        <w:rPr>
          <w:lang w:val="es-DO"/>
        </w:rPr>
        <w:t xml:space="preserve"> </w:t>
      </w:r>
      <w:r w:rsidR="00315F57" w:rsidRPr="00FA5324">
        <w:rPr>
          <w:lang w:val="es-DO"/>
        </w:rPr>
        <w:t xml:space="preserve">El componente </w:t>
      </w:r>
      <w:r w:rsidR="005375EE" w:rsidRPr="00FA5324">
        <w:rPr>
          <w:lang w:val="es-DO"/>
        </w:rPr>
        <w:t xml:space="preserve">II </w:t>
      </w:r>
      <w:r w:rsidR="00315F57" w:rsidRPr="00FA5324">
        <w:rPr>
          <w:lang w:val="es-DO"/>
        </w:rPr>
        <w:t xml:space="preserve">representaría un </w:t>
      </w:r>
      <w:r w:rsidR="008B09E2" w:rsidRPr="00FA5324">
        <w:rPr>
          <w:lang w:val="es-DO"/>
        </w:rPr>
        <w:t>beneficio</w:t>
      </w:r>
      <w:r w:rsidR="00315F57" w:rsidRPr="00FA5324">
        <w:rPr>
          <w:lang w:val="es-DO"/>
        </w:rPr>
        <w:t xml:space="preserve"> de</w:t>
      </w:r>
      <w:r w:rsidRPr="00FA5324">
        <w:rPr>
          <w:lang w:val="es-DO"/>
        </w:rPr>
        <w:t>scontado de</w:t>
      </w:r>
      <w:r w:rsidR="00315F57" w:rsidRPr="00FA5324">
        <w:rPr>
          <w:lang w:val="es-DO"/>
        </w:rPr>
        <w:t xml:space="preserve"> </w:t>
      </w:r>
      <w:r w:rsidR="00862F2B" w:rsidRPr="008450F1">
        <w:rPr>
          <w:lang w:val="es-DO"/>
        </w:rPr>
        <w:t xml:space="preserve">RD </w:t>
      </w:r>
      <w:r w:rsidRPr="008450F1">
        <w:rPr>
          <w:lang w:val="es-DO"/>
        </w:rPr>
        <w:t>$</w:t>
      </w:r>
      <w:r w:rsidR="00CD262F" w:rsidRPr="008450F1">
        <w:rPr>
          <w:lang w:val="es-DO"/>
        </w:rPr>
        <w:t>8,505</w:t>
      </w:r>
      <w:r w:rsidR="00862F2B" w:rsidRPr="008450F1">
        <w:rPr>
          <w:lang w:val="es-DO"/>
        </w:rPr>
        <w:t xml:space="preserve"> millones </w:t>
      </w:r>
      <w:r w:rsidR="005375EE" w:rsidRPr="00FA5324">
        <w:rPr>
          <w:lang w:val="es-DO"/>
        </w:rPr>
        <w:t>y</w:t>
      </w:r>
      <w:r w:rsidR="00315F57" w:rsidRPr="00FA5324">
        <w:rPr>
          <w:lang w:val="es-DO"/>
        </w:rPr>
        <w:t xml:space="preserve"> el </w:t>
      </w:r>
      <w:r w:rsidRPr="00FA5324">
        <w:rPr>
          <w:lang w:val="es-DO"/>
        </w:rPr>
        <w:t xml:space="preserve">III </w:t>
      </w:r>
      <w:r w:rsidR="00315F57" w:rsidRPr="00FA5324">
        <w:rPr>
          <w:lang w:val="es-DO"/>
        </w:rPr>
        <w:t xml:space="preserve">de </w:t>
      </w:r>
      <w:r w:rsidR="00862F2B" w:rsidRPr="008450F1">
        <w:rPr>
          <w:lang w:val="es-DO"/>
        </w:rPr>
        <w:t xml:space="preserve">RD </w:t>
      </w:r>
      <w:r w:rsidRPr="008450F1">
        <w:rPr>
          <w:lang w:val="es-DO"/>
        </w:rPr>
        <w:t>$</w:t>
      </w:r>
      <w:r w:rsidR="00CD262F" w:rsidRPr="008450F1">
        <w:rPr>
          <w:lang w:val="es-DO"/>
        </w:rPr>
        <w:t>59,647</w:t>
      </w:r>
      <w:r w:rsidRPr="00FA5324">
        <w:rPr>
          <w:lang w:val="es-DO"/>
        </w:rPr>
        <w:t xml:space="preserve"> millones de DOP de</w:t>
      </w:r>
      <w:r w:rsidR="005375EE" w:rsidRPr="00FA5324">
        <w:rPr>
          <w:lang w:val="es-DO"/>
        </w:rPr>
        <w:t>l</w:t>
      </w:r>
      <w:r w:rsidRPr="00FA5324">
        <w:rPr>
          <w:lang w:val="es-DO"/>
        </w:rPr>
        <w:t xml:space="preserve"> 2015.</w:t>
      </w:r>
      <w:r w:rsidR="00C60704" w:rsidRPr="00FA5324">
        <w:rPr>
          <w:lang w:val="es-DO"/>
        </w:rPr>
        <w:t xml:space="preserve"> </w:t>
      </w:r>
      <w:r w:rsidR="002B7731" w:rsidRPr="00FA5324">
        <w:rPr>
          <w:lang w:val="es-DO"/>
        </w:rPr>
        <w:t xml:space="preserve">El incremento del PIB logrado con el componente II para el año 20 </w:t>
      </w:r>
      <w:r w:rsidR="00FF150E" w:rsidRPr="008450F1">
        <w:rPr>
          <w:lang w:val="es-DO"/>
        </w:rPr>
        <w:t xml:space="preserve">frente el </w:t>
      </w:r>
      <w:r w:rsidR="00B51537" w:rsidRPr="008450F1">
        <w:rPr>
          <w:lang w:val="es-DO"/>
        </w:rPr>
        <w:t>contra factual</w:t>
      </w:r>
      <w:r w:rsidR="00FF150E" w:rsidRPr="008450F1">
        <w:rPr>
          <w:lang w:val="es-DO"/>
        </w:rPr>
        <w:t xml:space="preserve"> </w:t>
      </w:r>
      <w:r w:rsidR="002B7731" w:rsidRPr="00FA5324">
        <w:rPr>
          <w:lang w:val="es-DO"/>
        </w:rPr>
        <w:t>es de 0.</w:t>
      </w:r>
      <w:r w:rsidR="00FF150E" w:rsidRPr="008450F1">
        <w:rPr>
          <w:lang w:val="es-DO"/>
        </w:rPr>
        <w:t>0</w:t>
      </w:r>
      <w:r w:rsidR="00CD262F" w:rsidRPr="008450F1">
        <w:rPr>
          <w:lang w:val="es-DO"/>
        </w:rPr>
        <w:t>104</w:t>
      </w:r>
      <w:r w:rsidR="002B7731" w:rsidRPr="00FA5324">
        <w:rPr>
          <w:lang w:val="es-DO"/>
        </w:rPr>
        <w:t xml:space="preserve"> </w:t>
      </w:r>
      <w:r w:rsidR="007E70A2" w:rsidRPr="00FA5324">
        <w:rPr>
          <w:lang w:val="es-DO"/>
        </w:rPr>
        <w:t>puntos porcentuales</w:t>
      </w:r>
      <w:r w:rsidR="005375EE" w:rsidRPr="00FA5324">
        <w:rPr>
          <w:lang w:val="es-DO"/>
        </w:rPr>
        <w:t xml:space="preserve"> del PIB, lo </w:t>
      </w:r>
      <w:r w:rsidR="002B7731" w:rsidRPr="00FA5324">
        <w:rPr>
          <w:lang w:val="es-DO"/>
        </w:rPr>
        <w:t xml:space="preserve">que muestra que el presente </w:t>
      </w:r>
      <w:r w:rsidR="007E70A2" w:rsidRPr="00FA5324">
        <w:rPr>
          <w:lang w:val="es-DO"/>
        </w:rPr>
        <w:t>análisis</w:t>
      </w:r>
      <w:r w:rsidR="002B7731" w:rsidRPr="00FA5324">
        <w:rPr>
          <w:lang w:val="es-DO"/>
        </w:rPr>
        <w:t xml:space="preserve"> es una evaluación bastante conservadora de los </w:t>
      </w:r>
      <w:r w:rsidR="007E70A2" w:rsidRPr="00FA5324">
        <w:rPr>
          <w:lang w:val="es-DO"/>
        </w:rPr>
        <w:t>potenciales</w:t>
      </w:r>
      <w:r w:rsidR="002B7731" w:rsidRPr="00FA5324">
        <w:rPr>
          <w:lang w:val="es-DO"/>
        </w:rPr>
        <w:t xml:space="preserve"> beneficios pues en la literatura se han reportado contribuciones al crecimiento del PIB </w:t>
      </w:r>
      <w:r w:rsidR="007E70A2" w:rsidRPr="00FA5324">
        <w:rPr>
          <w:lang w:val="es-DO"/>
        </w:rPr>
        <w:t>más</w:t>
      </w:r>
      <w:r w:rsidR="002B7731" w:rsidRPr="00FA5324">
        <w:rPr>
          <w:lang w:val="es-DO"/>
        </w:rPr>
        <w:t xml:space="preserve"> notorias con l</w:t>
      </w:r>
      <w:r w:rsidR="005375EE" w:rsidRPr="00FA5324">
        <w:rPr>
          <w:lang w:val="es-DO"/>
        </w:rPr>
        <w:t>as reformas pensionales. P</w:t>
      </w:r>
      <w:r w:rsidR="00DB5E93" w:rsidRPr="00FA5324">
        <w:rPr>
          <w:lang w:val="es-DO"/>
        </w:rPr>
        <w:t>or ej</w:t>
      </w:r>
      <w:r w:rsidR="002B7731" w:rsidRPr="00FA5324">
        <w:rPr>
          <w:lang w:val="es-DO"/>
        </w:rPr>
        <w:t>e</w:t>
      </w:r>
      <w:r w:rsidR="00DB5E93" w:rsidRPr="00FA5324">
        <w:rPr>
          <w:lang w:val="es-DO"/>
        </w:rPr>
        <w:t>m</w:t>
      </w:r>
      <w:r w:rsidR="002B7731" w:rsidRPr="00FA5324">
        <w:rPr>
          <w:lang w:val="es-DO"/>
        </w:rPr>
        <w:t>plo</w:t>
      </w:r>
      <w:r w:rsidR="00862F2B" w:rsidRPr="008450F1">
        <w:rPr>
          <w:lang w:val="es-DO"/>
        </w:rPr>
        <w:t>,</w:t>
      </w:r>
      <w:r w:rsidR="002B7731" w:rsidRPr="00FA5324">
        <w:rPr>
          <w:lang w:val="es-DO"/>
        </w:rPr>
        <w:t xml:space="preserve"> Acuña R</w:t>
      </w:r>
      <w:r w:rsidR="00862F2B" w:rsidRPr="008450F1">
        <w:rPr>
          <w:lang w:val="es-DO"/>
        </w:rPr>
        <w:t>.</w:t>
      </w:r>
      <w:r w:rsidR="002B7731" w:rsidRPr="00FA5324">
        <w:rPr>
          <w:lang w:val="es-DO"/>
        </w:rPr>
        <w:t xml:space="preserve"> reporta un crecimiento entre 0.31% y 0.58% </w:t>
      </w:r>
      <w:r w:rsidR="007E70A2" w:rsidRPr="00FA5324">
        <w:rPr>
          <w:lang w:val="es-DO"/>
        </w:rPr>
        <w:t>a partir</w:t>
      </w:r>
      <w:r w:rsidR="002B7731" w:rsidRPr="00FA5324">
        <w:rPr>
          <w:lang w:val="es-DO"/>
        </w:rPr>
        <w:t xml:space="preserve"> de un </w:t>
      </w:r>
      <w:r w:rsidR="007E70A2" w:rsidRPr="00FA5324">
        <w:rPr>
          <w:lang w:val="es-DO"/>
        </w:rPr>
        <w:t>análisis</w:t>
      </w:r>
      <w:r w:rsidR="00DB5E93" w:rsidRPr="00FA5324">
        <w:rPr>
          <w:lang w:val="es-DO"/>
        </w:rPr>
        <w:t xml:space="preserve"> </w:t>
      </w:r>
      <w:r w:rsidR="002B7731" w:rsidRPr="00FA5324">
        <w:rPr>
          <w:lang w:val="es-DO"/>
        </w:rPr>
        <w:t>de Colombia, M</w:t>
      </w:r>
      <w:r w:rsidR="00DB5E93" w:rsidRPr="00FA5324">
        <w:rPr>
          <w:lang w:val="es-DO"/>
        </w:rPr>
        <w:t>é</w:t>
      </w:r>
      <w:r w:rsidR="002B7731" w:rsidRPr="00FA5324">
        <w:rPr>
          <w:lang w:val="es-DO"/>
        </w:rPr>
        <w:t xml:space="preserve">xico, Chile y </w:t>
      </w:r>
      <w:r w:rsidR="007E70A2" w:rsidRPr="00FA5324">
        <w:rPr>
          <w:lang w:val="es-DO"/>
        </w:rPr>
        <w:t>Perú</w:t>
      </w:r>
      <w:r w:rsidR="002B7731" w:rsidRPr="00FA5324">
        <w:rPr>
          <w:lang w:val="es-DO"/>
        </w:rPr>
        <w:t xml:space="preserve">. </w:t>
      </w:r>
      <w:r w:rsidR="00C60704" w:rsidRPr="00FA5324">
        <w:rPr>
          <w:lang w:val="es-DO"/>
        </w:rPr>
        <w:t>Dentro del compon</w:t>
      </w:r>
      <w:r w:rsidR="00F01FB8" w:rsidRPr="00FA5324">
        <w:rPr>
          <w:lang w:val="es-DO"/>
        </w:rPr>
        <w:t xml:space="preserve">ente III el </w:t>
      </w:r>
      <w:r w:rsidR="002B7731" w:rsidRPr="00FA5324">
        <w:rPr>
          <w:lang w:val="es-DO"/>
        </w:rPr>
        <w:t>ma</w:t>
      </w:r>
      <w:r w:rsidR="00F01FB8" w:rsidRPr="00FA5324">
        <w:rPr>
          <w:lang w:val="es-DO"/>
        </w:rPr>
        <w:t xml:space="preserve">yor beneficio </w:t>
      </w:r>
      <w:r w:rsidR="00862F2B" w:rsidRPr="008450F1">
        <w:rPr>
          <w:lang w:val="es-DO"/>
        </w:rPr>
        <w:t>se</w:t>
      </w:r>
      <w:r w:rsidR="00F01FB8" w:rsidRPr="00FA5324">
        <w:rPr>
          <w:lang w:val="es-DO"/>
        </w:rPr>
        <w:t xml:space="preserve"> reporta</w:t>
      </w:r>
      <w:r w:rsidR="00F01FB8" w:rsidRPr="008450F1">
        <w:rPr>
          <w:lang w:val="es-DO"/>
        </w:rPr>
        <w:t xml:space="preserve"> </w:t>
      </w:r>
      <w:r w:rsidR="00862F2B" w:rsidRPr="008450F1">
        <w:rPr>
          <w:lang w:val="es-DO"/>
        </w:rPr>
        <w:t>por</w:t>
      </w:r>
      <w:r w:rsidR="00862F2B" w:rsidRPr="00FA5324">
        <w:rPr>
          <w:lang w:val="es-DO"/>
        </w:rPr>
        <w:t xml:space="preserve"> </w:t>
      </w:r>
      <w:r w:rsidR="00F01FB8" w:rsidRPr="00FA5324">
        <w:rPr>
          <w:lang w:val="es-DO"/>
        </w:rPr>
        <w:t xml:space="preserve">las eficiencias logradas con </w:t>
      </w:r>
      <w:r w:rsidR="007E70A2" w:rsidRPr="00FA5324">
        <w:rPr>
          <w:lang w:val="es-DO"/>
        </w:rPr>
        <w:t>las intervenciones</w:t>
      </w:r>
      <w:r w:rsidR="00F01FB8" w:rsidRPr="00FA5324">
        <w:rPr>
          <w:lang w:val="es-DO"/>
        </w:rPr>
        <w:t xml:space="preserve"> en recursos humanos.</w:t>
      </w:r>
    </w:p>
    <w:p w:rsidR="00862F2B" w:rsidRPr="00FA5324" w:rsidRDefault="00862F2B" w:rsidP="00FA5324">
      <w:pPr>
        <w:spacing w:after="0" w:line="240" w:lineRule="auto"/>
        <w:rPr>
          <w:lang w:val="es-DO"/>
        </w:rPr>
      </w:pPr>
    </w:p>
    <w:p w:rsidR="005E5B7A" w:rsidRPr="008450F1" w:rsidRDefault="00862F2B" w:rsidP="00AF0916">
      <w:pPr>
        <w:pStyle w:val="Heading1"/>
        <w:spacing w:before="0" w:after="0" w:line="240" w:lineRule="auto"/>
        <w:rPr>
          <w:lang w:val="es-DO"/>
        </w:rPr>
      </w:pPr>
      <w:bookmarkStart w:id="27" w:name="_Toc401244719"/>
      <w:r w:rsidRPr="008450F1">
        <w:rPr>
          <w:lang w:val="es-DO"/>
        </w:rPr>
        <w:t>COSTOS ECONÓMICOS</w:t>
      </w:r>
      <w:bookmarkEnd w:id="27"/>
    </w:p>
    <w:p w:rsidR="00862F2B" w:rsidRPr="008450F1" w:rsidRDefault="00862F2B" w:rsidP="00AF0916">
      <w:pPr>
        <w:spacing w:after="0" w:line="240" w:lineRule="auto"/>
        <w:rPr>
          <w:lang w:val="es-DO"/>
        </w:rPr>
      </w:pPr>
    </w:p>
    <w:p w:rsidR="00700A20" w:rsidRPr="00FA5324" w:rsidRDefault="0053363A" w:rsidP="00FA5324">
      <w:pPr>
        <w:spacing w:after="0" w:line="240" w:lineRule="auto"/>
        <w:rPr>
          <w:lang w:val="es-DO"/>
        </w:rPr>
      </w:pPr>
      <w:r w:rsidRPr="008450F1">
        <w:rPr>
          <w:lang w:val="es-DO"/>
        </w:rPr>
        <w:t xml:space="preserve">En </w:t>
      </w:r>
      <w:r w:rsidR="00FF150E" w:rsidRPr="008450F1">
        <w:rPr>
          <w:lang w:val="es-DO"/>
        </w:rPr>
        <w:t>el Anexo 5</w:t>
      </w:r>
      <w:r w:rsidR="00FF150E" w:rsidRPr="00FA5324">
        <w:rPr>
          <w:lang w:val="es-DO"/>
        </w:rPr>
        <w:t xml:space="preserve"> </w:t>
      </w:r>
      <w:r w:rsidRPr="00FA5324">
        <w:rPr>
          <w:lang w:val="es-DO"/>
        </w:rPr>
        <w:t>se presentan los costos por cada componente para cada uno de los años, con los totales con y sin descuento</w:t>
      </w:r>
      <w:r w:rsidR="00EC28C3" w:rsidRPr="00FA5324">
        <w:rPr>
          <w:lang w:val="es-DO"/>
        </w:rPr>
        <w:t>. El componente III pr</w:t>
      </w:r>
      <w:r w:rsidR="008010E5" w:rsidRPr="00FA5324">
        <w:rPr>
          <w:lang w:val="es-DO"/>
        </w:rPr>
        <w:t>e</w:t>
      </w:r>
      <w:r w:rsidR="00EC28C3" w:rsidRPr="00FA5324">
        <w:rPr>
          <w:lang w:val="es-DO"/>
        </w:rPr>
        <w:t>senta un mayor costo que el componente II.</w:t>
      </w:r>
      <w:r w:rsidR="002B7731" w:rsidRPr="00FA5324">
        <w:rPr>
          <w:lang w:val="es-DO"/>
        </w:rPr>
        <w:t xml:space="preserve"> </w:t>
      </w:r>
      <w:r w:rsidR="00700A20" w:rsidRPr="008450F1">
        <w:rPr>
          <w:noProof/>
          <w:lang w:val="es-DO" w:eastAsia="es-CO"/>
        </w:rPr>
        <w:t xml:space="preserve">En </w:t>
      </w:r>
      <w:r w:rsidR="00961D5D" w:rsidRPr="008450F1">
        <w:rPr>
          <w:noProof/>
          <w:lang w:val="es-DO" w:eastAsia="es-CO"/>
        </w:rPr>
        <w:t xml:space="preserve">el </w:t>
      </w:r>
      <w:r w:rsidR="00886B6C" w:rsidRPr="008450F1">
        <w:rPr>
          <w:lang w:val="es-DO"/>
        </w:rPr>
        <w:fldChar w:fldCharType="begin"/>
      </w:r>
      <w:r w:rsidR="00886B6C" w:rsidRPr="008450F1">
        <w:rPr>
          <w:noProof/>
          <w:lang w:val="es-DO" w:eastAsia="es-CO"/>
        </w:rPr>
        <w:instrText xml:space="preserve"> REF _Ref400546592 \h </w:instrText>
      </w:r>
      <w:r w:rsidR="00C62A67" w:rsidRPr="008450F1">
        <w:rPr>
          <w:lang w:val="es-DO"/>
        </w:rPr>
        <w:instrText xml:space="preserve"> \* MERGEFORMAT </w:instrText>
      </w:r>
      <w:r w:rsidR="00886B6C" w:rsidRPr="008450F1">
        <w:rPr>
          <w:lang w:val="es-DO"/>
        </w:rPr>
      </w:r>
      <w:r w:rsidR="00886B6C" w:rsidRPr="008450F1">
        <w:rPr>
          <w:lang w:val="es-DO"/>
        </w:rPr>
        <w:fldChar w:fldCharType="separate"/>
      </w:r>
      <w:r w:rsidR="004D7348" w:rsidRPr="008450F1">
        <w:rPr>
          <w:lang w:val="es-DO"/>
        </w:rPr>
        <w:t xml:space="preserve">Gráfico </w:t>
      </w:r>
      <w:r w:rsidR="00886B6C" w:rsidRPr="008450F1">
        <w:rPr>
          <w:lang w:val="es-DO"/>
        </w:rPr>
        <w:fldChar w:fldCharType="end"/>
      </w:r>
      <w:r w:rsidR="007A6186" w:rsidRPr="008450F1">
        <w:rPr>
          <w:lang w:val="es-DO"/>
        </w:rPr>
        <w:t>4</w:t>
      </w:r>
      <w:r w:rsidR="00165003" w:rsidRPr="008450F1">
        <w:rPr>
          <w:lang w:val="es-DO"/>
        </w:rPr>
        <w:t xml:space="preserve"> </w:t>
      </w:r>
      <w:r w:rsidR="00700A20" w:rsidRPr="008450F1">
        <w:rPr>
          <w:noProof/>
          <w:lang w:val="es-DO" w:eastAsia="es-CO"/>
        </w:rPr>
        <w:t>se presenta el costo anual y el costo acumulado de la operación</w:t>
      </w:r>
      <w:r w:rsidR="005375EE" w:rsidRPr="008450F1">
        <w:rPr>
          <w:noProof/>
          <w:lang w:val="es-DO" w:eastAsia="es-CO"/>
        </w:rPr>
        <w:t>. S</w:t>
      </w:r>
      <w:r w:rsidR="00700A20" w:rsidRPr="008450F1">
        <w:rPr>
          <w:noProof/>
          <w:lang w:val="es-DO" w:eastAsia="es-CO"/>
        </w:rPr>
        <w:t xml:space="preserve">e observa </w:t>
      </w:r>
      <w:r w:rsidR="00FF150E" w:rsidRPr="008450F1">
        <w:rPr>
          <w:noProof/>
          <w:lang w:val="es-DO" w:eastAsia="es-CO"/>
        </w:rPr>
        <w:t>una tendencia decreciente en los costos esperados</w:t>
      </w:r>
      <w:r w:rsidR="00700A20" w:rsidRPr="008450F1">
        <w:rPr>
          <w:noProof/>
          <w:lang w:val="es-DO" w:eastAsia="es-CO"/>
        </w:rPr>
        <w:t>.</w:t>
      </w:r>
    </w:p>
    <w:p w:rsidR="00886B6C" w:rsidRPr="00FA5324" w:rsidRDefault="00886B6C" w:rsidP="00FA5324">
      <w:pPr>
        <w:pStyle w:val="Caption"/>
        <w:keepNext/>
        <w:spacing w:after="0"/>
        <w:jc w:val="center"/>
        <w:rPr>
          <w:lang w:val="es-DO"/>
        </w:rPr>
      </w:pPr>
      <w:bookmarkStart w:id="28" w:name="_Ref400546592"/>
      <w:r w:rsidRPr="00FA5324">
        <w:rPr>
          <w:i w:val="0"/>
          <w:color w:val="auto"/>
          <w:lang w:val="es-DO"/>
        </w:rPr>
        <w:lastRenderedPageBreak/>
        <w:t xml:space="preserve">Gráfico </w:t>
      </w:r>
      <w:bookmarkEnd w:id="28"/>
      <w:r w:rsidR="007A6186" w:rsidRPr="008450F1">
        <w:rPr>
          <w:i w:val="0"/>
          <w:color w:val="auto"/>
          <w:lang w:val="es-DO"/>
        </w:rPr>
        <w:t>4</w:t>
      </w:r>
      <w:r w:rsidRPr="008450F1">
        <w:rPr>
          <w:i w:val="0"/>
          <w:color w:val="auto"/>
          <w:lang w:val="es-DO"/>
        </w:rPr>
        <w:t>. Costo</w:t>
      </w:r>
      <w:r w:rsidRPr="00FA5324">
        <w:rPr>
          <w:i w:val="0"/>
          <w:color w:val="auto"/>
          <w:lang w:val="es-DO"/>
        </w:rPr>
        <w:t xml:space="preserve"> anual y costo acumulado</w:t>
      </w:r>
    </w:p>
    <w:p w:rsidR="00FF150E" w:rsidRPr="008450F1" w:rsidRDefault="00FF150E" w:rsidP="00AF0916">
      <w:pPr>
        <w:keepNext/>
        <w:spacing w:after="0" w:line="240" w:lineRule="auto"/>
        <w:jc w:val="center"/>
        <w:rPr>
          <w:lang w:val="es-DO"/>
        </w:rPr>
      </w:pPr>
    </w:p>
    <w:p w:rsidR="00444BE8" w:rsidRPr="008450F1" w:rsidRDefault="00444BE8" w:rsidP="00AF0916">
      <w:pPr>
        <w:spacing w:after="0" w:line="240" w:lineRule="auto"/>
        <w:jc w:val="center"/>
        <w:rPr>
          <w:lang w:val="es-DO"/>
        </w:rPr>
      </w:pPr>
      <w:r w:rsidRPr="008450F1">
        <w:rPr>
          <w:noProof/>
          <w:lang w:val="en-US" w:eastAsia="en-US"/>
        </w:rPr>
        <w:drawing>
          <wp:inline distT="0" distB="0" distL="0" distR="0" wp14:anchorId="0804D02A" wp14:editId="3BB28D29">
            <wp:extent cx="4558030" cy="2699309"/>
            <wp:effectExtent l="0" t="0" r="13970" b="63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2F2B" w:rsidRPr="008450F1" w:rsidRDefault="00502E04" w:rsidP="00AF0916">
      <w:pPr>
        <w:spacing w:after="0" w:line="240" w:lineRule="auto"/>
        <w:rPr>
          <w:i/>
          <w:sz w:val="18"/>
          <w:lang w:val="es-DO"/>
        </w:rPr>
      </w:pPr>
      <w:r w:rsidRPr="008450F1">
        <w:rPr>
          <w:i/>
          <w:sz w:val="18"/>
          <w:lang w:val="es-DO"/>
        </w:rPr>
        <w:t>Fuente: elaboración propia.</w:t>
      </w:r>
    </w:p>
    <w:p w:rsidR="00502E04" w:rsidRPr="008450F1" w:rsidRDefault="00502E04" w:rsidP="00AF0916">
      <w:pPr>
        <w:spacing w:after="0" w:line="240" w:lineRule="auto"/>
        <w:rPr>
          <w:lang w:val="es-DO"/>
        </w:rPr>
      </w:pPr>
    </w:p>
    <w:p w:rsidR="00700A20" w:rsidRPr="00FA5324" w:rsidRDefault="00A04D48" w:rsidP="00FA5324">
      <w:pPr>
        <w:spacing w:after="0" w:line="240" w:lineRule="auto"/>
        <w:rPr>
          <w:lang w:val="es-DO"/>
        </w:rPr>
      </w:pPr>
      <w:r w:rsidRPr="008450F1">
        <w:rPr>
          <w:lang w:val="es-DO"/>
        </w:rPr>
        <w:t>En el</w:t>
      </w:r>
      <w:r w:rsidR="00700A20" w:rsidRPr="008450F1">
        <w:rPr>
          <w:lang w:val="es-DO"/>
        </w:rPr>
        <w:t xml:space="preserve"> </w:t>
      </w:r>
      <w:r w:rsidR="007A6186" w:rsidRPr="008450F1">
        <w:rPr>
          <w:lang w:val="es-DO"/>
        </w:rPr>
        <w:fldChar w:fldCharType="begin"/>
      </w:r>
      <w:r w:rsidR="007A6186" w:rsidRPr="008450F1">
        <w:rPr>
          <w:lang w:val="es-DO"/>
        </w:rPr>
        <w:instrText xml:space="preserve"> REF _Ref400546671 \h  \* MERGEFORMAT </w:instrText>
      </w:r>
      <w:r w:rsidR="007A6186" w:rsidRPr="008450F1">
        <w:rPr>
          <w:lang w:val="es-DO"/>
        </w:rPr>
      </w:r>
      <w:r w:rsidR="007A6186" w:rsidRPr="008450F1">
        <w:rPr>
          <w:lang w:val="es-DO"/>
        </w:rPr>
        <w:fldChar w:fldCharType="separate"/>
      </w:r>
      <w:r w:rsidR="007A6186" w:rsidRPr="008450F1">
        <w:rPr>
          <w:lang w:val="es-DO"/>
        </w:rPr>
        <w:t xml:space="preserve">Gráfico </w:t>
      </w:r>
      <w:r w:rsidR="007A6186" w:rsidRPr="008450F1">
        <w:rPr>
          <w:lang w:val="es-DO"/>
        </w:rPr>
        <w:fldChar w:fldCharType="end"/>
      </w:r>
      <w:r w:rsidR="007A6186" w:rsidRPr="008450F1">
        <w:rPr>
          <w:lang w:val="es-DO"/>
        </w:rPr>
        <w:t>5</w:t>
      </w:r>
      <w:r w:rsidR="007A6186" w:rsidRPr="00FA5324">
        <w:rPr>
          <w:lang w:val="es-DO"/>
        </w:rPr>
        <w:t xml:space="preserve"> </w:t>
      </w:r>
      <w:r w:rsidR="00700A20" w:rsidRPr="00FA5324">
        <w:rPr>
          <w:lang w:val="es-DO"/>
        </w:rPr>
        <w:t xml:space="preserve">se presentan ordenados por relevancia </w:t>
      </w:r>
      <w:r w:rsidR="00961D5D" w:rsidRPr="00FA5324">
        <w:rPr>
          <w:lang w:val="es-DO"/>
        </w:rPr>
        <w:t>los componentes</w:t>
      </w:r>
      <w:r w:rsidR="00700A20" w:rsidRPr="00FA5324">
        <w:rPr>
          <w:lang w:val="es-DO"/>
        </w:rPr>
        <w:t xml:space="preserve"> del costo del análisis. Se observa que </w:t>
      </w:r>
      <w:r w:rsidR="005375EE" w:rsidRPr="00FA5324">
        <w:rPr>
          <w:lang w:val="es-DO"/>
        </w:rPr>
        <w:t>el principal componente es la le</w:t>
      </w:r>
      <w:r w:rsidR="00700A20" w:rsidRPr="00FA5324">
        <w:rPr>
          <w:lang w:val="es-DO"/>
        </w:rPr>
        <w:t>y de carre</w:t>
      </w:r>
      <w:r w:rsidR="005375EE" w:rsidRPr="00FA5324">
        <w:rPr>
          <w:lang w:val="es-DO"/>
        </w:rPr>
        <w:t>r</w:t>
      </w:r>
      <w:r w:rsidR="00700A20" w:rsidRPr="00FA5324">
        <w:rPr>
          <w:lang w:val="es-DO"/>
        </w:rPr>
        <w:t>a sanitaria, seguido del sistema de monitoreo.</w:t>
      </w:r>
    </w:p>
    <w:p w:rsidR="00502E04" w:rsidRPr="008450F1" w:rsidRDefault="00502E04" w:rsidP="00AF0916">
      <w:pPr>
        <w:pStyle w:val="Caption"/>
        <w:keepNext/>
        <w:spacing w:after="0"/>
        <w:rPr>
          <w:color w:val="auto"/>
          <w:lang w:val="es-DO"/>
        </w:rPr>
      </w:pPr>
      <w:bookmarkStart w:id="29" w:name="_Ref400546671"/>
    </w:p>
    <w:p w:rsidR="00700A20" w:rsidRPr="00FA5324" w:rsidRDefault="00886B6C" w:rsidP="00FA5324">
      <w:pPr>
        <w:pStyle w:val="Caption"/>
        <w:keepNext/>
        <w:spacing w:after="0"/>
        <w:jc w:val="center"/>
        <w:rPr>
          <w:i w:val="0"/>
          <w:lang w:val="es-DO"/>
        </w:rPr>
      </w:pPr>
      <w:bookmarkStart w:id="30" w:name="_Ref398876231"/>
      <w:r w:rsidRPr="00FA5324">
        <w:rPr>
          <w:i w:val="0"/>
          <w:color w:val="auto"/>
          <w:lang w:val="es-DO"/>
        </w:rPr>
        <w:t xml:space="preserve">Gráfico </w:t>
      </w:r>
      <w:bookmarkEnd w:id="29"/>
      <w:bookmarkEnd w:id="30"/>
      <w:r w:rsidR="007A6186" w:rsidRPr="008450F1">
        <w:rPr>
          <w:i w:val="0"/>
          <w:color w:val="auto"/>
          <w:lang w:val="es-DO"/>
        </w:rPr>
        <w:t>5</w:t>
      </w:r>
      <w:r w:rsidRPr="00FA5324">
        <w:rPr>
          <w:i w:val="0"/>
          <w:color w:val="auto"/>
          <w:lang w:val="es-DO"/>
        </w:rPr>
        <w:t>. Componentes del costo</w:t>
      </w:r>
    </w:p>
    <w:p w:rsidR="00444BE8" w:rsidRPr="008450F1" w:rsidRDefault="00444BE8" w:rsidP="00AF0916">
      <w:pPr>
        <w:spacing w:after="0" w:line="240" w:lineRule="auto"/>
        <w:jc w:val="center"/>
        <w:rPr>
          <w:lang w:val="es-DO"/>
        </w:rPr>
      </w:pPr>
      <w:r w:rsidRPr="008450F1">
        <w:rPr>
          <w:noProof/>
          <w:lang w:val="en-US" w:eastAsia="en-US"/>
        </w:rPr>
        <w:drawing>
          <wp:inline distT="0" distB="0" distL="0" distR="0" wp14:anchorId="4BDE36AF" wp14:editId="26E4BAC8">
            <wp:extent cx="5824855" cy="3013710"/>
            <wp:effectExtent l="0" t="0" r="4445" b="1524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48E7" w:rsidRPr="008450F1" w:rsidRDefault="008B48E7" w:rsidP="008B48E7">
      <w:pPr>
        <w:spacing w:after="0" w:line="240" w:lineRule="auto"/>
        <w:rPr>
          <w:i/>
          <w:sz w:val="18"/>
          <w:lang w:val="es-DO"/>
        </w:rPr>
      </w:pPr>
      <w:r w:rsidRPr="008450F1">
        <w:rPr>
          <w:i/>
          <w:sz w:val="18"/>
          <w:lang w:val="es-DO"/>
        </w:rPr>
        <w:t>Fuente: elaboración propia.</w:t>
      </w:r>
    </w:p>
    <w:p w:rsidR="00502E04" w:rsidRPr="008450F1" w:rsidRDefault="00502E04" w:rsidP="00AF0916">
      <w:pPr>
        <w:spacing w:after="0" w:line="240" w:lineRule="auto"/>
        <w:jc w:val="left"/>
        <w:rPr>
          <w:lang w:val="es-DO"/>
        </w:rPr>
      </w:pPr>
    </w:p>
    <w:p w:rsidR="00563C28" w:rsidRPr="008450F1" w:rsidRDefault="008B48E7" w:rsidP="00883C9C">
      <w:pPr>
        <w:pStyle w:val="Heading1"/>
        <w:spacing w:before="0" w:after="0" w:line="240" w:lineRule="auto"/>
        <w:rPr>
          <w:lang w:val="es-DO"/>
        </w:rPr>
      </w:pPr>
      <w:bookmarkStart w:id="31" w:name="_Toc401244720"/>
      <w:r w:rsidRPr="008450F1">
        <w:rPr>
          <w:lang w:val="es-DO"/>
        </w:rPr>
        <w:t>RETORNOS ECONÓMICOS</w:t>
      </w:r>
      <w:bookmarkEnd w:id="31"/>
      <w:r w:rsidRPr="008450F1">
        <w:rPr>
          <w:lang w:val="es-DO"/>
        </w:rPr>
        <w:t xml:space="preserve"> </w:t>
      </w:r>
    </w:p>
    <w:p w:rsidR="008B48E7" w:rsidRPr="008450F1" w:rsidRDefault="008B48E7" w:rsidP="00AF0916">
      <w:pPr>
        <w:spacing w:after="0" w:line="240" w:lineRule="auto"/>
        <w:rPr>
          <w:lang w:val="es-DO"/>
        </w:rPr>
      </w:pPr>
    </w:p>
    <w:p w:rsidR="00502E04" w:rsidRPr="00FA5324" w:rsidRDefault="00EC28C3" w:rsidP="00FA5324">
      <w:pPr>
        <w:spacing w:after="0" w:line="240" w:lineRule="auto"/>
        <w:rPr>
          <w:lang w:val="es-DO"/>
        </w:rPr>
      </w:pPr>
      <w:r w:rsidRPr="008450F1">
        <w:rPr>
          <w:lang w:val="es-DO"/>
        </w:rPr>
        <w:t xml:space="preserve">En la </w:t>
      </w:r>
      <w:r w:rsidR="00AC7DEF" w:rsidRPr="008450F1">
        <w:rPr>
          <w:lang w:val="es-DO"/>
        </w:rPr>
        <w:fldChar w:fldCharType="begin"/>
      </w:r>
      <w:r w:rsidR="00AC7DEF" w:rsidRPr="008450F1">
        <w:rPr>
          <w:lang w:val="es-DO"/>
        </w:rPr>
        <w:instrText xml:space="preserve"> REF _Ref399140062 \h </w:instrText>
      </w:r>
      <w:r w:rsidR="00C62A67" w:rsidRPr="008450F1">
        <w:rPr>
          <w:lang w:val="es-DO"/>
        </w:rPr>
        <w:instrText xml:space="preserve"> \* MERGEFORMAT </w:instrText>
      </w:r>
      <w:r w:rsidR="00AC7DEF" w:rsidRPr="008450F1">
        <w:rPr>
          <w:lang w:val="es-DO"/>
        </w:rPr>
      </w:r>
      <w:r w:rsidR="00AC7DEF" w:rsidRPr="008450F1">
        <w:rPr>
          <w:lang w:val="es-DO"/>
        </w:rPr>
        <w:fldChar w:fldCharType="separate"/>
      </w:r>
      <w:r w:rsidR="00A04D48" w:rsidRPr="008450F1">
        <w:rPr>
          <w:lang w:val="es-DO"/>
        </w:rPr>
        <w:t xml:space="preserve">Tabla </w:t>
      </w:r>
      <w:r w:rsidR="00A04D48" w:rsidRPr="008450F1">
        <w:rPr>
          <w:noProof/>
          <w:lang w:val="es-DO"/>
        </w:rPr>
        <w:t>10</w:t>
      </w:r>
      <w:r w:rsidR="00AC7DEF" w:rsidRPr="008450F1">
        <w:rPr>
          <w:lang w:val="es-DO"/>
        </w:rPr>
        <w:fldChar w:fldCharType="end"/>
      </w:r>
      <w:r w:rsidR="00AC7DEF" w:rsidRPr="00FA5324">
        <w:rPr>
          <w:lang w:val="es-DO"/>
        </w:rPr>
        <w:t xml:space="preserve"> </w:t>
      </w:r>
      <w:r w:rsidRPr="00FA5324">
        <w:rPr>
          <w:lang w:val="es-DO"/>
        </w:rPr>
        <w:t>se presentan los retorno</w:t>
      </w:r>
      <w:r w:rsidR="008010E5" w:rsidRPr="00FA5324">
        <w:rPr>
          <w:lang w:val="es-DO"/>
        </w:rPr>
        <w:t>s</w:t>
      </w:r>
      <w:r w:rsidRPr="00FA5324">
        <w:rPr>
          <w:lang w:val="es-DO"/>
        </w:rPr>
        <w:t xml:space="preserve"> económicos de la operación para el caso base, se observa que el valor presente neto es positivo y se obtiene </w:t>
      </w:r>
      <w:r w:rsidR="00315F57" w:rsidRPr="00FA5324">
        <w:rPr>
          <w:lang w:val="es-DO"/>
        </w:rPr>
        <w:t>una tasa de retorno aceptable</w:t>
      </w:r>
      <w:r w:rsidRPr="00FA5324">
        <w:rPr>
          <w:lang w:val="es-DO"/>
        </w:rPr>
        <w:t>.</w:t>
      </w:r>
    </w:p>
    <w:p w:rsidR="00502E04" w:rsidRPr="008450F1" w:rsidRDefault="00502E04" w:rsidP="00AF0916">
      <w:pPr>
        <w:spacing w:after="0" w:line="240" w:lineRule="auto"/>
        <w:jc w:val="left"/>
        <w:rPr>
          <w:lang w:val="es-DO"/>
        </w:rPr>
        <w:sectPr w:rsidR="00502E04" w:rsidRPr="008450F1" w:rsidSect="00502E04">
          <w:pgSz w:w="12240" w:h="15840"/>
          <w:pgMar w:top="1440" w:right="1440" w:bottom="1440" w:left="1627" w:header="720" w:footer="720" w:gutter="0"/>
          <w:cols w:space="720"/>
          <w:docGrid w:linePitch="299"/>
        </w:sectPr>
      </w:pPr>
    </w:p>
    <w:p w:rsidR="00EC28C3" w:rsidRPr="008450F1" w:rsidRDefault="00EC28C3" w:rsidP="00AF0916">
      <w:pPr>
        <w:spacing w:after="0" w:line="240" w:lineRule="auto"/>
        <w:rPr>
          <w:lang w:val="es-DO"/>
        </w:rPr>
      </w:pPr>
    </w:p>
    <w:p w:rsidR="00AC7DEF" w:rsidRPr="008450F1" w:rsidRDefault="00AC7DEF" w:rsidP="00AF0916">
      <w:pPr>
        <w:pStyle w:val="Caption"/>
        <w:keepNext/>
        <w:spacing w:after="0"/>
        <w:jc w:val="center"/>
        <w:rPr>
          <w:i w:val="0"/>
          <w:color w:val="auto"/>
          <w:lang w:val="es-DO"/>
        </w:rPr>
      </w:pPr>
      <w:bookmarkStart w:id="32" w:name="_Ref399140062"/>
      <w:r w:rsidRPr="00FA5324">
        <w:rPr>
          <w:i w:val="0"/>
          <w:color w:val="auto"/>
          <w:lang w:val="es-DO"/>
        </w:rPr>
        <w:t xml:space="preserve">Tabla </w:t>
      </w:r>
      <w:r w:rsidR="00BC2072" w:rsidRPr="00FA5324">
        <w:rPr>
          <w:i w:val="0"/>
          <w:color w:val="auto"/>
          <w:lang w:val="es-DO"/>
        </w:rPr>
        <w:fldChar w:fldCharType="begin"/>
      </w:r>
      <w:r w:rsidR="00BC2072" w:rsidRPr="008450F1">
        <w:rPr>
          <w:i w:val="0"/>
          <w:color w:val="auto"/>
          <w:lang w:val="es-DO"/>
        </w:rPr>
        <w:instrText xml:space="preserve"> SEQ Tabla \* ARABIC </w:instrText>
      </w:r>
      <w:r w:rsidR="00BC2072" w:rsidRPr="00FA5324">
        <w:rPr>
          <w:i w:val="0"/>
          <w:color w:val="auto"/>
          <w:lang w:val="es-DO"/>
        </w:rPr>
        <w:fldChar w:fldCharType="separate"/>
      </w:r>
      <w:r w:rsidR="00A04D48" w:rsidRPr="008450F1">
        <w:rPr>
          <w:i w:val="0"/>
          <w:noProof/>
          <w:color w:val="auto"/>
          <w:lang w:val="es-DO"/>
        </w:rPr>
        <w:t>10</w:t>
      </w:r>
      <w:r w:rsidR="00BC2072" w:rsidRPr="00FA5324">
        <w:rPr>
          <w:i w:val="0"/>
          <w:color w:val="auto"/>
          <w:lang w:val="es-DO"/>
        </w:rPr>
        <w:fldChar w:fldCharType="end"/>
      </w:r>
      <w:bookmarkEnd w:id="32"/>
      <w:r w:rsidRPr="00FA5324">
        <w:rPr>
          <w:i w:val="0"/>
          <w:color w:val="auto"/>
          <w:lang w:val="es-DO"/>
        </w:rPr>
        <w:t>. Retornos económicos de la operación para el caso base</w:t>
      </w:r>
    </w:p>
    <w:p w:rsidR="00582890" w:rsidRPr="00FA5324" w:rsidRDefault="00582890" w:rsidP="00FA5324">
      <w:pPr>
        <w:spacing w:after="0" w:line="240" w:lineRule="auto"/>
        <w:jc w:val="center"/>
        <w:rPr>
          <w:lang w:val="es-DO"/>
        </w:rPr>
      </w:pPr>
    </w:p>
    <w:tbl>
      <w:tblPr>
        <w:tblW w:w="12990" w:type="dxa"/>
        <w:tblLayout w:type="fixed"/>
        <w:tblCellMar>
          <w:left w:w="70" w:type="dxa"/>
          <w:right w:w="70" w:type="dxa"/>
        </w:tblCellMar>
        <w:tblLook w:val="04A0" w:firstRow="1" w:lastRow="0" w:firstColumn="1" w:lastColumn="0" w:noHBand="0" w:noVBand="1"/>
      </w:tblPr>
      <w:tblGrid>
        <w:gridCol w:w="980"/>
        <w:gridCol w:w="720"/>
        <w:gridCol w:w="535"/>
        <w:gridCol w:w="545"/>
        <w:gridCol w:w="540"/>
        <w:gridCol w:w="540"/>
        <w:gridCol w:w="540"/>
        <w:gridCol w:w="540"/>
        <w:gridCol w:w="630"/>
        <w:gridCol w:w="540"/>
        <w:gridCol w:w="630"/>
        <w:gridCol w:w="540"/>
        <w:gridCol w:w="540"/>
        <w:gridCol w:w="630"/>
        <w:gridCol w:w="630"/>
        <w:gridCol w:w="540"/>
        <w:gridCol w:w="630"/>
        <w:gridCol w:w="540"/>
        <w:gridCol w:w="540"/>
        <w:gridCol w:w="540"/>
        <w:gridCol w:w="540"/>
        <w:gridCol w:w="580"/>
      </w:tblGrid>
      <w:tr w:rsidR="00013320" w:rsidRPr="008450F1" w:rsidTr="00FA5324">
        <w:trPr>
          <w:trHeight w:val="338"/>
        </w:trPr>
        <w:tc>
          <w:tcPr>
            <w:tcW w:w="980" w:type="dxa"/>
            <w:tcBorders>
              <w:top w:val="single" w:sz="4" w:space="0" w:color="auto"/>
              <w:left w:val="single" w:sz="4" w:space="0" w:color="auto"/>
              <w:bottom w:val="single" w:sz="4" w:space="0" w:color="auto"/>
            </w:tcBorders>
            <w:shd w:val="clear" w:color="auto" w:fill="AEAAAA" w:themeFill="background2" w:themeFillShade="BF"/>
            <w:vAlign w:val="center"/>
            <w:hideMark/>
          </w:tcPr>
          <w:p w:rsidR="00444BE8" w:rsidRPr="00FA5324" w:rsidRDefault="00444BE8" w:rsidP="00AF0916">
            <w:pPr>
              <w:pStyle w:val="Tabla"/>
              <w:rPr>
                <w:rFonts w:ascii="Times New Roman" w:hAnsi="Times New Roman"/>
                <w:b/>
                <w:color w:val="auto"/>
                <w:sz w:val="16"/>
                <w:lang w:val="es-DO"/>
              </w:rPr>
            </w:pPr>
            <w:r w:rsidRPr="00FA5324">
              <w:rPr>
                <w:rFonts w:ascii="Times New Roman" w:hAnsi="Times New Roman"/>
                <w:b/>
                <w:color w:val="auto"/>
                <w:sz w:val="16"/>
                <w:lang w:val="es-DO"/>
              </w:rPr>
              <w:t> </w:t>
            </w:r>
          </w:p>
        </w:tc>
        <w:tc>
          <w:tcPr>
            <w:tcW w:w="720" w:type="dxa"/>
            <w:tcBorders>
              <w:top w:val="single" w:sz="4" w:space="0" w:color="auto"/>
              <w:bottom w:val="single" w:sz="4" w:space="0" w:color="auto"/>
              <w:right w:val="single" w:sz="4" w:space="0" w:color="auto"/>
            </w:tcBorders>
            <w:shd w:val="clear" w:color="auto" w:fill="AEAAAA" w:themeFill="background2" w:themeFillShade="BF"/>
            <w:vAlign w:val="center"/>
            <w:hideMark/>
          </w:tcPr>
          <w:p w:rsidR="00444BE8" w:rsidRPr="00FA5324" w:rsidRDefault="00444BE8" w:rsidP="00AF0916">
            <w:pPr>
              <w:pStyle w:val="Tabla"/>
              <w:rPr>
                <w:rFonts w:ascii="Times New Roman" w:hAnsi="Times New Roman"/>
                <w:b/>
                <w:color w:val="auto"/>
                <w:sz w:val="16"/>
                <w:lang w:val="es-DO"/>
              </w:rPr>
            </w:pPr>
            <w:r w:rsidRPr="00FA5324">
              <w:rPr>
                <w:rFonts w:ascii="Times New Roman" w:hAnsi="Times New Roman"/>
                <w:b/>
                <w:color w:val="auto"/>
                <w:sz w:val="16"/>
                <w:lang w:val="es-DO"/>
              </w:rPr>
              <w:t> </w:t>
            </w:r>
          </w:p>
        </w:tc>
        <w:tc>
          <w:tcPr>
            <w:tcW w:w="11290" w:type="dxa"/>
            <w:gridSpan w:val="20"/>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44BE8" w:rsidRPr="00FA5324" w:rsidRDefault="00444BE8"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Año</w:t>
            </w:r>
          </w:p>
        </w:tc>
      </w:tr>
      <w:tr w:rsidR="00A60F38" w:rsidRPr="008450F1" w:rsidTr="009A2674">
        <w:trPr>
          <w:trHeight w:val="338"/>
        </w:trPr>
        <w:tc>
          <w:tcPr>
            <w:tcW w:w="98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44BE8" w:rsidRPr="00FA5324" w:rsidRDefault="00444BE8" w:rsidP="00AF0916">
            <w:pPr>
              <w:pStyle w:val="Tabla"/>
              <w:rPr>
                <w:rFonts w:ascii="Times New Roman" w:hAnsi="Times New Roman"/>
                <w:b/>
                <w:color w:val="auto"/>
                <w:sz w:val="16"/>
                <w:lang w:val="es-DO"/>
              </w:rPr>
            </w:pPr>
            <w:r w:rsidRPr="00FA5324">
              <w:rPr>
                <w:rFonts w:ascii="Times New Roman" w:hAnsi="Times New Roman"/>
                <w:b/>
                <w:color w:val="auto"/>
                <w:sz w:val="16"/>
                <w:lang w:val="es-DO"/>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Total</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2015</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2016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2017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2018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2019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2021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2022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2023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2024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2025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2026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2027</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2028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2029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2030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2031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2032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2033</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2034</w:t>
            </w:r>
          </w:p>
        </w:tc>
      </w:tr>
      <w:tr w:rsidR="00A60F38" w:rsidRPr="008450F1" w:rsidTr="009A2674">
        <w:trPr>
          <w:trHeight w:val="338"/>
        </w:trPr>
        <w:tc>
          <w:tcPr>
            <w:tcW w:w="98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44BE8" w:rsidRPr="00FA5324" w:rsidRDefault="00444BE8" w:rsidP="00AF0916">
            <w:pPr>
              <w:pStyle w:val="Tabla"/>
              <w:rPr>
                <w:rFonts w:ascii="Times New Roman" w:hAnsi="Times New Roman"/>
                <w:b/>
                <w:color w:val="auto"/>
                <w:sz w:val="16"/>
                <w:lang w:val="es-DO"/>
              </w:rPr>
            </w:pPr>
            <w:r w:rsidRPr="00FA5324">
              <w:rPr>
                <w:rFonts w:ascii="Times New Roman" w:hAnsi="Times New Roman"/>
                <w:b/>
                <w:color w:val="auto"/>
                <w:sz w:val="16"/>
                <w:lang w:val="es-DO"/>
              </w:rPr>
              <w:t>Beneficios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68.152</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213</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318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331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658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1.3</w:t>
            </w:r>
            <w:r w:rsidR="007B5A47" w:rsidRPr="008450F1">
              <w:rPr>
                <w:rFonts w:ascii="Times New Roman" w:hAnsi="Times New Roman"/>
                <w:color w:val="auto"/>
                <w:sz w:val="16"/>
                <w:szCs w:val="16"/>
                <w:lang w:val="es-DO"/>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1.73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2.1</w:t>
            </w:r>
            <w:r w:rsidR="007B5A47" w:rsidRPr="008450F1">
              <w:rPr>
                <w:rFonts w:ascii="Times New Roman" w:hAnsi="Times New Roman"/>
                <w:color w:val="auto"/>
                <w:sz w:val="16"/>
                <w:szCs w:val="16"/>
                <w:lang w:val="es-DO"/>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2.5</w:t>
            </w:r>
            <w:r w:rsidR="007B5A47" w:rsidRPr="008450F1">
              <w:rPr>
                <w:rFonts w:ascii="Times New Roman" w:hAnsi="Times New Roman"/>
                <w:color w:val="auto"/>
                <w:sz w:val="16"/>
                <w:szCs w:val="16"/>
                <w:lang w:val="es-DO"/>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2.93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3.3</w:t>
            </w:r>
            <w:r w:rsidR="007B5A47" w:rsidRPr="008450F1">
              <w:rPr>
                <w:rFonts w:ascii="Times New Roman" w:hAnsi="Times New Roman"/>
                <w:color w:val="auto"/>
                <w:sz w:val="16"/>
                <w:szCs w:val="16"/>
                <w:lang w:val="es-DO"/>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w:t>
            </w:r>
            <w:r w:rsidR="007B5A47" w:rsidRPr="008450F1">
              <w:rPr>
                <w:rFonts w:ascii="Times New Roman" w:hAnsi="Times New Roman"/>
                <w:color w:val="auto"/>
                <w:sz w:val="16"/>
                <w:szCs w:val="16"/>
                <w:lang w:val="es-DO"/>
              </w:rPr>
              <w:t>80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4.25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4.72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5.20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5.69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6.20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6.7</w:t>
            </w:r>
            <w:r w:rsidR="007B5A47" w:rsidRPr="008450F1">
              <w:rPr>
                <w:rFonts w:ascii="Times New Roman" w:hAnsi="Times New Roman"/>
                <w:color w:val="auto"/>
                <w:sz w:val="16"/>
                <w:szCs w:val="16"/>
                <w:lang w:val="es-DO"/>
              </w:rPr>
              <w:t>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7.2</w:t>
            </w:r>
            <w:r w:rsidR="007B5A47" w:rsidRPr="008450F1">
              <w:rPr>
                <w:rFonts w:ascii="Times New Roman" w:hAnsi="Times New Roman"/>
                <w:color w:val="auto"/>
                <w:sz w:val="16"/>
                <w:szCs w:val="16"/>
                <w:lang w:val="es-DO"/>
              </w:rPr>
              <w:t>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7.79</w:t>
            </w:r>
          </w:p>
        </w:tc>
      </w:tr>
      <w:tr w:rsidR="00A60F38" w:rsidRPr="008450F1" w:rsidTr="009A2674">
        <w:trPr>
          <w:trHeight w:val="338"/>
        </w:trPr>
        <w:tc>
          <w:tcPr>
            <w:tcW w:w="98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44BE8" w:rsidRPr="00FA5324" w:rsidRDefault="00444BE8" w:rsidP="00AF0916">
            <w:pPr>
              <w:pStyle w:val="Tabla"/>
              <w:rPr>
                <w:rFonts w:ascii="Times New Roman" w:hAnsi="Times New Roman"/>
                <w:b/>
                <w:color w:val="auto"/>
                <w:sz w:val="16"/>
                <w:lang w:val="es-DO"/>
              </w:rPr>
            </w:pPr>
            <w:r w:rsidRPr="00FA5324">
              <w:rPr>
                <w:rFonts w:ascii="Times New Roman" w:hAnsi="Times New Roman"/>
                <w:b/>
                <w:color w:val="auto"/>
                <w:sz w:val="16"/>
                <w:lang w:val="es-DO"/>
              </w:rPr>
              <w:t>Costos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$28</w:t>
            </w:r>
            <w:r w:rsidRPr="008450F1">
              <w:rPr>
                <w:rFonts w:ascii="Times New Roman" w:hAnsi="Times New Roman"/>
                <w:color w:val="auto"/>
                <w:sz w:val="16"/>
                <w:szCs w:val="16"/>
                <w:lang w:val="es-DO"/>
              </w:rPr>
              <w:t>.</w:t>
            </w:r>
            <w:r w:rsidRPr="00FA5324">
              <w:rPr>
                <w:rFonts w:ascii="Times New Roman" w:hAnsi="Times New Roman"/>
                <w:color w:val="auto"/>
                <w:sz w:val="16"/>
                <w:lang w:val="es-DO"/>
              </w:rPr>
              <w:t>483</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$593</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$593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$593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$776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$959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.5</w:t>
            </w:r>
            <w:r w:rsidR="007B5A47" w:rsidRPr="008450F1">
              <w:rPr>
                <w:rFonts w:ascii="Times New Roman" w:hAnsi="Times New Roman"/>
                <w:color w:val="auto"/>
                <w:sz w:val="16"/>
                <w:szCs w:val="16"/>
                <w:lang w:val="es-DO"/>
              </w:rPr>
              <w:t>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.76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.94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.95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.9</w:t>
            </w:r>
            <w:r w:rsidR="007B5A47" w:rsidRPr="008450F1">
              <w:rPr>
                <w:rFonts w:ascii="Times New Roman" w:hAnsi="Times New Roman"/>
                <w:color w:val="auto"/>
                <w:sz w:val="16"/>
                <w:szCs w:val="16"/>
                <w:lang w:val="es-DO"/>
              </w:rPr>
              <w:t>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.5</w:t>
            </w:r>
            <w:r w:rsidR="007B5A47" w:rsidRPr="008450F1">
              <w:rPr>
                <w:rFonts w:ascii="Times New Roman" w:hAnsi="Times New Roman"/>
                <w:color w:val="auto"/>
                <w:sz w:val="16"/>
                <w:szCs w:val="16"/>
                <w:lang w:val="es-DO"/>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.55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.56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.5</w:t>
            </w:r>
            <w:r w:rsidR="007B5A47" w:rsidRPr="008450F1">
              <w:rPr>
                <w:rFonts w:ascii="Times New Roman" w:hAnsi="Times New Roman"/>
                <w:color w:val="auto"/>
                <w:sz w:val="16"/>
                <w:szCs w:val="16"/>
                <w:lang w:val="es-DO"/>
              </w:rP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.5</w:t>
            </w:r>
            <w:r w:rsidR="007B5A47" w:rsidRPr="008450F1">
              <w:rPr>
                <w:rFonts w:ascii="Times New Roman" w:hAnsi="Times New Roman"/>
                <w:color w:val="auto"/>
                <w:sz w:val="16"/>
                <w:szCs w:val="16"/>
                <w:lang w:val="es-DO"/>
              </w:rPr>
              <w:t>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.58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.5</w:t>
            </w:r>
            <w:r w:rsidR="007B5A47" w:rsidRPr="008450F1">
              <w:rPr>
                <w:rFonts w:ascii="Times New Roman" w:hAnsi="Times New Roman"/>
                <w:color w:val="auto"/>
                <w:sz w:val="16"/>
                <w:szCs w:val="16"/>
                <w:lang w:val="es-DO"/>
              </w:rPr>
              <w:t>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.59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.60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.6</w:t>
            </w:r>
            <w:r w:rsidR="007B5A47" w:rsidRPr="008450F1">
              <w:rPr>
                <w:rFonts w:ascii="Times New Roman" w:hAnsi="Times New Roman"/>
                <w:color w:val="auto"/>
                <w:sz w:val="16"/>
                <w:szCs w:val="16"/>
                <w:lang w:val="es-DO"/>
              </w:rPr>
              <w:t>1</w:t>
            </w:r>
          </w:p>
        </w:tc>
      </w:tr>
      <w:tr w:rsidR="00A60F38" w:rsidRPr="008450F1" w:rsidTr="009A2674">
        <w:trPr>
          <w:trHeight w:val="338"/>
        </w:trPr>
        <w:tc>
          <w:tcPr>
            <w:tcW w:w="98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44BE8" w:rsidRPr="00FA5324" w:rsidRDefault="00444BE8" w:rsidP="00AF0916">
            <w:pPr>
              <w:pStyle w:val="Tabla"/>
              <w:rPr>
                <w:rFonts w:ascii="Times New Roman" w:hAnsi="Times New Roman"/>
                <w:b/>
                <w:color w:val="auto"/>
                <w:sz w:val="16"/>
                <w:lang w:val="es-DO"/>
              </w:rPr>
            </w:pPr>
            <w:r w:rsidRPr="00FA5324">
              <w:rPr>
                <w:rFonts w:ascii="Times New Roman" w:hAnsi="Times New Roman"/>
                <w:b/>
                <w:color w:val="auto"/>
                <w:sz w:val="16"/>
                <w:lang w:val="es-DO"/>
              </w:rPr>
              <w:t>Beneficios Netos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39.668</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380</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276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-$262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-$118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-$220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-$31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172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565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971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1.81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2.24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2.69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3.62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4.</w:t>
            </w:r>
            <w:r w:rsidRPr="00FA5324">
              <w:rPr>
                <w:rFonts w:ascii="Times New Roman" w:hAnsi="Times New Roman"/>
                <w:color w:val="auto"/>
                <w:sz w:val="16"/>
                <w:lang w:val="es-DO"/>
              </w:rPr>
              <w:t>11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4.61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5.</w:t>
            </w:r>
            <w:r w:rsidRPr="00FA5324">
              <w:rPr>
                <w:rFonts w:ascii="Times New Roman" w:hAnsi="Times New Roman"/>
                <w:color w:val="auto"/>
                <w:sz w:val="16"/>
                <w:lang w:val="es-DO"/>
              </w:rPr>
              <w:t>12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5.6</w:t>
            </w:r>
            <w:r w:rsidR="007B5A47" w:rsidRPr="008450F1">
              <w:rPr>
                <w:rFonts w:ascii="Times New Roman" w:hAnsi="Times New Roman"/>
                <w:color w:val="auto"/>
                <w:sz w:val="16"/>
                <w:szCs w:val="16"/>
                <w:lang w:val="es-DO"/>
              </w:rPr>
              <w:t>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6.1</w:t>
            </w:r>
            <w:r w:rsidR="007B5A47" w:rsidRPr="008450F1">
              <w:rPr>
                <w:rFonts w:ascii="Times New Roman" w:hAnsi="Times New Roman"/>
                <w:color w:val="auto"/>
                <w:sz w:val="16"/>
                <w:szCs w:val="16"/>
                <w:lang w:val="es-DO"/>
              </w:rPr>
              <w:t>9</w:t>
            </w:r>
          </w:p>
        </w:tc>
      </w:tr>
      <w:tr w:rsidR="00A60F38" w:rsidRPr="008450F1" w:rsidTr="009A2674">
        <w:trPr>
          <w:trHeight w:val="338"/>
        </w:trPr>
        <w:tc>
          <w:tcPr>
            <w:tcW w:w="980" w:type="dxa"/>
            <w:tcBorders>
              <w:top w:val="single" w:sz="4" w:space="0" w:color="auto"/>
              <w:left w:val="nil"/>
              <w:bottom w:val="single" w:sz="4" w:space="0" w:color="auto"/>
              <w:right w:val="nil"/>
            </w:tcBorders>
            <w:shd w:val="clear" w:color="auto" w:fill="auto"/>
            <w:vAlign w:val="bottom"/>
            <w:hideMark/>
          </w:tcPr>
          <w:p w:rsidR="00444BE8" w:rsidRPr="00FA5324" w:rsidRDefault="00444BE8" w:rsidP="00AF0916">
            <w:pPr>
              <w:pStyle w:val="Tabla"/>
              <w:rPr>
                <w:rFonts w:ascii="Times New Roman" w:hAnsi="Times New Roman"/>
                <w:b/>
                <w:color w:val="auto"/>
                <w:sz w:val="16"/>
                <w:lang w:val="es-DO"/>
              </w:rPr>
            </w:pPr>
          </w:p>
        </w:tc>
        <w:tc>
          <w:tcPr>
            <w:tcW w:w="720" w:type="dxa"/>
            <w:tcBorders>
              <w:top w:val="single" w:sz="4" w:space="0" w:color="auto"/>
              <w:left w:val="nil"/>
              <w:bottom w:val="single" w:sz="4" w:space="0" w:color="auto"/>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35" w:type="dxa"/>
            <w:tcBorders>
              <w:top w:val="single" w:sz="4" w:space="0" w:color="auto"/>
              <w:left w:val="nil"/>
              <w:bottom w:val="single" w:sz="4" w:space="0" w:color="auto"/>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5"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80" w:type="dxa"/>
            <w:tcBorders>
              <w:top w:val="single" w:sz="4" w:space="0" w:color="auto"/>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r>
      <w:tr w:rsidR="00A60F38" w:rsidRPr="008450F1" w:rsidTr="009A2674">
        <w:trPr>
          <w:trHeight w:val="322"/>
        </w:trPr>
        <w:tc>
          <w:tcPr>
            <w:tcW w:w="98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44BE8" w:rsidRPr="00FA5324" w:rsidRDefault="00444BE8" w:rsidP="00AF0916">
            <w:pPr>
              <w:pStyle w:val="Tabla"/>
              <w:rPr>
                <w:rFonts w:ascii="Times New Roman" w:hAnsi="Times New Roman"/>
                <w:b/>
                <w:color w:val="auto"/>
                <w:sz w:val="16"/>
                <w:lang w:val="es-DO"/>
              </w:rPr>
            </w:pPr>
            <w:r w:rsidRPr="00FA5324">
              <w:rPr>
                <w:rFonts w:ascii="Times New Roman" w:hAnsi="Times New Roman"/>
                <w:b/>
                <w:color w:val="auto"/>
                <w:sz w:val="16"/>
                <w:lang w:val="es-DO"/>
              </w:rPr>
              <w:t>VPN (@12.00%)</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444BE8" w:rsidRPr="00FA5324" w:rsidRDefault="00444BE8" w:rsidP="00AF0916">
            <w:pPr>
              <w:pStyle w:val="Tabla"/>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lang w:val="es-DO"/>
              </w:rPr>
              <w:t>5.990</w:t>
            </w:r>
          </w:p>
        </w:tc>
        <w:tc>
          <w:tcPr>
            <w:tcW w:w="545"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8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r>
      <w:tr w:rsidR="00A60F38" w:rsidRPr="008450F1" w:rsidTr="009A2674">
        <w:trPr>
          <w:trHeight w:val="338"/>
        </w:trPr>
        <w:tc>
          <w:tcPr>
            <w:tcW w:w="98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44BE8" w:rsidRPr="00FA5324" w:rsidRDefault="00444BE8" w:rsidP="00AF0916">
            <w:pPr>
              <w:pStyle w:val="Tabla"/>
              <w:rPr>
                <w:rFonts w:ascii="Times New Roman" w:hAnsi="Times New Roman"/>
                <w:b/>
                <w:color w:val="auto"/>
                <w:sz w:val="16"/>
                <w:lang w:val="es-DO"/>
              </w:rPr>
            </w:pPr>
            <w:r w:rsidRPr="00FA5324">
              <w:rPr>
                <w:rFonts w:ascii="Times New Roman" w:hAnsi="Times New Roman"/>
                <w:b/>
                <w:color w:val="auto"/>
                <w:sz w:val="16"/>
                <w:lang w:val="es-DO"/>
              </w:rPr>
              <w:t>TIR</w:t>
            </w:r>
          </w:p>
        </w:tc>
        <w:tc>
          <w:tcPr>
            <w:tcW w:w="1255" w:type="dxa"/>
            <w:gridSpan w:val="2"/>
            <w:tcBorders>
              <w:top w:val="single" w:sz="4" w:space="0" w:color="auto"/>
              <w:left w:val="nil"/>
              <w:bottom w:val="single" w:sz="4" w:space="0" w:color="auto"/>
              <w:right w:val="single" w:sz="4" w:space="0" w:color="auto"/>
            </w:tcBorders>
            <w:shd w:val="clear" w:color="auto" w:fill="auto"/>
            <w:hideMark/>
          </w:tcPr>
          <w:p w:rsidR="00444BE8" w:rsidRPr="00FA5324" w:rsidRDefault="00444BE8" w:rsidP="00AF0916">
            <w:pPr>
              <w:pStyle w:val="Tabla"/>
              <w:rPr>
                <w:rFonts w:ascii="Times New Roman" w:hAnsi="Times New Roman"/>
                <w:b/>
                <w:color w:val="auto"/>
                <w:sz w:val="16"/>
                <w:lang w:val="es-DO"/>
              </w:rPr>
            </w:pPr>
            <w:r w:rsidRPr="008450F1">
              <w:rPr>
                <w:rFonts w:ascii="Times New Roman" w:hAnsi="Times New Roman"/>
                <w:color w:val="auto"/>
                <w:sz w:val="16"/>
                <w:lang w:val="es-DO"/>
              </w:rPr>
              <w:t xml:space="preserve"> </w:t>
            </w:r>
            <w:r w:rsidRPr="00FA5324">
              <w:rPr>
                <w:rFonts w:ascii="Times New Roman" w:hAnsi="Times New Roman"/>
                <w:color w:val="auto"/>
                <w:sz w:val="16"/>
                <w:lang w:val="es-DO"/>
              </w:rPr>
              <w:t>0</w:t>
            </w:r>
            <w:r w:rsidRPr="008450F1">
              <w:rPr>
                <w:rFonts w:ascii="Times New Roman" w:hAnsi="Times New Roman"/>
                <w:color w:val="auto"/>
                <w:sz w:val="16"/>
                <w:lang w:val="es-DO"/>
              </w:rPr>
              <w:t xml:space="preserve">,32 </w:t>
            </w:r>
          </w:p>
        </w:tc>
        <w:tc>
          <w:tcPr>
            <w:tcW w:w="545"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b/>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63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4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c>
          <w:tcPr>
            <w:tcW w:w="580" w:type="dxa"/>
            <w:tcBorders>
              <w:top w:val="nil"/>
              <w:left w:val="nil"/>
              <w:bottom w:val="nil"/>
              <w:right w:val="nil"/>
            </w:tcBorders>
            <w:shd w:val="clear" w:color="auto" w:fill="auto"/>
            <w:vAlign w:val="bottom"/>
            <w:hideMark/>
          </w:tcPr>
          <w:p w:rsidR="00444BE8" w:rsidRPr="00FA5324" w:rsidRDefault="00444BE8" w:rsidP="00AF0916">
            <w:pPr>
              <w:pStyle w:val="Tabla"/>
              <w:rPr>
                <w:rFonts w:ascii="Times New Roman" w:hAnsi="Times New Roman"/>
                <w:color w:val="auto"/>
                <w:sz w:val="16"/>
                <w:lang w:val="es-DO"/>
              </w:rPr>
            </w:pPr>
          </w:p>
        </w:tc>
      </w:tr>
    </w:tbl>
    <w:p w:rsidR="00444BE8" w:rsidRPr="008450F1" w:rsidRDefault="00444BE8" w:rsidP="00AF0916">
      <w:pPr>
        <w:spacing w:after="0" w:line="240" w:lineRule="auto"/>
        <w:rPr>
          <w:lang w:val="es-DO"/>
        </w:rPr>
      </w:pPr>
    </w:p>
    <w:p w:rsidR="00582890" w:rsidRPr="008450F1" w:rsidRDefault="00582890" w:rsidP="00AF0916">
      <w:pPr>
        <w:spacing w:after="0" w:line="240" w:lineRule="auto"/>
        <w:rPr>
          <w:lang w:val="es-DO"/>
        </w:rPr>
      </w:pPr>
    </w:p>
    <w:p w:rsidR="00582890" w:rsidRPr="008450F1" w:rsidRDefault="00582890" w:rsidP="00AF0916">
      <w:pPr>
        <w:spacing w:after="0" w:line="240" w:lineRule="auto"/>
        <w:rPr>
          <w:lang w:val="es-DO"/>
        </w:rPr>
        <w:sectPr w:rsidR="00582890" w:rsidRPr="008450F1" w:rsidSect="00307E40">
          <w:pgSz w:w="15840" w:h="12240" w:orient="landscape"/>
          <w:pgMar w:top="1440" w:right="1440" w:bottom="1627" w:left="1440" w:header="720" w:footer="720" w:gutter="0"/>
          <w:cols w:space="720"/>
          <w:docGrid w:linePitch="299"/>
        </w:sectPr>
      </w:pPr>
    </w:p>
    <w:p w:rsidR="00563C28" w:rsidRPr="008450F1" w:rsidRDefault="00013320" w:rsidP="00AF0916">
      <w:pPr>
        <w:pStyle w:val="Heading1"/>
        <w:spacing w:before="0" w:after="0" w:line="240" w:lineRule="auto"/>
        <w:rPr>
          <w:lang w:val="es-DO"/>
        </w:rPr>
      </w:pPr>
      <w:bookmarkStart w:id="33" w:name="_Toc401244721"/>
      <w:r w:rsidRPr="008450F1">
        <w:rPr>
          <w:lang w:val="es-DO"/>
        </w:rPr>
        <w:lastRenderedPageBreak/>
        <w:t>ANÁLISIS DE SENSIBILIDAD</w:t>
      </w:r>
      <w:bookmarkEnd w:id="33"/>
      <w:r w:rsidRPr="008450F1">
        <w:rPr>
          <w:lang w:val="es-DO"/>
        </w:rPr>
        <w:t xml:space="preserve"> </w:t>
      </w:r>
    </w:p>
    <w:p w:rsidR="00013320" w:rsidRPr="008450F1" w:rsidRDefault="00013320" w:rsidP="00AF0916">
      <w:pPr>
        <w:spacing w:after="0" w:line="240" w:lineRule="auto"/>
        <w:rPr>
          <w:lang w:val="es-DO"/>
        </w:rPr>
      </w:pPr>
    </w:p>
    <w:p w:rsidR="00D911C7" w:rsidRPr="00FA5324" w:rsidRDefault="00D911C7" w:rsidP="00FA5324">
      <w:pPr>
        <w:spacing w:after="0" w:line="240" w:lineRule="auto"/>
        <w:rPr>
          <w:lang w:val="es-DO"/>
        </w:rPr>
      </w:pPr>
      <w:r w:rsidRPr="00FA5324">
        <w:rPr>
          <w:lang w:val="es-DO"/>
        </w:rPr>
        <w:t>Con el fin de probar la sensibilidad del modelo ante la</w:t>
      </w:r>
      <w:r w:rsidR="00DB5E93" w:rsidRPr="00FA5324">
        <w:rPr>
          <w:lang w:val="es-DO"/>
        </w:rPr>
        <w:t xml:space="preserve"> modificación de sus pará</w:t>
      </w:r>
      <w:r w:rsidRPr="00FA5324">
        <w:rPr>
          <w:lang w:val="es-DO"/>
        </w:rPr>
        <w:t>metros</w:t>
      </w:r>
      <w:r w:rsidR="00013320" w:rsidRPr="008450F1">
        <w:rPr>
          <w:lang w:val="es-DO"/>
        </w:rPr>
        <w:t>,</w:t>
      </w:r>
      <w:r w:rsidRPr="00FA5324">
        <w:rPr>
          <w:lang w:val="es-DO"/>
        </w:rPr>
        <w:t xml:space="preserve"> se realizaron tre</w:t>
      </w:r>
      <w:r w:rsidR="00DB5E93" w:rsidRPr="00FA5324">
        <w:rPr>
          <w:lang w:val="es-DO"/>
        </w:rPr>
        <w:t>s</w:t>
      </w:r>
      <w:r w:rsidRPr="00FA5324">
        <w:rPr>
          <w:lang w:val="es-DO"/>
        </w:rPr>
        <w:t xml:space="preserve"> </w:t>
      </w:r>
      <w:r w:rsidR="007E70A2" w:rsidRPr="00FA5324">
        <w:rPr>
          <w:lang w:val="es-DO"/>
        </w:rPr>
        <w:t>análisis</w:t>
      </w:r>
      <w:r w:rsidRPr="00FA5324">
        <w:rPr>
          <w:lang w:val="es-DO"/>
        </w:rPr>
        <w:t xml:space="preserve"> de sensibilidad </w:t>
      </w:r>
      <w:r w:rsidR="00DB5E93" w:rsidRPr="00FA5324">
        <w:rPr>
          <w:lang w:val="es-DO"/>
        </w:rPr>
        <w:t>bi</w:t>
      </w:r>
      <w:r w:rsidR="007E70A2" w:rsidRPr="00FA5324">
        <w:rPr>
          <w:lang w:val="es-DO"/>
        </w:rPr>
        <w:t>-</w:t>
      </w:r>
      <w:r w:rsidR="00DB5E93" w:rsidRPr="00FA5324">
        <w:rPr>
          <w:lang w:val="es-DO"/>
        </w:rPr>
        <w:t>v</w:t>
      </w:r>
      <w:r w:rsidRPr="00FA5324">
        <w:rPr>
          <w:lang w:val="es-DO"/>
        </w:rPr>
        <w:t>ariados. En el primero se modi</w:t>
      </w:r>
      <w:r w:rsidR="00DB5E93" w:rsidRPr="00FA5324">
        <w:rPr>
          <w:lang w:val="es-DO"/>
        </w:rPr>
        <w:t>ficó</w:t>
      </w:r>
      <w:r w:rsidRPr="00FA5324">
        <w:rPr>
          <w:lang w:val="es-DO"/>
        </w:rPr>
        <w:t xml:space="preserve"> el horizonte temporal y la tasa de descuento. </w:t>
      </w:r>
      <w:r w:rsidR="000013A7" w:rsidRPr="00FA5324">
        <w:rPr>
          <w:lang w:val="es-DO"/>
        </w:rPr>
        <w:t xml:space="preserve">En el segundo </w:t>
      </w:r>
      <w:r w:rsidR="00A82A97" w:rsidRPr="00FA5324">
        <w:rPr>
          <w:lang w:val="es-DO"/>
        </w:rPr>
        <w:t>se modificó el porcentaje de incremento en el ahorro previsional y el factor de correlación entre ahorro previsional y productividad del trabajo</w:t>
      </w:r>
      <w:r w:rsidR="000013A7" w:rsidRPr="00FA5324">
        <w:rPr>
          <w:lang w:val="es-DO"/>
        </w:rPr>
        <w:t xml:space="preserve">. </w:t>
      </w:r>
      <w:r w:rsidRPr="00FA5324">
        <w:rPr>
          <w:lang w:val="es-DO"/>
        </w:rPr>
        <w:t xml:space="preserve">En el tercero se modificaron los costos de las actividades y el nivel de ahorro logrado con las intervenciones en salud. </w:t>
      </w:r>
      <w:r w:rsidR="000013A7" w:rsidRPr="00FA5324">
        <w:rPr>
          <w:lang w:val="es-DO"/>
        </w:rPr>
        <w:t xml:space="preserve">En los </w:t>
      </w:r>
      <w:r w:rsidR="007E70A2" w:rsidRPr="00FA5324">
        <w:rPr>
          <w:lang w:val="es-DO"/>
        </w:rPr>
        <w:t>análisis</w:t>
      </w:r>
      <w:r w:rsidR="000013A7" w:rsidRPr="00FA5324">
        <w:rPr>
          <w:lang w:val="es-DO"/>
        </w:rPr>
        <w:t xml:space="preserve"> realizado</w:t>
      </w:r>
      <w:r w:rsidR="00DB5E93" w:rsidRPr="00FA5324">
        <w:rPr>
          <w:lang w:val="es-DO"/>
        </w:rPr>
        <w:t>s</w:t>
      </w:r>
      <w:r w:rsidR="00013320" w:rsidRPr="008450F1">
        <w:rPr>
          <w:lang w:val="es-DO"/>
        </w:rPr>
        <w:t>,</w:t>
      </w:r>
      <w:r w:rsidR="00DB5E93" w:rsidRPr="00FA5324">
        <w:rPr>
          <w:lang w:val="es-DO"/>
        </w:rPr>
        <w:t xml:space="preserve"> el modelo mostró</w:t>
      </w:r>
      <w:r w:rsidR="000013A7" w:rsidRPr="00FA5324">
        <w:rPr>
          <w:lang w:val="es-DO"/>
        </w:rPr>
        <w:t xml:space="preserve"> ser robusto y </w:t>
      </w:r>
      <w:r w:rsidR="00013320" w:rsidRPr="008450F1">
        <w:rPr>
          <w:lang w:val="es-DO"/>
        </w:rPr>
        <w:t>la</w:t>
      </w:r>
      <w:r w:rsidR="000013A7" w:rsidRPr="00FA5324">
        <w:rPr>
          <w:lang w:val="es-DO"/>
        </w:rPr>
        <w:t xml:space="preserve"> </w:t>
      </w:r>
      <w:r w:rsidR="00DB5E93" w:rsidRPr="00FA5324">
        <w:rPr>
          <w:lang w:val="es-DO"/>
        </w:rPr>
        <w:t>TIR nunca disminuyó</w:t>
      </w:r>
      <w:r w:rsidR="000013A7" w:rsidRPr="00FA5324">
        <w:rPr>
          <w:lang w:val="es-DO"/>
        </w:rPr>
        <w:t xml:space="preserve"> hasta la tasa de descuento</w:t>
      </w:r>
      <w:r w:rsidR="00013320" w:rsidRPr="008450F1">
        <w:rPr>
          <w:lang w:val="es-DO"/>
        </w:rPr>
        <w:t>,</w:t>
      </w:r>
      <w:r w:rsidR="000013A7" w:rsidRPr="00FA5324">
        <w:rPr>
          <w:lang w:val="es-DO"/>
        </w:rPr>
        <w:t xml:space="preserve"> ex</w:t>
      </w:r>
      <w:r w:rsidR="00DB5E93" w:rsidRPr="00FA5324">
        <w:rPr>
          <w:lang w:val="es-DO"/>
        </w:rPr>
        <w:t xml:space="preserve">cepto para cuando se evaluó un horizonte </w:t>
      </w:r>
      <w:r w:rsidR="000013A7" w:rsidRPr="00FA5324">
        <w:rPr>
          <w:lang w:val="es-DO"/>
        </w:rPr>
        <w:t xml:space="preserve">temporal </w:t>
      </w:r>
      <w:r w:rsidR="00444BE8" w:rsidRPr="008450F1">
        <w:rPr>
          <w:lang w:val="es-DO"/>
        </w:rPr>
        <w:t>inferior a 15</w:t>
      </w:r>
      <w:r w:rsidR="00444BE8" w:rsidRPr="00FA5324">
        <w:rPr>
          <w:lang w:val="es-DO"/>
        </w:rPr>
        <w:t xml:space="preserve"> años</w:t>
      </w:r>
      <w:r w:rsidR="000013A7" w:rsidRPr="00FA5324">
        <w:rPr>
          <w:lang w:val="es-DO"/>
        </w:rPr>
        <w:t>.</w:t>
      </w:r>
    </w:p>
    <w:p w:rsidR="00013320" w:rsidRPr="008450F1" w:rsidRDefault="00013320" w:rsidP="00AF0916">
      <w:pPr>
        <w:spacing w:after="0" w:line="240" w:lineRule="auto"/>
        <w:rPr>
          <w:lang w:val="es-DO"/>
        </w:rPr>
      </w:pPr>
    </w:p>
    <w:p w:rsidR="00013320" w:rsidRPr="00FA5324" w:rsidRDefault="00B24839" w:rsidP="00FA5324">
      <w:pPr>
        <w:spacing w:after="0" w:line="240" w:lineRule="auto"/>
        <w:rPr>
          <w:lang w:val="es-DO"/>
        </w:rPr>
      </w:pPr>
      <w:r w:rsidRPr="008450F1">
        <w:rPr>
          <w:lang w:val="es-DO"/>
        </w:rPr>
        <w:t xml:space="preserve">En la </w:t>
      </w:r>
      <w:r w:rsidR="00AC7DEF" w:rsidRPr="008450F1">
        <w:rPr>
          <w:sz w:val="16"/>
          <w:lang w:val="es-DO"/>
        </w:rPr>
        <w:fldChar w:fldCharType="begin"/>
      </w:r>
      <w:r w:rsidR="00AC7DEF" w:rsidRPr="008450F1">
        <w:rPr>
          <w:lang w:val="es-DO"/>
        </w:rPr>
        <w:instrText xml:space="preserve"> REF _Ref399140176 \h </w:instrText>
      </w:r>
      <w:r w:rsidR="00C62A67" w:rsidRPr="008450F1">
        <w:rPr>
          <w:sz w:val="16"/>
          <w:lang w:val="es-DO"/>
        </w:rPr>
        <w:instrText xml:space="preserve"> \* MERGEFORMAT </w:instrText>
      </w:r>
      <w:r w:rsidR="00AC7DEF" w:rsidRPr="008450F1">
        <w:rPr>
          <w:sz w:val="16"/>
          <w:lang w:val="es-DO"/>
        </w:rPr>
      </w:r>
      <w:r w:rsidR="00AC7DEF" w:rsidRPr="008450F1">
        <w:rPr>
          <w:sz w:val="16"/>
          <w:lang w:val="es-DO"/>
        </w:rPr>
        <w:fldChar w:fldCharType="separate"/>
      </w:r>
      <w:r w:rsidR="00A04D48" w:rsidRPr="008450F1">
        <w:rPr>
          <w:lang w:val="es-DO"/>
        </w:rPr>
        <w:t xml:space="preserve">Tabla </w:t>
      </w:r>
      <w:r w:rsidR="00A04D48" w:rsidRPr="008450F1">
        <w:rPr>
          <w:noProof/>
          <w:lang w:val="es-DO"/>
        </w:rPr>
        <w:t>11</w:t>
      </w:r>
      <w:r w:rsidR="00AC7DEF" w:rsidRPr="008450F1">
        <w:rPr>
          <w:sz w:val="16"/>
          <w:lang w:val="es-DO"/>
        </w:rPr>
        <w:fldChar w:fldCharType="end"/>
      </w:r>
      <w:r w:rsidR="00AC7DEF" w:rsidRPr="00FA5324">
        <w:rPr>
          <w:sz w:val="16"/>
          <w:lang w:val="es-DO"/>
        </w:rPr>
        <w:t xml:space="preserve"> </w:t>
      </w:r>
      <w:r w:rsidRPr="00FA5324">
        <w:rPr>
          <w:lang w:val="es-DO"/>
        </w:rPr>
        <w:t xml:space="preserve">se presentan varios escenarios para diferentes horizontes temporales y tasa de descuento. Se observa que la operación tiene un VPN positivo para el escenario de horizonte temporal de </w:t>
      </w:r>
      <w:r w:rsidR="00EA1F37" w:rsidRPr="008450F1">
        <w:rPr>
          <w:lang w:val="es-DO"/>
        </w:rPr>
        <w:t>15</w:t>
      </w:r>
      <w:r w:rsidRPr="00FA5324">
        <w:rPr>
          <w:lang w:val="es-DO"/>
        </w:rPr>
        <w:t xml:space="preserve"> años</w:t>
      </w:r>
      <w:r w:rsidRPr="008450F1">
        <w:rPr>
          <w:lang w:val="es-DO"/>
        </w:rPr>
        <w:t>.</w:t>
      </w:r>
      <w:r w:rsidR="000013A7" w:rsidRPr="008450F1">
        <w:rPr>
          <w:lang w:val="es-DO"/>
        </w:rPr>
        <w:t xml:space="preserve"> </w:t>
      </w:r>
      <w:r w:rsidR="00EA1F37" w:rsidRPr="008450F1">
        <w:rPr>
          <w:lang w:val="es-DO"/>
        </w:rPr>
        <w:t>E</w:t>
      </w:r>
      <w:r w:rsidR="000013A7" w:rsidRPr="008450F1">
        <w:rPr>
          <w:lang w:val="es-DO"/>
        </w:rPr>
        <w:t>n</w:t>
      </w:r>
      <w:r w:rsidR="000013A7" w:rsidRPr="00FA5324">
        <w:rPr>
          <w:lang w:val="es-DO"/>
        </w:rPr>
        <w:t xml:space="preserve"> el </w:t>
      </w:r>
      <w:r w:rsidR="007E70A2" w:rsidRPr="00FA5324">
        <w:rPr>
          <w:lang w:val="es-DO"/>
        </w:rPr>
        <w:t>horizonte</w:t>
      </w:r>
      <w:r w:rsidR="000013A7" w:rsidRPr="00FA5324">
        <w:rPr>
          <w:lang w:val="es-DO"/>
        </w:rPr>
        <w:t xml:space="preserve"> </w:t>
      </w:r>
      <w:r w:rsidR="00B51537" w:rsidRPr="008450F1">
        <w:rPr>
          <w:lang w:val="es-DO"/>
        </w:rPr>
        <w:t>más</w:t>
      </w:r>
      <w:r w:rsidR="00EA1F37" w:rsidRPr="008450F1">
        <w:rPr>
          <w:lang w:val="es-DO"/>
        </w:rPr>
        <w:t xml:space="preserve"> corto</w:t>
      </w:r>
      <w:r w:rsidR="00A04D48" w:rsidRPr="00FA5324">
        <w:rPr>
          <w:lang w:val="es-DO"/>
        </w:rPr>
        <w:t xml:space="preserve"> </w:t>
      </w:r>
      <w:r w:rsidR="000013A7" w:rsidRPr="00FA5324">
        <w:rPr>
          <w:lang w:val="es-DO"/>
        </w:rPr>
        <w:t xml:space="preserve">las medidas implementadas </w:t>
      </w:r>
      <w:r w:rsidR="007E70A2" w:rsidRPr="00FA5324">
        <w:rPr>
          <w:lang w:val="es-DO"/>
        </w:rPr>
        <w:t>aún</w:t>
      </w:r>
      <w:r w:rsidR="000013A7" w:rsidRPr="00FA5324">
        <w:rPr>
          <w:lang w:val="es-DO"/>
        </w:rPr>
        <w:t xml:space="preserve"> no han tenido tiempo de “mostrar sus </w:t>
      </w:r>
      <w:r w:rsidR="007E70A2" w:rsidRPr="00FA5324">
        <w:rPr>
          <w:lang w:val="es-DO"/>
        </w:rPr>
        <w:t>frutos</w:t>
      </w:r>
      <w:r w:rsidR="000013A7" w:rsidRPr="00FA5324">
        <w:rPr>
          <w:lang w:val="es-DO"/>
        </w:rPr>
        <w:t>”.</w:t>
      </w:r>
    </w:p>
    <w:p w:rsidR="00B24839" w:rsidRPr="008450F1" w:rsidRDefault="00B24839" w:rsidP="00AF0916">
      <w:pPr>
        <w:spacing w:after="0" w:line="240" w:lineRule="auto"/>
        <w:rPr>
          <w:lang w:val="es-DO"/>
        </w:rPr>
      </w:pPr>
    </w:p>
    <w:p w:rsidR="00AC7DEF" w:rsidRPr="00FA5324" w:rsidRDefault="00AC7DEF" w:rsidP="00FA5324">
      <w:pPr>
        <w:pStyle w:val="Caption"/>
        <w:keepNext/>
        <w:spacing w:after="0"/>
        <w:jc w:val="center"/>
        <w:rPr>
          <w:i w:val="0"/>
          <w:color w:val="auto"/>
          <w:lang w:val="es-DO"/>
        </w:rPr>
      </w:pPr>
      <w:bookmarkStart w:id="34" w:name="_Ref399140176"/>
      <w:r w:rsidRPr="00FA5324">
        <w:rPr>
          <w:i w:val="0"/>
          <w:color w:val="auto"/>
          <w:lang w:val="es-DO"/>
        </w:rPr>
        <w:t xml:space="preserve">Tabla </w:t>
      </w:r>
      <w:r w:rsidR="00BC2072" w:rsidRPr="00FA5324">
        <w:rPr>
          <w:i w:val="0"/>
          <w:color w:val="auto"/>
          <w:lang w:val="es-DO"/>
        </w:rPr>
        <w:fldChar w:fldCharType="begin"/>
      </w:r>
      <w:r w:rsidR="00BC2072" w:rsidRPr="008450F1">
        <w:rPr>
          <w:i w:val="0"/>
          <w:color w:val="auto"/>
          <w:lang w:val="es-DO"/>
        </w:rPr>
        <w:instrText xml:space="preserve"> SEQ Tabla \* ARABIC </w:instrText>
      </w:r>
      <w:r w:rsidR="00BC2072" w:rsidRPr="00FA5324">
        <w:rPr>
          <w:i w:val="0"/>
          <w:color w:val="auto"/>
          <w:lang w:val="es-DO"/>
        </w:rPr>
        <w:fldChar w:fldCharType="separate"/>
      </w:r>
      <w:r w:rsidR="00A04D48" w:rsidRPr="008450F1">
        <w:rPr>
          <w:i w:val="0"/>
          <w:noProof/>
          <w:color w:val="auto"/>
          <w:lang w:val="es-DO"/>
        </w:rPr>
        <w:t>11</w:t>
      </w:r>
      <w:r w:rsidR="00BC2072" w:rsidRPr="00FA5324">
        <w:rPr>
          <w:i w:val="0"/>
          <w:color w:val="auto"/>
          <w:lang w:val="es-DO"/>
        </w:rPr>
        <w:fldChar w:fldCharType="end"/>
      </w:r>
      <w:bookmarkEnd w:id="34"/>
      <w:r w:rsidRPr="00FA5324">
        <w:rPr>
          <w:i w:val="0"/>
          <w:color w:val="auto"/>
          <w:lang w:val="es-DO"/>
        </w:rPr>
        <w:t>. Escenarios vs horizontes temporales y tasa de descuento</w:t>
      </w:r>
    </w:p>
    <w:tbl>
      <w:tblPr>
        <w:tblW w:w="8640" w:type="dxa"/>
        <w:jc w:val="center"/>
        <w:tblCellMar>
          <w:left w:w="70" w:type="dxa"/>
          <w:right w:w="70" w:type="dxa"/>
        </w:tblCellMar>
        <w:tblLook w:val="04A0" w:firstRow="1" w:lastRow="0" w:firstColumn="1" w:lastColumn="0" w:noHBand="0" w:noVBand="1"/>
      </w:tblPr>
      <w:tblGrid>
        <w:gridCol w:w="2240"/>
        <w:gridCol w:w="1780"/>
        <w:gridCol w:w="1060"/>
        <w:gridCol w:w="1060"/>
        <w:gridCol w:w="1220"/>
        <w:gridCol w:w="1280"/>
      </w:tblGrid>
      <w:tr w:rsidR="00A60F38" w:rsidRPr="008450F1" w:rsidTr="00AF0916">
        <w:trPr>
          <w:trHeight w:val="315"/>
          <w:jc w:val="center"/>
        </w:trPr>
        <w:tc>
          <w:tcPr>
            <w:tcW w:w="4020" w:type="dxa"/>
            <w:gridSpan w:val="2"/>
            <w:tcBorders>
              <w:top w:val="single" w:sz="8" w:space="0" w:color="auto"/>
              <w:left w:val="single" w:sz="8" w:space="0" w:color="auto"/>
              <w:bottom w:val="single" w:sz="4" w:space="0" w:color="auto"/>
              <w:right w:val="single" w:sz="4" w:space="0" w:color="auto"/>
            </w:tcBorders>
            <w:shd w:val="clear" w:color="auto" w:fill="AEAAAA" w:themeFill="background2" w:themeFillShade="BF"/>
            <w:vAlign w:val="bottom"/>
            <w:hideMark/>
          </w:tcPr>
          <w:p w:rsidR="00EA1F37" w:rsidRPr="00FA5324" w:rsidRDefault="00EA1F37" w:rsidP="00FA5324">
            <w:pPr>
              <w:pStyle w:val="Tabla"/>
              <w:jc w:val="center"/>
              <w:rPr>
                <w:rFonts w:ascii="Times New Roman" w:hAnsi="Times New Roman"/>
                <w:b/>
                <w:color w:val="auto"/>
                <w:lang w:val="es-DO"/>
              </w:rPr>
            </w:pPr>
            <w:r w:rsidRPr="00FA5324">
              <w:rPr>
                <w:rFonts w:ascii="Times New Roman" w:hAnsi="Times New Roman"/>
                <w:b/>
                <w:color w:val="auto"/>
                <w:lang w:val="es-DO"/>
              </w:rPr>
              <w:t xml:space="preserve">Horizonte Temporal </w:t>
            </w:r>
            <w:r w:rsidR="00013320" w:rsidRPr="008450F1">
              <w:rPr>
                <w:rFonts w:ascii="Times New Roman" w:hAnsi="Times New Roman"/>
                <w:b/>
                <w:color w:val="auto"/>
                <w:lang w:val="es-DO"/>
              </w:rPr>
              <w:t>(</w:t>
            </w:r>
            <w:r w:rsidRPr="00FA5324">
              <w:rPr>
                <w:rFonts w:ascii="Times New Roman" w:hAnsi="Times New Roman"/>
                <w:b/>
                <w:color w:val="auto"/>
                <w:lang w:val="es-DO"/>
              </w:rPr>
              <w:t>Años</w:t>
            </w:r>
            <w:r w:rsidR="00013320" w:rsidRPr="008450F1">
              <w:rPr>
                <w:rFonts w:ascii="Times New Roman" w:hAnsi="Times New Roman"/>
                <w:b/>
                <w:color w:val="auto"/>
                <w:lang w:val="es-DO"/>
              </w:rPr>
              <w:t>)</w:t>
            </w:r>
          </w:p>
        </w:tc>
        <w:tc>
          <w:tcPr>
            <w:tcW w:w="1060" w:type="dxa"/>
            <w:tcBorders>
              <w:top w:val="single" w:sz="8" w:space="0" w:color="auto"/>
              <w:left w:val="nil"/>
              <w:bottom w:val="nil"/>
              <w:right w:val="single" w:sz="4" w:space="0" w:color="auto"/>
            </w:tcBorders>
            <w:shd w:val="clear" w:color="auto" w:fill="AEAAAA" w:themeFill="background2" w:themeFillShade="BF"/>
            <w:vAlign w:val="bottom"/>
            <w:hideMark/>
          </w:tcPr>
          <w:p w:rsidR="00EA1F37" w:rsidRPr="00FA5324" w:rsidRDefault="00EA1F37" w:rsidP="00FA5324">
            <w:pPr>
              <w:pStyle w:val="Tabla"/>
              <w:jc w:val="center"/>
              <w:rPr>
                <w:rFonts w:ascii="Times New Roman" w:hAnsi="Times New Roman"/>
                <w:b/>
                <w:color w:val="auto"/>
                <w:lang w:val="es-DO"/>
              </w:rPr>
            </w:pPr>
            <w:r w:rsidRPr="00FA5324">
              <w:rPr>
                <w:rFonts w:ascii="Times New Roman" w:hAnsi="Times New Roman"/>
                <w:b/>
                <w:color w:val="auto"/>
                <w:lang w:val="es-DO"/>
              </w:rPr>
              <w:t>3</w:t>
            </w:r>
          </w:p>
        </w:tc>
        <w:tc>
          <w:tcPr>
            <w:tcW w:w="1060" w:type="dxa"/>
            <w:tcBorders>
              <w:top w:val="single" w:sz="8" w:space="0" w:color="auto"/>
              <w:left w:val="nil"/>
              <w:bottom w:val="nil"/>
              <w:right w:val="single" w:sz="4" w:space="0" w:color="auto"/>
            </w:tcBorders>
            <w:shd w:val="clear" w:color="auto" w:fill="AEAAAA" w:themeFill="background2" w:themeFillShade="BF"/>
            <w:vAlign w:val="bottom"/>
            <w:hideMark/>
          </w:tcPr>
          <w:p w:rsidR="00EA1F37" w:rsidRPr="00FA5324" w:rsidRDefault="00EA1F37" w:rsidP="00FA5324">
            <w:pPr>
              <w:pStyle w:val="Tabla"/>
              <w:jc w:val="center"/>
              <w:rPr>
                <w:rFonts w:ascii="Times New Roman" w:hAnsi="Times New Roman"/>
                <w:b/>
                <w:color w:val="auto"/>
                <w:lang w:val="es-DO"/>
              </w:rPr>
            </w:pPr>
            <w:r w:rsidRPr="00FA5324">
              <w:rPr>
                <w:rFonts w:ascii="Times New Roman" w:hAnsi="Times New Roman"/>
                <w:b/>
                <w:color w:val="auto"/>
                <w:lang w:val="es-DO"/>
              </w:rPr>
              <w:t>6</w:t>
            </w:r>
          </w:p>
        </w:tc>
        <w:tc>
          <w:tcPr>
            <w:tcW w:w="1220" w:type="dxa"/>
            <w:tcBorders>
              <w:top w:val="single" w:sz="8" w:space="0" w:color="auto"/>
              <w:left w:val="nil"/>
              <w:bottom w:val="nil"/>
              <w:right w:val="single" w:sz="4" w:space="0" w:color="auto"/>
            </w:tcBorders>
            <w:shd w:val="clear" w:color="auto" w:fill="AEAAAA" w:themeFill="background2" w:themeFillShade="BF"/>
            <w:vAlign w:val="bottom"/>
            <w:hideMark/>
          </w:tcPr>
          <w:p w:rsidR="00EA1F37" w:rsidRPr="00FA5324" w:rsidRDefault="00EA1F37" w:rsidP="00FA5324">
            <w:pPr>
              <w:pStyle w:val="Tabla"/>
              <w:jc w:val="center"/>
              <w:rPr>
                <w:rFonts w:ascii="Times New Roman" w:hAnsi="Times New Roman"/>
                <w:b/>
                <w:color w:val="auto"/>
                <w:lang w:val="es-DO"/>
              </w:rPr>
            </w:pPr>
            <w:r w:rsidRPr="00FA5324">
              <w:rPr>
                <w:rFonts w:ascii="Times New Roman" w:hAnsi="Times New Roman"/>
                <w:b/>
                <w:color w:val="auto"/>
                <w:lang w:val="es-DO"/>
              </w:rPr>
              <w:t>10</w:t>
            </w:r>
          </w:p>
        </w:tc>
        <w:tc>
          <w:tcPr>
            <w:tcW w:w="1280" w:type="dxa"/>
            <w:tcBorders>
              <w:top w:val="single" w:sz="8" w:space="0" w:color="auto"/>
              <w:left w:val="nil"/>
              <w:bottom w:val="nil"/>
              <w:right w:val="single" w:sz="8" w:space="0" w:color="auto"/>
            </w:tcBorders>
            <w:shd w:val="clear" w:color="auto" w:fill="AEAAAA" w:themeFill="background2" w:themeFillShade="BF"/>
            <w:vAlign w:val="bottom"/>
            <w:hideMark/>
          </w:tcPr>
          <w:p w:rsidR="00EA1F37" w:rsidRPr="00FA5324" w:rsidRDefault="00EA1F37" w:rsidP="00FA5324">
            <w:pPr>
              <w:pStyle w:val="Tabla"/>
              <w:jc w:val="center"/>
              <w:rPr>
                <w:rFonts w:ascii="Times New Roman" w:hAnsi="Times New Roman"/>
                <w:b/>
                <w:color w:val="auto"/>
                <w:lang w:val="es-DO"/>
              </w:rPr>
            </w:pPr>
            <w:r w:rsidRPr="00FA5324">
              <w:rPr>
                <w:rFonts w:ascii="Times New Roman" w:hAnsi="Times New Roman"/>
                <w:b/>
                <w:color w:val="auto"/>
                <w:lang w:val="es-DO"/>
              </w:rPr>
              <w:t>15</w:t>
            </w:r>
          </w:p>
        </w:tc>
      </w:tr>
      <w:tr w:rsidR="00A60F38" w:rsidRPr="008450F1" w:rsidTr="00AF0916">
        <w:trPr>
          <w:trHeight w:val="300"/>
          <w:jc w:val="center"/>
        </w:trPr>
        <w:tc>
          <w:tcPr>
            <w:tcW w:w="2240" w:type="dxa"/>
            <w:vMerge w:val="restart"/>
            <w:tcBorders>
              <w:top w:val="nil"/>
              <w:left w:val="single" w:sz="8" w:space="0" w:color="auto"/>
              <w:bottom w:val="single" w:sz="4" w:space="0" w:color="auto"/>
              <w:right w:val="single" w:sz="4" w:space="0" w:color="auto"/>
            </w:tcBorders>
            <w:shd w:val="clear" w:color="auto" w:fill="auto"/>
            <w:vAlign w:val="center"/>
            <w:hideMark/>
          </w:tcPr>
          <w:p w:rsidR="00444BE8" w:rsidRPr="00FA5324" w:rsidRDefault="00444BE8" w:rsidP="00AF0916">
            <w:pPr>
              <w:pStyle w:val="Tabla"/>
              <w:rPr>
                <w:rFonts w:ascii="Times New Roman" w:hAnsi="Times New Roman"/>
                <w:color w:val="auto"/>
                <w:lang w:val="es-DO"/>
              </w:rPr>
            </w:pPr>
            <w:r w:rsidRPr="008450F1">
              <w:rPr>
                <w:rFonts w:ascii="Times New Roman" w:hAnsi="Times New Roman"/>
                <w:color w:val="auto"/>
                <w:lang w:val="es-DO"/>
              </w:rPr>
              <w:t xml:space="preserve"> </w:t>
            </w:r>
            <w:r w:rsidRPr="00FA5324">
              <w:rPr>
                <w:rFonts w:ascii="Times New Roman" w:hAnsi="Times New Roman"/>
                <w:color w:val="auto"/>
                <w:lang w:val="es-DO"/>
              </w:rPr>
              <w:t xml:space="preserve">VPN @ </w:t>
            </w:r>
          </w:p>
        </w:tc>
        <w:tc>
          <w:tcPr>
            <w:tcW w:w="1780" w:type="dxa"/>
            <w:tcBorders>
              <w:top w:val="nil"/>
              <w:left w:val="nil"/>
              <w:bottom w:val="single" w:sz="4" w:space="0" w:color="auto"/>
              <w:right w:val="nil"/>
            </w:tcBorders>
            <w:shd w:val="clear" w:color="auto" w:fill="auto"/>
            <w:noWrap/>
            <w:vAlign w:val="bottom"/>
            <w:hideMark/>
          </w:tcPr>
          <w:p w:rsidR="00444BE8" w:rsidRPr="00FA5324" w:rsidRDefault="00444BE8" w:rsidP="00FA5324">
            <w:pPr>
              <w:pStyle w:val="Tabla"/>
              <w:jc w:val="center"/>
              <w:rPr>
                <w:rFonts w:ascii="Times New Roman" w:hAnsi="Times New Roman"/>
                <w:color w:val="auto"/>
                <w:lang w:val="es-DO"/>
              </w:rPr>
            </w:pPr>
            <w:r w:rsidRPr="00FA5324">
              <w:rPr>
                <w:rFonts w:ascii="Times New Roman" w:hAnsi="Times New Roman"/>
                <w:color w:val="auto"/>
                <w:lang w:val="es-DO"/>
              </w:rPr>
              <w:t>6%</w:t>
            </w:r>
          </w:p>
        </w:tc>
        <w:tc>
          <w:tcPr>
            <w:tcW w:w="1060" w:type="dxa"/>
            <w:tcBorders>
              <w:top w:val="single" w:sz="8" w:space="0" w:color="auto"/>
              <w:left w:val="single" w:sz="8" w:space="0" w:color="auto"/>
              <w:bottom w:val="single" w:sz="4" w:space="0" w:color="auto"/>
              <w:right w:val="single" w:sz="4"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FA5324">
              <w:rPr>
                <w:rFonts w:ascii="Times New Roman" w:hAnsi="Times New Roman"/>
                <w:color w:val="auto"/>
                <w:lang w:val="es-DO"/>
              </w:rPr>
              <w:t>-$</w:t>
            </w:r>
            <w:r w:rsidRPr="008450F1">
              <w:rPr>
                <w:rFonts w:ascii="Times New Roman" w:hAnsi="Times New Roman"/>
                <w:color w:val="auto"/>
                <w:lang w:val="es-DO"/>
              </w:rPr>
              <w:t>824</w:t>
            </w:r>
          </w:p>
        </w:tc>
        <w:tc>
          <w:tcPr>
            <w:tcW w:w="1060" w:type="dxa"/>
            <w:tcBorders>
              <w:top w:val="single" w:sz="8" w:space="0" w:color="auto"/>
              <w:left w:val="nil"/>
              <w:bottom w:val="single" w:sz="4" w:space="0" w:color="auto"/>
              <w:right w:val="single" w:sz="4"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8450F1">
              <w:rPr>
                <w:rFonts w:ascii="Times New Roman" w:hAnsi="Times New Roman"/>
                <w:color w:val="auto"/>
                <w:lang w:val="es-DO"/>
              </w:rPr>
              <w:t>-$1.042</w:t>
            </w:r>
          </w:p>
        </w:tc>
        <w:tc>
          <w:tcPr>
            <w:tcW w:w="1220" w:type="dxa"/>
            <w:tcBorders>
              <w:top w:val="single" w:sz="8" w:space="0" w:color="auto"/>
              <w:left w:val="nil"/>
              <w:bottom w:val="single" w:sz="4" w:space="0" w:color="auto"/>
              <w:right w:val="single" w:sz="4"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FA5324">
              <w:rPr>
                <w:rFonts w:ascii="Times New Roman" w:hAnsi="Times New Roman"/>
                <w:color w:val="auto"/>
                <w:lang w:val="es-DO"/>
              </w:rPr>
              <w:t>$</w:t>
            </w:r>
            <w:r w:rsidRPr="008450F1">
              <w:rPr>
                <w:rFonts w:ascii="Times New Roman" w:hAnsi="Times New Roman"/>
                <w:color w:val="auto"/>
                <w:lang w:val="es-DO"/>
              </w:rPr>
              <w:t>827</w:t>
            </w:r>
          </w:p>
        </w:tc>
        <w:tc>
          <w:tcPr>
            <w:tcW w:w="1280" w:type="dxa"/>
            <w:tcBorders>
              <w:top w:val="single" w:sz="8" w:space="0" w:color="auto"/>
              <w:left w:val="nil"/>
              <w:bottom w:val="single" w:sz="4" w:space="0" w:color="auto"/>
              <w:right w:val="single" w:sz="8"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FA5324">
              <w:rPr>
                <w:rFonts w:ascii="Times New Roman" w:hAnsi="Times New Roman"/>
                <w:color w:val="auto"/>
                <w:lang w:val="es-DO"/>
              </w:rPr>
              <w:t>$</w:t>
            </w:r>
            <w:r w:rsidRPr="008450F1">
              <w:rPr>
                <w:rFonts w:ascii="Times New Roman" w:hAnsi="Times New Roman"/>
                <w:color w:val="auto"/>
                <w:lang w:val="es-DO"/>
              </w:rPr>
              <w:t>7.779</w:t>
            </w:r>
          </w:p>
        </w:tc>
      </w:tr>
      <w:tr w:rsidR="00A60F38" w:rsidRPr="008450F1" w:rsidTr="00AF0916">
        <w:trPr>
          <w:trHeight w:val="300"/>
          <w:jc w:val="center"/>
        </w:trPr>
        <w:tc>
          <w:tcPr>
            <w:tcW w:w="2240" w:type="dxa"/>
            <w:vMerge/>
            <w:tcBorders>
              <w:top w:val="nil"/>
              <w:left w:val="single" w:sz="8" w:space="0" w:color="auto"/>
              <w:bottom w:val="single" w:sz="4" w:space="0" w:color="auto"/>
              <w:right w:val="single" w:sz="4" w:space="0" w:color="auto"/>
            </w:tcBorders>
            <w:vAlign w:val="center"/>
            <w:hideMark/>
          </w:tcPr>
          <w:p w:rsidR="00444BE8" w:rsidRPr="00FA5324" w:rsidRDefault="00444BE8" w:rsidP="00AF0916">
            <w:pPr>
              <w:pStyle w:val="Tabla"/>
              <w:rPr>
                <w:rFonts w:ascii="Times New Roman" w:hAnsi="Times New Roman"/>
                <w:color w:val="auto"/>
                <w:lang w:val="es-DO"/>
              </w:rPr>
            </w:pPr>
          </w:p>
        </w:tc>
        <w:tc>
          <w:tcPr>
            <w:tcW w:w="1780" w:type="dxa"/>
            <w:tcBorders>
              <w:top w:val="nil"/>
              <w:left w:val="nil"/>
              <w:bottom w:val="single" w:sz="4" w:space="0" w:color="auto"/>
              <w:right w:val="nil"/>
            </w:tcBorders>
            <w:shd w:val="clear" w:color="auto" w:fill="auto"/>
            <w:vAlign w:val="center"/>
            <w:hideMark/>
          </w:tcPr>
          <w:p w:rsidR="00444BE8" w:rsidRPr="00FA5324" w:rsidRDefault="00444BE8" w:rsidP="00FA5324">
            <w:pPr>
              <w:pStyle w:val="Tabla"/>
              <w:jc w:val="center"/>
              <w:rPr>
                <w:rFonts w:ascii="Times New Roman" w:hAnsi="Times New Roman"/>
                <w:color w:val="auto"/>
                <w:lang w:val="es-DO"/>
              </w:rPr>
            </w:pPr>
            <w:r w:rsidRPr="00FA5324">
              <w:rPr>
                <w:rFonts w:ascii="Times New Roman" w:hAnsi="Times New Roman"/>
                <w:color w:val="auto"/>
                <w:lang w:val="es-DO"/>
              </w:rPr>
              <w:t>24%</w:t>
            </w:r>
          </w:p>
        </w:tc>
        <w:tc>
          <w:tcPr>
            <w:tcW w:w="1060" w:type="dxa"/>
            <w:tcBorders>
              <w:top w:val="nil"/>
              <w:left w:val="single" w:sz="8" w:space="0" w:color="auto"/>
              <w:bottom w:val="single" w:sz="4" w:space="0" w:color="auto"/>
              <w:right w:val="single" w:sz="4"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FA5324">
              <w:rPr>
                <w:rFonts w:ascii="Times New Roman" w:hAnsi="Times New Roman"/>
                <w:color w:val="auto"/>
                <w:lang w:val="es-DO"/>
              </w:rPr>
              <w:t>-$</w:t>
            </w:r>
            <w:r w:rsidRPr="008450F1">
              <w:rPr>
                <w:rFonts w:ascii="Times New Roman" w:hAnsi="Times New Roman"/>
                <w:color w:val="auto"/>
                <w:lang w:val="es-DO"/>
              </w:rPr>
              <w:t>624</w:t>
            </w:r>
          </w:p>
        </w:tc>
        <w:tc>
          <w:tcPr>
            <w:tcW w:w="1060" w:type="dxa"/>
            <w:tcBorders>
              <w:top w:val="nil"/>
              <w:left w:val="nil"/>
              <w:bottom w:val="single" w:sz="4" w:space="0" w:color="auto"/>
              <w:right w:val="single" w:sz="4"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8450F1">
              <w:rPr>
                <w:rFonts w:ascii="Times New Roman" w:hAnsi="Times New Roman"/>
                <w:color w:val="auto"/>
                <w:lang w:val="es-DO"/>
              </w:rPr>
              <w:t>-$720</w:t>
            </w:r>
          </w:p>
        </w:tc>
        <w:tc>
          <w:tcPr>
            <w:tcW w:w="1220" w:type="dxa"/>
            <w:tcBorders>
              <w:top w:val="nil"/>
              <w:left w:val="nil"/>
              <w:bottom w:val="single" w:sz="4" w:space="0" w:color="auto"/>
              <w:right w:val="single" w:sz="4"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8450F1">
              <w:rPr>
                <w:rFonts w:ascii="Times New Roman" w:hAnsi="Times New Roman"/>
                <w:color w:val="auto"/>
                <w:lang w:val="es-DO"/>
              </w:rPr>
              <w:t>-$267</w:t>
            </w:r>
          </w:p>
        </w:tc>
        <w:tc>
          <w:tcPr>
            <w:tcW w:w="1280" w:type="dxa"/>
            <w:tcBorders>
              <w:top w:val="nil"/>
              <w:left w:val="nil"/>
              <w:bottom w:val="single" w:sz="4" w:space="0" w:color="auto"/>
              <w:right w:val="single" w:sz="8"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FA5324">
              <w:rPr>
                <w:rFonts w:ascii="Times New Roman" w:hAnsi="Times New Roman"/>
                <w:color w:val="auto"/>
                <w:lang w:val="es-DO"/>
              </w:rPr>
              <w:t>$</w:t>
            </w:r>
            <w:r w:rsidRPr="008450F1">
              <w:rPr>
                <w:rFonts w:ascii="Times New Roman" w:hAnsi="Times New Roman"/>
                <w:color w:val="auto"/>
                <w:lang w:val="es-DO"/>
              </w:rPr>
              <w:t>433</w:t>
            </w:r>
          </w:p>
        </w:tc>
      </w:tr>
      <w:tr w:rsidR="00A60F38" w:rsidRPr="008450F1" w:rsidTr="00AF0916">
        <w:trPr>
          <w:trHeight w:val="300"/>
          <w:jc w:val="center"/>
        </w:trPr>
        <w:tc>
          <w:tcPr>
            <w:tcW w:w="2240" w:type="dxa"/>
            <w:vMerge/>
            <w:tcBorders>
              <w:top w:val="nil"/>
              <w:left w:val="single" w:sz="8" w:space="0" w:color="auto"/>
              <w:bottom w:val="single" w:sz="4" w:space="0" w:color="auto"/>
              <w:right w:val="single" w:sz="4" w:space="0" w:color="auto"/>
            </w:tcBorders>
            <w:vAlign w:val="center"/>
            <w:hideMark/>
          </w:tcPr>
          <w:p w:rsidR="00444BE8" w:rsidRPr="00FA5324" w:rsidRDefault="00444BE8" w:rsidP="00AF0916">
            <w:pPr>
              <w:pStyle w:val="Tabla"/>
              <w:rPr>
                <w:rFonts w:ascii="Times New Roman" w:hAnsi="Times New Roman"/>
                <w:color w:val="auto"/>
                <w:lang w:val="es-DO"/>
              </w:rPr>
            </w:pPr>
          </w:p>
        </w:tc>
        <w:tc>
          <w:tcPr>
            <w:tcW w:w="1780" w:type="dxa"/>
            <w:tcBorders>
              <w:top w:val="nil"/>
              <w:left w:val="nil"/>
              <w:bottom w:val="single" w:sz="4" w:space="0" w:color="auto"/>
              <w:right w:val="nil"/>
            </w:tcBorders>
            <w:shd w:val="clear" w:color="auto" w:fill="auto"/>
            <w:vAlign w:val="center"/>
            <w:hideMark/>
          </w:tcPr>
          <w:p w:rsidR="00444BE8" w:rsidRPr="00FA5324" w:rsidRDefault="00444BE8" w:rsidP="00FA5324">
            <w:pPr>
              <w:pStyle w:val="Tabla"/>
              <w:jc w:val="center"/>
              <w:rPr>
                <w:rFonts w:ascii="Times New Roman" w:hAnsi="Times New Roman"/>
                <w:color w:val="auto"/>
                <w:lang w:val="es-DO"/>
              </w:rPr>
            </w:pPr>
            <w:r w:rsidRPr="00FA5324">
              <w:rPr>
                <w:rFonts w:ascii="Times New Roman" w:hAnsi="Times New Roman"/>
                <w:color w:val="auto"/>
                <w:lang w:val="es-DO"/>
              </w:rPr>
              <w:t>36%</w:t>
            </w:r>
          </w:p>
        </w:tc>
        <w:tc>
          <w:tcPr>
            <w:tcW w:w="1060" w:type="dxa"/>
            <w:tcBorders>
              <w:top w:val="nil"/>
              <w:left w:val="single" w:sz="8" w:space="0" w:color="auto"/>
              <w:bottom w:val="single" w:sz="4" w:space="0" w:color="auto"/>
              <w:right w:val="single" w:sz="4"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FA5324">
              <w:rPr>
                <w:rFonts w:ascii="Times New Roman" w:hAnsi="Times New Roman"/>
                <w:color w:val="auto"/>
                <w:lang w:val="es-DO"/>
              </w:rPr>
              <w:t>-$</w:t>
            </w:r>
            <w:r w:rsidRPr="008450F1">
              <w:rPr>
                <w:rFonts w:ascii="Times New Roman" w:hAnsi="Times New Roman"/>
                <w:color w:val="auto"/>
                <w:lang w:val="es-DO"/>
              </w:rPr>
              <w:t>533</w:t>
            </w:r>
          </w:p>
        </w:tc>
        <w:tc>
          <w:tcPr>
            <w:tcW w:w="1060" w:type="dxa"/>
            <w:tcBorders>
              <w:top w:val="nil"/>
              <w:left w:val="nil"/>
              <w:bottom w:val="single" w:sz="4" w:space="0" w:color="auto"/>
              <w:right w:val="single" w:sz="4"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8450F1">
              <w:rPr>
                <w:rFonts w:ascii="Times New Roman" w:hAnsi="Times New Roman"/>
                <w:color w:val="auto"/>
                <w:lang w:val="es-DO"/>
              </w:rPr>
              <w:t>-$593</w:t>
            </w:r>
          </w:p>
        </w:tc>
        <w:tc>
          <w:tcPr>
            <w:tcW w:w="1220" w:type="dxa"/>
            <w:tcBorders>
              <w:top w:val="nil"/>
              <w:left w:val="nil"/>
              <w:bottom w:val="single" w:sz="4" w:space="0" w:color="auto"/>
              <w:right w:val="single" w:sz="4"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8450F1">
              <w:rPr>
                <w:rFonts w:ascii="Times New Roman" w:hAnsi="Times New Roman"/>
                <w:color w:val="auto"/>
                <w:lang w:val="es-DO"/>
              </w:rPr>
              <w:t>-$324</w:t>
            </w:r>
          </w:p>
        </w:tc>
        <w:tc>
          <w:tcPr>
            <w:tcW w:w="1280" w:type="dxa"/>
            <w:tcBorders>
              <w:top w:val="nil"/>
              <w:left w:val="nil"/>
              <w:bottom w:val="single" w:sz="4" w:space="0" w:color="auto"/>
              <w:right w:val="single" w:sz="8" w:space="0" w:color="auto"/>
            </w:tcBorders>
            <w:shd w:val="clear" w:color="auto" w:fill="auto"/>
            <w:hideMark/>
          </w:tcPr>
          <w:p w:rsidR="00444BE8" w:rsidRPr="00FA5324" w:rsidRDefault="00444BE8" w:rsidP="00FA5324">
            <w:pPr>
              <w:pStyle w:val="Tabla"/>
              <w:jc w:val="center"/>
              <w:rPr>
                <w:rFonts w:ascii="Times New Roman" w:hAnsi="Times New Roman"/>
                <w:color w:val="auto"/>
                <w:lang w:val="es-DO"/>
              </w:rPr>
            </w:pPr>
            <w:r w:rsidRPr="008450F1">
              <w:rPr>
                <w:rFonts w:ascii="Times New Roman" w:hAnsi="Times New Roman"/>
                <w:color w:val="auto"/>
                <w:lang w:val="es-DO"/>
              </w:rPr>
              <w:t>-$226</w:t>
            </w:r>
          </w:p>
        </w:tc>
      </w:tr>
      <w:tr w:rsidR="00EA1F37" w:rsidRPr="008450F1" w:rsidTr="00FA5324">
        <w:trPr>
          <w:trHeight w:val="315"/>
          <w:jc w:val="center"/>
        </w:trPr>
        <w:tc>
          <w:tcPr>
            <w:tcW w:w="402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EA1F37" w:rsidRPr="00FA5324" w:rsidRDefault="00EA1F37" w:rsidP="00AF0916">
            <w:pPr>
              <w:pStyle w:val="Tabla"/>
              <w:rPr>
                <w:rFonts w:ascii="Times New Roman" w:hAnsi="Times New Roman"/>
                <w:color w:val="auto"/>
                <w:lang w:val="es-DO"/>
              </w:rPr>
            </w:pPr>
            <w:r w:rsidRPr="008450F1">
              <w:rPr>
                <w:rFonts w:ascii="Times New Roman" w:hAnsi="Times New Roman"/>
                <w:color w:val="auto"/>
                <w:lang w:val="es-DO"/>
              </w:rPr>
              <w:t xml:space="preserve"> </w:t>
            </w:r>
            <w:r w:rsidRPr="00FA5324">
              <w:rPr>
                <w:rFonts w:ascii="Times New Roman" w:hAnsi="Times New Roman"/>
                <w:color w:val="auto"/>
                <w:lang w:val="es-DO"/>
              </w:rPr>
              <w:t xml:space="preserve">TIR </w:t>
            </w:r>
          </w:p>
        </w:tc>
        <w:tc>
          <w:tcPr>
            <w:tcW w:w="1060" w:type="dxa"/>
            <w:tcBorders>
              <w:top w:val="nil"/>
              <w:left w:val="single" w:sz="4" w:space="0" w:color="auto"/>
              <w:bottom w:val="single" w:sz="8" w:space="0" w:color="auto"/>
              <w:right w:val="single" w:sz="8" w:space="0" w:color="auto"/>
            </w:tcBorders>
            <w:shd w:val="clear" w:color="auto" w:fill="auto"/>
            <w:vAlign w:val="center"/>
            <w:hideMark/>
          </w:tcPr>
          <w:p w:rsidR="00EA1F37" w:rsidRPr="00FA5324" w:rsidRDefault="00EA1F37" w:rsidP="00AF0916">
            <w:pPr>
              <w:pStyle w:val="Tabla"/>
              <w:rPr>
                <w:rFonts w:ascii="Times New Roman" w:hAnsi="Times New Roman"/>
                <w:color w:val="auto"/>
                <w:lang w:val="es-DO"/>
              </w:rPr>
            </w:pPr>
            <w:r w:rsidRPr="008450F1">
              <w:rPr>
                <w:rFonts w:ascii="Times New Roman" w:hAnsi="Times New Roman"/>
                <w:color w:val="auto"/>
                <w:lang w:val="es-DO"/>
              </w:rPr>
              <w:t> </w:t>
            </w:r>
          </w:p>
        </w:tc>
        <w:tc>
          <w:tcPr>
            <w:tcW w:w="1060" w:type="dxa"/>
            <w:tcBorders>
              <w:top w:val="nil"/>
              <w:left w:val="single" w:sz="4" w:space="0" w:color="auto"/>
              <w:bottom w:val="single" w:sz="8" w:space="0" w:color="auto"/>
              <w:right w:val="single" w:sz="8" w:space="0" w:color="auto"/>
            </w:tcBorders>
            <w:shd w:val="clear" w:color="auto" w:fill="auto"/>
            <w:vAlign w:val="center"/>
            <w:hideMark/>
          </w:tcPr>
          <w:p w:rsidR="00EA1F37" w:rsidRPr="00FA5324" w:rsidRDefault="00EA1F37" w:rsidP="00AF0916">
            <w:pPr>
              <w:pStyle w:val="Tabla"/>
              <w:rPr>
                <w:rFonts w:ascii="Times New Roman" w:hAnsi="Times New Roman"/>
                <w:color w:val="auto"/>
                <w:lang w:val="es-DO"/>
              </w:rPr>
            </w:pPr>
            <w:r w:rsidRPr="008450F1">
              <w:rPr>
                <w:rFonts w:ascii="Times New Roman" w:hAnsi="Times New Roman"/>
                <w:color w:val="auto"/>
                <w:lang w:val="es-DO"/>
              </w:rPr>
              <w:t> </w:t>
            </w:r>
          </w:p>
        </w:tc>
        <w:tc>
          <w:tcPr>
            <w:tcW w:w="1220" w:type="dxa"/>
            <w:tcBorders>
              <w:top w:val="nil"/>
              <w:left w:val="single" w:sz="4" w:space="0" w:color="auto"/>
              <w:bottom w:val="single" w:sz="8" w:space="0" w:color="auto"/>
              <w:right w:val="single" w:sz="8" w:space="0" w:color="auto"/>
            </w:tcBorders>
            <w:shd w:val="clear" w:color="auto" w:fill="auto"/>
            <w:vAlign w:val="center"/>
            <w:hideMark/>
          </w:tcPr>
          <w:p w:rsidR="00EA1F37" w:rsidRPr="00FA5324" w:rsidRDefault="00444BE8" w:rsidP="00FA5324">
            <w:pPr>
              <w:pStyle w:val="Tabla"/>
              <w:jc w:val="center"/>
              <w:rPr>
                <w:rFonts w:ascii="Times New Roman" w:hAnsi="Times New Roman"/>
                <w:color w:val="auto"/>
                <w:lang w:val="es-DO"/>
              </w:rPr>
            </w:pPr>
            <w:r w:rsidRPr="008450F1">
              <w:rPr>
                <w:rFonts w:ascii="Times New Roman" w:hAnsi="Times New Roman"/>
                <w:color w:val="auto"/>
                <w:lang w:val="es-DO"/>
              </w:rPr>
              <w:t>5</w:t>
            </w:r>
            <w:r w:rsidR="00EA1F37" w:rsidRPr="00FA5324">
              <w:rPr>
                <w:rFonts w:ascii="Times New Roman" w:hAnsi="Times New Roman"/>
                <w:color w:val="auto"/>
                <w:lang w:val="es-DO"/>
              </w:rPr>
              <w:t>%</w:t>
            </w:r>
          </w:p>
        </w:tc>
        <w:tc>
          <w:tcPr>
            <w:tcW w:w="1280" w:type="dxa"/>
            <w:tcBorders>
              <w:top w:val="nil"/>
              <w:left w:val="single" w:sz="4" w:space="0" w:color="auto"/>
              <w:bottom w:val="single" w:sz="8" w:space="0" w:color="auto"/>
              <w:right w:val="single" w:sz="8" w:space="0" w:color="auto"/>
            </w:tcBorders>
            <w:shd w:val="clear" w:color="auto" w:fill="auto"/>
            <w:vAlign w:val="center"/>
            <w:hideMark/>
          </w:tcPr>
          <w:p w:rsidR="00EA1F37" w:rsidRPr="00FA5324" w:rsidRDefault="00444BE8" w:rsidP="00FA5324">
            <w:pPr>
              <w:pStyle w:val="Tabla"/>
              <w:jc w:val="center"/>
              <w:rPr>
                <w:rFonts w:ascii="Times New Roman" w:hAnsi="Times New Roman"/>
                <w:color w:val="auto"/>
                <w:lang w:val="es-DO"/>
              </w:rPr>
            </w:pPr>
            <w:r w:rsidRPr="008450F1">
              <w:rPr>
                <w:rFonts w:ascii="Times New Roman" w:hAnsi="Times New Roman"/>
                <w:color w:val="auto"/>
                <w:lang w:val="es-DO"/>
              </w:rPr>
              <w:t>30</w:t>
            </w:r>
            <w:r w:rsidR="00EA1F37" w:rsidRPr="00FA5324">
              <w:rPr>
                <w:rFonts w:ascii="Times New Roman" w:hAnsi="Times New Roman"/>
                <w:color w:val="auto"/>
                <w:lang w:val="es-DO"/>
              </w:rPr>
              <w:t>%</w:t>
            </w:r>
          </w:p>
        </w:tc>
      </w:tr>
    </w:tbl>
    <w:p w:rsidR="00EA1F37" w:rsidRPr="00FA5324" w:rsidRDefault="00EA1F37" w:rsidP="00FA5324">
      <w:pPr>
        <w:spacing w:after="0" w:line="240" w:lineRule="auto"/>
        <w:rPr>
          <w:lang w:val="es-DO"/>
        </w:rPr>
      </w:pPr>
    </w:p>
    <w:p w:rsidR="008C4E7C" w:rsidRPr="00FA5324" w:rsidRDefault="008C4E7C" w:rsidP="00FA5324">
      <w:pPr>
        <w:spacing w:after="0" w:line="240" w:lineRule="auto"/>
        <w:rPr>
          <w:lang w:val="es-DO"/>
        </w:rPr>
      </w:pPr>
      <w:r w:rsidRPr="00FA5324">
        <w:rPr>
          <w:lang w:val="es-DO"/>
        </w:rPr>
        <w:t xml:space="preserve">En la </w:t>
      </w:r>
      <w:r w:rsidR="00AC7DEF" w:rsidRPr="008450F1">
        <w:rPr>
          <w:lang w:val="es-DO"/>
        </w:rPr>
        <w:fldChar w:fldCharType="begin"/>
      </w:r>
      <w:r w:rsidR="00AC7DEF" w:rsidRPr="008450F1">
        <w:rPr>
          <w:lang w:val="es-DO"/>
        </w:rPr>
        <w:instrText xml:space="preserve"> REF _Ref399140163 \h </w:instrText>
      </w:r>
      <w:r w:rsidR="00C62A67" w:rsidRPr="008450F1">
        <w:rPr>
          <w:lang w:val="es-DO"/>
        </w:rPr>
        <w:instrText xml:space="preserve"> \* MERGEFORMAT </w:instrText>
      </w:r>
      <w:r w:rsidR="00AC7DEF" w:rsidRPr="008450F1">
        <w:rPr>
          <w:lang w:val="es-DO"/>
        </w:rPr>
      </w:r>
      <w:r w:rsidR="00AC7DEF" w:rsidRPr="008450F1">
        <w:rPr>
          <w:lang w:val="es-DO"/>
        </w:rPr>
        <w:fldChar w:fldCharType="separate"/>
      </w:r>
      <w:r w:rsidR="00A04D48" w:rsidRPr="008450F1">
        <w:rPr>
          <w:lang w:val="es-DO"/>
        </w:rPr>
        <w:t xml:space="preserve">Tabla </w:t>
      </w:r>
      <w:r w:rsidR="00A04D48" w:rsidRPr="008450F1">
        <w:rPr>
          <w:noProof/>
          <w:lang w:val="es-DO"/>
        </w:rPr>
        <w:t>12</w:t>
      </w:r>
      <w:r w:rsidR="00AC7DEF" w:rsidRPr="008450F1">
        <w:rPr>
          <w:lang w:val="es-DO"/>
        </w:rPr>
        <w:fldChar w:fldCharType="end"/>
      </w:r>
      <w:r w:rsidR="00A07644" w:rsidRPr="00FA5324">
        <w:rPr>
          <w:lang w:val="es-DO"/>
        </w:rPr>
        <w:t xml:space="preserve"> </w:t>
      </w:r>
      <w:r w:rsidRPr="00FA5324">
        <w:rPr>
          <w:lang w:val="es-DO"/>
        </w:rPr>
        <w:t>se presenta un análisis de sensibilidad bi</w:t>
      </w:r>
      <w:r w:rsidR="00160DA0" w:rsidRPr="008450F1">
        <w:rPr>
          <w:lang w:val="es-DO"/>
        </w:rPr>
        <w:t>-</w:t>
      </w:r>
      <w:r w:rsidRPr="00FA5324">
        <w:rPr>
          <w:lang w:val="es-DO"/>
        </w:rPr>
        <w:t>variado para la TIR</w:t>
      </w:r>
      <w:r w:rsidR="00673BF6" w:rsidRPr="00FA5324">
        <w:rPr>
          <w:lang w:val="es-DO"/>
        </w:rPr>
        <w:t>, d</w:t>
      </w:r>
      <w:r w:rsidRPr="00FA5324">
        <w:rPr>
          <w:lang w:val="es-DO"/>
        </w:rPr>
        <w:t xml:space="preserve">onde se modifica dentro de un amplio rango el </w:t>
      </w:r>
      <w:r w:rsidR="00F32445" w:rsidRPr="008450F1">
        <w:rPr>
          <w:lang w:val="es-DO"/>
        </w:rPr>
        <w:t>factor aplicado a</w:t>
      </w:r>
      <w:r w:rsidR="00F32445" w:rsidRPr="00FA5324">
        <w:rPr>
          <w:lang w:val="es-DO"/>
        </w:rPr>
        <w:t xml:space="preserve"> los </w:t>
      </w:r>
      <w:r w:rsidR="00F32445" w:rsidRPr="008450F1">
        <w:rPr>
          <w:lang w:val="es-DO"/>
        </w:rPr>
        <w:t>porcentajes del caso</w:t>
      </w:r>
      <w:r w:rsidR="00F32445" w:rsidRPr="00FA5324">
        <w:rPr>
          <w:lang w:val="es-DO"/>
        </w:rPr>
        <w:t xml:space="preserve"> de </w:t>
      </w:r>
      <w:r w:rsidR="00F32445" w:rsidRPr="008450F1">
        <w:rPr>
          <w:lang w:val="es-DO"/>
        </w:rPr>
        <w:t xml:space="preserve">Chile para estimar el crecimiento del </w:t>
      </w:r>
      <w:r w:rsidR="00F32445" w:rsidRPr="00FA5324">
        <w:rPr>
          <w:lang w:val="es-DO"/>
        </w:rPr>
        <w:t xml:space="preserve">PIB </w:t>
      </w:r>
      <w:r w:rsidR="00F32445" w:rsidRPr="008450F1">
        <w:rPr>
          <w:lang w:val="es-DO"/>
        </w:rPr>
        <w:t xml:space="preserve">por los Canales 1 </w:t>
      </w:r>
      <w:r w:rsidR="00F32445" w:rsidRPr="00FA5324">
        <w:rPr>
          <w:lang w:val="es-DO"/>
        </w:rPr>
        <w:t xml:space="preserve">y </w:t>
      </w:r>
      <w:r w:rsidR="00F32445" w:rsidRPr="008450F1">
        <w:rPr>
          <w:lang w:val="es-DO"/>
        </w:rPr>
        <w:t>2</w:t>
      </w:r>
      <w:r w:rsidRPr="00FA5324">
        <w:rPr>
          <w:lang w:val="es-DO"/>
        </w:rPr>
        <w:t>.</w:t>
      </w:r>
      <w:r w:rsidR="00F01FB8" w:rsidRPr="00FA5324">
        <w:rPr>
          <w:lang w:val="es-DO"/>
        </w:rPr>
        <w:t xml:space="preserve"> El caso base es el que se encuentra en negrilla sub rayado.</w:t>
      </w:r>
      <w:r w:rsidRPr="00FA5324">
        <w:rPr>
          <w:lang w:val="es-DO"/>
        </w:rPr>
        <w:t xml:space="preserve"> Se observa que el modelo es más sensible a </w:t>
      </w:r>
      <w:r w:rsidR="00F32445" w:rsidRPr="00FA5324">
        <w:rPr>
          <w:lang w:val="es-DO"/>
        </w:rPr>
        <w:t xml:space="preserve">la </w:t>
      </w:r>
      <w:r w:rsidR="00F32445" w:rsidRPr="008450F1">
        <w:rPr>
          <w:lang w:val="es-DO"/>
        </w:rPr>
        <w:t>modificación</w:t>
      </w:r>
      <w:r w:rsidR="00F32445" w:rsidRPr="00FA5324">
        <w:rPr>
          <w:lang w:val="es-DO"/>
        </w:rPr>
        <w:t xml:space="preserve"> del </w:t>
      </w:r>
      <w:r w:rsidR="00F32445" w:rsidRPr="008450F1">
        <w:rPr>
          <w:lang w:val="es-DO"/>
        </w:rPr>
        <w:t>factor</w:t>
      </w:r>
      <w:r w:rsidR="00F32445" w:rsidRPr="00FA5324">
        <w:rPr>
          <w:lang w:val="es-DO"/>
        </w:rPr>
        <w:t xml:space="preserve"> para </w:t>
      </w:r>
      <w:r w:rsidR="00F32445" w:rsidRPr="008450F1">
        <w:rPr>
          <w:lang w:val="es-DO"/>
        </w:rPr>
        <w:t>Canal 2</w:t>
      </w:r>
      <w:r w:rsidRPr="00FA5324">
        <w:rPr>
          <w:lang w:val="es-DO"/>
        </w:rPr>
        <w:t>. Sin embargo</w:t>
      </w:r>
      <w:r w:rsidR="00A07644" w:rsidRPr="00FA5324">
        <w:rPr>
          <w:lang w:val="es-DO"/>
        </w:rPr>
        <w:t>,</w:t>
      </w:r>
      <w:r w:rsidRPr="00FA5324">
        <w:rPr>
          <w:lang w:val="es-DO"/>
        </w:rPr>
        <w:t xml:space="preserve"> en el peor escenario la TIR es superior </w:t>
      </w:r>
      <w:r w:rsidR="00A07644" w:rsidRPr="00FA5324">
        <w:rPr>
          <w:lang w:val="es-DO"/>
        </w:rPr>
        <w:t xml:space="preserve">a </w:t>
      </w:r>
      <w:r w:rsidRPr="00FA5324">
        <w:rPr>
          <w:lang w:val="es-DO"/>
        </w:rPr>
        <w:t>la tasa de descuento recomendada.</w:t>
      </w:r>
    </w:p>
    <w:p w:rsidR="00013320" w:rsidRPr="008450F1" w:rsidRDefault="00013320" w:rsidP="00AF0916">
      <w:pPr>
        <w:pStyle w:val="Caption"/>
        <w:keepNext/>
        <w:spacing w:after="0"/>
        <w:rPr>
          <w:color w:val="auto"/>
          <w:lang w:val="es-DO"/>
        </w:rPr>
      </w:pPr>
      <w:bookmarkStart w:id="35" w:name="_Ref399140163"/>
    </w:p>
    <w:p w:rsidR="001C6EBE" w:rsidRPr="00FA5324" w:rsidRDefault="00AC7DEF" w:rsidP="00FA5324">
      <w:pPr>
        <w:pStyle w:val="Caption"/>
        <w:keepNext/>
        <w:spacing w:after="0"/>
        <w:jc w:val="center"/>
        <w:rPr>
          <w:lang w:val="es-DO"/>
        </w:rPr>
      </w:pPr>
      <w:r w:rsidRPr="00FA5324">
        <w:rPr>
          <w:i w:val="0"/>
          <w:color w:val="auto"/>
          <w:lang w:val="es-DO"/>
        </w:rPr>
        <w:t xml:space="preserve">Tabla </w:t>
      </w:r>
      <w:r w:rsidR="00BC2072" w:rsidRPr="00FA5324">
        <w:rPr>
          <w:i w:val="0"/>
          <w:color w:val="auto"/>
          <w:lang w:val="es-DO"/>
        </w:rPr>
        <w:fldChar w:fldCharType="begin"/>
      </w:r>
      <w:r w:rsidR="00BC2072" w:rsidRPr="008450F1">
        <w:rPr>
          <w:i w:val="0"/>
          <w:color w:val="auto"/>
          <w:lang w:val="es-DO"/>
        </w:rPr>
        <w:instrText xml:space="preserve"> SEQ Tabla \* ARABIC </w:instrText>
      </w:r>
      <w:r w:rsidR="00BC2072" w:rsidRPr="00FA5324">
        <w:rPr>
          <w:i w:val="0"/>
          <w:color w:val="auto"/>
          <w:lang w:val="es-DO"/>
        </w:rPr>
        <w:fldChar w:fldCharType="separate"/>
      </w:r>
      <w:r w:rsidR="00A04D48" w:rsidRPr="008450F1">
        <w:rPr>
          <w:i w:val="0"/>
          <w:noProof/>
          <w:color w:val="auto"/>
          <w:lang w:val="es-DO"/>
        </w:rPr>
        <w:t>12</w:t>
      </w:r>
      <w:r w:rsidR="00BC2072" w:rsidRPr="00FA5324">
        <w:rPr>
          <w:i w:val="0"/>
          <w:color w:val="auto"/>
          <w:lang w:val="es-DO"/>
        </w:rPr>
        <w:fldChar w:fldCharType="end"/>
      </w:r>
      <w:bookmarkEnd w:id="35"/>
      <w:r w:rsidRPr="00FA5324">
        <w:rPr>
          <w:i w:val="0"/>
          <w:color w:val="auto"/>
          <w:lang w:val="es-DO"/>
        </w:rPr>
        <w:t>. Análisis de sensibilidad</w:t>
      </w:r>
    </w:p>
    <w:p w:rsidR="001C6EBE" w:rsidRPr="008450F1" w:rsidRDefault="001C6EBE" w:rsidP="00AF0916">
      <w:pPr>
        <w:spacing w:after="0" w:line="240" w:lineRule="auto"/>
        <w:rPr>
          <w:lang w:val="es-DO"/>
        </w:rPr>
      </w:pPr>
      <w:r w:rsidRPr="008450F1">
        <w:rPr>
          <w:noProof/>
          <w:lang w:val="en-US" w:eastAsia="en-US"/>
        </w:rPr>
        <w:drawing>
          <wp:inline distT="0" distB="0" distL="0" distR="0" wp14:anchorId="2FDE5104" wp14:editId="7ED6CF6E">
            <wp:extent cx="5824855" cy="2840140"/>
            <wp:effectExtent l="0" t="0" r="444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4855" cy="2840140"/>
                    </a:xfrm>
                    <a:prstGeom prst="rect">
                      <a:avLst/>
                    </a:prstGeom>
                    <a:noFill/>
                    <a:ln>
                      <a:noFill/>
                    </a:ln>
                  </pic:spPr>
                </pic:pic>
              </a:graphicData>
            </a:graphic>
          </wp:inline>
        </w:drawing>
      </w:r>
    </w:p>
    <w:p w:rsidR="008B48E7" w:rsidRPr="008450F1" w:rsidRDefault="008B48E7" w:rsidP="00AF0916">
      <w:pPr>
        <w:spacing w:after="0" w:line="240" w:lineRule="auto"/>
        <w:rPr>
          <w:lang w:val="es-DO"/>
        </w:rPr>
      </w:pPr>
    </w:p>
    <w:p w:rsidR="000013A7" w:rsidRPr="00FA5324" w:rsidRDefault="000013A7" w:rsidP="00FA5324">
      <w:pPr>
        <w:spacing w:after="0" w:line="240" w:lineRule="auto"/>
        <w:rPr>
          <w:lang w:val="es-DO"/>
        </w:rPr>
      </w:pPr>
      <w:r w:rsidRPr="00FA5324">
        <w:rPr>
          <w:lang w:val="es-DO"/>
        </w:rPr>
        <w:t xml:space="preserve">En la </w:t>
      </w:r>
      <w:r w:rsidR="00005565" w:rsidRPr="008450F1">
        <w:rPr>
          <w:lang w:val="es-DO"/>
        </w:rPr>
        <w:fldChar w:fldCharType="begin"/>
      </w:r>
      <w:r w:rsidR="00005565" w:rsidRPr="008450F1">
        <w:rPr>
          <w:lang w:val="es-DO"/>
        </w:rPr>
        <w:instrText xml:space="preserve"> REF _Ref399959744 \h </w:instrText>
      </w:r>
      <w:r w:rsidR="00C62A67" w:rsidRPr="008450F1">
        <w:rPr>
          <w:lang w:val="es-DO"/>
        </w:rPr>
        <w:instrText xml:space="preserve"> \* MERGEFORMAT </w:instrText>
      </w:r>
      <w:r w:rsidR="00005565" w:rsidRPr="008450F1">
        <w:rPr>
          <w:lang w:val="es-DO"/>
        </w:rPr>
      </w:r>
      <w:r w:rsidR="00005565" w:rsidRPr="008450F1">
        <w:rPr>
          <w:lang w:val="es-DO"/>
        </w:rPr>
        <w:fldChar w:fldCharType="separate"/>
      </w:r>
      <w:r w:rsidR="00160DA0" w:rsidRPr="008450F1">
        <w:rPr>
          <w:lang w:val="es-DO"/>
        </w:rPr>
        <w:t xml:space="preserve">Tabla </w:t>
      </w:r>
      <w:r w:rsidR="00160DA0" w:rsidRPr="008450F1">
        <w:rPr>
          <w:noProof/>
          <w:lang w:val="es-DO"/>
        </w:rPr>
        <w:t>13</w:t>
      </w:r>
      <w:r w:rsidR="00005565" w:rsidRPr="008450F1">
        <w:rPr>
          <w:lang w:val="es-DO"/>
        </w:rPr>
        <w:fldChar w:fldCharType="end"/>
      </w:r>
      <w:r w:rsidR="00673BF6" w:rsidRPr="00FA5324">
        <w:rPr>
          <w:lang w:val="es-DO"/>
        </w:rPr>
        <w:t xml:space="preserve"> </w:t>
      </w:r>
      <w:r w:rsidRPr="00FA5324">
        <w:rPr>
          <w:lang w:val="es-DO"/>
        </w:rPr>
        <w:t>se presenta un análisis de sensibilidad bi</w:t>
      </w:r>
      <w:r w:rsidR="00160DA0" w:rsidRPr="008450F1">
        <w:rPr>
          <w:lang w:val="es-DO"/>
        </w:rPr>
        <w:t>-</w:t>
      </w:r>
      <w:r w:rsidRPr="00FA5324">
        <w:rPr>
          <w:lang w:val="es-DO"/>
        </w:rPr>
        <w:t>variado donde se evaluar</w:t>
      </w:r>
      <w:r w:rsidR="00AC7DEF" w:rsidRPr="00FA5324">
        <w:rPr>
          <w:lang w:val="es-DO"/>
        </w:rPr>
        <w:t>á</w:t>
      </w:r>
      <w:r w:rsidRPr="00FA5324">
        <w:rPr>
          <w:lang w:val="es-DO"/>
        </w:rPr>
        <w:t xml:space="preserve"> la TIR. Para diferentes niveles de beneficios y costos. Para esto los costos fueron </w:t>
      </w:r>
      <w:r w:rsidR="007E70A2" w:rsidRPr="00FA5324">
        <w:rPr>
          <w:lang w:val="es-DO"/>
        </w:rPr>
        <w:t>multiplicados</w:t>
      </w:r>
      <w:r w:rsidRPr="00FA5324">
        <w:rPr>
          <w:lang w:val="es-DO"/>
        </w:rPr>
        <w:t xml:space="preserve"> por distintos factores (filas). Igualmente el beneficio en </w:t>
      </w:r>
      <w:r w:rsidR="007E70A2" w:rsidRPr="00FA5324">
        <w:rPr>
          <w:lang w:val="es-DO"/>
        </w:rPr>
        <w:t>término</w:t>
      </w:r>
      <w:r w:rsidRPr="00FA5324">
        <w:rPr>
          <w:lang w:val="es-DO"/>
        </w:rPr>
        <w:t xml:space="preserve"> de </w:t>
      </w:r>
      <w:r w:rsidR="007E70A2" w:rsidRPr="00FA5324">
        <w:rPr>
          <w:lang w:val="es-DO"/>
        </w:rPr>
        <w:t>ahorro</w:t>
      </w:r>
      <w:r w:rsidRPr="00FA5324">
        <w:rPr>
          <w:lang w:val="es-DO"/>
        </w:rPr>
        <w:t xml:space="preserve"> máximo a ser alcanzado con las intervención del </w:t>
      </w:r>
      <w:r w:rsidRPr="00FA5324">
        <w:rPr>
          <w:lang w:val="es-DO"/>
        </w:rPr>
        <w:lastRenderedPageBreak/>
        <w:t xml:space="preserve">componente III. </w:t>
      </w:r>
      <w:r w:rsidR="009C3114" w:rsidRPr="00FA5324">
        <w:rPr>
          <w:lang w:val="es-DO"/>
        </w:rPr>
        <w:t>El caso base es el valor que se encuentra en negrilla subrayado.</w:t>
      </w:r>
      <w:r w:rsidRPr="00FA5324">
        <w:rPr>
          <w:lang w:val="es-DO"/>
        </w:rPr>
        <w:t xml:space="preserve"> Se observa que los resultados del modelo son robustos</w:t>
      </w:r>
      <w:r w:rsidR="00307E40" w:rsidRPr="008450F1">
        <w:rPr>
          <w:lang w:val="es-DO"/>
        </w:rPr>
        <w:t>.</w:t>
      </w:r>
      <w:r w:rsidRPr="008450F1">
        <w:rPr>
          <w:lang w:val="es-DO"/>
        </w:rPr>
        <w:t xml:space="preserve"> </w:t>
      </w:r>
      <w:r w:rsidR="00307E40" w:rsidRPr="008450F1">
        <w:rPr>
          <w:lang w:val="es-DO"/>
        </w:rPr>
        <w:t>S</w:t>
      </w:r>
      <w:r w:rsidR="00437176" w:rsidRPr="008450F1">
        <w:rPr>
          <w:lang w:val="es-DO"/>
        </w:rPr>
        <w:t>in embargo</w:t>
      </w:r>
      <w:r w:rsidR="00307E40" w:rsidRPr="008450F1">
        <w:rPr>
          <w:lang w:val="es-DO"/>
        </w:rPr>
        <w:t>,</w:t>
      </w:r>
      <w:r w:rsidR="00437176" w:rsidRPr="008450F1">
        <w:rPr>
          <w:lang w:val="es-DO"/>
        </w:rPr>
        <w:t xml:space="preserve"> si </w:t>
      </w:r>
      <w:r w:rsidR="00437176" w:rsidRPr="00FA5324">
        <w:rPr>
          <w:lang w:val="es-DO"/>
        </w:rPr>
        <w:t xml:space="preserve">se </w:t>
      </w:r>
      <w:r w:rsidR="00437176" w:rsidRPr="008450F1">
        <w:rPr>
          <w:lang w:val="es-DO"/>
        </w:rPr>
        <w:t>asumen simultáneamente menores niveles</w:t>
      </w:r>
      <w:r w:rsidR="00437176" w:rsidRPr="00FA5324">
        <w:rPr>
          <w:lang w:val="es-DO"/>
        </w:rPr>
        <w:t xml:space="preserve"> de </w:t>
      </w:r>
      <w:r w:rsidR="00437176" w:rsidRPr="008450F1">
        <w:rPr>
          <w:lang w:val="es-DO"/>
        </w:rPr>
        <w:t>beneficio y mayores</w:t>
      </w:r>
      <w:r w:rsidR="00437176" w:rsidRPr="00FA5324">
        <w:rPr>
          <w:lang w:val="es-DO"/>
        </w:rPr>
        <w:t xml:space="preserve"> costos</w:t>
      </w:r>
      <w:r w:rsidR="00307E40" w:rsidRPr="008450F1">
        <w:rPr>
          <w:lang w:val="es-DO"/>
        </w:rPr>
        <w:t>,</w:t>
      </w:r>
      <w:r w:rsidR="00437176" w:rsidRPr="008450F1">
        <w:rPr>
          <w:lang w:val="es-DO"/>
        </w:rPr>
        <w:t xml:space="preserve"> existen casos en lo que </w:t>
      </w:r>
      <w:r w:rsidR="009C3114" w:rsidRPr="00FA5324">
        <w:rPr>
          <w:lang w:val="es-DO"/>
        </w:rPr>
        <w:t xml:space="preserve">TIR </w:t>
      </w:r>
      <w:r w:rsidR="007E70A2" w:rsidRPr="00FA5324">
        <w:rPr>
          <w:lang w:val="es-DO"/>
        </w:rPr>
        <w:t>desciende</w:t>
      </w:r>
      <w:r w:rsidR="009C3114" w:rsidRPr="00FA5324">
        <w:rPr>
          <w:lang w:val="es-DO"/>
        </w:rPr>
        <w:t xml:space="preserve"> </w:t>
      </w:r>
      <w:r w:rsidR="00437176" w:rsidRPr="008450F1">
        <w:rPr>
          <w:lang w:val="es-DO"/>
        </w:rPr>
        <w:t>por debajo del factor de descuento recomendado</w:t>
      </w:r>
      <w:r w:rsidR="009C3114" w:rsidRPr="00FA5324">
        <w:rPr>
          <w:lang w:val="es-DO"/>
        </w:rPr>
        <w:t>.</w:t>
      </w:r>
    </w:p>
    <w:p w:rsidR="00307E40" w:rsidRPr="008450F1" w:rsidRDefault="00307E40" w:rsidP="00AF0916">
      <w:pPr>
        <w:pStyle w:val="Caption"/>
        <w:keepNext/>
        <w:spacing w:after="0"/>
        <w:rPr>
          <w:color w:val="auto"/>
          <w:lang w:val="es-DO"/>
        </w:rPr>
      </w:pPr>
      <w:bookmarkStart w:id="36" w:name="_Ref399959744"/>
    </w:p>
    <w:p w:rsidR="00437176" w:rsidRPr="00FA5324" w:rsidRDefault="00AC7DEF" w:rsidP="00FA5324">
      <w:pPr>
        <w:pStyle w:val="Caption"/>
        <w:keepNext/>
        <w:spacing w:after="0"/>
        <w:jc w:val="center"/>
        <w:rPr>
          <w:lang w:val="es-DO"/>
        </w:rPr>
      </w:pPr>
      <w:r w:rsidRPr="00FA5324">
        <w:rPr>
          <w:i w:val="0"/>
          <w:color w:val="auto"/>
          <w:lang w:val="es-DO"/>
        </w:rPr>
        <w:t xml:space="preserve">Tabla </w:t>
      </w:r>
      <w:r w:rsidR="00BC2072" w:rsidRPr="00FA5324">
        <w:rPr>
          <w:i w:val="0"/>
          <w:color w:val="auto"/>
          <w:lang w:val="es-DO"/>
        </w:rPr>
        <w:fldChar w:fldCharType="begin"/>
      </w:r>
      <w:r w:rsidR="00BC2072" w:rsidRPr="008450F1">
        <w:rPr>
          <w:i w:val="0"/>
          <w:color w:val="auto"/>
          <w:lang w:val="es-DO"/>
        </w:rPr>
        <w:instrText xml:space="preserve"> SEQ Tabla \* ARABIC </w:instrText>
      </w:r>
      <w:r w:rsidR="00BC2072" w:rsidRPr="00FA5324">
        <w:rPr>
          <w:i w:val="0"/>
          <w:color w:val="auto"/>
          <w:lang w:val="es-DO"/>
        </w:rPr>
        <w:fldChar w:fldCharType="separate"/>
      </w:r>
      <w:r w:rsidR="00A04D48" w:rsidRPr="008450F1">
        <w:rPr>
          <w:i w:val="0"/>
          <w:noProof/>
          <w:color w:val="auto"/>
          <w:lang w:val="es-DO"/>
        </w:rPr>
        <w:t>13</w:t>
      </w:r>
      <w:r w:rsidR="00BC2072" w:rsidRPr="00FA5324">
        <w:rPr>
          <w:i w:val="0"/>
          <w:color w:val="auto"/>
          <w:lang w:val="es-DO"/>
        </w:rPr>
        <w:fldChar w:fldCharType="end"/>
      </w:r>
      <w:bookmarkEnd w:id="36"/>
      <w:r w:rsidRPr="00FA5324">
        <w:rPr>
          <w:i w:val="0"/>
          <w:color w:val="auto"/>
          <w:lang w:val="es-DO"/>
        </w:rPr>
        <w:t>. Análisis de sensibilidad</w:t>
      </w:r>
    </w:p>
    <w:p w:rsidR="001C6EBE" w:rsidRPr="008450F1" w:rsidRDefault="001C6EBE" w:rsidP="00AF0916">
      <w:pPr>
        <w:spacing w:after="0" w:line="240" w:lineRule="auto"/>
        <w:rPr>
          <w:lang w:val="es-DO"/>
        </w:rPr>
      </w:pPr>
      <w:r w:rsidRPr="008450F1">
        <w:rPr>
          <w:noProof/>
          <w:lang w:val="en-US" w:eastAsia="en-US"/>
        </w:rPr>
        <w:drawing>
          <wp:inline distT="0" distB="0" distL="0" distR="0" wp14:anchorId="11E0AC05" wp14:editId="7333F56F">
            <wp:extent cx="5824855" cy="1988530"/>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4855" cy="1988530"/>
                    </a:xfrm>
                    <a:prstGeom prst="rect">
                      <a:avLst/>
                    </a:prstGeom>
                    <a:noFill/>
                    <a:ln>
                      <a:noFill/>
                    </a:ln>
                  </pic:spPr>
                </pic:pic>
              </a:graphicData>
            </a:graphic>
          </wp:inline>
        </w:drawing>
      </w:r>
    </w:p>
    <w:p w:rsidR="00437176" w:rsidRPr="008450F1" w:rsidRDefault="00437176" w:rsidP="00AF0916">
      <w:pPr>
        <w:spacing w:after="0" w:line="240" w:lineRule="auto"/>
        <w:rPr>
          <w:lang w:val="es-DO"/>
        </w:rPr>
      </w:pPr>
    </w:p>
    <w:p w:rsidR="00563C28" w:rsidRPr="008450F1" w:rsidRDefault="00307E40" w:rsidP="00AF0916">
      <w:pPr>
        <w:pStyle w:val="Heading1"/>
        <w:spacing w:before="0" w:after="0" w:line="240" w:lineRule="auto"/>
        <w:rPr>
          <w:lang w:val="es-DO"/>
        </w:rPr>
      </w:pPr>
      <w:bookmarkStart w:id="37" w:name="_Toc401244722"/>
      <w:r w:rsidRPr="008450F1">
        <w:rPr>
          <w:lang w:val="es-DO"/>
        </w:rPr>
        <w:t>CONCLUSIONES</w:t>
      </w:r>
      <w:bookmarkEnd w:id="37"/>
    </w:p>
    <w:p w:rsidR="00307E40" w:rsidRPr="00FA5324" w:rsidRDefault="00307E40" w:rsidP="00FA5324">
      <w:pPr>
        <w:spacing w:after="0" w:line="240" w:lineRule="auto"/>
        <w:rPr>
          <w:lang w:val="es-DO"/>
        </w:rPr>
      </w:pPr>
    </w:p>
    <w:p w:rsidR="00036C48" w:rsidRPr="00FA5324" w:rsidRDefault="00F01FB8" w:rsidP="00FA5324">
      <w:pPr>
        <w:spacing w:after="0" w:line="240" w:lineRule="auto"/>
        <w:rPr>
          <w:lang w:val="es-DO"/>
        </w:rPr>
      </w:pPr>
      <w:r w:rsidRPr="00FA5324">
        <w:rPr>
          <w:lang w:val="es-DO"/>
        </w:rPr>
        <w:t>La literatura revisada sustenta que las intervenci</w:t>
      </w:r>
      <w:r w:rsidR="00A07644" w:rsidRPr="00FA5324">
        <w:rPr>
          <w:lang w:val="es-DO"/>
        </w:rPr>
        <w:t>ones del PBP</w:t>
      </w:r>
      <w:r w:rsidRPr="00FA5324">
        <w:rPr>
          <w:lang w:val="es-DO"/>
        </w:rPr>
        <w:t xml:space="preserve"> pueden tener un beneficio neto positivo. </w:t>
      </w:r>
      <w:r w:rsidR="001D5873" w:rsidRPr="008450F1">
        <w:rPr>
          <w:lang w:val="es-DO" w:eastAsia="es-CO"/>
        </w:rPr>
        <w:t>Para</w:t>
      </w:r>
      <w:r w:rsidRPr="00FA5324">
        <w:rPr>
          <w:lang w:val="es-DO"/>
        </w:rPr>
        <w:t xml:space="preserve"> el componente II</w:t>
      </w:r>
      <w:r w:rsidRPr="008450F1">
        <w:rPr>
          <w:lang w:val="es-DO" w:eastAsia="es-CO"/>
        </w:rPr>
        <w:t xml:space="preserve"> </w:t>
      </w:r>
      <w:r w:rsidR="001D5873" w:rsidRPr="008450F1">
        <w:rPr>
          <w:lang w:val="es-DO" w:eastAsia="es-CO"/>
        </w:rPr>
        <w:t>el beneficio neto es</w:t>
      </w:r>
      <w:r w:rsidR="001D5873" w:rsidRPr="00FA5324">
        <w:rPr>
          <w:lang w:val="es-DO"/>
        </w:rPr>
        <w:t xml:space="preserve"> </w:t>
      </w:r>
      <w:r w:rsidRPr="00FA5324">
        <w:rPr>
          <w:lang w:val="es-DO"/>
        </w:rPr>
        <w:t>dado por un mayor crecimiento en el PIB</w:t>
      </w:r>
      <w:r w:rsidR="001D5873" w:rsidRPr="008450F1">
        <w:rPr>
          <w:lang w:val="es-DO" w:eastAsia="es-CO"/>
        </w:rPr>
        <w:t>,</w:t>
      </w:r>
      <w:r w:rsidRPr="00FA5324">
        <w:rPr>
          <w:lang w:val="es-DO"/>
        </w:rPr>
        <w:t xml:space="preserve"> gracias </w:t>
      </w:r>
      <w:r w:rsidR="00036C48" w:rsidRPr="008450F1">
        <w:rPr>
          <w:lang w:val="es-DO" w:eastAsia="es-CO"/>
        </w:rPr>
        <w:t>al efecto en el mercado laboral y en el mercado</w:t>
      </w:r>
      <w:r w:rsidR="00036C48" w:rsidRPr="00FA5324">
        <w:rPr>
          <w:lang w:val="es-DO"/>
        </w:rPr>
        <w:t xml:space="preserve"> de </w:t>
      </w:r>
      <w:r w:rsidR="00036C48" w:rsidRPr="008450F1">
        <w:rPr>
          <w:lang w:val="es-DO" w:eastAsia="es-CO"/>
        </w:rPr>
        <w:t>capitales</w:t>
      </w:r>
      <w:r w:rsidRPr="008450F1">
        <w:rPr>
          <w:lang w:val="es-DO" w:eastAsia="es-CO"/>
        </w:rPr>
        <w:t xml:space="preserve">. </w:t>
      </w:r>
      <w:r w:rsidR="001D5873" w:rsidRPr="008450F1">
        <w:rPr>
          <w:lang w:val="es-DO" w:eastAsia="es-CO"/>
        </w:rPr>
        <w:t>En</w:t>
      </w:r>
      <w:r w:rsidR="001D5873" w:rsidRPr="00FA5324">
        <w:rPr>
          <w:lang w:val="es-DO"/>
        </w:rPr>
        <w:t xml:space="preserve"> </w:t>
      </w:r>
      <w:r w:rsidRPr="00FA5324">
        <w:rPr>
          <w:lang w:val="es-DO"/>
        </w:rPr>
        <w:t>el componente III</w:t>
      </w:r>
      <w:r w:rsidRPr="008450F1">
        <w:rPr>
          <w:lang w:val="es-DO" w:eastAsia="es-CO"/>
        </w:rPr>
        <w:t xml:space="preserve"> </w:t>
      </w:r>
      <w:r w:rsidR="001D5873" w:rsidRPr="008450F1">
        <w:rPr>
          <w:lang w:val="es-DO" w:eastAsia="es-CO"/>
        </w:rPr>
        <w:t>el diferencial es</w:t>
      </w:r>
      <w:r w:rsidR="001D5873" w:rsidRPr="00FA5324">
        <w:rPr>
          <w:lang w:val="es-DO"/>
        </w:rPr>
        <w:t xml:space="preserve"> </w:t>
      </w:r>
      <w:r w:rsidRPr="00FA5324">
        <w:rPr>
          <w:lang w:val="es-DO"/>
        </w:rPr>
        <w:t>por los ahorros logrados con las medidas que incrementan la eficiencia del sistema</w:t>
      </w:r>
      <w:r w:rsidRPr="008450F1">
        <w:rPr>
          <w:lang w:val="es-DO" w:eastAsia="es-CO"/>
        </w:rPr>
        <w:t>.</w:t>
      </w:r>
      <w:r w:rsidR="008F308A" w:rsidRPr="008450F1">
        <w:rPr>
          <w:lang w:val="es-DO" w:eastAsia="es-CO"/>
        </w:rPr>
        <w:t xml:space="preserve"> Para este último componente</w:t>
      </w:r>
      <w:r w:rsidR="001D5873" w:rsidRPr="008450F1">
        <w:rPr>
          <w:lang w:val="es-DO" w:eastAsia="es-CO"/>
        </w:rPr>
        <w:t xml:space="preserve"> </w:t>
      </w:r>
      <w:r w:rsidR="006655C7" w:rsidRPr="008450F1">
        <w:rPr>
          <w:lang w:val="es-DO" w:eastAsia="es-CO"/>
        </w:rPr>
        <w:t>el incremento en el n</w:t>
      </w:r>
      <w:r w:rsidR="00A04D48" w:rsidRPr="008450F1">
        <w:rPr>
          <w:lang w:val="es-DO" w:eastAsia="es-CO"/>
        </w:rPr>
        <w:t>ú</w:t>
      </w:r>
      <w:r w:rsidR="006655C7" w:rsidRPr="008450F1">
        <w:rPr>
          <w:lang w:val="es-DO" w:eastAsia="es-CO"/>
        </w:rPr>
        <w:t>mero de cotizantes que se puede observar en el horizonte de la operación</w:t>
      </w:r>
      <w:r w:rsidR="001D5873" w:rsidRPr="008450F1">
        <w:rPr>
          <w:lang w:val="es-DO" w:eastAsia="es-CO"/>
        </w:rPr>
        <w:t>, tanto del RC como del RS,</w:t>
      </w:r>
      <w:r w:rsidR="006655C7" w:rsidRPr="008450F1">
        <w:rPr>
          <w:lang w:val="es-DO" w:eastAsia="es-CO"/>
        </w:rPr>
        <w:t xml:space="preserve"> es suficiente para estimar una buena parte de los beneficios</w:t>
      </w:r>
      <w:r w:rsidR="003F2252" w:rsidRPr="00FA5324">
        <w:rPr>
          <w:lang w:val="es-DO"/>
        </w:rPr>
        <w:t>.</w:t>
      </w:r>
    </w:p>
    <w:p w:rsidR="008F308A" w:rsidRPr="008450F1" w:rsidRDefault="008F308A" w:rsidP="00AF0916">
      <w:pPr>
        <w:spacing w:after="0" w:line="240" w:lineRule="auto"/>
        <w:rPr>
          <w:lang w:val="es-DO" w:eastAsia="es-CO"/>
        </w:rPr>
      </w:pPr>
    </w:p>
    <w:p w:rsidR="006924F6" w:rsidRPr="008450F1" w:rsidRDefault="00A07644" w:rsidP="00AF0916">
      <w:pPr>
        <w:spacing w:after="0" w:line="240" w:lineRule="auto"/>
        <w:rPr>
          <w:lang w:val="es-DO" w:eastAsia="es-CO"/>
        </w:rPr>
      </w:pPr>
      <w:r w:rsidRPr="00FA5324">
        <w:rPr>
          <w:lang w:val="es-DO"/>
        </w:rPr>
        <w:t>En el</w:t>
      </w:r>
      <w:r w:rsidR="00F01FB8" w:rsidRPr="00FA5324">
        <w:rPr>
          <w:lang w:val="es-DO"/>
        </w:rPr>
        <w:t xml:space="preserve"> caso base evaluado se encuentra que el proyecto es rentable</w:t>
      </w:r>
      <w:r w:rsidR="00673BF6" w:rsidRPr="00FA5324">
        <w:rPr>
          <w:lang w:val="es-DO"/>
        </w:rPr>
        <w:t xml:space="preserve">, </w:t>
      </w:r>
      <w:r w:rsidR="007E70A2" w:rsidRPr="00FA5324">
        <w:rPr>
          <w:lang w:val="es-DO"/>
        </w:rPr>
        <w:t>con</w:t>
      </w:r>
      <w:r w:rsidR="00F01FB8" w:rsidRPr="00FA5324">
        <w:rPr>
          <w:lang w:val="es-DO"/>
        </w:rPr>
        <w:t xml:space="preserve"> una TIR de 0.</w:t>
      </w:r>
      <w:r w:rsidR="003F2252" w:rsidRPr="008450F1">
        <w:rPr>
          <w:lang w:val="es-DO" w:eastAsia="es-CO"/>
        </w:rPr>
        <w:t>32</w:t>
      </w:r>
      <w:r w:rsidR="003F2252" w:rsidRPr="00FA5324">
        <w:rPr>
          <w:lang w:val="es-DO"/>
        </w:rPr>
        <w:t xml:space="preserve"> </w:t>
      </w:r>
      <w:r w:rsidR="00F01FB8" w:rsidRPr="00FA5324">
        <w:rPr>
          <w:lang w:val="es-DO"/>
        </w:rPr>
        <w:t xml:space="preserve">y un VPN de </w:t>
      </w:r>
      <w:r w:rsidR="001D5873" w:rsidRPr="008450F1">
        <w:rPr>
          <w:lang w:val="es-DO" w:eastAsia="es-CO"/>
        </w:rPr>
        <w:t xml:space="preserve">RD </w:t>
      </w:r>
      <w:r w:rsidR="00F01FB8" w:rsidRPr="008450F1">
        <w:rPr>
          <w:lang w:val="es-DO" w:eastAsia="es-CO"/>
        </w:rPr>
        <w:t>$</w:t>
      </w:r>
      <w:r w:rsidR="003F2252" w:rsidRPr="008450F1">
        <w:rPr>
          <w:lang w:val="es-DO" w:eastAsia="es-CO"/>
        </w:rPr>
        <w:t>5,990</w:t>
      </w:r>
      <w:r w:rsidR="001D5873" w:rsidRPr="00FA5324">
        <w:rPr>
          <w:lang w:val="es-DO"/>
        </w:rPr>
        <w:t xml:space="preserve"> </w:t>
      </w:r>
      <w:r w:rsidR="00F01FB8" w:rsidRPr="00FA5324">
        <w:rPr>
          <w:lang w:val="es-DO"/>
        </w:rPr>
        <w:t>Millones.</w:t>
      </w:r>
      <w:r w:rsidR="00274350" w:rsidRPr="00FA5324">
        <w:rPr>
          <w:lang w:val="es-DO"/>
        </w:rPr>
        <w:t xml:space="preserve"> Este caso base es bastante conservador y además no refleja otro tipo de beneficios no direct</w:t>
      </w:r>
      <w:r w:rsidR="00673BF6" w:rsidRPr="00FA5324">
        <w:rPr>
          <w:lang w:val="es-DO"/>
        </w:rPr>
        <w:t>a</w:t>
      </w:r>
      <w:r w:rsidR="00274350" w:rsidRPr="00FA5324">
        <w:rPr>
          <w:lang w:val="es-DO"/>
        </w:rPr>
        <w:t>me</w:t>
      </w:r>
      <w:r w:rsidR="00673BF6" w:rsidRPr="00FA5324">
        <w:rPr>
          <w:lang w:val="es-DO"/>
        </w:rPr>
        <w:t>n</w:t>
      </w:r>
      <w:r w:rsidR="00274350" w:rsidRPr="00FA5324">
        <w:rPr>
          <w:lang w:val="es-DO"/>
        </w:rPr>
        <w:t>te monetizables como la mejoría en la calidad de vida</w:t>
      </w:r>
      <w:r w:rsidR="007A3FB4" w:rsidRPr="00FA5324">
        <w:rPr>
          <w:lang w:val="es-DO"/>
        </w:rPr>
        <w:t>.</w:t>
      </w:r>
    </w:p>
    <w:p w:rsidR="008F308A" w:rsidRPr="00FA5324" w:rsidRDefault="008F308A" w:rsidP="00FA5324">
      <w:pPr>
        <w:spacing w:after="0" w:line="240" w:lineRule="auto"/>
        <w:rPr>
          <w:lang w:val="es-DO"/>
        </w:rPr>
      </w:pPr>
    </w:p>
    <w:p w:rsidR="00563C28" w:rsidRPr="00FA5324" w:rsidRDefault="00274350" w:rsidP="00FA5324">
      <w:pPr>
        <w:spacing w:after="0" w:line="240" w:lineRule="auto"/>
        <w:rPr>
          <w:b/>
          <w:lang w:val="es-DO"/>
        </w:rPr>
      </w:pPr>
      <w:r w:rsidRPr="00FA5324">
        <w:rPr>
          <w:lang w:val="es-DO"/>
        </w:rPr>
        <w:t>En el an</w:t>
      </w:r>
      <w:r w:rsidR="00673BF6" w:rsidRPr="00FA5324">
        <w:rPr>
          <w:lang w:val="es-DO"/>
        </w:rPr>
        <w:t>á</w:t>
      </w:r>
      <w:r w:rsidRPr="00FA5324">
        <w:rPr>
          <w:lang w:val="es-DO"/>
        </w:rPr>
        <w:t xml:space="preserve">lisis de sensibilidad </w:t>
      </w:r>
      <w:r w:rsidR="006924F6" w:rsidRPr="00FA5324">
        <w:rPr>
          <w:lang w:val="es-DO"/>
        </w:rPr>
        <w:t>el</w:t>
      </w:r>
      <w:r w:rsidRPr="00FA5324">
        <w:rPr>
          <w:lang w:val="es-DO"/>
        </w:rPr>
        <w:t xml:space="preserve"> resultado </w:t>
      </w:r>
      <w:r w:rsidR="006924F6" w:rsidRPr="00FA5324">
        <w:rPr>
          <w:lang w:val="es-DO"/>
        </w:rPr>
        <w:t>obtenido en el caso base mostr</w:t>
      </w:r>
      <w:r w:rsidR="00673BF6" w:rsidRPr="00FA5324">
        <w:rPr>
          <w:lang w:val="es-DO"/>
        </w:rPr>
        <w:t>ó</w:t>
      </w:r>
      <w:r w:rsidR="006924F6" w:rsidRPr="00FA5324">
        <w:rPr>
          <w:lang w:val="es-DO"/>
        </w:rPr>
        <w:t xml:space="preserve"> </w:t>
      </w:r>
      <w:r w:rsidRPr="00FA5324">
        <w:rPr>
          <w:lang w:val="es-DO"/>
        </w:rPr>
        <w:t>ser robusto frente a grandes variaciones en los par</w:t>
      </w:r>
      <w:r w:rsidR="00673BF6" w:rsidRPr="00FA5324">
        <w:rPr>
          <w:lang w:val="es-DO"/>
        </w:rPr>
        <w:t>á</w:t>
      </w:r>
      <w:r w:rsidRPr="00FA5324">
        <w:rPr>
          <w:lang w:val="es-DO"/>
        </w:rPr>
        <w:t xml:space="preserve">metros para el </w:t>
      </w:r>
      <w:r w:rsidR="00673BF6" w:rsidRPr="00FA5324">
        <w:rPr>
          <w:lang w:val="es-DO"/>
        </w:rPr>
        <w:t xml:space="preserve">cálculo </w:t>
      </w:r>
      <w:r w:rsidRPr="00FA5324">
        <w:rPr>
          <w:lang w:val="es-DO"/>
        </w:rPr>
        <w:t xml:space="preserve">de los costos y beneficios. </w:t>
      </w:r>
      <w:r w:rsidR="00F01FB8" w:rsidRPr="00FA5324">
        <w:rPr>
          <w:lang w:val="es-DO"/>
        </w:rPr>
        <w:t xml:space="preserve">Por </w:t>
      </w:r>
      <w:r w:rsidR="00673BF6" w:rsidRPr="00FA5324">
        <w:rPr>
          <w:lang w:val="es-DO"/>
        </w:rPr>
        <w:t xml:space="preserve">lo </w:t>
      </w:r>
      <w:r w:rsidRPr="00FA5324">
        <w:rPr>
          <w:lang w:val="es-DO"/>
        </w:rPr>
        <w:t>anterior</w:t>
      </w:r>
      <w:r w:rsidR="008F308A" w:rsidRPr="008450F1">
        <w:rPr>
          <w:lang w:val="es-DO" w:eastAsia="es-CO"/>
        </w:rPr>
        <w:t>,</w:t>
      </w:r>
      <w:r w:rsidRPr="00FA5324">
        <w:rPr>
          <w:lang w:val="es-DO"/>
        </w:rPr>
        <w:t xml:space="preserve"> </w:t>
      </w:r>
      <w:r w:rsidR="006924F6" w:rsidRPr="00FA5324">
        <w:rPr>
          <w:lang w:val="es-DO"/>
        </w:rPr>
        <w:t>teni</w:t>
      </w:r>
      <w:r w:rsidR="00673BF6" w:rsidRPr="00FA5324">
        <w:rPr>
          <w:lang w:val="es-DO"/>
        </w:rPr>
        <w:t>e</w:t>
      </w:r>
      <w:r w:rsidR="006924F6" w:rsidRPr="00FA5324">
        <w:rPr>
          <w:lang w:val="es-DO"/>
        </w:rPr>
        <w:t xml:space="preserve">ndo </w:t>
      </w:r>
      <w:r w:rsidR="007E70A2" w:rsidRPr="00FA5324">
        <w:rPr>
          <w:lang w:val="es-DO"/>
        </w:rPr>
        <w:t>en cuenta</w:t>
      </w:r>
      <w:r w:rsidR="006924F6" w:rsidRPr="00FA5324">
        <w:rPr>
          <w:lang w:val="es-DO"/>
        </w:rPr>
        <w:t xml:space="preserve"> que se ha hecho una aproximación bastante conservadora</w:t>
      </w:r>
      <w:r w:rsidR="006655C7" w:rsidRPr="00FA5324">
        <w:rPr>
          <w:lang w:val="es-DO"/>
        </w:rPr>
        <w:t xml:space="preserve"> </w:t>
      </w:r>
      <w:r w:rsidR="006655C7" w:rsidRPr="008450F1">
        <w:rPr>
          <w:lang w:val="es-DO" w:eastAsia="es-CO"/>
        </w:rPr>
        <w:t>(que incluye la incertidumbre sobre el posterior desarrollo de las políticas del componente 3)</w:t>
      </w:r>
      <w:r w:rsidR="006924F6" w:rsidRPr="008450F1">
        <w:rPr>
          <w:lang w:val="es-DO" w:eastAsia="es-CO"/>
        </w:rPr>
        <w:t>,</w:t>
      </w:r>
      <w:r w:rsidR="006924F6" w:rsidRPr="00FA5324">
        <w:rPr>
          <w:lang w:val="es-DO"/>
        </w:rPr>
        <w:t xml:space="preserve"> que existen </w:t>
      </w:r>
      <w:r w:rsidR="007E70A2" w:rsidRPr="00FA5324">
        <w:rPr>
          <w:lang w:val="es-DO"/>
        </w:rPr>
        <w:t>más</w:t>
      </w:r>
      <w:r w:rsidR="006924F6" w:rsidRPr="00FA5324">
        <w:rPr>
          <w:lang w:val="es-DO"/>
        </w:rPr>
        <w:t xml:space="preserve"> beneficios de los que ha sido </w:t>
      </w:r>
      <w:r w:rsidR="007E70A2" w:rsidRPr="00FA5324">
        <w:rPr>
          <w:lang w:val="es-DO"/>
        </w:rPr>
        <w:t>posible</w:t>
      </w:r>
      <w:r w:rsidR="006924F6" w:rsidRPr="00FA5324">
        <w:rPr>
          <w:lang w:val="es-DO"/>
        </w:rPr>
        <w:t xml:space="preserve"> cuantifica</w:t>
      </w:r>
      <w:r w:rsidR="00673BF6" w:rsidRPr="00FA5324">
        <w:rPr>
          <w:lang w:val="es-DO"/>
        </w:rPr>
        <w:t>r</w:t>
      </w:r>
      <w:r w:rsidR="006924F6" w:rsidRPr="00FA5324">
        <w:rPr>
          <w:lang w:val="es-DO"/>
        </w:rPr>
        <w:t xml:space="preserve"> y que la rentabilidad del </w:t>
      </w:r>
      <w:r w:rsidR="007E70A2" w:rsidRPr="00FA5324">
        <w:rPr>
          <w:lang w:val="es-DO"/>
        </w:rPr>
        <w:t>proyecto</w:t>
      </w:r>
      <w:r w:rsidR="006924F6" w:rsidRPr="00FA5324">
        <w:rPr>
          <w:lang w:val="es-DO"/>
        </w:rPr>
        <w:t xml:space="preserve"> se mantiene frente a variaciones importantes de los parámetro</w:t>
      </w:r>
      <w:r w:rsidR="00AC7DEF" w:rsidRPr="00FA5324">
        <w:rPr>
          <w:lang w:val="es-DO"/>
        </w:rPr>
        <w:t>s</w:t>
      </w:r>
      <w:r w:rsidR="006924F6" w:rsidRPr="00FA5324">
        <w:rPr>
          <w:lang w:val="es-DO"/>
        </w:rPr>
        <w:t xml:space="preserve"> principales </w:t>
      </w:r>
      <w:r w:rsidR="00883C9C" w:rsidRPr="008450F1">
        <w:rPr>
          <w:lang w:val="es-DO" w:eastAsia="es-CO"/>
        </w:rPr>
        <w:t>d</w:t>
      </w:r>
      <w:r w:rsidRPr="008450F1">
        <w:rPr>
          <w:lang w:val="es-DO" w:eastAsia="es-CO"/>
        </w:rPr>
        <w:t xml:space="preserve">el </w:t>
      </w:r>
      <w:r w:rsidR="00883C9C" w:rsidRPr="008450F1">
        <w:rPr>
          <w:lang w:val="es-DO" w:eastAsia="es-CO"/>
        </w:rPr>
        <w:t>PBP</w:t>
      </w:r>
      <w:r w:rsidR="008F308A" w:rsidRPr="008450F1">
        <w:rPr>
          <w:lang w:val="es-DO" w:eastAsia="es-CO"/>
        </w:rPr>
        <w:t>,</w:t>
      </w:r>
      <w:r w:rsidR="00F01FB8" w:rsidRPr="00FA5324">
        <w:rPr>
          <w:lang w:val="es-DO"/>
        </w:rPr>
        <w:t xml:space="preserve"> resulta recomendable </w:t>
      </w:r>
      <w:r w:rsidR="006924F6" w:rsidRPr="00FA5324">
        <w:rPr>
          <w:lang w:val="es-DO"/>
        </w:rPr>
        <w:t>si se aceptan</w:t>
      </w:r>
      <w:r w:rsidR="00F01FB8" w:rsidRPr="00FA5324">
        <w:rPr>
          <w:lang w:val="es-DO"/>
        </w:rPr>
        <w:t xml:space="preserve"> los supuesto</w:t>
      </w:r>
      <w:r w:rsidR="00AC7DEF" w:rsidRPr="00FA5324">
        <w:rPr>
          <w:lang w:val="es-DO"/>
        </w:rPr>
        <w:t>s</w:t>
      </w:r>
      <w:r w:rsidR="00F01FB8" w:rsidRPr="00FA5324">
        <w:rPr>
          <w:lang w:val="es-DO"/>
        </w:rPr>
        <w:t xml:space="preserve"> </w:t>
      </w:r>
      <w:r w:rsidRPr="00FA5324">
        <w:rPr>
          <w:lang w:val="es-DO"/>
        </w:rPr>
        <w:t>empleados</w:t>
      </w:r>
      <w:r w:rsidR="00F01FB8" w:rsidRPr="00FA5324">
        <w:rPr>
          <w:lang w:val="es-DO"/>
        </w:rPr>
        <w:t>.</w:t>
      </w:r>
      <w:r w:rsidR="00BB5FD6" w:rsidRPr="00FA5324">
        <w:rPr>
          <w:lang w:val="es-DO"/>
        </w:rPr>
        <w:br w:type="page"/>
      </w:r>
    </w:p>
    <w:bookmarkStart w:id="38" w:name="_Toc401244723" w:displacedByCustomXml="next"/>
    <w:sdt>
      <w:sdtPr>
        <w:rPr>
          <w:b w:val="0"/>
          <w:lang w:val="es-DO" w:eastAsia="en-US"/>
        </w:rPr>
        <w:id w:val="1153025838"/>
        <w:docPartObj>
          <w:docPartGallery w:val="Bibliographies"/>
          <w:docPartUnique/>
        </w:docPartObj>
      </w:sdtPr>
      <w:sdtEndPr>
        <w:rPr>
          <w:lang w:eastAsia="x-none"/>
        </w:rPr>
      </w:sdtEndPr>
      <w:sdtContent>
        <w:p w:rsidR="00AF6523" w:rsidRPr="008450F1" w:rsidRDefault="008F308A" w:rsidP="00AF0916">
          <w:pPr>
            <w:pStyle w:val="Heading1"/>
            <w:spacing w:before="0" w:after="0" w:line="240" w:lineRule="auto"/>
            <w:rPr>
              <w:lang w:val="es-DO"/>
            </w:rPr>
          </w:pPr>
          <w:r w:rsidRPr="008450F1">
            <w:rPr>
              <w:lang w:val="es-DO"/>
            </w:rPr>
            <w:t>BIBLIOGRAFÍA</w:t>
          </w:r>
          <w:bookmarkEnd w:id="38"/>
        </w:p>
        <w:p w:rsidR="008B48E7" w:rsidRPr="00FA5324" w:rsidRDefault="008B48E7" w:rsidP="00FA5324">
          <w:pPr>
            <w:spacing w:after="0"/>
            <w:rPr>
              <w:lang w:val="es-DO"/>
            </w:rPr>
          </w:pPr>
        </w:p>
        <w:p w:rsidR="00FA5324" w:rsidRDefault="00FA5324" w:rsidP="00FA5324">
          <w:pPr>
            <w:pStyle w:val="Bibliography"/>
            <w:spacing w:after="0" w:line="240" w:lineRule="auto"/>
            <w:ind w:left="720" w:hanging="720"/>
            <w:rPr>
              <w:lang w:val="es-DO"/>
            </w:rPr>
          </w:pPr>
        </w:p>
        <w:p w:rsidR="00512468" w:rsidRPr="00FA5324" w:rsidRDefault="00512468" w:rsidP="00FA5324">
          <w:pPr>
            <w:pStyle w:val="Bibliography"/>
            <w:spacing w:after="0" w:line="240" w:lineRule="auto"/>
            <w:ind w:left="720" w:hanging="720"/>
            <w:rPr>
              <w:sz w:val="24"/>
              <w:lang w:val="es-DO"/>
            </w:rPr>
          </w:pPr>
          <w:r w:rsidRPr="00FA5324">
            <w:rPr>
              <w:lang w:val="en-US"/>
            </w:rPr>
            <w:t xml:space="preserve">An Bord Pinsean - The Pension Board. (2006). </w:t>
          </w:r>
          <w:r w:rsidRPr="00FA5324">
            <w:rPr>
              <w:i/>
              <w:lang w:val="en-US"/>
            </w:rPr>
            <w:t>The economic impact of mandatory pensions.</w:t>
          </w:r>
          <w:r w:rsidRPr="00FA5324">
            <w:rPr>
              <w:lang w:val="en-US"/>
            </w:rPr>
            <w:t xml:space="preserve"> </w:t>
          </w:r>
          <w:r w:rsidRPr="00FA5324">
            <w:rPr>
              <w:lang w:val="es-DO"/>
            </w:rPr>
            <w:t>Firzpatrick associates. Recuperado el 3 de Septiembre de 2014</w:t>
          </w:r>
        </w:p>
        <w:p w:rsidR="00512468" w:rsidRPr="00FA5324" w:rsidRDefault="00512468" w:rsidP="00FA5324">
          <w:pPr>
            <w:pStyle w:val="Bibliography"/>
            <w:spacing w:after="0" w:line="240" w:lineRule="auto"/>
            <w:ind w:left="720" w:hanging="720"/>
            <w:rPr>
              <w:lang w:val="es-DO"/>
            </w:rPr>
          </w:pPr>
          <w:r w:rsidRPr="00FA5324">
            <w:rPr>
              <w:lang w:val="es-DO"/>
            </w:rPr>
            <w:t xml:space="preserve">Bebczuk, R. N., &amp; Musalem, A. R. (2006). </w:t>
          </w:r>
          <w:r w:rsidRPr="00FA5324">
            <w:rPr>
              <w:i/>
              <w:lang w:val="en-US"/>
            </w:rPr>
            <w:t>Pensions and saving: new international panel data evidence.</w:t>
          </w:r>
          <w:r w:rsidRPr="00FA5324">
            <w:rPr>
              <w:lang w:val="en-US"/>
            </w:rPr>
            <w:t xml:space="preserve"> </w:t>
          </w:r>
          <w:r w:rsidRPr="00FA5324">
            <w:rPr>
              <w:lang w:val="es-DO"/>
            </w:rPr>
            <w:t>Universidad Nacional de La Plata. La Plata: Departamento de Economía. Facultad de Ciencias Económicas. Recuperado el 8 de Septiembre de 2014</w:t>
          </w:r>
        </w:p>
        <w:p w:rsidR="00512468" w:rsidRPr="00FA5324" w:rsidRDefault="00512468" w:rsidP="00FA5324">
          <w:pPr>
            <w:pStyle w:val="Bibliography"/>
            <w:spacing w:after="0" w:line="240" w:lineRule="auto"/>
            <w:ind w:left="720" w:hanging="720"/>
            <w:rPr>
              <w:lang w:val="es-DO"/>
            </w:rPr>
          </w:pPr>
          <w:r w:rsidRPr="00FA5324">
            <w:rPr>
              <w:lang w:val="es-DO"/>
            </w:rPr>
            <w:t xml:space="preserve">Bijlsma, M., van Ewijk, C., &amp; Haaijen, F. (2014). </w:t>
          </w:r>
          <w:r w:rsidRPr="00FA5324">
            <w:rPr>
              <w:i/>
              <w:lang w:val="en-US"/>
            </w:rPr>
            <w:t>Economic growth and funded pension systems.</w:t>
          </w:r>
          <w:r w:rsidRPr="00FA5324">
            <w:rPr>
              <w:lang w:val="en-US"/>
            </w:rPr>
            <w:t xml:space="preserve"> CPB Discussion Paper, CPB Netherlands Bureau for economic policy analysis, Amsterdam. </w:t>
          </w:r>
          <w:r w:rsidRPr="00FA5324">
            <w:rPr>
              <w:lang w:val="es-DO"/>
            </w:rPr>
            <w:t>Recuperado el 8 de Septiembre de 2014</w:t>
          </w:r>
        </w:p>
        <w:p w:rsidR="00512468" w:rsidRPr="00FA5324" w:rsidRDefault="00512468" w:rsidP="00FA5324">
          <w:pPr>
            <w:pStyle w:val="Bibliography"/>
            <w:spacing w:after="0" w:line="240" w:lineRule="auto"/>
            <w:ind w:left="720" w:hanging="720"/>
            <w:rPr>
              <w:lang w:val="es-DO"/>
            </w:rPr>
          </w:pPr>
          <w:r w:rsidRPr="00FA5324">
            <w:rPr>
              <w:lang w:val="es-DO"/>
            </w:rPr>
            <w:t xml:space="preserve">Bosch, M., Melguizo, Á., &amp; Pagés, C. (2013). </w:t>
          </w:r>
          <w:r w:rsidRPr="00FA5324">
            <w:rPr>
              <w:i/>
              <w:lang w:val="es-DO"/>
            </w:rPr>
            <w:t>Mejores pensiones, mejores trabajos. Hacia la cobertura universal en América Latina y el Caribe.</w:t>
          </w:r>
          <w:r w:rsidRPr="00FA5324">
            <w:rPr>
              <w:lang w:val="es-DO"/>
            </w:rPr>
            <w:t xml:space="preserve"> Banco Interamericano de Desarrollo. Recuperado el 17 de Agosto de 2014</w:t>
          </w:r>
        </w:p>
        <w:p w:rsidR="00512468" w:rsidRPr="00FA5324" w:rsidRDefault="00512468" w:rsidP="00FA5324">
          <w:pPr>
            <w:pStyle w:val="Bibliography"/>
            <w:spacing w:after="0" w:line="240" w:lineRule="auto"/>
            <w:ind w:left="720" w:hanging="720"/>
            <w:rPr>
              <w:lang w:val="en-US"/>
            </w:rPr>
          </w:pPr>
          <w:r w:rsidRPr="00635AF4">
            <w:rPr>
              <w:lang w:val="es-DO"/>
            </w:rPr>
            <w:t xml:space="preserve">Chisholm, D., &amp; Evans, D. B. (2010). </w:t>
          </w:r>
          <w:r w:rsidRPr="00FA5324">
            <w:rPr>
              <w:i/>
              <w:lang w:val="en-US"/>
            </w:rPr>
            <w:t>Improving health system efficiency as a means of moving towards universal coverage.</w:t>
          </w:r>
          <w:r w:rsidRPr="00FA5324">
            <w:rPr>
              <w:lang w:val="en-US"/>
            </w:rPr>
            <w:t xml:space="preserve"> World Health Report: Background paper, Wolrd Health Organization. Recuperado el 11 de Septiembre de 2014</w:t>
          </w:r>
        </w:p>
        <w:p w:rsidR="00512468" w:rsidRPr="00AA3DCF" w:rsidRDefault="00512468" w:rsidP="00FA5324">
          <w:pPr>
            <w:pStyle w:val="Bibliography"/>
            <w:spacing w:after="0" w:line="240" w:lineRule="auto"/>
            <w:ind w:left="720" w:hanging="720"/>
            <w:rPr>
              <w:lang w:val="es-ES"/>
            </w:rPr>
          </w:pPr>
          <w:r w:rsidRPr="00EA7F9A">
            <w:rPr>
              <w:lang w:val="en-US"/>
            </w:rPr>
            <w:t xml:space="preserve">Country Statistics. (2011). </w:t>
          </w:r>
          <w:r w:rsidRPr="00EA7F9A">
            <w:rPr>
              <w:i/>
              <w:lang w:val="en-US"/>
            </w:rPr>
            <w:t>Health expenditures</w:t>
          </w:r>
          <w:r w:rsidRPr="00EA7F9A">
            <w:rPr>
              <w:lang w:val="en-US"/>
            </w:rPr>
            <w:t xml:space="preserve">. </w:t>
          </w:r>
          <w:r w:rsidRPr="00AA3DCF">
            <w:rPr>
              <w:lang w:val="es-ES"/>
            </w:rPr>
            <w:t>Recuperado el 12 de Septiembre de 2014, de http://cstatistics.info/statistics/country/alb/health-expenditures.html</w:t>
          </w:r>
        </w:p>
        <w:p w:rsidR="00512468" w:rsidRPr="00FA5324" w:rsidRDefault="00512468" w:rsidP="00FA5324">
          <w:pPr>
            <w:pStyle w:val="Bibliography"/>
            <w:spacing w:after="0" w:line="240" w:lineRule="auto"/>
            <w:ind w:left="720" w:hanging="720"/>
            <w:rPr>
              <w:lang w:val="es-DO"/>
            </w:rPr>
          </w:pPr>
          <w:r w:rsidRPr="00FA5324">
            <w:rPr>
              <w:lang w:val="en-US"/>
            </w:rPr>
            <w:t xml:space="preserve">Davis, E. P., &amp; Hu, Y. (2004). </w:t>
          </w:r>
          <w:r w:rsidRPr="00FA5324">
            <w:rPr>
              <w:i/>
              <w:lang w:val="en-US"/>
            </w:rPr>
            <w:t>Is there a link between pension fund assets and economic growth? A cross country empirical study.</w:t>
          </w:r>
          <w:r w:rsidRPr="00FA5324">
            <w:rPr>
              <w:lang w:val="en-US"/>
            </w:rPr>
            <w:t xml:space="preserve"> Brunel University Economics and Finance. </w:t>
          </w:r>
          <w:r w:rsidRPr="00FA5324">
            <w:rPr>
              <w:lang w:val="es-DO"/>
            </w:rPr>
            <w:t>Recuperado el 10 de Septiembre de 2014, de http://www.brunel.ac.uk/__data/assets/pdf_file/0004/84631/04-23.PDF</w:t>
          </w:r>
        </w:p>
        <w:p w:rsidR="00512468" w:rsidRPr="00FA5324" w:rsidRDefault="00512468" w:rsidP="00FA5324">
          <w:pPr>
            <w:pStyle w:val="Bibliography"/>
            <w:spacing w:after="0" w:line="240" w:lineRule="auto"/>
            <w:ind w:left="720" w:hanging="720"/>
            <w:rPr>
              <w:lang w:val="es-DO"/>
            </w:rPr>
          </w:pPr>
          <w:r w:rsidRPr="00FA5324">
            <w:rPr>
              <w:lang w:val="en-US"/>
            </w:rPr>
            <w:t xml:space="preserve">Kipanga, B. (2012). </w:t>
          </w:r>
          <w:r w:rsidRPr="00FA5324">
            <w:rPr>
              <w:i/>
              <w:lang w:val="en-US"/>
            </w:rPr>
            <w:t>Do retirement benefits assets contribute to economic growth in Kenya?</w:t>
          </w:r>
          <w:r w:rsidRPr="00FA5324">
            <w:rPr>
              <w:lang w:val="en-US"/>
            </w:rPr>
            <w:t xml:space="preserve"> </w:t>
          </w:r>
          <w:r w:rsidRPr="00FA5324">
            <w:rPr>
              <w:lang w:val="es-DO"/>
            </w:rPr>
            <w:t>Research paper, Retirement Benefits Authority. Recuperado el 9 de Septiembre de 2014</w:t>
          </w:r>
        </w:p>
        <w:p w:rsidR="00512468" w:rsidRPr="00FA5324" w:rsidRDefault="00512468" w:rsidP="00FA5324">
          <w:pPr>
            <w:pStyle w:val="Bibliography"/>
            <w:spacing w:after="0" w:line="240" w:lineRule="auto"/>
            <w:ind w:left="720" w:hanging="720"/>
            <w:rPr>
              <w:lang w:val="es-DO"/>
            </w:rPr>
          </w:pPr>
          <w:r w:rsidRPr="004759CA">
            <w:rPr>
              <w:lang w:val="es-ES_tradnl"/>
            </w:rPr>
            <w:t xml:space="preserve">Lusardi, A. (2008). </w:t>
          </w:r>
          <w:r w:rsidRPr="00FA5324">
            <w:rPr>
              <w:i/>
              <w:lang w:val="en-US"/>
            </w:rPr>
            <w:t>Household saving behavior: the role of financial literacy, information, and financial education programs.</w:t>
          </w:r>
          <w:r w:rsidRPr="00FA5324">
            <w:rPr>
              <w:lang w:val="en-US"/>
            </w:rPr>
            <w:t xml:space="preserve"> </w:t>
          </w:r>
          <w:r w:rsidRPr="00FA5324">
            <w:rPr>
              <w:lang w:val="es-DO"/>
            </w:rPr>
            <w:t>Working paper, Cambridge. Recuperado el 12 de Septiembre de 2014, de http://www.nber.org/papers/w13824</w:t>
          </w:r>
        </w:p>
        <w:p w:rsidR="00512468" w:rsidRPr="00FA5324" w:rsidRDefault="00512468" w:rsidP="00FA5324">
          <w:pPr>
            <w:pStyle w:val="Bibliography"/>
            <w:spacing w:after="0" w:line="240" w:lineRule="auto"/>
            <w:ind w:left="720" w:hanging="720"/>
            <w:rPr>
              <w:lang w:val="es-DO"/>
            </w:rPr>
          </w:pPr>
          <w:r w:rsidRPr="00FA5324">
            <w:rPr>
              <w:lang w:val="en-US"/>
            </w:rPr>
            <w:t xml:space="preserve">Mathers, C. D., Sadana, R., Salomon, J. A., Murray, C. J., &amp; Lopez, A. D. (2000). </w:t>
          </w:r>
          <w:r w:rsidRPr="00FA5324">
            <w:rPr>
              <w:i/>
              <w:lang w:val="en-US"/>
            </w:rPr>
            <w:t>Estimates of DALE for 191 countries: methods and results.</w:t>
          </w:r>
          <w:r w:rsidRPr="00FA5324">
            <w:rPr>
              <w:lang w:val="en-US"/>
            </w:rPr>
            <w:t xml:space="preserve"> Global Programme on Evidence for Health Policy Working Paper, World Health Organization, Geneva. </w:t>
          </w:r>
          <w:r w:rsidRPr="00FA5324">
            <w:rPr>
              <w:lang w:val="es-DO"/>
            </w:rPr>
            <w:t>Recuperado el 8 de Septiembre de 2014</w:t>
          </w:r>
        </w:p>
        <w:p w:rsidR="00512468" w:rsidRPr="00FA5324" w:rsidRDefault="00512468" w:rsidP="00FA5324">
          <w:pPr>
            <w:pStyle w:val="Bibliography"/>
            <w:spacing w:after="0" w:line="240" w:lineRule="auto"/>
            <w:ind w:left="720" w:hanging="720"/>
            <w:rPr>
              <w:lang w:val="en-US"/>
            </w:rPr>
          </w:pPr>
          <w:r w:rsidRPr="00AA3DCF">
            <w:rPr>
              <w:lang w:val="es-ES"/>
            </w:rPr>
            <w:t xml:space="preserve">Mejía, F., Winters, P., Alvarez, C., Corral, L., &amp; Diez Roux, E. (2012). </w:t>
          </w:r>
          <w:r w:rsidRPr="00FA5324">
            <w:rPr>
              <w:i/>
              <w:lang w:val="en-US"/>
            </w:rPr>
            <w:t>Guidelines for the economic analysis of IDB-funded projects.</w:t>
          </w:r>
          <w:r w:rsidRPr="00FA5324">
            <w:rPr>
              <w:lang w:val="en-US"/>
            </w:rPr>
            <w:t xml:space="preserve"> Inter-American Development Bank. Washington D.C.: Office of strategic planning and development effectiveness . Recuperado el 8 de Septiembre de 2014</w:t>
          </w:r>
        </w:p>
        <w:p w:rsidR="00512468" w:rsidRPr="00FA5324" w:rsidRDefault="00512468" w:rsidP="00FA5324">
          <w:pPr>
            <w:pStyle w:val="Bibliography"/>
            <w:spacing w:after="0" w:line="240" w:lineRule="auto"/>
            <w:ind w:left="720" w:hanging="720"/>
            <w:rPr>
              <w:lang w:val="es-DO"/>
            </w:rPr>
          </w:pPr>
          <w:r w:rsidRPr="00FA5324">
            <w:rPr>
              <w:lang w:val="en-US"/>
            </w:rPr>
            <w:t xml:space="preserve">Mielczarek, B. (2013). Simulation model to forecast the consequences of changes introduced into the 2nd pillar of the Polish pension system. </w:t>
          </w:r>
          <w:r w:rsidRPr="00FA5324">
            <w:rPr>
              <w:i/>
              <w:lang w:val="es-DO"/>
            </w:rPr>
            <w:t>Economic modelling, 30</w:t>
          </w:r>
          <w:r w:rsidRPr="00FA5324">
            <w:rPr>
              <w:lang w:val="es-DO"/>
            </w:rPr>
            <w:t>. Recuperado el 16 de Septiembre de 2014</w:t>
          </w:r>
        </w:p>
        <w:p w:rsidR="00512468" w:rsidRPr="00FA5324" w:rsidRDefault="00512468" w:rsidP="00FA5324">
          <w:pPr>
            <w:pStyle w:val="Bibliography"/>
            <w:spacing w:after="0" w:line="240" w:lineRule="auto"/>
            <w:ind w:left="720" w:hanging="720"/>
            <w:rPr>
              <w:lang w:val="es-DO"/>
            </w:rPr>
          </w:pPr>
          <w:r w:rsidRPr="00FA5324">
            <w:rPr>
              <w:lang w:val="es-DO"/>
            </w:rPr>
            <w:t xml:space="preserve">Ministerio de Salud Pública. (2012). </w:t>
          </w:r>
          <w:r w:rsidRPr="00FA5324">
            <w:rPr>
              <w:i/>
              <w:lang w:val="es-DO"/>
            </w:rPr>
            <w:t>Informe Gasto Público en Salud República Dominicana 2012.</w:t>
          </w:r>
          <w:r w:rsidRPr="00FA5324">
            <w:rPr>
              <w:lang w:val="es-DO"/>
            </w:rPr>
            <w:t xml:space="preserve"> Informe de Gasto Público en Salud, Santo Domingo D.N. Recuperado el 10 de Septiembre de 2014</w:t>
          </w:r>
        </w:p>
        <w:p w:rsidR="00512468" w:rsidRPr="004759CA" w:rsidRDefault="00512468" w:rsidP="00FA5324">
          <w:pPr>
            <w:pStyle w:val="Bibliography"/>
            <w:spacing w:after="0" w:line="240" w:lineRule="auto"/>
            <w:ind w:left="720" w:hanging="720"/>
            <w:rPr>
              <w:lang w:val="en-US"/>
            </w:rPr>
          </w:pPr>
          <w:r w:rsidRPr="00FA5324">
            <w:rPr>
              <w:lang w:val="en-US"/>
            </w:rPr>
            <w:t xml:space="preserve">Mungoma, W. C. (2011). </w:t>
          </w:r>
          <w:r w:rsidRPr="00FA5324">
            <w:rPr>
              <w:i/>
              <w:lang w:val="en-US"/>
            </w:rPr>
            <w:t>The relationship between pension fund assets and economic growth in Kenya.</w:t>
          </w:r>
          <w:r w:rsidRPr="00FA5324">
            <w:rPr>
              <w:lang w:val="en-US"/>
            </w:rPr>
            <w:t xml:space="preserve"> </w:t>
          </w:r>
          <w:r w:rsidRPr="004759CA">
            <w:rPr>
              <w:lang w:val="en-US"/>
            </w:rPr>
            <w:t>University of Nairobi. School of bussiness . Recuperado el 3 de Septiembre de 2014</w:t>
          </w:r>
        </w:p>
        <w:p w:rsidR="00512468" w:rsidRPr="00FA5324" w:rsidRDefault="00512468" w:rsidP="00FA5324">
          <w:pPr>
            <w:pStyle w:val="Bibliography"/>
            <w:spacing w:after="0" w:line="240" w:lineRule="auto"/>
            <w:ind w:left="720" w:hanging="720"/>
            <w:rPr>
              <w:lang w:val="es-DO"/>
            </w:rPr>
          </w:pPr>
          <w:r w:rsidRPr="004759CA">
            <w:rPr>
              <w:lang w:val="en-US"/>
            </w:rPr>
            <w:t xml:space="preserve">Oficina Nacional de Estadística. </w:t>
          </w:r>
          <w:r w:rsidRPr="00EA7F9A">
            <w:rPr>
              <w:lang w:val="en-US"/>
            </w:rPr>
            <w:t xml:space="preserve">(2014). Estadísticas sociales Nacionales. </w:t>
          </w:r>
          <w:r w:rsidRPr="00AA3DCF">
            <w:rPr>
              <w:lang w:val="es-ES"/>
            </w:rPr>
            <w:t xml:space="preserve">República Dominicana. </w:t>
          </w:r>
          <w:r w:rsidRPr="00FA5324">
            <w:rPr>
              <w:lang w:val="es-DO"/>
            </w:rPr>
            <w:t>Recuperado el 1 de Septiembre de 2014, de http://www.one.gob.do/</w:t>
          </w:r>
        </w:p>
        <w:p w:rsidR="00512468" w:rsidRPr="00FA5324" w:rsidRDefault="00512468" w:rsidP="00FA5324">
          <w:pPr>
            <w:pStyle w:val="Bibliography"/>
            <w:spacing w:after="0" w:line="240" w:lineRule="auto"/>
            <w:ind w:left="720" w:hanging="720"/>
            <w:rPr>
              <w:lang w:val="es-DO"/>
            </w:rPr>
          </w:pPr>
          <w:r w:rsidRPr="00FA5324">
            <w:rPr>
              <w:lang w:val="es-DO"/>
            </w:rPr>
            <w:t xml:space="preserve">Oficina Nacional de Estadística de República Dominicana. (2010). </w:t>
          </w:r>
          <w:r w:rsidRPr="00FA5324">
            <w:rPr>
              <w:i/>
              <w:lang w:val="es-DO"/>
            </w:rPr>
            <w:t>Sistema Interactivo de Consulta Censo Nacional de Población y Vivienda</w:t>
          </w:r>
          <w:r w:rsidRPr="00FA5324">
            <w:rPr>
              <w:lang w:val="es-DO"/>
            </w:rPr>
            <w:t>. (Oficina Nacional de Estadística) Recuperado el 12 de Septiembre de 2014, de http://sicen.one.gob.do/</w:t>
          </w:r>
        </w:p>
        <w:p w:rsidR="00512468" w:rsidRPr="00FA5324" w:rsidRDefault="00512468" w:rsidP="00FA5324">
          <w:pPr>
            <w:pStyle w:val="Bibliography"/>
            <w:spacing w:after="0" w:line="240" w:lineRule="auto"/>
            <w:ind w:left="720" w:hanging="720"/>
            <w:rPr>
              <w:lang w:val="es-DO"/>
            </w:rPr>
          </w:pPr>
          <w:r w:rsidRPr="00FA5324">
            <w:rPr>
              <w:lang w:val="es-DO"/>
            </w:rPr>
            <w:t xml:space="preserve">Orces, D. (2009). Victimización por corrupción en el sector de la Salud Pública. </w:t>
          </w:r>
          <w:r w:rsidRPr="00FA5324">
            <w:rPr>
              <w:i/>
              <w:lang w:val="es-DO"/>
            </w:rPr>
            <w:t>Perspectivas desde el Barómetro de las Américas</w:t>
          </w:r>
          <w:r w:rsidRPr="00FA5324">
            <w:rPr>
              <w:lang w:val="es-DO"/>
            </w:rPr>
            <w:t>(30). Recuperado el 13 de Septiembre de 2014, de http://www.vanderbilt.edu/lapop/insights/I0830es.pdf</w:t>
          </w:r>
        </w:p>
        <w:p w:rsidR="00512468" w:rsidRPr="00FA5324" w:rsidRDefault="00512468" w:rsidP="00FA5324">
          <w:pPr>
            <w:pStyle w:val="Bibliography"/>
            <w:spacing w:after="0" w:line="240" w:lineRule="auto"/>
            <w:ind w:left="720" w:hanging="720"/>
            <w:rPr>
              <w:lang w:val="es-DO"/>
            </w:rPr>
          </w:pPr>
          <w:r w:rsidRPr="00FA5324">
            <w:rPr>
              <w:lang w:val="es-DO"/>
            </w:rPr>
            <w:lastRenderedPageBreak/>
            <w:t xml:space="preserve">Organización Mundial de la Salud. (2009). </w:t>
          </w:r>
          <w:r w:rsidRPr="00FA5324">
            <w:rPr>
              <w:i/>
              <w:lang w:val="es-DO"/>
            </w:rPr>
            <w:t>El umbral de médicos, enfermeras y parteras por cada 10.000 habitantes.</w:t>
          </w:r>
          <w:r w:rsidRPr="00FA5324">
            <w:rPr>
              <w:lang w:val="es-DO"/>
            </w:rPr>
            <w:t xml:space="preserve"> Recuperado el Septiembre de 2014, de http://www.who.int/hrh/workforce_mdgs/es/</w:t>
          </w:r>
        </w:p>
        <w:p w:rsidR="00512468" w:rsidRPr="00FA5324" w:rsidRDefault="00512468" w:rsidP="00FA5324">
          <w:pPr>
            <w:pStyle w:val="Bibliography"/>
            <w:spacing w:after="0" w:line="240" w:lineRule="auto"/>
            <w:ind w:left="720" w:hanging="720"/>
            <w:rPr>
              <w:lang w:val="es-DO"/>
            </w:rPr>
          </w:pPr>
          <w:r w:rsidRPr="00FA5324">
            <w:rPr>
              <w:lang w:val="es-DO"/>
            </w:rPr>
            <w:t xml:space="preserve">Peguero, J. (18 de Abril de 2012). Envejecientes claman ser incluidos en programas de ayuda del Gobierno. </w:t>
          </w:r>
          <w:r w:rsidRPr="00FA5324">
            <w:rPr>
              <w:i/>
              <w:lang w:val="es-DO"/>
            </w:rPr>
            <w:t>Ensegundo.net</w:t>
          </w:r>
          <w:r w:rsidRPr="00FA5324">
            <w:rPr>
              <w:lang w:val="es-DO"/>
            </w:rPr>
            <w:t>. Recuperado el 18 de Agosto de 2014, de http://ensegundos.net/2012/04/18/envejecientes-claman-ser-incluidos-en-programas-de-ayuda-del-gobierno/</w:t>
          </w:r>
        </w:p>
        <w:p w:rsidR="00512468" w:rsidRPr="00FA5324" w:rsidRDefault="00512468" w:rsidP="00FA5324">
          <w:pPr>
            <w:pStyle w:val="Bibliography"/>
            <w:spacing w:after="0" w:line="240" w:lineRule="auto"/>
            <w:ind w:left="720" w:hanging="720"/>
            <w:rPr>
              <w:lang w:val="es-DO"/>
            </w:rPr>
          </w:pPr>
          <w:r w:rsidRPr="00FA5324">
            <w:rPr>
              <w:lang w:val="en-US"/>
            </w:rPr>
            <w:t xml:space="preserve">Powell, A. (2013). </w:t>
          </w:r>
          <w:r w:rsidRPr="00FA5324">
            <w:rPr>
              <w:i/>
              <w:lang w:val="en-US"/>
            </w:rPr>
            <w:t>Rethinking reforms. How Latin America and Caribbean can escape suppressed world growth.</w:t>
          </w:r>
          <w:r w:rsidRPr="00FA5324">
            <w:rPr>
              <w:lang w:val="en-US"/>
            </w:rPr>
            <w:t xml:space="preserve"> </w:t>
          </w:r>
          <w:r w:rsidRPr="00FA5324">
            <w:rPr>
              <w:lang w:val="es-DO"/>
            </w:rPr>
            <w:t>Latin American and Caribbean Macroeconomic report, Interamerican Development Bank. Recuperado el 16 de Agosto de 2014</w:t>
          </w:r>
        </w:p>
        <w:p w:rsidR="00512468" w:rsidRPr="00FA5324" w:rsidRDefault="00512468" w:rsidP="00FA5324">
          <w:pPr>
            <w:pStyle w:val="Bibliography"/>
            <w:spacing w:after="0" w:line="240" w:lineRule="auto"/>
            <w:ind w:left="720" w:hanging="720"/>
            <w:rPr>
              <w:lang w:val="es-DO"/>
            </w:rPr>
          </w:pPr>
          <w:r w:rsidRPr="00FA5324">
            <w:rPr>
              <w:lang w:val="es-DO"/>
            </w:rPr>
            <w:t xml:space="preserve">Secretaría de Estado de Salud Pública y Asistencia Social. (2010). </w:t>
          </w:r>
          <w:r w:rsidRPr="00FA5324">
            <w:rPr>
              <w:i/>
              <w:lang w:val="es-DO"/>
            </w:rPr>
            <w:t>SIGpaS4.</w:t>
          </w:r>
          <w:r w:rsidRPr="00FA5324">
            <w:rPr>
              <w:lang w:val="es-DO"/>
            </w:rPr>
            <w:t xml:space="preserve"> Recuperado el 12 de Septiembre de 2014, de http://reformaonline.cerss.gov.do/sites/?p=96</w:t>
          </w:r>
        </w:p>
        <w:p w:rsidR="00512468" w:rsidRDefault="00512468" w:rsidP="00FA5324">
          <w:pPr>
            <w:pStyle w:val="Bibliography"/>
            <w:spacing w:after="0" w:line="240" w:lineRule="auto"/>
            <w:ind w:left="720" w:hanging="720"/>
            <w:rPr>
              <w:lang w:val="es-DO"/>
            </w:rPr>
          </w:pPr>
          <w:r w:rsidRPr="00FA5324">
            <w:rPr>
              <w:lang w:val="es-DO"/>
            </w:rPr>
            <w:t xml:space="preserve">Secretaría de Estado de Salud Pública y Asistencia Social. (2010). Sistema de Informaciín Geográfica para Salud. </w:t>
          </w:r>
          <w:r w:rsidRPr="004759CA">
            <w:rPr>
              <w:lang w:val="es-DO"/>
            </w:rPr>
            <w:t>SIGpaS4</w:t>
          </w:r>
          <w:r w:rsidRPr="00FA5324">
            <w:rPr>
              <w:lang w:val="es-DO"/>
            </w:rPr>
            <w:t xml:space="preserve">. República Dominicana. Recuperado el 20 de Agosto de 2014, de </w:t>
          </w:r>
          <w:hyperlink r:id="rId27" w:history="1">
            <w:r w:rsidR="001840E8" w:rsidRPr="004759CA">
              <w:t>http://reformaonline.cerss.gov.do/sites/?p=96</w:t>
            </w:r>
          </w:hyperlink>
        </w:p>
        <w:p w:rsidR="001840E8" w:rsidRPr="001840E8" w:rsidRDefault="001840E8" w:rsidP="004759CA">
          <w:pPr>
            <w:rPr>
              <w:lang w:val="es-DO"/>
            </w:rPr>
          </w:pPr>
          <w:r w:rsidRPr="004759CA">
            <w:rPr>
              <w:lang w:val="es-DO"/>
            </w:rPr>
            <w:t>SURA Asset Management.Acuña R, Villar L, Villagomez A, Fuentes R, Secada P. (eds) (2013)  Contribución del sistema privado de pensiones al desarrollo económico de Latinoamérica.</w:t>
          </w:r>
        </w:p>
        <w:p w:rsidR="00512468" w:rsidRPr="00FA5324" w:rsidRDefault="00512468" w:rsidP="00FA5324">
          <w:pPr>
            <w:pStyle w:val="Bibliography"/>
            <w:spacing w:after="0" w:line="240" w:lineRule="auto"/>
            <w:ind w:left="720" w:hanging="720"/>
            <w:rPr>
              <w:lang w:val="en-US"/>
            </w:rPr>
          </w:pPr>
          <w:r w:rsidRPr="00AA3DCF">
            <w:rPr>
              <w:lang w:val="en-US"/>
            </w:rPr>
            <w:t xml:space="preserve">World Health Organization. (2012). </w:t>
          </w:r>
          <w:r w:rsidRPr="00AA3DCF">
            <w:rPr>
              <w:i/>
              <w:lang w:val="en-US"/>
            </w:rPr>
            <w:t>Global Health Observatory Data Repository (Region of the Americas)</w:t>
          </w:r>
          <w:r w:rsidRPr="00AA3DCF">
            <w:rPr>
              <w:lang w:val="en-US"/>
            </w:rPr>
            <w:t xml:space="preserve">. </w:t>
          </w:r>
          <w:r w:rsidRPr="00FA5324">
            <w:rPr>
              <w:lang w:val="en-US"/>
            </w:rPr>
            <w:t>Recuperado el 8 de Septiembre de 2014, de Estimates by country: Age-standardized DALY rates. Data by Country: http://apps.who.int/gho/data/node.main-amro.DALYCTRY?lang=en</w:t>
          </w:r>
        </w:p>
        <w:p w:rsidR="00512468" w:rsidRPr="00FA5324" w:rsidRDefault="00512468" w:rsidP="00FA5324">
          <w:pPr>
            <w:pStyle w:val="Bibliography"/>
            <w:spacing w:after="0" w:line="240" w:lineRule="auto"/>
            <w:ind w:left="720" w:hanging="720"/>
            <w:rPr>
              <w:lang w:val="es-DO"/>
            </w:rPr>
          </w:pPr>
          <w:r w:rsidRPr="00FA5324">
            <w:rPr>
              <w:lang w:val="en-US"/>
            </w:rPr>
            <w:t xml:space="preserve">Zandberg, E., &amp; Spierdijk, L. (2010). </w:t>
          </w:r>
          <w:r w:rsidRPr="00FA5324">
            <w:rPr>
              <w:i/>
              <w:lang w:val="en-US"/>
            </w:rPr>
            <w:t>Fundin of pensions and economic growth. Are they really related?</w:t>
          </w:r>
          <w:r w:rsidRPr="00FA5324">
            <w:rPr>
              <w:lang w:val="en-US"/>
            </w:rPr>
            <w:t xml:space="preserve"> University of Groningen. Network for studies on pensions, aging and retirement. </w:t>
          </w:r>
          <w:r w:rsidRPr="00FA5324">
            <w:rPr>
              <w:lang w:val="es-DO"/>
            </w:rPr>
            <w:t>Recuperado el 8 de Septiembre de 2014</w:t>
          </w:r>
        </w:p>
        <w:p w:rsidR="00BF3D3B" w:rsidRPr="00FA5324" w:rsidRDefault="00AA3DCF" w:rsidP="00FA5324">
          <w:pPr>
            <w:pStyle w:val="Bibliography"/>
            <w:spacing w:after="0" w:line="240" w:lineRule="auto"/>
            <w:ind w:left="720" w:hanging="720"/>
            <w:rPr>
              <w:lang w:val="es-DO"/>
            </w:rPr>
          </w:pPr>
        </w:p>
      </w:sdtContent>
    </w:sdt>
    <w:p w:rsidR="00BF3D3B" w:rsidRPr="00FA5324" w:rsidRDefault="00BF3D3B" w:rsidP="00AF0916">
      <w:pPr>
        <w:spacing w:after="0" w:line="240" w:lineRule="auto"/>
        <w:jc w:val="left"/>
        <w:rPr>
          <w:lang w:val="es-DO"/>
        </w:rPr>
      </w:pPr>
      <w:r w:rsidRPr="00FA5324">
        <w:rPr>
          <w:lang w:val="es-DO"/>
        </w:rPr>
        <w:br w:type="page"/>
      </w:r>
    </w:p>
    <w:p w:rsidR="00230706" w:rsidRPr="00FA5324" w:rsidRDefault="008F308A" w:rsidP="00FA5324">
      <w:pPr>
        <w:pStyle w:val="Heading1"/>
        <w:spacing w:before="0" w:after="0" w:line="240" w:lineRule="auto"/>
        <w:rPr>
          <w:lang w:val="es-DO"/>
        </w:rPr>
      </w:pPr>
      <w:bookmarkStart w:id="39" w:name="_Toc401244724"/>
      <w:r w:rsidRPr="008450F1">
        <w:rPr>
          <w:lang w:val="es-DO"/>
        </w:rPr>
        <w:lastRenderedPageBreak/>
        <w:t>ANEXOS</w:t>
      </w:r>
      <w:bookmarkEnd w:id="39"/>
      <w:r w:rsidRPr="00FA5324">
        <w:rPr>
          <w:lang w:val="es-DO"/>
        </w:rPr>
        <w:t xml:space="preserve"> </w:t>
      </w:r>
    </w:p>
    <w:p w:rsidR="00230706" w:rsidRPr="00FA5324" w:rsidRDefault="00230706" w:rsidP="00AF0916">
      <w:pPr>
        <w:spacing w:after="0" w:line="240" w:lineRule="auto"/>
        <w:jc w:val="left"/>
        <w:rPr>
          <w:b/>
          <w:lang w:val="es-DO"/>
        </w:rPr>
      </w:pPr>
      <w:r w:rsidRPr="00FA5324">
        <w:rPr>
          <w:lang w:val="es-DO"/>
        </w:rPr>
        <w:br w:type="page"/>
      </w:r>
    </w:p>
    <w:p w:rsidR="008B09E2" w:rsidRPr="00FA5324" w:rsidRDefault="008B09E2" w:rsidP="00FA5324">
      <w:pPr>
        <w:pStyle w:val="Heading2"/>
        <w:spacing w:before="0" w:after="0" w:line="240" w:lineRule="auto"/>
        <w:ind w:left="0"/>
        <w:rPr>
          <w:lang w:val="es-DO"/>
        </w:rPr>
      </w:pPr>
      <w:bookmarkStart w:id="40" w:name="_Ref399138826"/>
      <w:bookmarkStart w:id="41" w:name="_Toc401244725"/>
      <w:r w:rsidRPr="00FA5324">
        <w:rPr>
          <w:lang w:val="es-DO"/>
        </w:rPr>
        <w:lastRenderedPageBreak/>
        <w:t xml:space="preserve">Anexo 1. </w:t>
      </w:r>
      <w:r w:rsidR="00230706" w:rsidRPr="00FA5324">
        <w:rPr>
          <w:lang w:val="es-DO"/>
        </w:rPr>
        <w:t>Revisi</w:t>
      </w:r>
      <w:r w:rsidR="00673BF6" w:rsidRPr="00FA5324">
        <w:rPr>
          <w:lang w:val="es-DO"/>
        </w:rPr>
        <w:t>ó</w:t>
      </w:r>
      <w:r w:rsidR="00230706" w:rsidRPr="00FA5324">
        <w:rPr>
          <w:lang w:val="es-DO"/>
        </w:rPr>
        <w:t xml:space="preserve">n de la literatura: cuantificación de beneficios </w:t>
      </w:r>
      <w:r w:rsidR="008F308A" w:rsidRPr="008450F1">
        <w:rPr>
          <w:lang w:val="es-DO"/>
        </w:rPr>
        <w:t xml:space="preserve">de </w:t>
      </w:r>
      <w:r w:rsidR="007E70A2" w:rsidRPr="00FA5324">
        <w:rPr>
          <w:lang w:val="es-DO"/>
        </w:rPr>
        <w:t>intervenciones</w:t>
      </w:r>
      <w:r w:rsidR="00230706" w:rsidRPr="00FA5324">
        <w:rPr>
          <w:lang w:val="es-DO"/>
        </w:rPr>
        <w:t xml:space="preserve"> en Seguridad Social.</w:t>
      </w:r>
      <w:bookmarkEnd w:id="40"/>
      <w:bookmarkEnd w:id="41"/>
      <w:r w:rsidR="00230706" w:rsidRPr="00FA5324">
        <w:rPr>
          <w:lang w:val="es-DO"/>
        </w:rPr>
        <w:t xml:space="preserve"> </w:t>
      </w:r>
    </w:p>
    <w:p w:rsidR="007D15C8" w:rsidRPr="00FA5324" w:rsidRDefault="007D15C8" w:rsidP="00FA5324">
      <w:pPr>
        <w:pStyle w:val="Caption"/>
        <w:keepNext/>
        <w:spacing w:after="0"/>
        <w:jc w:val="center"/>
        <w:rPr>
          <w:i w:val="0"/>
          <w:color w:val="auto"/>
          <w:lang w:val="es-DO"/>
        </w:rPr>
      </w:pPr>
      <w:r w:rsidRPr="00FA5324">
        <w:rPr>
          <w:i w:val="0"/>
          <w:color w:val="auto"/>
          <w:lang w:val="es-DO"/>
        </w:rPr>
        <w:t xml:space="preserve">Tabla </w:t>
      </w:r>
      <w:r w:rsidR="00BC2072" w:rsidRPr="00FA5324">
        <w:rPr>
          <w:i w:val="0"/>
          <w:color w:val="auto"/>
          <w:lang w:val="es-DO"/>
        </w:rPr>
        <w:fldChar w:fldCharType="begin"/>
      </w:r>
      <w:r w:rsidR="00BC2072" w:rsidRPr="008450F1">
        <w:rPr>
          <w:i w:val="0"/>
          <w:color w:val="auto"/>
          <w:lang w:val="es-DO"/>
        </w:rPr>
        <w:instrText xml:space="preserve"> SEQ Tabla \* ARABIC </w:instrText>
      </w:r>
      <w:r w:rsidR="00BC2072" w:rsidRPr="00FA5324">
        <w:rPr>
          <w:i w:val="0"/>
          <w:color w:val="auto"/>
          <w:lang w:val="es-DO"/>
        </w:rPr>
        <w:fldChar w:fldCharType="separate"/>
      </w:r>
      <w:r w:rsidR="00A04D48" w:rsidRPr="008450F1">
        <w:rPr>
          <w:i w:val="0"/>
          <w:noProof/>
          <w:color w:val="auto"/>
          <w:lang w:val="es-DO"/>
        </w:rPr>
        <w:t>14</w:t>
      </w:r>
      <w:r w:rsidR="00BC2072" w:rsidRPr="00FA5324">
        <w:rPr>
          <w:i w:val="0"/>
          <w:color w:val="auto"/>
          <w:lang w:val="es-DO"/>
        </w:rPr>
        <w:fldChar w:fldCharType="end"/>
      </w:r>
      <w:r w:rsidR="00AC7DEF" w:rsidRPr="00FA5324">
        <w:rPr>
          <w:i w:val="0"/>
          <w:color w:val="auto"/>
          <w:lang w:val="es-DO"/>
        </w:rPr>
        <w:t>. Efectos del acceso a educación financiera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7"/>
        <w:gridCol w:w="978"/>
        <w:gridCol w:w="3773"/>
        <w:gridCol w:w="1739"/>
      </w:tblGrid>
      <w:tr w:rsidR="00C62A67" w:rsidRPr="008450F1" w:rsidTr="00FA5324">
        <w:trPr>
          <w:gridAfter w:val="3"/>
          <w:wAfter w:w="3483" w:type="pct"/>
          <w:trHeight w:val="20"/>
          <w:tblHeader/>
        </w:trPr>
        <w:tc>
          <w:tcPr>
            <w:tcW w:w="1517" w:type="pct"/>
            <w:tcBorders>
              <w:top w:val="nil"/>
              <w:left w:val="nil"/>
              <w:bottom w:val="single" w:sz="4" w:space="0" w:color="auto"/>
              <w:right w:val="nil"/>
            </w:tcBorders>
            <w:noWrap/>
            <w:vAlign w:val="center"/>
          </w:tcPr>
          <w:p w:rsidR="00520CF8" w:rsidRPr="00FA5324" w:rsidRDefault="00520CF8" w:rsidP="00FA5324">
            <w:pPr>
              <w:pStyle w:val="Tabla"/>
              <w:rPr>
                <w:rFonts w:ascii="Times New Roman" w:hAnsi="Times New Roman"/>
                <w:i/>
                <w:color w:val="auto"/>
                <w:sz w:val="16"/>
                <w:lang w:val="es-DO"/>
              </w:rPr>
            </w:pPr>
          </w:p>
        </w:tc>
      </w:tr>
      <w:tr w:rsidR="008F308A" w:rsidRPr="008450F1" w:rsidTr="00FA5324">
        <w:trPr>
          <w:trHeight w:val="20"/>
          <w:tblHeader/>
        </w:trPr>
        <w:tc>
          <w:tcPr>
            <w:tcW w:w="1517" w:type="pct"/>
            <w:tcBorders>
              <w:top w:val="single" w:sz="4" w:space="0" w:color="auto"/>
            </w:tcBorders>
            <w:shd w:val="clear" w:color="auto" w:fill="AEAAAA" w:themeFill="background2" w:themeFillShade="BF"/>
            <w:noWrap/>
            <w:vAlign w:val="center"/>
            <w:hideMark/>
          </w:tcPr>
          <w:p w:rsidR="00520CF8" w:rsidRPr="00FA5324" w:rsidRDefault="00520CF8" w:rsidP="00AF0916">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Referencia bibliográfica</w:t>
            </w:r>
          </w:p>
        </w:tc>
        <w:tc>
          <w:tcPr>
            <w:tcW w:w="525" w:type="pct"/>
            <w:tcBorders>
              <w:top w:val="single" w:sz="4" w:space="0" w:color="auto"/>
            </w:tcBorders>
            <w:shd w:val="clear" w:color="auto" w:fill="AEAAAA" w:themeFill="background2" w:themeFillShade="BF"/>
            <w:noWrap/>
            <w:vAlign w:val="center"/>
            <w:hideMark/>
          </w:tcPr>
          <w:p w:rsidR="00520CF8" w:rsidRPr="00FA5324" w:rsidRDefault="007C1CA0" w:rsidP="00AF0916">
            <w:pPr>
              <w:pStyle w:val="Tabla"/>
              <w:jc w:val="center"/>
              <w:rPr>
                <w:rFonts w:ascii="Times New Roman" w:hAnsi="Times New Roman"/>
                <w:b/>
                <w:color w:val="auto"/>
                <w:sz w:val="16"/>
                <w:lang w:val="es-DO"/>
              </w:rPr>
            </w:pPr>
            <w:r w:rsidRPr="008450F1">
              <w:rPr>
                <w:rFonts w:ascii="Times New Roman" w:hAnsi="Times New Roman"/>
                <w:b/>
                <w:color w:val="auto"/>
                <w:sz w:val="16"/>
                <w:szCs w:val="16"/>
                <w:lang w:val="es-DO"/>
              </w:rPr>
              <w:t>País</w:t>
            </w:r>
            <w:r w:rsidRPr="00FA5324">
              <w:rPr>
                <w:rFonts w:ascii="Times New Roman" w:hAnsi="Times New Roman"/>
                <w:b/>
                <w:color w:val="auto"/>
                <w:sz w:val="16"/>
                <w:lang w:val="es-DO"/>
              </w:rPr>
              <w:t xml:space="preserve"> y </w:t>
            </w:r>
            <w:r w:rsidRPr="008450F1">
              <w:rPr>
                <w:rFonts w:ascii="Times New Roman" w:hAnsi="Times New Roman"/>
                <w:b/>
                <w:color w:val="auto"/>
                <w:sz w:val="16"/>
                <w:szCs w:val="16"/>
                <w:lang w:val="es-DO"/>
              </w:rPr>
              <w:t>año</w:t>
            </w:r>
          </w:p>
        </w:tc>
        <w:tc>
          <w:tcPr>
            <w:tcW w:w="2025" w:type="pct"/>
            <w:tcBorders>
              <w:top w:val="single" w:sz="4" w:space="0" w:color="auto"/>
            </w:tcBorders>
            <w:shd w:val="clear" w:color="auto" w:fill="AEAAAA" w:themeFill="background2" w:themeFillShade="BF"/>
            <w:noWrap/>
            <w:vAlign w:val="center"/>
            <w:hideMark/>
          </w:tcPr>
          <w:p w:rsidR="00520CF8" w:rsidRPr="00FA5324" w:rsidRDefault="00520CF8" w:rsidP="00AF0916">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Principales hallazgos</w:t>
            </w:r>
          </w:p>
        </w:tc>
        <w:tc>
          <w:tcPr>
            <w:tcW w:w="932" w:type="pct"/>
            <w:tcBorders>
              <w:top w:val="single" w:sz="4" w:space="0" w:color="auto"/>
            </w:tcBorders>
            <w:shd w:val="clear" w:color="auto" w:fill="AEAAAA" w:themeFill="background2" w:themeFillShade="BF"/>
            <w:noWrap/>
            <w:vAlign w:val="center"/>
            <w:hideMark/>
          </w:tcPr>
          <w:p w:rsidR="00520CF8" w:rsidRPr="00FA5324" w:rsidRDefault="00520CF8" w:rsidP="00AF0916">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Análisis</w:t>
            </w:r>
          </w:p>
        </w:tc>
      </w:tr>
      <w:tr w:rsidR="008F308A" w:rsidRPr="008450F1" w:rsidTr="00FA5324">
        <w:trPr>
          <w:trHeight w:val="20"/>
          <w:tblHeader/>
        </w:trPr>
        <w:tc>
          <w:tcPr>
            <w:tcW w:w="1517" w:type="pct"/>
            <w:tcBorders>
              <w:top w:val="single" w:sz="4" w:space="0" w:color="auto"/>
            </w:tcBorders>
            <w:noWrap/>
            <w:vAlign w:val="center"/>
          </w:tcPr>
          <w:p w:rsidR="008C4088" w:rsidRPr="00FA5324" w:rsidRDefault="008C4088" w:rsidP="00AF0916">
            <w:pPr>
              <w:pStyle w:val="Tabla"/>
              <w:rPr>
                <w:rFonts w:ascii="Times New Roman" w:hAnsi="Times New Roman"/>
                <w:color w:val="auto"/>
                <w:sz w:val="16"/>
                <w:lang w:val="es-DO"/>
              </w:rPr>
            </w:pPr>
            <w:r w:rsidRPr="00FA5324">
              <w:rPr>
                <w:rFonts w:ascii="Times New Roman" w:hAnsi="Times New Roman"/>
                <w:color w:val="auto"/>
                <w:sz w:val="16"/>
                <w:lang w:val="es-DO"/>
              </w:rPr>
              <w:t xml:space="preserve">Fajnzylber, E,  Plaza G, reyes G (2009). </w:t>
            </w:r>
            <w:r w:rsidRPr="00FA5324">
              <w:rPr>
                <w:rFonts w:ascii="Times New Roman" w:hAnsi="Times New Roman"/>
                <w:i/>
                <w:color w:val="auto"/>
                <w:sz w:val="16"/>
                <w:lang w:val="en-US"/>
              </w:rPr>
              <w:t>BETTER-INFORMED WORKERS AND RETIREMENT SAVINGS DECISIONS: IMPACT EVALUATION OF A PERSONALIZED PENSION PROJECTION IN CHILE</w:t>
            </w:r>
            <w:r w:rsidR="006C5599" w:rsidRPr="00FA5324">
              <w:rPr>
                <w:rFonts w:ascii="Times New Roman" w:hAnsi="Times New Roman"/>
                <w:i/>
                <w:color w:val="auto"/>
                <w:sz w:val="16"/>
                <w:lang w:val="en-US"/>
              </w:rPr>
              <w:t xml:space="preserve">. </w:t>
            </w:r>
            <w:r w:rsidR="006C5599" w:rsidRPr="00FA5324">
              <w:rPr>
                <w:rFonts w:ascii="Times New Roman" w:hAnsi="Times New Roman"/>
                <w:color w:val="auto"/>
                <w:sz w:val="16"/>
                <w:lang w:val="es-DO"/>
              </w:rPr>
              <w:t>DOCUMENTO DE TRABAJO N° 31</w:t>
            </w:r>
          </w:p>
        </w:tc>
        <w:tc>
          <w:tcPr>
            <w:tcW w:w="525" w:type="pct"/>
            <w:tcBorders>
              <w:top w:val="single" w:sz="4" w:space="0" w:color="auto"/>
            </w:tcBorders>
            <w:noWrap/>
            <w:vAlign w:val="center"/>
          </w:tcPr>
          <w:p w:rsidR="008C4088" w:rsidRPr="00FA5324" w:rsidRDefault="006C5599" w:rsidP="00AF0916">
            <w:pPr>
              <w:pStyle w:val="Tabla"/>
              <w:jc w:val="center"/>
              <w:rPr>
                <w:rFonts w:ascii="Times New Roman" w:hAnsi="Times New Roman"/>
                <w:color w:val="auto"/>
                <w:sz w:val="16"/>
                <w:lang w:val="es-DO"/>
              </w:rPr>
            </w:pPr>
            <w:r w:rsidRPr="00FA5324">
              <w:rPr>
                <w:rFonts w:ascii="Times New Roman" w:hAnsi="Times New Roman"/>
                <w:color w:val="auto"/>
                <w:sz w:val="16"/>
                <w:lang w:val="es-DO"/>
              </w:rPr>
              <w:t>Chile</w:t>
            </w:r>
            <w:r w:rsidR="007C1CA0" w:rsidRPr="008450F1">
              <w:rPr>
                <w:rFonts w:ascii="Times New Roman" w:hAnsi="Times New Roman"/>
                <w:color w:val="auto"/>
                <w:sz w:val="16"/>
                <w:szCs w:val="16"/>
                <w:lang w:val="es-DO"/>
              </w:rPr>
              <w:t>,</w:t>
            </w:r>
            <w:r w:rsidRPr="00FA5324">
              <w:rPr>
                <w:rFonts w:ascii="Times New Roman" w:hAnsi="Times New Roman"/>
                <w:color w:val="auto"/>
                <w:sz w:val="16"/>
                <w:lang w:val="es-DO"/>
              </w:rPr>
              <w:t xml:space="preserve"> 2009</w:t>
            </w:r>
          </w:p>
        </w:tc>
        <w:tc>
          <w:tcPr>
            <w:tcW w:w="2025" w:type="pct"/>
            <w:tcBorders>
              <w:top w:val="single" w:sz="4" w:space="0" w:color="auto"/>
            </w:tcBorders>
            <w:noWrap/>
            <w:vAlign w:val="center"/>
          </w:tcPr>
          <w:p w:rsidR="008C4088" w:rsidRPr="00FA5324" w:rsidRDefault="006C5599" w:rsidP="00FA5324">
            <w:pPr>
              <w:pStyle w:val="Tabla"/>
              <w:rPr>
                <w:rFonts w:ascii="Times New Roman" w:hAnsi="Times New Roman"/>
                <w:color w:val="auto"/>
                <w:sz w:val="16"/>
                <w:lang w:val="es-DO"/>
              </w:rPr>
            </w:pPr>
            <w:r w:rsidRPr="00FA5324">
              <w:rPr>
                <w:rFonts w:ascii="Times New Roman" w:hAnsi="Times New Roman"/>
                <w:color w:val="auto"/>
                <w:sz w:val="16"/>
                <w:lang w:val="es-DO"/>
              </w:rPr>
              <w:t xml:space="preserve">El proveer información financiera a los afiliados se </w:t>
            </w:r>
            <w:r w:rsidR="007E70A2" w:rsidRPr="00FA5324">
              <w:rPr>
                <w:rFonts w:ascii="Times New Roman" w:hAnsi="Times New Roman"/>
                <w:color w:val="auto"/>
                <w:sz w:val="16"/>
                <w:lang w:val="es-DO"/>
              </w:rPr>
              <w:t>correlaciona</w:t>
            </w:r>
            <w:r w:rsidRPr="00FA5324">
              <w:rPr>
                <w:rFonts w:ascii="Times New Roman" w:hAnsi="Times New Roman"/>
                <w:color w:val="auto"/>
                <w:sz w:val="16"/>
                <w:lang w:val="es-DO"/>
              </w:rPr>
              <w:t xml:space="preserve"> </w:t>
            </w:r>
            <w:r w:rsidR="007E70A2" w:rsidRPr="00FA5324">
              <w:rPr>
                <w:rFonts w:ascii="Times New Roman" w:hAnsi="Times New Roman"/>
                <w:color w:val="auto"/>
                <w:sz w:val="16"/>
                <w:lang w:val="es-DO"/>
              </w:rPr>
              <w:t>positivamente</w:t>
            </w:r>
            <w:r w:rsidRPr="00FA5324">
              <w:rPr>
                <w:rFonts w:ascii="Times New Roman" w:hAnsi="Times New Roman"/>
                <w:color w:val="auto"/>
                <w:sz w:val="16"/>
                <w:lang w:val="es-DO"/>
              </w:rPr>
              <w:t xml:space="preserve"> con la probabilidad de realizar una contribución </w:t>
            </w:r>
            <w:r w:rsidR="007E70A2" w:rsidRPr="00FA5324">
              <w:rPr>
                <w:rFonts w:ascii="Times New Roman" w:hAnsi="Times New Roman"/>
                <w:color w:val="auto"/>
                <w:sz w:val="16"/>
                <w:lang w:val="es-DO"/>
              </w:rPr>
              <w:t>voluntaria</w:t>
            </w:r>
            <w:r w:rsidRPr="00FA5324">
              <w:rPr>
                <w:rFonts w:ascii="Times New Roman" w:hAnsi="Times New Roman"/>
                <w:color w:val="auto"/>
                <w:sz w:val="16"/>
                <w:lang w:val="es-DO"/>
              </w:rPr>
              <w:t xml:space="preserve">,  1.4 punto </w:t>
            </w:r>
            <w:r w:rsidR="007E70A2" w:rsidRPr="00FA5324">
              <w:rPr>
                <w:rFonts w:ascii="Times New Roman" w:hAnsi="Times New Roman"/>
                <w:color w:val="auto"/>
                <w:sz w:val="16"/>
                <w:lang w:val="es-DO"/>
              </w:rPr>
              <w:t>porcentuales</w:t>
            </w:r>
          </w:p>
        </w:tc>
        <w:tc>
          <w:tcPr>
            <w:tcW w:w="932" w:type="pct"/>
            <w:tcBorders>
              <w:top w:val="single" w:sz="4" w:space="0" w:color="auto"/>
            </w:tcBorders>
            <w:noWrap/>
            <w:vAlign w:val="center"/>
          </w:tcPr>
          <w:p w:rsidR="008C4088" w:rsidRPr="00FA5324" w:rsidRDefault="007E70A2" w:rsidP="00FA5324">
            <w:pPr>
              <w:pStyle w:val="Tabla"/>
              <w:rPr>
                <w:rFonts w:ascii="Times New Roman" w:hAnsi="Times New Roman"/>
                <w:color w:val="auto"/>
                <w:sz w:val="16"/>
                <w:lang w:val="es-DO"/>
              </w:rPr>
            </w:pPr>
            <w:r w:rsidRPr="00FA5324">
              <w:rPr>
                <w:rFonts w:ascii="Times New Roman" w:hAnsi="Times New Roman"/>
                <w:color w:val="auto"/>
                <w:sz w:val="16"/>
                <w:lang w:val="es-DO"/>
              </w:rPr>
              <w:t>Técnica</w:t>
            </w:r>
            <w:r w:rsidR="006C5599" w:rsidRPr="00FA5324">
              <w:rPr>
                <w:rFonts w:ascii="Times New Roman" w:hAnsi="Times New Roman"/>
                <w:color w:val="auto"/>
                <w:sz w:val="16"/>
                <w:lang w:val="es-DO"/>
              </w:rPr>
              <w:t xml:space="preserve"> de </w:t>
            </w:r>
            <w:r w:rsidR="006C5599" w:rsidRPr="00FA5324">
              <w:rPr>
                <w:rFonts w:ascii="Times New Roman" w:hAnsi="Times New Roman"/>
                <w:i/>
                <w:color w:val="auto"/>
                <w:sz w:val="16"/>
                <w:lang w:val="es-DO"/>
              </w:rPr>
              <w:t>Matching</w:t>
            </w:r>
            <w:r w:rsidR="006C5599" w:rsidRPr="00FA5324">
              <w:rPr>
                <w:rFonts w:ascii="Times New Roman" w:hAnsi="Times New Roman"/>
                <w:color w:val="auto"/>
                <w:sz w:val="16"/>
                <w:lang w:val="es-DO"/>
              </w:rPr>
              <w:t xml:space="preserve"> entre quienes </w:t>
            </w:r>
            <w:r w:rsidRPr="00FA5324">
              <w:rPr>
                <w:rFonts w:ascii="Times New Roman" w:hAnsi="Times New Roman"/>
                <w:color w:val="auto"/>
                <w:sz w:val="16"/>
                <w:lang w:val="es-DO"/>
              </w:rPr>
              <w:t>recibieron</w:t>
            </w:r>
            <w:r w:rsidR="006C5599" w:rsidRPr="00FA5324">
              <w:rPr>
                <w:rFonts w:ascii="Times New Roman" w:hAnsi="Times New Roman"/>
                <w:color w:val="auto"/>
                <w:sz w:val="16"/>
                <w:lang w:val="es-DO"/>
              </w:rPr>
              <w:t xml:space="preserve"> proyecciones personalizadas de </w:t>
            </w:r>
            <w:r w:rsidRPr="00FA5324">
              <w:rPr>
                <w:rFonts w:ascii="Times New Roman" w:hAnsi="Times New Roman"/>
                <w:color w:val="auto"/>
                <w:sz w:val="16"/>
                <w:lang w:val="es-DO"/>
              </w:rPr>
              <w:t>pensión</w:t>
            </w:r>
            <w:r w:rsidR="006C5599" w:rsidRPr="00FA5324">
              <w:rPr>
                <w:rFonts w:ascii="Times New Roman" w:hAnsi="Times New Roman"/>
                <w:color w:val="auto"/>
                <w:sz w:val="16"/>
                <w:lang w:val="es-DO"/>
              </w:rPr>
              <w:t xml:space="preserve"> y </w:t>
            </w:r>
            <w:r w:rsidRPr="00FA5324">
              <w:rPr>
                <w:rFonts w:ascii="Times New Roman" w:hAnsi="Times New Roman"/>
                <w:color w:val="auto"/>
                <w:sz w:val="16"/>
                <w:lang w:val="es-DO"/>
              </w:rPr>
              <w:t>quiénes</w:t>
            </w:r>
            <w:r w:rsidR="006C5599" w:rsidRPr="00FA5324">
              <w:rPr>
                <w:rFonts w:ascii="Times New Roman" w:hAnsi="Times New Roman"/>
                <w:color w:val="auto"/>
                <w:sz w:val="16"/>
                <w:lang w:val="es-DO"/>
              </w:rPr>
              <w:t xml:space="preserve"> no</w:t>
            </w:r>
          </w:p>
        </w:tc>
      </w:tr>
      <w:tr w:rsidR="008F308A" w:rsidRPr="008450F1" w:rsidTr="00FA5324">
        <w:trPr>
          <w:trHeight w:val="20"/>
          <w:tblHeader/>
        </w:trPr>
        <w:tc>
          <w:tcPr>
            <w:tcW w:w="1517" w:type="pct"/>
            <w:tcBorders>
              <w:top w:val="single" w:sz="4" w:space="0" w:color="auto"/>
            </w:tcBorders>
            <w:noWrap/>
            <w:vAlign w:val="center"/>
          </w:tcPr>
          <w:p w:rsidR="008F1796" w:rsidRPr="00FA5324" w:rsidRDefault="008F1796" w:rsidP="00AF0916">
            <w:pPr>
              <w:pStyle w:val="Tabla"/>
              <w:rPr>
                <w:rFonts w:ascii="Times New Roman" w:hAnsi="Times New Roman"/>
                <w:color w:val="auto"/>
                <w:sz w:val="16"/>
                <w:lang w:val="es-DO"/>
              </w:rPr>
            </w:pPr>
            <w:r w:rsidRPr="00FA5324">
              <w:rPr>
                <w:rFonts w:ascii="Times New Roman" w:hAnsi="Times New Roman"/>
                <w:color w:val="auto"/>
                <w:sz w:val="16"/>
                <w:lang w:val="es-DO"/>
              </w:rPr>
              <w:t xml:space="preserve">Miranda J. (2012). Proyección de Pensión Personalizada en </w:t>
            </w:r>
            <w:r w:rsidR="007E70A2" w:rsidRPr="00FA5324">
              <w:rPr>
                <w:rFonts w:ascii="Times New Roman" w:hAnsi="Times New Roman"/>
                <w:color w:val="auto"/>
                <w:sz w:val="16"/>
                <w:lang w:val="es-DO"/>
              </w:rPr>
              <w:t>Chile: Evaluación</w:t>
            </w:r>
            <w:r w:rsidRPr="00FA5324">
              <w:rPr>
                <w:rFonts w:ascii="Times New Roman" w:hAnsi="Times New Roman"/>
                <w:color w:val="auto"/>
                <w:sz w:val="16"/>
                <w:lang w:val="es-DO"/>
              </w:rPr>
              <w:t xml:space="preserve"> de su impacto en la decisión de Jubilación.  DOCUMENTO DE TRABAJO N° 53</w:t>
            </w:r>
          </w:p>
        </w:tc>
        <w:tc>
          <w:tcPr>
            <w:tcW w:w="525" w:type="pct"/>
            <w:tcBorders>
              <w:top w:val="single" w:sz="4" w:space="0" w:color="auto"/>
            </w:tcBorders>
            <w:noWrap/>
            <w:vAlign w:val="center"/>
          </w:tcPr>
          <w:p w:rsidR="008F1796" w:rsidRPr="00FA5324" w:rsidRDefault="008F1796" w:rsidP="00AF0916">
            <w:pPr>
              <w:pStyle w:val="Tabla"/>
              <w:jc w:val="center"/>
              <w:rPr>
                <w:rFonts w:ascii="Times New Roman" w:hAnsi="Times New Roman"/>
                <w:color w:val="auto"/>
                <w:sz w:val="16"/>
                <w:lang w:val="es-DO"/>
              </w:rPr>
            </w:pPr>
            <w:r w:rsidRPr="00FA5324">
              <w:rPr>
                <w:rFonts w:ascii="Times New Roman" w:hAnsi="Times New Roman"/>
                <w:color w:val="auto"/>
                <w:sz w:val="16"/>
                <w:lang w:val="es-DO"/>
              </w:rPr>
              <w:t>Chile</w:t>
            </w:r>
            <w:r w:rsidR="007C1CA0" w:rsidRPr="008450F1">
              <w:rPr>
                <w:rFonts w:ascii="Times New Roman" w:hAnsi="Times New Roman"/>
                <w:color w:val="auto"/>
                <w:sz w:val="16"/>
                <w:szCs w:val="16"/>
                <w:lang w:val="es-DO"/>
              </w:rPr>
              <w:t>,</w:t>
            </w:r>
            <w:r w:rsidRPr="00FA5324">
              <w:rPr>
                <w:rFonts w:ascii="Times New Roman" w:hAnsi="Times New Roman"/>
                <w:color w:val="auto"/>
                <w:sz w:val="16"/>
                <w:lang w:val="es-DO"/>
              </w:rPr>
              <w:t xml:space="preserve"> 2011</w:t>
            </w:r>
          </w:p>
        </w:tc>
        <w:tc>
          <w:tcPr>
            <w:tcW w:w="2025" w:type="pct"/>
            <w:tcBorders>
              <w:top w:val="single" w:sz="4" w:space="0" w:color="auto"/>
            </w:tcBorders>
            <w:noWrap/>
            <w:vAlign w:val="center"/>
          </w:tcPr>
          <w:p w:rsidR="008F1796" w:rsidRPr="00FA5324" w:rsidRDefault="008F1796" w:rsidP="00FA5324">
            <w:pPr>
              <w:pStyle w:val="Tabla"/>
              <w:rPr>
                <w:rFonts w:ascii="Times New Roman" w:hAnsi="Times New Roman"/>
                <w:color w:val="auto"/>
                <w:sz w:val="16"/>
                <w:lang w:val="es-DO"/>
              </w:rPr>
            </w:pPr>
            <w:r w:rsidRPr="00FA5324">
              <w:rPr>
                <w:rFonts w:ascii="Times New Roman" w:hAnsi="Times New Roman"/>
                <w:color w:val="auto"/>
                <w:sz w:val="16"/>
                <w:lang w:val="es-DO"/>
              </w:rPr>
              <w:t>Las personas que recibieron dos proyección de pensión personalizada postergan su decisión de retiro, mejorando el ahorro previsional</w:t>
            </w:r>
          </w:p>
        </w:tc>
        <w:tc>
          <w:tcPr>
            <w:tcW w:w="932" w:type="pct"/>
            <w:tcBorders>
              <w:top w:val="single" w:sz="4" w:space="0" w:color="auto"/>
            </w:tcBorders>
            <w:noWrap/>
            <w:vAlign w:val="center"/>
          </w:tcPr>
          <w:p w:rsidR="008F1796" w:rsidRPr="00FA5324" w:rsidRDefault="008F1796" w:rsidP="00FA5324">
            <w:pPr>
              <w:pStyle w:val="Tabla"/>
              <w:rPr>
                <w:rFonts w:ascii="Times New Roman" w:hAnsi="Times New Roman"/>
                <w:color w:val="auto"/>
                <w:sz w:val="16"/>
                <w:lang w:val="es-DO"/>
              </w:rPr>
            </w:pPr>
            <w:r w:rsidRPr="00FA5324">
              <w:rPr>
                <w:rFonts w:ascii="Times New Roman" w:hAnsi="Times New Roman"/>
                <w:color w:val="auto"/>
                <w:sz w:val="16"/>
                <w:lang w:val="es-DO"/>
              </w:rPr>
              <w:t>Valuación no experimental</w:t>
            </w:r>
            <w:r w:rsidRPr="008450F1">
              <w:rPr>
                <w:rFonts w:ascii="Times New Roman" w:hAnsi="Times New Roman"/>
                <w:color w:val="auto"/>
                <w:sz w:val="16"/>
                <w:szCs w:val="16"/>
                <w:lang w:val="es-DO"/>
              </w:rPr>
              <w:t xml:space="preserve"> </w:t>
            </w:r>
            <w:r w:rsidR="007C1CA0" w:rsidRPr="008450F1">
              <w:rPr>
                <w:rFonts w:ascii="Times New Roman" w:hAnsi="Times New Roman"/>
                <w:color w:val="auto"/>
                <w:sz w:val="16"/>
                <w:szCs w:val="16"/>
                <w:lang w:val="es-DO"/>
              </w:rPr>
              <w:t>c</w:t>
            </w:r>
            <w:r w:rsidRPr="008450F1">
              <w:rPr>
                <w:rFonts w:ascii="Times New Roman" w:hAnsi="Times New Roman"/>
                <w:color w:val="auto"/>
                <w:sz w:val="16"/>
                <w:szCs w:val="16"/>
                <w:lang w:val="es-DO"/>
              </w:rPr>
              <w:t>on</w:t>
            </w:r>
            <w:r w:rsidRPr="00FA5324">
              <w:rPr>
                <w:rFonts w:ascii="Times New Roman" w:hAnsi="Times New Roman"/>
                <w:color w:val="auto"/>
                <w:sz w:val="16"/>
                <w:lang w:val="es-DO"/>
              </w:rPr>
              <w:t xml:space="preserve"> un grupo control y otro de tratamiento</w:t>
            </w:r>
          </w:p>
        </w:tc>
      </w:tr>
      <w:tr w:rsidR="008F308A" w:rsidRPr="00443AF0" w:rsidTr="00FA5324">
        <w:trPr>
          <w:trHeight w:val="20"/>
          <w:tblHeader/>
        </w:trPr>
        <w:tc>
          <w:tcPr>
            <w:tcW w:w="1517"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n-US"/>
              </w:rPr>
              <w:t xml:space="preserve">Hum, D; &amp; Simpson, W. (2010). </w:t>
            </w:r>
            <w:r w:rsidRPr="00FA5324">
              <w:rPr>
                <w:rFonts w:ascii="Times New Roman" w:hAnsi="Times New Roman"/>
                <w:i/>
                <w:color w:val="auto"/>
                <w:sz w:val="16"/>
                <w:lang w:val="en-US"/>
              </w:rPr>
              <w:t>The declining retirement prospects of immigrant men</w:t>
            </w:r>
            <w:r w:rsidRPr="00FA5324">
              <w:rPr>
                <w:rFonts w:ascii="Times New Roman" w:hAnsi="Times New Roman"/>
                <w:color w:val="auto"/>
                <w:sz w:val="16"/>
                <w:lang w:val="en-US"/>
              </w:rPr>
              <w:t xml:space="preserve">. </w:t>
            </w:r>
            <w:r w:rsidRPr="00FA5324">
              <w:rPr>
                <w:rFonts w:ascii="Times New Roman" w:hAnsi="Times New Roman"/>
                <w:i/>
                <w:color w:val="auto"/>
                <w:sz w:val="16"/>
                <w:lang w:val="es-DO"/>
              </w:rPr>
              <w:t>Can Public Policy</w:t>
            </w:r>
            <w:r w:rsidRPr="00FA5324">
              <w:rPr>
                <w:rFonts w:ascii="Times New Roman" w:hAnsi="Times New Roman"/>
                <w:color w:val="auto"/>
                <w:sz w:val="16"/>
                <w:lang w:val="es-DO"/>
              </w:rPr>
              <w:t>; 36(3): 287-305</w:t>
            </w:r>
          </w:p>
        </w:tc>
        <w:tc>
          <w:tcPr>
            <w:tcW w:w="525" w:type="pct"/>
            <w:vAlign w:val="center"/>
            <w:hideMark/>
          </w:tcPr>
          <w:p w:rsidR="00520CF8" w:rsidRPr="00FA5324" w:rsidRDefault="00520CF8"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Canadá, 2010</w:t>
            </w:r>
          </w:p>
        </w:tc>
        <w:tc>
          <w:tcPr>
            <w:tcW w:w="2025" w:type="pct"/>
            <w:vAlign w:val="center"/>
            <w:hideMark/>
          </w:tcPr>
          <w:p w:rsidR="00520CF8" w:rsidRPr="00FA5324" w:rsidRDefault="007C1CA0"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w:t>
            </w:r>
            <w:r w:rsidR="00520CF8" w:rsidRPr="00FA5324">
              <w:rPr>
                <w:rFonts w:ascii="Times New Roman" w:hAnsi="Times New Roman"/>
                <w:color w:val="auto"/>
                <w:sz w:val="16"/>
                <w:lang w:val="es-DO"/>
              </w:rPr>
              <w:t>Diferencias culturales conducen a distintos niveles de afiliación</w:t>
            </w:r>
          </w:p>
          <w:p w:rsidR="00520CF8" w:rsidRPr="00FA5324" w:rsidRDefault="007C1CA0"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w:t>
            </w:r>
            <w:r w:rsidR="00520CF8" w:rsidRPr="00FA5324">
              <w:rPr>
                <w:rFonts w:ascii="Times New Roman" w:hAnsi="Times New Roman"/>
                <w:color w:val="auto"/>
                <w:sz w:val="16"/>
                <w:lang w:val="es-DO"/>
              </w:rPr>
              <w:t>Existe una diferencia del 11% entre los hombres inmigrantes de Canadá y sus contrapartes nativos. Los inmigrantes recién llegados parecen estar menos interesados en hacer contribuciones al sistema de pensiones, lo que incide negativamente sobre los programas públicos de retiro en Canadá</w:t>
            </w:r>
          </w:p>
        </w:tc>
        <w:tc>
          <w:tcPr>
            <w:tcW w:w="932" w:type="pct"/>
            <w:vAlign w:val="center"/>
            <w:hideMark/>
          </w:tcPr>
          <w:p w:rsidR="00520CF8" w:rsidRPr="00FA5324" w:rsidRDefault="00520CF8" w:rsidP="00AF0916">
            <w:pPr>
              <w:pStyle w:val="Tabla"/>
              <w:rPr>
                <w:rFonts w:ascii="Times New Roman" w:hAnsi="Times New Roman"/>
                <w:color w:val="auto"/>
                <w:sz w:val="16"/>
                <w:lang w:val="en-US"/>
              </w:rPr>
            </w:pPr>
            <w:r w:rsidRPr="00FA5324">
              <w:rPr>
                <w:rFonts w:ascii="Times New Roman" w:hAnsi="Times New Roman"/>
                <w:color w:val="auto"/>
                <w:sz w:val="16"/>
                <w:lang w:val="en-US"/>
              </w:rPr>
              <w:t xml:space="preserve">Análisis de datos del </w:t>
            </w:r>
            <w:r w:rsidRPr="00FA5324">
              <w:rPr>
                <w:rFonts w:ascii="Times New Roman" w:hAnsi="Times New Roman"/>
                <w:i/>
                <w:color w:val="auto"/>
                <w:sz w:val="16"/>
                <w:lang w:val="en-US"/>
              </w:rPr>
              <w:t>Survey of Labour and Income Dynamics</w:t>
            </w:r>
            <w:r w:rsidRPr="00FA5324">
              <w:rPr>
                <w:rFonts w:ascii="Times New Roman" w:hAnsi="Times New Roman"/>
                <w:color w:val="auto"/>
                <w:sz w:val="16"/>
                <w:lang w:val="en-US"/>
              </w:rPr>
              <w:t xml:space="preserve"> - Canadá</w:t>
            </w:r>
          </w:p>
        </w:tc>
      </w:tr>
      <w:tr w:rsidR="008F308A" w:rsidRPr="008450F1" w:rsidTr="00FA5324">
        <w:trPr>
          <w:trHeight w:val="20"/>
          <w:tblHeader/>
        </w:trPr>
        <w:tc>
          <w:tcPr>
            <w:tcW w:w="1517" w:type="pct"/>
            <w:vAlign w:val="center"/>
            <w:hideMark/>
          </w:tcPr>
          <w:p w:rsidR="00520CF8" w:rsidRPr="00FA5324" w:rsidRDefault="00520CF8" w:rsidP="00AF0916">
            <w:pPr>
              <w:pStyle w:val="Tabla"/>
              <w:rPr>
                <w:rFonts w:ascii="Times New Roman" w:hAnsi="Times New Roman"/>
                <w:color w:val="auto"/>
                <w:sz w:val="16"/>
                <w:lang w:val="en-US"/>
              </w:rPr>
            </w:pPr>
            <w:r w:rsidRPr="00FA5324">
              <w:rPr>
                <w:rFonts w:ascii="Times New Roman" w:hAnsi="Times New Roman"/>
                <w:color w:val="auto"/>
                <w:sz w:val="16"/>
                <w:lang w:val="en-US"/>
              </w:rPr>
              <w:t xml:space="preserve">Muller, LA. (2002). </w:t>
            </w:r>
            <w:r w:rsidRPr="00FA5324">
              <w:rPr>
                <w:rFonts w:ascii="Times New Roman" w:hAnsi="Times New Roman"/>
                <w:i/>
                <w:color w:val="auto"/>
                <w:sz w:val="16"/>
                <w:lang w:val="en-US"/>
              </w:rPr>
              <w:t>Does retirement education teach people to save pension distributions?</w:t>
            </w:r>
            <w:r w:rsidRPr="00FA5324">
              <w:rPr>
                <w:rFonts w:ascii="Times New Roman" w:hAnsi="Times New Roman"/>
                <w:color w:val="auto"/>
                <w:sz w:val="16"/>
                <w:lang w:val="en-US"/>
              </w:rPr>
              <w:t xml:space="preserve"> Soc Secur Bull; 64(4): 48-65</w:t>
            </w:r>
          </w:p>
        </w:tc>
        <w:tc>
          <w:tcPr>
            <w:tcW w:w="525" w:type="pct"/>
            <w:vAlign w:val="center"/>
            <w:hideMark/>
          </w:tcPr>
          <w:p w:rsidR="00520CF8" w:rsidRPr="00FA5324" w:rsidRDefault="00520CF8"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EEUU, 2002</w:t>
            </w:r>
          </w:p>
        </w:tc>
        <w:tc>
          <w:tcPr>
            <w:tcW w:w="2025" w:type="pct"/>
            <w:vAlign w:val="center"/>
            <w:hideMark/>
          </w:tcPr>
          <w:p w:rsidR="00520CF8" w:rsidRPr="00FA5324" w:rsidRDefault="007C1CA0"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w:t>
            </w:r>
            <w:r w:rsidR="00520CF8" w:rsidRPr="00FA5324">
              <w:rPr>
                <w:rFonts w:ascii="Times New Roman" w:hAnsi="Times New Roman"/>
                <w:color w:val="auto"/>
                <w:sz w:val="16"/>
                <w:lang w:val="es-DO"/>
              </w:rPr>
              <w:t>Este estudio evalúa el impacto de una educación aplicada a las pensiones en grupos específicos</w:t>
            </w:r>
          </w:p>
          <w:p w:rsidR="00520CF8" w:rsidRPr="00FA5324" w:rsidRDefault="007C1CA0"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w:t>
            </w:r>
            <w:r w:rsidR="00520CF8" w:rsidRPr="00FA5324">
              <w:rPr>
                <w:rFonts w:ascii="Times New Roman" w:hAnsi="Times New Roman"/>
                <w:color w:val="auto"/>
                <w:sz w:val="16"/>
                <w:lang w:val="es-DO"/>
              </w:rPr>
              <w:t xml:space="preserve">Los resultados del análisis econométrico indican que la educación para la pensión no afecta la </w:t>
            </w:r>
            <w:r w:rsidR="008C4088" w:rsidRPr="00FA5324">
              <w:rPr>
                <w:rFonts w:ascii="Times New Roman" w:hAnsi="Times New Roman"/>
                <w:color w:val="auto"/>
                <w:sz w:val="16"/>
                <w:lang w:val="es-DO"/>
              </w:rPr>
              <w:t xml:space="preserve">probabilidad de cotizar </w:t>
            </w:r>
            <w:r w:rsidR="00520CF8" w:rsidRPr="00FA5324">
              <w:rPr>
                <w:rFonts w:ascii="Times New Roman" w:hAnsi="Times New Roman"/>
                <w:color w:val="auto"/>
                <w:sz w:val="16"/>
                <w:lang w:val="es-DO"/>
              </w:rPr>
              <w:t>en mayores de 40 años, sin embargo sí lo hace sobre los más jóvenes</w:t>
            </w:r>
          </w:p>
        </w:tc>
        <w:tc>
          <w:tcPr>
            <w:tcW w:w="932"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 xml:space="preserve">Educación enfocada a grupos, complementado con un estudio econométrico fundamentado en los resultados del </w:t>
            </w:r>
            <w:r w:rsidRPr="00FA5324">
              <w:rPr>
                <w:rFonts w:ascii="Times New Roman" w:hAnsi="Times New Roman"/>
                <w:i/>
                <w:color w:val="auto"/>
                <w:sz w:val="16"/>
                <w:lang w:val="es-DO"/>
              </w:rPr>
              <w:t>Health and Retirement Study</w:t>
            </w:r>
            <w:r w:rsidRPr="00FA5324">
              <w:rPr>
                <w:rFonts w:ascii="Times New Roman" w:hAnsi="Times New Roman"/>
                <w:color w:val="auto"/>
                <w:sz w:val="16"/>
                <w:lang w:val="es-DO"/>
              </w:rPr>
              <w:t xml:space="preserve"> de 1992</w:t>
            </w:r>
          </w:p>
        </w:tc>
      </w:tr>
      <w:tr w:rsidR="008F308A" w:rsidRPr="008450F1" w:rsidTr="00FA5324">
        <w:trPr>
          <w:trHeight w:val="20"/>
          <w:tblHeader/>
        </w:trPr>
        <w:tc>
          <w:tcPr>
            <w:tcW w:w="1517" w:type="pct"/>
            <w:vAlign w:val="center"/>
            <w:hideMark/>
          </w:tcPr>
          <w:p w:rsidR="00520CF8" w:rsidRPr="00FA5324" w:rsidRDefault="00520CF8" w:rsidP="00AF0916">
            <w:pPr>
              <w:pStyle w:val="Tabla"/>
              <w:rPr>
                <w:rFonts w:ascii="Times New Roman" w:hAnsi="Times New Roman"/>
                <w:color w:val="auto"/>
                <w:sz w:val="16"/>
                <w:lang w:val="en-US"/>
              </w:rPr>
            </w:pPr>
            <w:r w:rsidRPr="00FA5324">
              <w:rPr>
                <w:rFonts w:ascii="Times New Roman" w:hAnsi="Times New Roman"/>
                <w:color w:val="auto"/>
                <w:sz w:val="16"/>
                <w:lang w:val="en-US"/>
              </w:rPr>
              <w:t>Kiplinger's Retirement Report. (2014</w:t>
            </w:r>
            <w:r w:rsidRPr="00FA5324">
              <w:rPr>
                <w:rFonts w:ascii="Times New Roman" w:hAnsi="Times New Roman"/>
                <w:i/>
                <w:color w:val="auto"/>
                <w:sz w:val="16"/>
                <w:lang w:val="en-US"/>
              </w:rPr>
              <w:t>). A Retirement Plan Is Not Just About Money.</w:t>
            </w:r>
            <w:r w:rsidRPr="00FA5324">
              <w:rPr>
                <w:rFonts w:ascii="Times New Roman" w:hAnsi="Times New Roman"/>
                <w:color w:val="auto"/>
                <w:sz w:val="16"/>
                <w:lang w:val="en-US"/>
              </w:rPr>
              <w:t xml:space="preserve"> Vol. 1; No. 9</w:t>
            </w:r>
          </w:p>
        </w:tc>
        <w:tc>
          <w:tcPr>
            <w:tcW w:w="525" w:type="pct"/>
            <w:vAlign w:val="center"/>
            <w:hideMark/>
          </w:tcPr>
          <w:p w:rsidR="00520CF8" w:rsidRPr="00FA5324" w:rsidRDefault="00520CF8"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EEUU, 2014</w:t>
            </w:r>
          </w:p>
        </w:tc>
        <w:tc>
          <w:tcPr>
            <w:tcW w:w="2025"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Utilidad de herramientas de tipo "planeador de la vida financiera" en la planeación del retiro. Ayudan a determinar el tipo de vida que se desea tener, en función no solo del dinero ahorrado, sino de lo que se desea hacer a nivel personal según la expectativa de vida</w:t>
            </w:r>
          </w:p>
        </w:tc>
        <w:tc>
          <w:tcPr>
            <w:tcW w:w="932"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Revisión de Tema, no derivado de investigación</w:t>
            </w:r>
          </w:p>
        </w:tc>
      </w:tr>
      <w:tr w:rsidR="008F308A" w:rsidRPr="008450F1" w:rsidTr="00FA5324">
        <w:trPr>
          <w:trHeight w:val="20"/>
          <w:tblHeader/>
        </w:trPr>
        <w:tc>
          <w:tcPr>
            <w:tcW w:w="1517" w:type="pct"/>
            <w:vAlign w:val="center"/>
            <w:hideMark/>
          </w:tcPr>
          <w:p w:rsidR="00520CF8" w:rsidRPr="00FA5324" w:rsidRDefault="00520CF8" w:rsidP="00AF0916">
            <w:pPr>
              <w:pStyle w:val="Tabla"/>
              <w:rPr>
                <w:rFonts w:ascii="Times New Roman" w:hAnsi="Times New Roman"/>
                <w:color w:val="auto"/>
                <w:sz w:val="16"/>
                <w:lang w:val="en-US"/>
              </w:rPr>
            </w:pPr>
            <w:r w:rsidRPr="00FA5324">
              <w:rPr>
                <w:rFonts w:ascii="Times New Roman" w:hAnsi="Times New Roman"/>
                <w:color w:val="auto"/>
                <w:sz w:val="16"/>
                <w:lang w:val="en-US"/>
              </w:rPr>
              <w:t xml:space="preserve">Ntalianis, M; &amp; Wise, V.  (2011). </w:t>
            </w:r>
            <w:r w:rsidRPr="00FA5324">
              <w:rPr>
                <w:rFonts w:ascii="Times New Roman" w:hAnsi="Times New Roman"/>
                <w:i/>
                <w:color w:val="auto"/>
                <w:sz w:val="16"/>
                <w:lang w:val="en-US"/>
              </w:rPr>
              <w:t>The Role of Financial Education in the Management of Retirement Savings.</w:t>
            </w:r>
            <w:r w:rsidRPr="00FA5324">
              <w:rPr>
                <w:rFonts w:ascii="Times New Roman" w:hAnsi="Times New Roman"/>
                <w:color w:val="auto"/>
                <w:sz w:val="16"/>
                <w:lang w:val="en-US"/>
              </w:rPr>
              <w:t xml:space="preserve"> </w:t>
            </w:r>
            <w:r w:rsidRPr="00FA5324">
              <w:rPr>
                <w:rFonts w:ascii="Times New Roman" w:hAnsi="Times New Roman"/>
                <w:i/>
                <w:color w:val="auto"/>
                <w:sz w:val="16"/>
                <w:lang w:val="en-US"/>
              </w:rPr>
              <w:t>Australasian Accounting Business and Finance Journal</w:t>
            </w:r>
            <w:r w:rsidRPr="00FA5324">
              <w:rPr>
                <w:rFonts w:ascii="Times New Roman" w:hAnsi="Times New Roman"/>
                <w:color w:val="auto"/>
                <w:sz w:val="16"/>
                <w:lang w:val="en-US"/>
              </w:rPr>
              <w:t xml:space="preserve">. Volume 5 Issue 2 </w:t>
            </w:r>
          </w:p>
        </w:tc>
        <w:tc>
          <w:tcPr>
            <w:tcW w:w="525" w:type="pct"/>
            <w:vAlign w:val="center"/>
            <w:hideMark/>
          </w:tcPr>
          <w:p w:rsidR="00520CF8" w:rsidRPr="00FA5324" w:rsidRDefault="00520CF8"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Australia, 2012</w:t>
            </w:r>
          </w:p>
        </w:tc>
        <w:tc>
          <w:tcPr>
            <w:tcW w:w="2025" w:type="pct"/>
            <w:vAlign w:val="center"/>
            <w:hideMark/>
          </w:tcPr>
          <w:p w:rsidR="00520CF8" w:rsidRPr="00FA5324" w:rsidRDefault="007C1CA0"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w:t>
            </w:r>
            <w:r w:rsidR="00520CF8" w:rsidRPr="00FA5324">
              <w:rPr>
                <w:rFonts w:ascii="Times New Roman" w:hAnsi="Times New Roman"/>
                <w:color w:val="auto"/>
                <w:sz w:val="16"/>
                <w:lang w:val="es-DO"/>
              </w:rPr>
              <w:t>Determinar el impacto de la educación sobre la gestión de los planes de ahorro para la pensión en un grupo de Profesores de Finanzas en los EEUU</w:t>
            </w:r>
          </w:p>
          <w:p w:rsidR="00520CF8" w:rsidRPr="00FA5324" w:rsidRDefault="007C1CA0"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w:t>
            </w:r>
            <w:r w:rsidR="00520CF8" w:rsidRPr="00FA5324">
              <w:rPr>
                <w:rFonts w:ascii="Times New Roman" w:hAnsi="Times New Roman"/>
                <w:color w:val="auto"/>
                <w:sz w:val="16"/>
                <w:lang w:val="es-DO"/>
              </w:rPr>
              <w:t>Se encontró que estos manejan sus ahorros más activamente, y son menos orientados a diversificar sus ahorros en los distintos portafolios existentes</w:t>
            </w:r>
          </w:p>
        </w:tc>
        <w:tc>
          <w:tcPr>
            <w:tcW w:w="932"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Estudio Muestral (desarrollo de una encuesta basada en internet)</w:t>
            </w:r>
          </w:p>
        </w:tc>
      </w:tr>
      <w:tr w:rsidR="008F308A" w:rsidRPr="008450F1" w:rsidTr="00FA5324">
        <w:trPr>
          <w:trHeight w:val="20"/>
          <w:tblHeader/>
        </w:trPr>
        <w:tc>
          <w:tcPr>
            <w:tcW w:w="1517"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n-US"/>
              </w:rPr>
              <w:t xml:space="preserve">Oehler, A; &amp; Werner, C. (2008). </w:t>
            </w:r>
            <w:r w:rsidRPr="00FA5324">
              <w:rPr>
                <w:rFonts w:ascii="Times New Roman" w:hAnsi="Times New Roman"/>
                <w:i/>
                <w:color w:val="auto"/>
                <w:sz w:val="16"/>
                <w:lang w:val="en-US"/>
              </w:rPr>
              <w:t xml:space="preserve">Saving for Retirement—A Case for Financial Education in Germany and UK? </w:t>
            </w:r>
            <w:r w:rsidRPr="00FA5324">
              <w:rPr>
                <w:rFonts w:ascii="Times New Roman" w:hAnsi="Times New Roman"/>
                <w:i/>
                <w:color w:val="auto"/>
                <w:sz w:val="16"/>
                <w:lang w:val="es-DO"/>
              </w:rPr>
              <w:t>An Economic Perspective. J Consum</w:t>
            </w:r>
            <w:r w:rsidRPr="00FA5324">
              <w:rPr>
                <w:rFonts w:ascii="Times New Roman" w:hAnsi="Times New Roman"/>
                <w:color w:val="auto"/>
                <w:sz w:val="16"/>
                <w:lang w:val="es-DO"/>
              </w:rPr>
              <w:t xml:space="preserve"> Policy 31:253–283</w:t>
            </w:r>
          </w:p>
        </w:tc>
        <w:tc>
          <w:tcPr>
            <w:tcW w:w="525" w:type="pct"/>
            <w:vAlign w:val="center"/>
            <w:hideMark/>
          </w:tcPr>
          <w:p w:rsidR="00520CF8" w:rsidRPr="00FA5324" w:rsidRDefault="00520CF8"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Reino Unido</w:t>
            </w:r>
            <w:r w:rsidR="007C1CA0" w:rsidRPr="008450F1">
              <w:rPr>
                <w:rFonts w:ascii="Times New Roman" w:hAnsi="Times New Roman"/>
                <w:color w:val="auto"/>
                <w:sz w:val="16"/>
                <w:szCs w:val="16"/>
                <w:lang w:val="es-DO"/>
              </w:rPr>
              <w:t xml:space="preserve"> y</w:t>
            </w:r>
            <w:r w:rsidRPr="00FA5324">
              <w:rPr>
                <w:rFonts w:ascii="Times New Roman" w:hAnsi="Times New Roman"/>
                <w:color w:val="auto"/>
                <w:sz w:val="16"/>
                <w:lang w:val="es-DO"/>
              </w:rPr>
              <w:t xml:space="preserve"> Alemania</w:t>
            </w:r>
            <w:r w:rsidR="007C1CA0" w:rsidRPr="008450F1">
              <w:rPr>
                <w:rFonts w:ascii="Times New Roman" w:hAnsi="Times New Roman"/>
                <w:color w:val="auto"/>
                <w:sz w:val="16"/>
                <w:szCs w:val="16"/>
                <w:lang w:val="es-DO"/>
              </w:rPr>
              <w:t>,</w:t>
            </w:r>
            <w:r w:rsidRPr="00FA5324">
              <w:rPr>
                <w:rFonts w:ascii="Times New Roman" w:hAnsi="Times New Roman"/>
                <w:color w:val="auto"/>
                <w:sz w:val="16"/>
                <w:lang w:val="es-DO"/>
              </w:rPr>
              <w:t xml:space="preserve"> 2008</w:t>
            </w:r>
          </w:p>
        </w:tc>
        <w:tc>
          <w:tcPr>
            <w:tcW w:w="2025"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La educación financiera asociada a la previsión para la vejez puede ser exitosa si lleva a los consumidores a tomar las decisiones de vida, en el momento correcto.</w:t>
            </w:r>
          </w:p>
        </w:tc>
        <w:tc>
          <w:tcPr>
            <w:tcW w:w="932"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Análisis de Casos comparado sobre educación al consumidor en Alemania y Reino Unido</w:t>
            </w:r>
          </w:p>
        </w:tc>
      </w:tr>
      <w:tr w:rsidR="008F308A" w:rsidRPr="008450F1" w:rsidTr="00FA5324">
        <w:trPr>
          <w:trHeight w:val="20"/>
          <w:tblHeader/>
        </w:trPr>
        <w:tc>
          <w:tcPr>
            <w:tcW w:w="1517"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n-US"/>
              </w:rPr>
              <w:t xml:space="preserve">Rubb, S (2009). </w:t>
            </w:r>
            <w:r w:rsidRPr="00FA5324">
              <w:rPr>
                <w:rFonts w:ascii="Times New Roman" w:hAnsi="Times New Roman"/>
                <w:i/>
                <w:color w:val="auto"/>
                <w:sz w:val="16"/>
                <w:lang w:val="en-US"/>
              </w:rPr>
              <w:t>Over education among older workers: impact on wages and early retirement decisions</w:t>
            </w:r>
            <w:r w:rsidRPr="00FA5324">
              <w:rPr>
                <w:rFonts w:ascii="Times New Roman" w:hAnsi="Times New Roman"/>
                <w:color w:val="auto"/>
                <w:sz w:val="16"/>
                <w:lang w:val="en-US"/>
              </w:rPr>
              <w:t xml:space="preserve">. </w:t>
            </w:r>
            <w:r w:rsidRPr="00FA5324">
              <w:rPr>
                <w:rFonts w:ascii="Times New Roman" w:hAnsi="Times New Roman"/>
                <w:color w:val="auto"/>
                <w:sz w:val="16"/>
                <w:lang w:val="es-DO"/>
              </w:rPr>
              <w:t>Applied Economics Letters, 16, 1621–1626</w:t>
            </w:r>
          </w:p>
        </w:tc>
        <w:tc>
          <w:tcPr>
            <w:tcW w:w="525" w:type="pct"/>
            <w:vAlign w:val="center"/>
            <w:hideMark/>
          </w:tcPr>
          <w:p w:rsidR="00520CF8" w:rsidRPr="00FA5324" w:rsidRDefault="00520CF8"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EEUU, 2009</w:t>
            </w:r>
          </w:p>
        </w:tc>
        <w:tc>
          <w:tcPr>
            <w:tcW w:w="2025"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La educación incide positivamente sobre la decisión de retiro</w:t>
            </w:r>
            <w:r w:rsidR="008C4088" w:rsidRPr="00FA5324">
              <w:rPr>
                <w:rFonts w:ascii="Times New Roman" w:hAnsi="Times New Roman"/>
                <w:color w:val="auto"/>
                <w:sz w:val="16"/>
                <w:lang w:val="es-DO"/>
              </w:rPr>
              <w:t xml:space="preserve"> anticipado </w:t>
            </w:r>
            <w:r w:rsidRPr="00FA5324">
              <w:rPr>
                <w:rFonts w:ascii="Times New Roman" w:hAnsi="Times New Roman"/>
                <w:color w:val="auto"/>
                <w:sz w:val="16"/>
                <w:lang w:val="es-DO"/>
              </w:rPr>
              <w:t xml:space="preserve"> de los adultos mayores</w:t>
            </w:r>
          </w:p>
        </w:tc>
        <w:tc>
          <w:tcPr>
            <w:tcW w:w="932"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Análisis de Variables, en base a las Estadísticas Censales de 1995 a 2001</w:t>
            </w:r>
          </w:p>
        </w:tc>
      </w:tr>
      <w:tr w:rsidR="008F308A" w:rsidRPr="008450F1" w:rsidTr="00FA5324">
        <w:trPr>
          <w:trHeight w:val="20"/>
          <w:tblHeader/>
        </w:trPr>
        <w:tc>
          <w:tcPr>
            <w:tcW w:w="1517" w:type="pct"/>
            <w:vAlign w:val="center"/>
            <w:hideMark/>
          </w:tcPr>
          <w:p w:rsidR="00520CF8" w:rsidRPr="00FA5324" w:rsidRDefault="00520CF8" w:rsidP="00AF0916">
            <w:pPr>
              <w:pStyle w:val="Tabla"/>
              <w:rPr>
                <w:rFonts w:ascii="Times New Roman" w:hAnsi="Times New Roman"/>
                <w:color w:val="auto"/>
                <w:sz w:val="16"/>
                <w:lang w:val="es-DO"/>
              </w:rPr>
            </w:pPr>
            <w:r w:rsidRPr="004759CA">
              <w:rPr>
                <w:rFonts w:ascii="Times New Roman" w:hAnsi="Times New Roman"/>
                <w:color w:val="auto"/>
                <w:sz w:val="16"/>
                <w:lang w:val="en-US"/>
              </w:rPr>
              <w:t xml:space="preserve">Mohamad Fazli Sabri, Teo Tze Juen (2014). </w:t>
            </w:r>
            <w:r w:rsidRPr="00FA5324">
              <w:rPr>
                <w:rFonts w:ascii="Times New Roman" w:hAnsi="Times New Roman"/>
                <w:color w:val="auto"/>
                <w:sz w:val="16"/>
                <w:lang w:val="en-US"/>
              </w:rPr>
              <w:t xml:space="preserve">The Influence of Financial Literacy, Saving Behaviour, and Financial Management on Retirement Confidence among Women Working in the Malaysian Public Sector. </w:t>
            </w:r>
            <w:r w:rsidRPr="00FA5324">
              <w:rPr>
                <w:rFonts w:ascii="Times New Roman" w:hAnsi="Times New Roman"/>
                <w:color w:val="auto"/>
                <w:sz w:val="16"/>
                <w:lang w:val="es-DO"/>
              </w:rPr>
              <w:t>Asian Social Science. Vol 10, No 14</w:t>
            </w:r>
          </w:p>
        </w:tc>
        <w:tc>
          <w:tcPr>
            <w:tcW w:w="525" w:type="pct"/>
            <w:vAlign w:val="center"/>
            <w:hideMark/>
          </w:tcPr>
          <w:p w:rsidR="00520CF8" w:rsidRPr="00FA5324" w:rsidRDefault="00520CF8"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Malasia, 2014</w:t>
            </w:r>
          </w:p>
        </w:tc>
        <w:tc>
          <w:tcPr>
            <w:tcW w:w="2025"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 xml:space="preserve">La educación financiera influye en las conductas de ahorro, y la administración personal de las finanzas en mujeres del sector público en Malasia, con relación a la confianza para retirarse del mundo laboral. Tras un análisis de regresión múltiple se identifica que los tres factores inciden positivamente </w:t>
            </w:r>
            <w:r w:rsidR="008C4088" w:rsidRPr="00FA5324">
              <w:rPr>
                <w:rFonts w:ascii="Times New Roman" w:hAnsi="Times New Roman"/>
                <w:color w:val="auto"/>
                <w:sz w:val="16"/>
                <w:lang w:val="es-DO"/>
              </w:rPr>
              <w:t>en la confianza de las mujeres sobre el ahorr</w:t>
            </w:r>
            <w:r w:rsidR="007E70A2" w:rsidRPr="00FA5324">
              <w:rPr>
                <w:rFonts w:ascii="Times New Roman" w:hAnsi="Times New Roman"/>
                <w:color w:val="auto"/>
                <w:sz w:val="16"/>
                <w:lang w:val="es-DO"/>
              </w:rPr>
              <w:t>o</w:t>
            </w:r>
            <w:r w:rsidR="008C4088" w:rsidRPr="00FA5324">
              <w:rPr>
                <w:rFonts w:ascii="Times New Roman" w:hAnsi="Times New Roman"/>
                <w:color w:val="auto"/>
                <w:sz w:val="16"/>
                <w:lang w:val="es-DO"/>
              </w:rPr>
              <w:t xml:space="preserve"> previsional</w:t>
            </w:r>
          </w:p>
        </w:tc>
        <w:tc>
          <w:tcPr>
            <w:tcW w:w="932"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Encuesta aplicada a una muestra de 708 participantes, a la cual se le aplico correlación de Pearson</w:t>
            </w:r>
          </w:p>
        </w:tc>
      </w:tr>
      <w:tr w:rsidR="008F308A" w:rsidRPr="008450F1" w:rsidTr="00FA5324">
        <w:trPr>
          <w:trHeight w:val="20"/>
          <w:tblHeader/>
        </w:trPr>
        <w:tc>
          <w:tcPr>
            <w:tcW w:w="1517"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n-US"/>
              </w:rPr>
              <w:t xml:space="preserve">Ntalianis, M; &amp; Wise, V. (2011). The Role of </w:t>
            </w:r>
            <w:r w:rsidRPr="00FA5324">
              <w:rPr>
                <w:rFonts w:ascii="Times New Roman" w:hAnsi="Times New Roman"/>
                <w:i/>
                <w:color w:val="auto"/>
                <w:sz w:val="16"/>
                <w:lang w:val="en-US"/>
              </w:rPr>
              <w:t>Financial Education in Retirement Planning</w:t>
            </w:r>
            <w:r w:rsidRPr="00FA5324">
              <w:rPr>
                <w:rFonts w:ascii="Times New Roman" w:hAnsi="Times New Roman"/>
                <w:color w:val="auto"/>
                <w:sz w:val="16"/>
                <w:lang w:val="en-US"/>
              </w:rPr>
              <w:t xml:space="preserve">. </w:t>
            </w:r>
            <w:r w:rsidRPr="00FA5324">
              <w:rPr>
                <w:rFonts w:ascii="Times New Roman" w:hAnsi="Times New Roman"/>
                <w:color w:val="auto"/>
                <w:sz w:val="16"/>
                <w:lang w:val="es-DO"/>
              </w:rPr>
              <w:t>Australasian Acounting Business and Financial Journal. Vol. 5</w:t>
            </w:r>
          </w:p>
        </w:tc>
        <w:tc>
          <w:tcPr>
            <w:tcW w:w="525" w:type="pct"/>
            <w:vAlign w:val="center"/>
            <w:hideMark/>
          </w:tcPr>
          <w:p w:rsidR="00520CF8" w:rsidRPr="00FA5324" w:rsidRDefault="00520CF8"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Australia, 2011</w:t>
            </w:r>
          </w:p>
        </w:tc>
        <w:tc>
          <w:tcPr>
            <w:tcW w:w="2025"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 xml:space="preserve">Los Programas de Educación financiera influencian positivamente en el trabajador su deseo de </w:t>
            </w:r>
            <w:r w:rsidR="008C4088" w:rsidRPr="00FA5324">
              <w:rPr>
                <w:rFonts w:ascii="Times New Roman" w:hAnsi="Times New Roman"/>
                <w:color w:val="auto"/>
                <w:sz w:val="16"/>
                <w:lang w:val="es-DO"/>
              </w:rPr>
              <w:t xml:space="preserve">planificar su </w:t>
            </w:r>
            <w:r w:rsidRPr="00FA5324">
              <w:rPr>
                <w:rFonts w:ascii="Times New Roman" w:hAnsi="Times New Roman"/>
                <w:color w:val="auto"/>
                <w:sz w:val="16"/>
                <w:lang w:val="es-DO"/>
              </w:rPr>
              <w:t>retirar</w:t>
            </w:r>
            <w:r w:rsidR="008C4088" w:rsidRPr="00FA5324">
              <w:rPr>
                <w:rFonts w:ascii="Times New Roman" w:hAnsi="Times New Roman"/>
                <w:color w:val="auto"/>
                <w:sz w:val="16"/>
                <w:lang w:val="es-DO"/>
              </w:rPr>
              <w:t xml:space="preserve"> y </w:t>
            </w:r>
            <w:r w:rsidRPr="00FA5324">
              <w:rPr>
                <w:rFonts w:ascii="Times New Roman" w:hAnsi="Times New Roman"/>
                <w:color w:val="auto"/>
                <w:sz w:val="16"/>
                <w:lang w:val="es-DO"/>
              </w:rPr>
              <w:t>ahorrar</w:t>
            </w:r>
            <w:r w:rsidR="008C4088" w:rsidRPr="00FA5324">
              <w:rPr>
                <w:rFonts w:ascii="Times New Roman" w:hAnsi="Times New Roman"/>
                <w:color w:val="auto"/>
                <w:sz w:val="16"/>
                <w:lang w:val="es-DO"/>
              </w:rPr>
              <w:t xml:space="preserve"> para este</w:t>
            </w:r>
            <w:r w:rsidRPr="00FA5324">
              <w:rPr>
                <w:rFonts w:ascii="Times New Roman" w:hAnsi="Times New Roman"/>
                <w:color w:val="auto"/>
                <w:sz w:val="16"/>
                <w:lang w:val="es-DO"/>
              </w:rPr>
              <w:t>. El género y la edad son factores determinantes a la hora de planear ahorrar y planear para el retiro</w:t>
            </w:r>
          </w:p>
        </w:tc>
        <w:tc>
          <w:tcPr>
            <w:tcW w:w="932" w:type="pct"/>
            <w:vAlign w:val="center"/>
            <w:hideMark/>
          </w:tcPr>
          <w:p w:rsidR="00520CF8" w:rsidRPr="00FA5324" w:rsidRDefault="00520CF8" w:rsidP="00AF0916">
            <w:pPr>
              <w:pStyle w:val="Tabla"/>
              <w:rPr>
                <w:rFonts w:ascii="Times New Roman" w:hAnsi="Times New Roman"/>
                <w:color w:val="auto"/>
                <w:sz w:val="16"/>
                <w:lang w:val="es-DO"/>
              </w:rPr>
            </w:pPr>
            <w:r w:rsidRPr="00FA5324">
              <w:rPr>
                <w:rFonts w:ascii="Times New Roman" w:hAnsi="Times New Roman"/>
                <w:color w:val="auto"/>
                <w:sz w:val="16"/>
                <w:lang w:val="es-DO"/>
              </w:rPr>
              <w:t>Recolección de datos a través de una encuesta basada en internet</w:t>
            </w:r>
          </w:p>
        </w:tc>
      </w:tr>
    </w:tbl>
    <w:p w:rsidR="00A26346" w:rsidRPr="00FA5324" w:rsidRDefault="00A26346" w:rsidP="00FA5324">
      <w:pPr>
        <w:spacing w:after="0" w:line="240" w:lineRule="auto"/>
        <w:rPr>
          <w:lang w:val="es-DO"/>
        </w:rPr>
        <w:sectPr w:rsidR="00A26346" w:rsidRPr="00FA5324" w:rsidSect="008B09E2">
          <w:pgSz w:w="12240" w:h="15840"/>
          <w:pgMar w:top="1440" w:right="1440" w:bottom="1440" w:left="1627" w:header="720" w:footer="720" w:gutter="0"/>
          <w:cols w:space="720"/>
          <w:docGrid w:linePitch="299"/>
        </w:sectPr>
      </w:pPr>
    </w:p>
    <w:p w:rsidR="00520CF8" w:rsidRPr="00FA5324" w:rsidRDefault="00520CF8" w:rsidP="00FA5324">
      <w:pPr>
        <w:pStyle w:val="Caption"/>
        <w:keepNext/>
        <w:spacing w:after="0"/>
        <w:jc w:val="center"/>
        <w:rPr>
          <w:color w:val="auto"/>
          <w:lang w:val="es-DO"/>
        </w:rPr>
      </w:pPr>
    </w:p>
    <w:p w:rsidR="007D15C8" w:rsidRPr="00FA5324" w:rsidRDefault="007D15C8" w:rsidP="00FA5324">
      <w:pPr>
        <w:pStyle w:val="Caption"/>
        <w:keepNext/>
        <w:spacing w:after="0"/>
        <w:jc w:val="center"/>
        <w:rPr>
          <w:i w:val="0"/>
          <w:color w:val="auto"/>
          <w:lang w:val="es-DO"/>
        </w:rPr>
      </w:pPr>
      <w:r w:rsidRPr="00FA5324">
        <w:rPr>
          <w:i w:val="0"/>
          <w:color w:val="auto"/>
          <w:lang w:val="es-DO"/>
        </w:rPr>
        <w:t xml:space="preserve">Tabla </w:t>
      </w:r>
      <w:r w:rsidR="00BC2072" w:rsidRPr="00FA5324">
        <w:rPr>
          <w:i w:val="0"/>
          <w:color w:val="auto"/>
          <w:lang w:val="es-DO"/>
        </w:rPr>
        <w:fldChar w:fldCharType="begin"/>
      </w:r>
      <w:r w:rsidR="00BC2072" w:rsidRPr="008450F1">
        <w:rPr>
          <w:i w:val="0"/>
          <w:color w:val="auto"/>
          <w:lang w:val="es-DO"/>
        </w:rPr>
        <w:instrText xml:space="preserve"> SEQ Tabla \* ARABIC </w:instrText>
      </w:r>
      <w:r w:rsidR="00BC2072" w:rsidRPr="00FA5324">
        <w:rPr>
          <w:i w:val="0"/>
          <w:color w:val="auto"/>
          <w:lang w:val="es-DO"/>
        </w:rPr>
        <w:fldChar w:fldCharType="separate"/>
      </w:r>
      <w:r w:rsidR="00A04D48" w:rsidRPr="008450F1">
        <w:rPr>
          <w:i w:val="0"/>
          <w:noProof/>
          <w:color w:val="auto"/>
          <w:lang w:val="es-DO"/>
        </w:rPr>
        <w:t>15</w:t>
      </w:r>
      <w:r w:rsidR="00BC2072" w:rsidRPr="00FA5324">
        <w:rPr>
          <w:i w:val="0"/>
          <w:color w:val="auto"/>
          <w:lang w:val="es-DO"/>
        </w:rPr>
        <w:fldChar w:fldCharType="end"/>
      </w:r>
      <w:r w:rsidR="00AC7DEF" w:rsidRPr="00FA5324">
        <w:rPr>
          <w:i w:val="0"/>
          <w:color w:val="auto"/>
          <w:lang w:val="es-DO"/>
        </w:rPr>
        <w:t>. Relación entre nivel de ahorro previsional y crecimiento económico</w:t>
      </w:r>
    </w:p>
    <w:tbl>
      <w:tblPr>
        <w:tblStyle w:val="TableGrid"/>
        <w:tblW w:w="0" w:type="auto"/>
        <w:jc w:val="center"/>
        <w:tblLayout w:type="fixed"/>
        <w:tblLook w:val="04A0" w:firstRow="1" w:lastRow="0" w:firstColumn="1" w:lastColumn="0" w:noHBand="0" w:noVBand="1"/>
      </w:tblPr>
      <w:tblGrid>
        <w:gridCol w:w="2217"/>
        <w:gridCol w:w="1108"/>
        <w:gridCol w:w="5838"/>
      </w:tblGrid>
      <w:tr w:rsidR="00C62A67" w:rsidRPr="008450F1" w:rsidTr="00FA5324">
        <w:trPr>
          <w:trHeight w:val="300"/>
          <w:tblHeader/>
          <w:jc w:val="center"/>
        </w:trPr>
        <w:tc>
          <w:tcPr>
            <w:tcW w:w="2217" w:type="dxa"/>
            <w:shd w:val="clear" w:color="auto" w:fill="AEAAAA" w:themeFill="background2" w:themeFillShade="BF"/>
            <w:noWrap/>
            <w:vAlign w:val="center"/>
            <w:hideMark/>
          </w:tcPr>
          <w:p w:rsidR="00BC6E42" w:rsidRPr="00FA5324" w:rsidRDefault="00BC6E42" w:rsidP="00AF0916">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REFERENCIA BIBLIOGRÁFICA</w:t>
            </w:r>
          </w:p>
        </w:tc>
        <w:tc>
          <w:tcPr>
            <w:tcW w:w="1108" w:type="dxa"/>
            <w:shd w:val="clear" w:color="auto" w:fill="AEAAAA" w:themeFill="background2" w:themeFillShade="BF"/>
            <w:noWrap/>
            <w:vAlign w:val="center"/>
            <w:hideMark/>
          </w:tcPr>
          <w:p w:rsidR="00BC6E42" w:rsidRPr="00FA5324" w:rsidRDefault="00BC6E42" w:rsidP="00AF0916">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AÑO Y PAIS</w:t>
            </w:r>
          </w:p>
        </w:tc>
        <w:tc>
          <w:tcPr>
            <w:tcW w:w="5838" w:type="dxa"/>
            <w:shd w:val="clear" w:color="auto" w:fill="AEAAAA" w:themeFill="background2" w:themeFillShade="BF"/>
            <w:noWrap/>
            <w:vAlign w:val="center"/>
            <w:hideMark/>
          </w:tcPr>
          <w:p w:rsidR="00BC6E42" w:rsidRPr="00FA5324" w:rsidRDefault="00BC6E42" w:rsidP="00AF0916">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PRINCIPALES HALLAZGOS</w:t>
            </w:r>
          </w:p>
        </w:tc>
      </w:tr>
      <w:tr w:rsidR="00C62A67" w:rsidRPr="008450F1" w:rsidTr="00FA5324">
        <w:trPr>
          <w:trHeight w:val="300"/>
          <w:tblHeader/>
          <w:jc w:val="center"/>
        </w:trPr>
        <w:tc>
          <w:tcPr>
            <w:tcW w:w="2217" w:type="dxa"/>
            <w:noWrap/>
            <w:vAlign w:val="center"/>
          </w:tcPr>
          <w:p w:rsidR="00BC6E42" w:rsidRPr="00FA5324" w:rsidRDefault="00BC6E42" w:rsidP="00FA5324">
            <w:pPr>
              <w:pStyle w:val="Tabla"/>
              <w:rPr>
                <w:rFonts w:ascii="Times New Roman" w:hAnsi="Times New Roman"/>
                <w:color w:val="auto"/>
                <w:sz w:val="18"/>
                <w:lang w:val="en-US"/>
              </w:rPr>
            </w:pPr>
            <w:r w:rsidRPr="00FA5324">
              <w:rPr>
                <w:rFonts w:ascii="Times New Roman" w:hAnsi="Times New Roman"/>
                <w:bCs w:val="0"/>
                <w:color w:val="auto"/>
                <w:sz w:val="18"/>
                <w:lang w:val="en-US"/>
              </w:rPr>
              <w:t>Schmidt-Hebbel, K. 1999.  Latin America’ s Pension Revolution:</w:t>
            </w:r>
            <w:r w:rsidR="007C1CA0" w:rsidRPr="006063A4">
              <w:rPr>
                <w:rFonts w:ascii="Times New Roman" w:hAnsi="Times New Roman"/>
                <w:color w:val="auto"/>
                <w:sz w:val="18"/>
                <w:lang w:val="en-US"/>
              </w:rPr>
              <w:t xml:space="preserve"> </w:t>
            </w:r>
            <w:r w:rsidRPr="00FA5324">
              <w:rPr>
                <w:rFonts w:ascii="Times New Roman" w:hAnsi="Times New Roman"/>
                <w:color w:val="auto"/>
                <w:sz w:val="18"/>
                <w:lang w:val="en-US"/>
              </w:rPr>
              <w:t>A Review of Approaches and Experience.</w:t>
            </w:r>
          </w:p>
        </w:tc>
        <w:tc>
          <w:tcPr>
            <w:tcW w:w="1108" w:type="dxa"/>
            <w:noWrap/>
            <w:vAlign w:val="center"/>
          </w:tcPr>
          <w:p w:rsidR="00BC6E42" w:rsidRPr="00FA5324" w:rsidRDefault="00BC6E42"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1999</w:t>
            </w:r>
            <w:r w:rsidRPr="008450F1">
              <w:rPr>
                <w:rFonts w:ascii="Times New Roman" w:hAnsi="Times New Roman"/>
                <w:color w:val="auto"/>
                <w:sz w:val="18"/>
                <w:lang w:val="es-DO"/>
              </w:rPr>
              <w:t xml:space="preserve"> </w:t>
            </w:r>
            <w:r w:rsidR="007C1CA0" w:rsidRPr="008450F1">
              <w:rPr>
                <w:rFonts w:ascii="Times New Roman" w:hAnsi="Times New Roman"/>
                <w:color w:val="auto"/>
                <w:sz w:val="18"/>
                <w:lang w:val="es-DO"/>
              </w:rPr>
              <w:t>-</w:t>
            </w:r>
            <w:r w:rsidR="007C1CA0" w:rsidRPr="00FA5324">
              <w:rPr>
                <w:rFonts w:ascii="Times New Roman" w:hAnsi="Times New Roman"/>
                <w:color w:val="auto"/>
                <w:sz w:val="18"/>
                <w:lang w:val="es-DO"/>
              </w:rPr>
              <w:t xml:space="preserve"> </w:t>
            </w:r>
            <w:r w:rsidRPr="00FA5324">
              <w:rPr>
                <w:rFonts w:ascii="Times New Roman" w:hAnsi="Times New Roman"/>
                <w:color w:val="auto"/>
                <w:sz w:val="18"/>
                <w:lang w:val="es-DO"/>
              </w:rPr>
              <w:t>Ocho países latino americanos.</w:t>
            </w:r>
          </w:p>
        </w:tc>
        <w:tc>
          <w:tcPr>
            <w:tcW w:w="5838" w:type="dxa"/>
            <w:noWrap/>
            <w:vAlign w:val="center"/>
          </w:tcPr>
          <w:p w:rsidR="00BC6E42" w:rsidRPr="00FA5324" w:rsidRDefault="00BC6E42" w:rsidP="00FA5324">
            <w:pPr>
              <w:pStyle w:val="Tabla"/>
              <w:rPr>
                <w:rFonts w:ascii="Times New Roman" w:hAnsi="Times New Roman"/>
                <w:color w:val="auto"/>
                <w:sz w:val="18"/>
                <w:lang w:val="es-DO"/>
              </w:rPr>
            </w:pPr>
            <w:r w:rsidRPr="00FA5324">
              <w:rPr>
                <w:rFonts w:ascii="Times New Roman" w:hAnsi="Times New Roman"/>
                <w:color w:val="auto"/>
                <w:sz w:val="18"/>
                <w:lang w:val="es-DO"/>
              </w:rPr>
              <w:t>Se encuentra que las reformas de las pensiones han aumentado la tasa de ahorro nacional y el PIB en 3,8 puntos porcentuales, de un aumento total de 12,2 puntos porcentuales registrados entre 1961-1974 y 1990-1997.  Las reformas de las pensiones también aumentaron el crecimiento real anual del PIB en un estimado de 0.9 puntos porcentuales, del aumento total de crecimiento de 3,8 puntos porcentuales durante el mismo lapso de tiempo.</w:t>
            </w:r>
          </w:p>
        </w:tc>
      </w:tr>
      <w:tr w:rsidR="00C62A67" w:rsidRPr="008450F1" w:rsidTr="00FA5324">
        <w:trPr>
          <w:trHeight w:val="300"/>
          <w:tblHeader/>
          <w:jc w:val="center"/>
        </w:trPr>
        <w:tc>
          <w:tcPr>
            <w:tcW w:w="2217" w:type="dxa"/>
            <w:noWrap/>
            <w:vAlign w:val="center"/>
          </w:tcPr>
          <w:p w:rsidR="007C1CA0" w:rsidRPr="008450F1" w:rsidRDefault="00BC6E42" w:rsidP="00AF0916">
            <w:pPr>
              <w:pStyle w:val="Tabla"/>
              <w:rPr>
                <w:rFonts w:ascii="Times New Roman" w:hAnsi="Times New Roman"/>
                <w:color w:val="auto"/>
                <w:sz w:val="18"/>
                <w:lang w:val="es-DO"/>
              </w:rPr>
            </w:pPr>
            <w:r w:rsidRPr="00FA5324">
              <w:rPr>
                <w:rFonts w:ascii="Times New Roman" w:hAnsi="Times New Roman"/>
                <w:color w:val="auto"/>
                <w:sz w:val="18"/>
                <w:lang w:val="es-DO"/>
              </w:rPr>
              <w:t xml:space="preserve">Acuña R, Villar L, Villagomez A, Fuentes R, Secada P. </w:t>
            </w:r>
          </w:p>
          <w:p w:rsidR="00BC6E42" w:rsidRPr="00FA5324" w:rsidRDefault="00BC6E42" w:rsidP="00FA5324">
            <w:pPr>
              <w:pStyle w:val="Tabla"/>
              <w:rPr>
                <w:rFonts w:ascii="Times New Roman" w:hAnsi="Times New Roman"/>
                <w:color w:val="auto"/>
                <w:sz w:val="18"/>
                <w:lang w:val="es-DO"/>
              </w:rPr>
            </w:pPr>
            <w:r w:rsidRPr="00FA5324">
              <w:rPr>
                <w:rFonts w:ascii="Times New Roman" w:hAnsi="Times New Roman"/>
                <w:color w:val="auto"/>
                <w:sz w:val="18"/>
                <w:lang w:val="es-DO"/>
              </w:rPr>
              <w:t>Contribución del sistema privado de pensiones al desarrollo económico de Latinoamérica</w:t>
            </w:r>
          </w:p>
        </w:tc>
        <w:tc>
          <w:tcPr>
            <w:tcW w:w="1108" w:type="dxa"/>
            <w:noWrap/>
            <w:vAlign w:val="center"/>
          </w:tcPr>
          <w:p w:rsidR="00BC6E42" w:rsidRPr="00FA5324" w:rsidRDefault="00BC6E42" w:rsidP="00AF0916">
            <w:pPr>
              <w:pStyle w:val="Tabla"/>
              <w:jc w:val="center"/>
              <w:rPr>
                <w:rFonts w:ascii="Times New Roman" w:hAnsi="Times New Roman"/>
                <w:color w:val="auto"/>
                <w:sz w:val="18"/>
                <w:lang w:val="es-DO"/>
              </w:rPr>
            </w:pPr>
            <w:r w:rsidRPr="00FA5324">
              <w:rPr>
                <w:rFonts w:ascii="Times New Roman" w:hAnsi="Times New Roman"/>
                <w:bCs w:val="0"/>
                <w:color w:val="auto"/>
                <w:sz w:val="18"/>
                <w:lang w:val="es-DO"/>
              </w:rPr>
              <w:t>Colombia,</w:t>
            </w:r>
            <w:r w:rsidRPr="00FA5324">
              <w:rPr>
                <w:rFonts w:ascii="Times New Roman" w:hAnsi="Times New Roman"/>
                <w:color w:val="auto"/>
                <w:sz w:val="18"/>
                <w:lang w:val="es-DO"/>
              </w:rPr>
              <w:t>México, Chile y Perú</w:t>
            </w:r>
          </w:p>
        </w:tc>
        <w:tc>
          <w:tcPr>
            <w:tcW w:w="5838" w:type="dxa"/>
            <w:noWrap/>
            <w:vAlign w:val="center"/>
          </w:tcPr>
          <w:p w:rsidR="00BC6E42" w:rsidRPr="00FA5324" w:rsidRDefault="00BC6E42" w:rsidP="00FA5324">
            <w:pPr>
              <w:pStyle w:val="Tabla"/>
              <w:rPr>
                <w:rFonts w:ascii="Times New Roman" w:hAnsi="Times New Roman"/>
                <w:color w:val="auto"/>
                <w:sz w:val="18"/>
                <w:lang w:val="es-DO"/>
              </w:rPr>
            </w:pPr>
            <w:r w:rsidRPr="00FA5324">
              <w:rPr>
                <w:rFonts w:ascii="Times New Roman" w:hAnsi="Times New Roman"/>
                <w:bCs w:val="0"/>
                <w:color w:val="auto"/>
                <w:sz w:val="18"/>
                <w:lang w:val="es-DO"/>
              </w:rPr>
              <w:t xml:space="preserve">“En el periodo de evaluación, la creación del sistema de capitalización individual contribuyó a un mayor crecimiento anual del PIB de entre </w:t>
            </w:r>
            <w:r w:rsidRPr="00FA5324">
              <w:rPr>
                <w:rFonts w:ascii="Times New Roman" w:hAnsi="Times New Roman"/>
                <w:color w:val="auto"/>
                <w:sz w:val="18"/>
                <w:lang w:val="es-DO"/>
              </w:rPr>
              <w:t>0.31% (México) y 0.58% (Colombia)”</w:t>
            </w:r>
          </w:p>
        </w:tc>
      </w:tr>
      <w:tr w:rsidR="00C62A67" w:rsidRPr="008450F1" w:rsidTr="00FA5324">
        <w:trPr>
          <w:trHeight w:val="792"/>
          <w:jc w:val="center"/>
        </w:trPr>
        <w:tc>
          <w:tcPr>
            <w:tcW w:w="2217" w:type="dxa"/>
            <w:vAlign w:val="center"/>
            <w:hideMark/>
          </w:tcPr>
          <w:p w:rsidR="00BC6E42" w:rsidRPr="00FA5324" w:rsidRDefault="00BC6E42" w:rsidP="00FA5324">
            <w:pPr>
              <w:pStyle w:val="Tabla"/>
              <w:rPr>
                <w:rFonts w:ascii="Times New Roman" w:hAnsi="Times New Roman"/>
                <w:color w:val="auto"/>
                <w:sz w:val="18"/>
                <w:lang w:val="en-US"/>
              </w:rPr>
            </w:pPr>
            <w:r w:rsidRPr="00FA5324">
              <w:rPr>
                <w:rFonts w:ascii="Times New Roman" w:hAnsi="Times New Roman"/>
                <w:color w:val="auto"/>
                <w:sz w:val="18"/>
                <w:lang w:val="en-US"/>
              </w:rPr>
              <w:t>Davis, E Philip &amp; Hu, Yu-Wei</w:t>
            </w:r>
          </w:p>
          <w:p w:rsidR="00BC6E42" w:rsidRPr="00FA5324" w:rsidRDefault="00BC6E42" w:rsidP="00FA5324">
            <w:pPr>
              <w:pStyle w:val="Tabla"/>
              <w:rPr>
                <w:rFonts w:ascii="Times New Roman" w:hAnsi="Times New Roman"/>
                <w:color w:val="auto"/>
                <w:sz w:val="18"/>
                <w:lang w:val="en-US"/>
              </w:rPr>
            </w:pPr>
            <w:r w:rsidRPr="00FA5324">
              <w:rPr>
                <w:rFonts w:ascii="Times New Roman" w:hAnsi="Times New Roman"/>
                <w:color w:val="auto"/>
                <w:sz w:val="18"/>
                <w:lang w:val="en-US"/>
              </w:rPr>
              <w:t>Is there a link between pension-fund assets and economic growth? - a cross-country study</w:t>
            </w:r>
          </w:p>
        </w:tc>
        <w:tc>
          <w:tcPr>
            <w:tcW w:w="1108" w:type="dxa"/>
            <w:vAlign w:val="center"/>
            <w:hideMark/>
          </w:tcPr>
          <w:p w:rsidR="007C1CA0" w:rsidRPr="008450F1" w:rsidRDefault="00BC6E42"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 xml:space="preserve">2005 </w:t>
            </w:r>
            <w:r w:rsidR="007C1CA0" w:rsidRPr="008450F1">
              <w:rPr>
                <w:rFonts w:ascii="Times New Roman" w:hAnsi="Times New Roman"/>
                <w:color w:val="auto"/>
                <w:sz w:val="18"/>
                <w:lang w:val="es-DO"/>
              </w:rPr>
              <w:t>–</w:t>
            </w:r>
            <w:r w:rsidRPr="008450F1">
              <w:rPr>
                <w:rFonts w:ascii="Times New Roman" w:hAnsi="Times New Roman"/>
                <w:color w:val="auto"/>
                <w:sz w:val="18"/>
                <w:lang w:val="es-DO"/>
              </w:rPr>
              <w:t xml:space="preserve"> </w:t>
            </w:r>
          </w:p>
          <w:p w:rsidR="00BC6E42" w:rsidRPr="00FA5324" w:rsidRDefault="00BC6E42"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UK</w:t>
            </w:r>
          </w:p>
        </w:tc>
        <w:tc>
          <w:tcPr>
            <w:tcW w:w="5838" w:type="dxa"/>
            <w:vAlign w:val="center"/>
            <w:hideMark/>
          </w:tcPr>
          <w:p w:rsidR="00BC6E42" w:rsidRPr="00FA5324" w:rsidRDefault="00BC6E42" w:rsidP="00FA5324">
            <w:pPr>
              <w:pStyle w:val="Tabla"/>
              <w:rPr>
                <w:rFonts w:ascii="Times New Roman" w:hAnsi="Times New Roman"/>
                <w:color w:val="auto"/>
                <w:sz w:val="18"/>
                <w:lang w:val="es-DO"/>
              </w:rPr>
            </w:pPr>
            <w:r w:rsidRPr="00FA5324">
              <w:rPr>
                <w:rFonts w:ascii="Times New Roman" w:hAnsi="Times New Roman"/>
                <w:color w:val="auto"/>
                <w:sz w:val="18"/>
                <w:lang w:val="es-DO"/>
              </w:rPr>
              <w:t>Un mayor capital en fondos de pensiones se relaciona directamente con el crecimiento económico del país. Análisis en 38 países con métodos econométricos a partir de una función modificada de Cobb-Douglas. El efecto es mayor en los países emergentes que en los países OECD</w:t>
            </w:r>
          </w:p>
        </w:tc>
      </w:tr>
      <w:tr w:rsidR="00C62A67" w:rsidRPr="008450F1" w:rsidTr="00FA5324">
        <w:trPr>
          <w:trHeight w:val="649"/>
          <w:jc w:val="center"/>
        </w:trPr>
        <w:tc>
          <w:tcPr>
            <w:tcW w:w="2217" w:type="dxa"/>
            <w:vAlign w:val="center"/>
            <w:hideMark/>
          </w:tcPr>
          <w:p w:rsidR="00BC6E42" w:rsidRPr="00FA5324" w:rsidRDefault="00BC6E42" w:rsidP="00FA5324">
            <w:pPr>
              <w:pStyle w:val="Tabla"/>
              <w:rPr>
                <w:rFonts w:ascii="Times New Roman" w:hAnsi="Times New Roman"/>
                <w:color w:val="auto"/>
                <w:sz w:val="18"/>
                <w:lang w:val="es-DO"/>
              </w:rPr>
            </w:pPr>
            <w:r w:rsidRPr="00FA5324">
              <w:rPr>
                <w:rFonts w:ascii="Times New Roman" w:hAnsi="Times New Roman"/>
                <w:color w:val="auto"/>
                <w:sz w:val="18"/>
                <w:lang w:val="es-DO"/>
              </w:rPr>
              <w:t>Bijlsma, Michael; van Ewijk, Casper; Haaijen, Ferry</w:t>
            </w:r>
          </w:p>
        </w:tc>
        <w:tc>
          <w:tcPr>
            <w:tcW w:w="1108" w:type="dxa"/>
            <w:vAlign w:val="center"/>
            <w:hideMark/>
          </w:tcPr>
          <w:p w:rsidR="00BC6E42" w:rsidRPr="00FA5324" w:rsidRDefault="00BC6E42"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2014 - Holanda</w:t>
            </w:r>
          </w:p>
        </w:tc>
        <w:tc>
          <w:tcPr>
            <w:tcW w:w="5838" w:type="dxa"/>
            <w:vAlign w:val="center"/>
            <w:hideMark/>
          </w:tcPr>
          <w:p w:rsidR="00BC6E42" w:rsidRPr="00FA5324" w:rsidRDefault="00BC6E42" w:rsidP="00FA5324">
            <w:pPr>
              <w:pStyle w:val="Tabla"/>
              <w:rPr>
                <w:rFonts w:ascii="Times New Roman" w:hAnsi="Times New Roman"/>
                <w:color w:val="auto"/>
                <w:sz w:val="18"/>
                <w:lang w:val="es-DO"/>
              </w:rPr>
            </w:pPr>
            <w:r w:rsidRPr="00FA5324">
              <w:rPr>
                <w:rFonts w:ascii="Times New Roman" w:hAnsi="Times New Roman"/>
                <w:color w:val="auto"/>
                <w:sz w:val="18"/>
                <w:lang w:val="es-DO"/>
              </w:rPr>
              <w:t>Impacto significativo del ahorro en pensiones sobre el crecimiento en sectores que son más dependientes del financiamiento externo. La crisis financiera no afectó de manera significativa esta relación</w:t>
            </w:r>
          </w:p>
        </w:tc>
      </w:tr>
      <w:tr w:rsidR="00C62A67" w:rsidRPr="008450F1" w:rsidTr="00FA5324">
        <w:trPr>
          <w:trHeight w:val="1427"/>
          <w:jc w:val="center"/>
        </w:trPr>
        <w:tc>
          <w:tcPr>
            <w:tcW w:w="2217" w:type="dxa"/>
            <w:vAlign w:val="center"/>
            <w:hideMark/>
          </w:tcPr>
          <w:p w:rsidR="00BC6E42" w:rsidRPr="00FA5324" w:rsidRDefault="00BC6E42" w:rsidP="00FA5324">
            <w:pPr>
              <w:pStyle w:val="Tabla"/>
              <w:rPr>
                <w:rFonts w:ascii="Times New Roman" w:hAnsi="Times New Roman"/>
                <w:color w:val="auto"/>
                <w:sz w:val="18"/>
                <w:lang w:val="es-DO"/>
              </w:rPr>
            </w:pPr>
            <w:r w:rsidRPr="00FA5324">
              <w:rPr>
                <w:rFonts w:ascii="Times New Roman" w:hAnsi="Times New Roman"/>
                <w:color w:val="auto"/>
                <w:sz w:val="18"/>
                <w:lang w:val="en-US"/>
              </w:rPr>
              <w:t xml:space="preserve">Kipanga, Ben Do Retirement benefits assets contribute to economic growth in Kenya? </w:t>
            </w:r>
            <w:r w:rsidRPr="00FA5324">
              <w:rPr>
                <w:rFonts w:ascii="Times New Roman" w:hAnsi="Times New Roman"/>
                <w:color w:val="auto"/>
                <w:sz w:val="18"/>
                <w:lang w:val="es-DO"/>
              </w:rPr>
              <w:t>Retirement Benefits Authority June 2012</w:t>
            </w:r>
          </w:p>
        </w:tc>
        <w:tc>
          <w:tcPr>
            <w:tcW w:w="1108" w:type="dxa"/>
            <w:vAlign w:val="center"/>
            <w:hideMark/>
          </w:tcPr>
          <w:p w:rsidR="00BC6E42" w:rsidRPr="00FA5324" w:rsidRDefault="00BC6E42"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2012 - Kenia</w:t>
            </w:r>
          </w:p>
        </w:tc>
        <w:tc>
          <w:tcPr>
            <w:tcW w:w="5838" w:type="dxa"/>
            <w:vAlign w:val="center"/>
            <w:hideMark/>
          </w:tcPr>
          <w:p w:rsidR="00BC6E42" w:rsidRPr="00FA5324" w:rsidRDefault="00BC6E42" w:rsidP="00FA5324">
            <w:pPr>
              <w:pStyle w:val="Tabla"/>
              <w:rPr>
                <w:rFonts w:ascii="Times New Roman" w:hAnsi="Times New Roman"/>
                <w:color w:val="auto"/>
                <w:sz w:val="18"/>
                <w:lang w:val="es-DO"/>
              </w:rPr>
            </w:pPr>
            <w:r w:rsidRPr="00FA5324">
              <w:rPr>
                <w:rFonts w:ascii="Times New Roman" w:hAnsi="Times New Roman"/>
                <w:color w:val="auto"/>
                <w:sz w:val="18"/>
                <w:lang w:val="es-DO"/>
              </w:rPr>
              <w:t>Las pruebas estándar de causalidad de Granger mostraron que existe una causalidad unidireccional que va desde de los activos de pensiones al crecimiento económico a nivel de significación del 5% tanto en los niveles y logs. Un  análisis somero también mostró que los activos de beneficios de jubilación se correlacionaron positivamente con el crecimiento económico y una proporción significativa de los activos estaban invertidos en títulos públicos.</w:t>
            </w:r>
          </w:p>
        </w:tc>
      </w:tr>
      <w:tr w:rsidR="00C62A67" w:rsidRPr="008450F1" w:rsidTr="00FA5324">
        <w:trPr>
          <w:trHeight w:val="2663"/>
          <w:jc w:val="center"/>
        </w:trPr>
        <w:tc>
          <w:tcPr>
            <w:tcW w:w="2217" w:type="dxa"/>
            <w:vAlign w:val="center"/>
            <w:hideMark/>
          </w:tcPr>
          <w:p w:rsidR="007C1CA0" w:rsidRPr="00FA5324" w:rsidRDefault="00BC6E42" w:rsidP="00FA5324">
            <w:pPr>
              <w:pStyle w:val="Tabla"/>
              <w:rPr>
                <w:rFonts w:ascii="Times New Roman" w:hAnsi="Times New Roman"/>
                <w:color w:val="auto"/>
                <w:sz w:val="18"/>
                <w:lang w:val="en-US"/>
              </w:rPr>
            </w:pPr>
            <w:r w:rsidRPr="00FA5324">
              <w:rPr>
                <w:rFonts w:ascii="Times New Roman" w:hAnsi="Times New Roman"/>
                <w:color w:val="auto"/>
                <w:sz w:val="18"/>
                <w:lang w:val="en-US"/>
              </w:rPr>
              <w:t>Bebczuk, Ricardo N; Musalem, Alberto R Pensions and Saving: New international Panel Data</w:t>
            </w:r>
            <w:r w:rsidR="007C1CA0" w:rsidRPr="006063A4">
              <w:rPr>
                <w:rFonts w:ascii="Times New Roman" w:hAnsi="Times New Roman"/>
                <w:color w:val="auto"/>
                <w:sz w:val="18"/>
                <w:lang w:val="en-US"/>
              </w:rPr>
              <w:t>,</w:t>
            </w:r>
            <w:r w:rsidRPr="00FA5324">
              <w:rPr>
                <w:rFonts w:ascii="Times New Roman" w:hAnsi="Times New Roman"/>
                <w:color w:val="auto"/>
                <w:sz w:val="18"/>
                <w:lang w:val="en-US"/>
              </w:rPr>
              <w:t xml:space="preserve"> Evidence</w:t>
            </w:r>
            <w:r w:rsidR="007C1CA0" w:rsidRPr="006063A4">
              <w:rPr>
                <w:rFonts w:ascii="Times New Roman" w:hAnsi="Times New Roman"/>
                <w:color w:val="auto"/>
                <w:sz w:val="18"/>
                <w:lang w:val="en-US"/>
              </w:rPr>
              <w:t>,</w:t>
            </w:r>
          </w:p>
          <w:p w:rsidR="00BC6E42" w:rsidRPr="00FA5324" w:rsidRDefault="00BC6E42" w:rsidP="00FA5324">
            <w:pPr>
              <w:pStyle w:val="Tabla"/>
              <w:rPr>
                <w:rFonts w:ascii="Times New Roman" w:hAnsi="Times New Roman"/>
                <w:color w:val="auto"/>
                <w:sz w:val="18"/>
                <w:lang w:val="es-DO"/>
              </w:rPr>
            </w:pPr>
            <w:r w:rsidRPr="00FA5324">
              <w:rPr>
                <w:rFonts w:ascii="Times New Roman" w:hAnsi="Times New Roman"/>
                <w:color w:val="auto"/>
                <w:sz w:val="18"/>
                <w:lang w:val="es-DO"/>
              </w:rPr>
              <w:t>Documento de trabajo No. 61 Mayo 2006</w:t>
            </w:r>
          </w:p>
        </w:tc>
        <w:tc>
          <w:tcPr>
            <w:tcW w:w="1108" w:type="dxa"/>
            <w:vAlign w:val="center"/>
            <w:hideMark/>
          </w:tcPr>
          <w:p w:rsidR="00BC6E42" w:rsidRPr="00FA5324" w:rsidRDefault="00BC6E42"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2006 - Argentina</w:t>
            </w:r>
          </w:p>
        </w:tc>
        <w:tc>
          <w:tcPr>
            <w:tcW w:w="5838" w:type="dxa"/>
            <w:vAlign w:val="center"/>
            <w:hideMark/>
          </w:tcPr>
          <w:p w:rsidR="00BC6E42" w:rsidRPr="00FA5324" w:rsidRDefault="00BC6E42" w:rsidP="00FA5324">
            <w:pPr>
              <w:pStyle w:val="Tabla"/>
              <w:rPr>
                <w:rFonts w:ascii="Times New Roman" w:hAnsi="Times New Roman"/>
                <w:color w:val="auto"/>
                <w:sz w:val="18"/>
                <w:lang w:val="es-DO"/>
              </w:rPr>
            </w:pPr>
            <w:r w:rsidRPr="00FA5324">
              <w:rPr>
                <w:rFonts w:ascii="Times New Roman" w:hAnsi="Times New Roman"/>
                <w:color w:val="auto"/>
                <w:sz w:val="18"/>
                <w:lang w:val="es-DO"/>
              </w:rPr>
              <w:t>Los resultados sugieren que un aumento de $1USD en el ahorro previsional aumenta el ahorro nacional entre 0 y 20 centavos de dólar. La estructura del sistema en términos de participación obligatoria y composición de la cartera no afecta a los resultados, pero la madurez del sistema parece ser un conductor sólido de ahorro nacional, induciendo un aumento de la tasa de ahorro de 0,3-0,5 puntos porcentuales para cada año más de existencia. Las reformas en los países no parecen haber alcanzado mayores tasas de ahorro que otras.   En términos de ahorro de las proyecciones, la tendencia más bien la disminución en el ahorro previsional implica que es poco probable que aumentar la tasa de ahorro nacional, pero la creciente tasa de dependencia de la vejez podría causar, en un horizonte temporal de 25 años, una caída en la tasa de ahorro de 2.1% y 3.3% en la OCDE y países no pertenecientes a la OCDE, respectivamente</w:t>
            </w:r>
          </w:p>
        </w:tc>
      </w:tr>
      <w:tr w:rsidR="00C62A67" w:rsidRPr="008450F1" w:rsidTr="00FA5324">
        <w:trPr>
          <w:trHeight w:val="847"/>
          <w:jc w:val="center"/>
        </w:trPr>
        <w:tc>
          <w:tcPr>
            <w:tcW w:w="2217" w:type="dxa"/>
            <w:vAlign w:val="center"/>
            <w:hideMark/>
          </w:tcPr>
          <w:p w:rsidR="007C1CA0" w:rsidRPr="006063A4" w:rsidRDefault="00BC6E42" w:rsidP="00AF0916">
            <w:pPr>
              <w:pStyle w:val="Tabla"/>
              <w:rPr>
                <w:rFonts w:ascii="Times New Roman" w:hAnsi="Times New Roman"/>
                <w:color w:val="auto"/>
                <w:sz w:val="18"/>
                <w:lang w:val="en-US"/>
              </w:rPr>
            </w:pPr>
            <w:r w:rsidRPr="00FA5324">
              <w:rPr>
                <w:rFonts w:ascii="Times New Roman" w:hAnsi="Times New Roman"/>
                <w:color w:val="auto"/>
                <w:sz w:val="18"/>
                <w:lang w:val="en-US"/>
              </w:rPr>
              <w:t xml:space="preserve">Mungoma, Wanjala Christopher </w:t>
            </w:r>
          </w:p>
          <w:p w:rsidR="00BC6E42" w:rsidRPr="00FA5324" w:rsidRDefault="00BC6E42" w:rsidP="00FA5324">
            <w:pPr>
              <w:pStyle w:val="Tabla"/>
              <w:rPr>
                <w:rFonts w:ascii="Times New Roman" w:hAnsi="Times New Roman"/>
                <w:color w:val="auto"/>
                <w:sz w:val="18"/>
                <w:lang w:val="en-US"/>
              </w:rPr>
            </w:pPr>
            <w:r w:rsidRPr="00FA5324">
              <w:rPr>
                <w:rFonts w:ascii="Times New Roman" w:hAnsi="Times New Roman"/>
                <w:color w:val="auto"/>
                <w:sz w:val="18"/>
                <w:lang w:val="en-US"/>
              </w:rPr>
              <w:t>The relationship between pension fund assets and economic growth in Kenya</w:t>
            </w:r>
            <w:r w:rsidR="007C1CA0" w:rsidRPr="006063A4">
              <w:rPr>
                <w:rFonts w:ascii="Times New Roman" w:hAnsi="Times New Roman"/>
                <w:color w:val="auto"/>
                <w:sz w:val="18"/>
                <w:lang w:val="en-US"/>
              </w:rPr>
              <w:t>,</w:t>
            </w:r>
          </w:p>
          <w:p w:rsidR="00BC6E42" w:rsidRPr="00FA5324" w:rsidRDefault="00BC6E42" w:rsidP="00FA5324">
            <w:pPr>
              <w:pStyle w:val="Tabla"/>
              <w:rPr>
                <w:rFonts w:ascii="Times New Roman" w:hAnsi="Times New Roman"/>
                <w:color w:val="auto"/>
                <w:sz w:val="18"/>
                <w:lang w:val="en-US"/>
              </w:rPr>
            </w:pPr>
            <w:r w:rsidRPr="00FA5324">
              <w:rPr>
                <w:rFonts w:ascii="Times New Roman" w:hAnsi="Times New Roman"/>
                <w:color w:val="auto"/>
                <w:sz w:val="18"/>
                <w:lang w:val="en-US"/>
              </w:rPr>
              <w:t>Research Project</w:t>
            </w:r>
            <w:r w:rsidR="007C1CA0" w:rsidRPr="006063A4">
              <w:rPr>
                <w:rFonts w:ascii="Times New Roman" w:hAnsi="Times New Roman"/>
                <w:color w:val="auto"/>
                <w:sz w:val="18"/>
                <w:lang w:val="en-US"/>
              </w:rPr>
              <w:t>,</w:t>
            </w:r>
          </w:p>
          <w:p w:rsidR="00BC6E42" w:rsidRPr="00FA5324" w:rsidRDefault="00BC6E42" w:rsidP="00FA5324">
            <w:pPr>
              <w:pStyle w:val="Tabla"/>
              <w:rPr>
                <w:rFonts w:ascii="Times New Roman" w:hAnsi="Times New Roman"/>
                <w:color w:val="auto"/>
                <w:sz w:val="18"/>
                <w:lang w:val="en-US"/>
              </w:rPr>
            </w:pPr>
            <w:r w:rsidRPr="00FA5324">
              <w:rPr>
                <w:rFonts w:ascii="Times New Roman" w:hAnsi="Times New Roman"/>
                <w:color w:val="auto"/>
                <w:sz w:val="18"/>
                <w:lang w:val="en-US"/>
              </w:rPr>
              <w:t>University of Nairobi</w:t>
            </w:r>
          </w:p>
        </w:tc>
        <w:tc>
          <w:tcPr>
            <w:tcW w:w="1108" w:type="dxa"/>
            <w:vAlign w:val="center"/>
            <w:hideMark/>
          </w:tcPr>
          <w:p w:rsidR="00BC6E42" w:rsidRPr="00FA5324" w:rsidRDefault="00BC6E42"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2011 - Kenia</w:t>
            </w:r>
          </w:p>
        </w:tc>
        <w:tc>
          <w:tcPr>
            <w:tcW w:w="5838" w:type="dxa"/>
            <w:vAlign w:val="center"/>
            <w:hideMark/>
          </w:tcPr>
          <w:p w:rsidR="00BC6E42" w:rsidRPr="00FA5324" w:rsidRDefault="00BC6E42" w:rsidP="00FA5324">
            <w:pPr>
              <w:pStyle w:val="Tabla"/>
              <w:rPr>
                <w:rFonts w:ascii="Times New Roman" w:hAnsi="Times New Roman"/>
                <w:color w:val="auto"/>
                <w:sz w:val="18"/>
                <w:lang w:val="es-DO"/>
              </w:rPr>
            </w:pPr>
            <w:r w:rsidRPr="00FA5324">
              <w:rPr>
                <w:rFonts w:ascii="Times New Roman" w:hAnsi="Times New Roman"/>
                <w:color w:val="auto"/>
                <w:sz w:val="18"/>
                <w:lang w:val="es-DO"/>
              </w:rPr>
              <w:t xml:space="preserve">El capital de los fondos de pensiones es una fuente importante de recursos para la inversión y por lo tanto contribuye al crecimiento de la economía como un todo. El sector de los fondos de retiro también tiene una parte importante de su capital en forma de títulos públicos </w:t>
            </w:r>
          </w:p>
        </w:tc>
      </w:tr>
    </w:tbl>
    <w:p w:rsidR="00435B34" w:rsidRPr="008450F1" w:rsidRDefault="004637ED" w:rsidP="00AF0916">
      <w:pPr>
        <w:spacing w:after="0" w:line="240" w:lineRule="auto"/>
        <w:rPr>
          <w:i/>
          <w:sz w:val="18"/>
          <w:lang w:val="es-DO"/>
        </w:rPr>
        <w:sectPr w:rsidR="00435B34" w:rsidRPr="008450F1" w:rsidSect="00472B0E">
          <w:pgSz w:w="12240" w:h="15840"/>
          <w:pgMar w:top="1440" w:right="1627" w:bottom="1440" w:left="1440" w:header="720" w:footer="720" w:gutter="0"/>
          <w:cols w:space="720"/>
          <w:docGrid w:linePitch="299"/>
        </w:sectPr>
      </w:pPr>
      <w:r w:rsidRPr="008450F1">
        <w:rPr>
          <w:rStyle w:val="FootnoteReference"/>
          <w:i/>
          <w:sz w:val="18"/>
          <w:lang w:val="es-DO"/>
        </w:rPr>
        <w:footnoteReference w:id="18"/>
      </w:r>
    </w:p>
    <w:p w:rsidR="00520CF8" w:rsidRPr="00FA5324" w:rsidRDefault="008B09E2" w:rsidP="00FA5324">
      <w:pPr>
        <w:pStyle w:val="Heading2"/>
        <w:spacing w:before="0" w:after="0" w:line="240" w:lineRule="auto"/>
        <w:ind w:left="0"/>
        <w:rPr>
          <w:lang w:val="es-DO"/>
        </w:rPr>
      </w:pPr>
      <w:bookmarkStart w:id="42" w:name="_Toc401244726"/>
      <w:r w:rsidRPr="00FA5324">
        <w:rPr>
          <w:lang w:val="es-DO"/>
        </w:rPr>
        <w:lastRenderedPageBreak/>
        <w:t xml:space="preserve">Anexo 2. </w:t>
      </w:r>
      <w:r w:rsidR="00673BF6" w:rsidRPr="00FA5324">
        <w:rPr>
          <w:lang w:val="es-DO"/>
        </w:rPr>
        <w:t>Estimació</w:t>
      </w:r>
      <w:r w:rsidR="00230706" w:rsidRPr="00FA5324">
        <w:rPr>
          <w:lang w:val="es-DO"/>
        </w:rPr>
        <w:t>n de brechas geográficas de recuso humano e infraestructura</w:t>
      </w:r>
      <w:bookmarkEnd w:id="42"/>
    </w:p>
    <w:p w:rsidR="00477D9E" w:rsidRPr="008450F1" w:rsidRDefault="00477D9E" w:rsidP="00AF0916">
      <w:pPr>
        <w:rPr>
          <w:lang w:val="es-DO"/>
        </w:rPr>
      </w:pPr>
    </w:p>
    <w:p w:rsidR="007D15C8" w:rsidRPr="00FA5324" w:rsidRDefault="007D15C8" w:rsidP="00FA5324">
      <w:pPr>
        <w:pStyle w:val="Caption"/>
        <w:keepNext/>
        <w:spacing w:after="0"/>
        <w:jc w:val="center"/>
        <w:rPr>
          <w:i w:val="0"/>
          <w:color w:val="auto"/>
          <w:lang w:val="es-DO"/>
        </w:rPr>
      </w:pPr>
      <w:bookmarkStart w:id="43" w:name="_Ref399139638"/>
      <w:r w:rsidRPr="00FA5324">
        <w:rPr>
          <w:i w:val="0"/>
          <w:color w:val="auto"/>
          <w:lang w:val="es-DO"/>
        </w:rPr>
        <w:t xml:space="preserve">Tabla </w:t>
      </w:r>
      <w:r w:rsidR="00BC2072" w:rsidRPr="00FA5324">
        <w:rPr>
          <w:i w:val="0"/>
          <w:color w:val="auto"/>
          <w:lang w:val="es-DO"/>
        </w:rPr>
        <w:fldChar w:fldCharType="begin"/>
      </w:r>
      <w:r w:rsidR="00BC2072" w:rsidRPr="008450F1">
        <w:rPr>
          <w:i w:val="0"/>
          <w:color w:val="auto"/>
          <w:lang w:val="es-DO"/>
        </w:rPr>
        <w:instrText xml:space="preserve"> SEQ Tabla \* ARABIC </w:instrText>
      </w:r>
      <w:r w:rsidR="00BC2072" w:rsidRPr="00FA5324">
        <w:rPr>
          <w:i w:val="0"/>
          <w:color w:val="auto"/>
          <w:lang w:val="es-DO"/>
        </w:rPr>
        <w:fldChar w:fldCharType="separate"/>
      </w:r>
      <w:r w:rsidR="00A04D48" w:rsidRPr="008450F1">
        <w:rPr>
          <w:i w:val="0"/>
          <w:noProof/>
          <w:color w:val="auto"/>
          <w:lang w:val="es-DO"/>
        </w:rPr>
        <w:t>16</w:t>
      </w:r>
      <w:r w:rsidR="00BC2072" w:rsidRPr="00FA5324">
        <w:rPr>
          <w:i w:val="0"/>
          <w:color w:val="auto"/>
          <w:lang w:val="es-DO"/>
        </w:rPr>
        <w:fldChar w:fldCharType="end"/>
      </w:r>
      <w:bookmarkEnd w:id="43"/>
      <w:r w:rsidRPr="00FA5324">
        <w:rPr>
          <w:i w:val="0"/>
          <w:color w:val="auto"/>
          <w:lang w:val="es-DO"/>
        </w:rPr>
        <w:t xml:space="preserve">. Recursos humanos y camas por provincias </w:t>
      </w:r>
      <w:r w:rsidR="00095D0A" w:rsidRPr="008450F1">
        <w:rPr>
          <w:i w:val="0"/>
          <w:color w:val="auto"/>
          <w:lang w:val="es-DO"/>
        </w:rPr>
        <w:t>(</w:t>
      </w:r>
      <w:r w:rsidRPr="00FA5324">
        <w:rPr>
          <w:i w:val="0"/>
          <w:color w:val="auto"/>
          <w:lang w:val="es-DO"/>
        </w:rPr>
        <w:t>datos 2010</w:t>
      </w:r>
      <w:r w:rsidR="00095D0A" w:rsidRPr="008450F1">
        <w:rPr>
          <w:i w:val="0"/>
          <w:color w:val="auto"/>
          <w:lang w:val="es-D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4"/>
        <w:gridCol w:w="1001"/>
        <w:gridCol w:w="1003"/>
        <w:gridCol w:w="1093"/>
        <w:gridCol w:w="1184"/>
        <w:gridCol w:w="728"/>
        <w:gridCol w:w="909"/>
        <w:gridCol w:w="1182"/>
        <w:gridCol w:w="1003"/>
        <w:gridCol w:w="817"/>
        <w:gridCol w:w="820"/>
        <w:gridCol w:w="1093"/>
        <w:gridCol w:w="723"/>
      </w:tblGrid>
      <w:tr w:rsidR="00A60F38" w:rsidRPr="008450F1" w:rsidTr="00AF0916">
        <w:trPr>
          <w:trHeight w:val="300"/>
          <w:tblHeader/>
        </w:trPr>
        <w:tc>
          <w:tcPr>
            <w:tcW w:w="589" w:type="pct"/>
            <w:shd w:val="clear" w:color="5B9BD5" w:fill="5B9BD5"/>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Provincia Mapa</w:t>
            </w:r>
          </w:p>
        </w:tc>
        <w:tc>
          <w:tcPr>
            <w:tcW w:w="382" w:type="pct"/>
            <w:shd w:val="clear" w:color="5B9BD5" w:fill="5B9BD5"/>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Población</w:t>
            </w:r>
          </w:p>
        </w:tc>
        <w:tc>
          <w:tcPr>
            <w:tcW w:w="383" w:type="pct"/>
            <w:shd w:val="clear" w:color="5B9BD5" w:fill="5B9BD5"/>
            <w:noWrap/>
            <w:vAlign w:val="center"/>
            <w:hideMark/>
          </w:tcPr>
          <w:p w:rsidR="004926BF" w:rsidRPr="00FA5324" w:rsidRDefault="007E70A2"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MD</w:t>
            </w:r>
          </w:p>
        </w:tc>
        <w:tc>
          <w:tcPr>
            <w:tcW w:w="417" w:type="pct"/>
            <w:shd w:val="clear" w:color="5B9BD5" w:fill="5B9BD5"/>
            <w:noWrap/>
            <w:vAlign w:val="center"/>
            <w:hideMark/>
          </w:tcPr>
          <w:p w:rsidR="004926BF" w:rsidRPr="00FA5324" w:rsidRDefault="004926BF" w:rsidP="00AF0916">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Enfermeras</w:t>
            </w:r>
          </w:p>
        </w:tc>
        <w:tc>
          <w:tcPr>
            <w:tcW w:w="452" w:type="pct"/>
            <w:shd w:val="clear" w:color="5B9BD5" w:fill="5B9BD5"/>
            <w:noWrap/>
            <w:vAlign w:val="center"/>
            <w:hideMark/>
          </w:tcPr>
          <w:p w:rsidR="004926BF" w:rsidRPr="00FA5324" w:rsidRDefault="007E70A2" w:rsidP="00FA5324">
            <w:pPr>
              <w:pStyle w:val="Tabla"/>
              <w:jc w:val="center"/>
              <w:rPr>
                <w:rFonts w:ascii="Times New Roman" w:hAnsi="Times New Roman"/>
                <w:b/>
                <w:color w:val="auto"/>
                <w:sz w:val="18"/>
                <w:lang w:val="es-DO"/>
              </w:rPr>
            </w:pPr>
            <w:r w:rsidRPr="008450F1">
              <w:rPr>
                <w:rFonts w:ascii="Times New Roman" w:hAnsi="Times New Roman"/>
                <w:b/>
                <w:color w:val="auto"/>
                <w:sz w:val="18"/>
                <w:szCs w:val="18"/>
                <w:lang w:val="es-DO"/>
              </w:rPr>
              <w:t>O</w:t>
            </w:r>
            <w:r w:rsidR="00095D0A" w:rsidRPr="008450F1">
              <w:rPr>
                <w:rFonts w:ascii="Times New Roman" w:hAnsi="Times New Roman"/>
                <w:b/>
                <w:color w:val="auto"/>
                <w:sz w:val="18"/>
                <w:szCs w:val="18"/>
                <w:lang w:val="es-DO"/>
              </w:rPr>
              <w:t>dontólogos</w:t>
            </w:r>
          </w:p>
        </w:tc>
        <w:tc>
          <w:tcPr>
            <w:tcW w:w="278" w:type="pct"/>
            <w:shd w:val="clear" w:color="5B9BD5" w:fill="5B9BD5"/>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Camas</w:t>
            </w:r>
          </w:p>
        </w:tc>
        <w:tc>
          <w:tcPr>
            <w:tcW w:w="347" w:type="pct"/>
            <w:shd w:val="clear" w:color="5B9BD5" w:fill="5B9BD5"/>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Médicos /100,000</w:t>
            </w:r>
          </w:p>
        </w:tc>
        <w:tc>
          <w:tcPr>
            <w:tcW w:w="451" w:type="pct"/>
            <w:shd w:val="clear" w:color="5B9BD5" w:fill="5B9BD5"/>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Odontólogos /100,000</w:t>
            </w:r>
          </w:p>
        </w:tc>
        <w:tc>
          <w:tcPr>
            <w:tcW w:w="383" w:type="pct"/>
            <w:shd w:val="clear" w:color="5B9BD5" w:fill="5B9BD5"/>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Enfermeras/100,000</w:t>
            </w:r>
          </w:p>
        </w:tc>
        <w:tc>
          <w:tcPr>
            <w:tcW w:w="312" w:type="pct"/>
            <w:shd w:val="clear" w:color="5B9BD5" w:fill="5B9BD5"/>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Camas /100,000</w:t>
            </w:r>
          </w:p>
        </w:tc>
        <w:tc>
          <w:tcPr>
            <w:tcW w:w="313" w:type="pct"/>
            <w:shd w:val="clear" w:color="5B9BD5" w:fill="5B9BD5"/>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Brecha Médicos</w:t>
            </w:r>
          </w:p>
        </w:tc>
        <w:tc>
          <w:tcPr>
            <w:tcW w:w="417" w:type="pct"/>
            <w:shd w:val="clear" w:color="5B9BD5" w:fill="5B9BD5"/>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Brecha Enfermeras</w:t>
            </w:r>
          </w:p>
        </w:tc>
        <w:tc>
          <w:tcPr>
            <w:tcW w:w="276" w:type="pct"/>
            <w:shd w:val="clear" w:color="5B9BD5" w:fill="5B9BD5"/>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Brecha Camas</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Santo Domingo</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2,374,370</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1,765</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301</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143</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1,443</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75</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74</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111</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46</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Distrito Nacional</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965,040</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4,505</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807</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588</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2,640</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130</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61</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467</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289</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Santiago</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963,422</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1,306</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163</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100</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1,484</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45</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136</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102</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34</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San Cristóbal</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569,930</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480</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114</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37</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517</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141</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84</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307</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36</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La Vega</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394,205</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388</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60</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55</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480</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91</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98</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118</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22</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Puerto Plata</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321,597</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233</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20</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28</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377</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85</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72</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212</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48</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San Pedro de Macorís</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290,458</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436</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53</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43</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415</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253</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150</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395</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Duarte</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289,574</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401</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118</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28</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466</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63</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138</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91</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La Altagracia</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273,210</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165</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14</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18</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136</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63</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60</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174</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60</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La Romana</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245,433</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156</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16</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265</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64</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158</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68</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57</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San Juan de la Maguana</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232,333</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241</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33</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24</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488</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104</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76</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17</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Espaillat</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231,938</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171</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32</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282</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87</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74</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146</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47</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Azua</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214,311</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242</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13</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406</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81</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113</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157</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Barahona</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187,105</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232</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97</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18</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400</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168</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124</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192</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Monte Plata</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185,956</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178</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14</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164</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96</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80</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25</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Peravia</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184,344</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218</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73</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225</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93</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118</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48</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Monseñor Nouel</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165,224</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169</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18</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196</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88</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102</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147</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18</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Valverde</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163,030</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139</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37</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125</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86</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85</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86</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35</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Cotuí</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151,392</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157</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29</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227</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47</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104</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111</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33</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17</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María Trinidad Sánchez</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140,925</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140</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22</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21</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204</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68</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99</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39</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21</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Monte Cristi</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109,607</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131</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6</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276</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51</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120</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70</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29</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0</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Samaná</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101,494</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108</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19</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188</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106</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80</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Baoruco</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97,313</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51</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28</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112</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125</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52</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149</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68</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Hermanas Mirabal</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92,193</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142</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37</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19</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304</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51</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21</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154</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81</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29</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lastRenderedPageBreak/>
              <w:t>El Seibo</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87,680</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119</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11</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126</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53</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136</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109</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27</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Hato Mayor</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85,017</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142</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2</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110</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56</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167</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24</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Dajabón</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63,955</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81</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12</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116</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146</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127</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154</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Elías Piña</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63,029</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84</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9</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195</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73</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133</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240</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San José de Ocoa</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59,544</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70</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6</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110</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113</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12</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118</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181</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Santiago Rodríguez</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57,476</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86</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17</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8</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142</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26</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14</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150</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92</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54</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DDEBF7" w:fill="DDEBF7"/>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Independencia</w:t>
            </w:r>
          </w:p>
        </w:tc>
        <w:tc>
          <w:tcPr>
            <w:tcW w:w="38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52,589</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70</w:t>
            </w:r>
          </w:p>
        </w:tc>
        <w:tc>
          <w:tcPr>
            <w:tcW w:w="417" w:type="pct"/>
            <w:shd w:val="clear" w:color="DDEBF7" w:fill="DDEBF7"/>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10</w:t>
            </w:r>
          </w:p>
        </w:tc>
        <w:tc>
          <w:tcPr>
            <w:tcW w:w="45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w:t>
            </w:r>
          </w:p>
        </w:tc>
        <w:tc>
          <w:tcPr>
            <w:tcW w:w="278"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61</w:t>
            </w:r>
          </w:p>
        </w:tc>
        <w:tc>
          <w:tcPr>
            <w:tcW w:w="34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109</w:t>
            </w:r>
          </w:p>
        </w:tc>
        <w:tc>
          <w:tcPr>
            <w:tcW w:w="451"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w:t>
            </w:r>
          </w:p>
        </w:tc>
        <w:tc>
          <w:tcPr>
            <w:tcW w:w="38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133</w:t>
            </w:r>
          </w:p>
        </w:tc>
        <w:tc>
          <w:tcPr>
            <w:tcW w:w="312"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104</w:t>
            </w:r>
          </w:p>
        </w:tc>
        <w:tc>
          <w:tcPr>
            <w:tcW w:w="313"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c>
          <w:tcPr>
            <w:tcW w:w="417"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276" w:type="pct"/>
            <w:shd w:val="clear" w:color="DDEBF7" w:fill="DDEBF7"/>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color w:val="auto"/>
                <w:sz w:val="18"/>
                <w:lang w:val="es-DO"/>
              </w:rPr>
            </w:pPr>
            <w:r w:rsidRPr="00FA5324">
              <w:rPr>
                <w:rFonts w:ascii="Times New Roman" w:hAnsi="Times New Roman"/>
                <w:color w:val="auto"/>
                <w:sz w:val="18"/>
                <w:lang w:val="es-DO"/>
              </w:rPr>
              <w:t>Pedernales</w:t>
            </w: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31,587</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32</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color w:val="auto"/>
                <w:sz w:val="18"/>
                <w:lang w:val="es-DO"/>
              </w:rPr>
            </w:pPr>
            <w:r w:rsidRPr="00FA5324">
              <w:rPr>
                <w:rFonts w:ascii="Times New Roman" w:hAnsi="Times New Roman"/>
                <w:color w:val="auto"/>
                <w:sz w:val="18"/>
                <w:lang w:val="es-DO"/>
              </w:rPr>
              <w:t>4</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2</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40</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69</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6</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101</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169</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11</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5</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color w:val="auto"/>
                <w:sz w:val="18"/>
                <w:lang w:val="es-DO"/>
              </w:rPr>
            </w:pPr>
            <w:r w:rsidRPr="00FA5324">
              <w:rPr>
                <w:rFonts w:ascii="Times New Roman" w:hAnsi="Times New Roman"/>
                <w:color w:val="auto"/>
                <w:sz w:val="18"/>
                <w:lang w:val="es-DO"/>
              </w:rPr>
              <w:t>19</w:t>
            </w:r>
          </w:p>
        </w:tc>
      </w:tr>
      <w:tr w:rsidR="00A60F38" w:rsidRPr="008450F1" w:rsidTr="00AF0916">
        <w:trPr>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b/>
                <w:color w:val="auto"/>
                <w:sz w:val="18"/>
                <w:lang w:val="es-DO"/>
              </w:rPr>
            </w:pP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9,445,281</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12,838</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2,195</w:t>
            </w:r>
          </w:p>
        </w:tc>
        <w:tc>
          <w:tcPr>
            <w:tcW w:w="452"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1,303</w:t>
            </w:r>
          </w:p>
        </w:tc>
        <w:tc>
          <w:tcPr>
            <w:tcW w:w="278"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2,195</w:t>
            </w:r>
          </w:p>
        </w:tc>
        <w:tc>
          <w:tcPr>
            <w:tcW w:w="347"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80</w:t>
            </w:r>
          </w:p>
        </w:tc>
        <w:tc>
          <w:tcPr>
            <w:tcW w:w="451"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11</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121</w:t>
            </w:r>
          </w:p>
        </w:tc>
        <w:tc>
          <w:tcPr>
            <w:tcW w:w="312"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4,232</w:t>
            </w:r>
          </w:p>
        </w:tc>
        <w:tc>
          <w:tcPr>
            <w:tcW w:w="313"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600</w:t>
            </w:r>
          </w:p>
        </w:tc>
        <w:tc>
          <w:tcPr>
            <w:tcW w:w="417"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79</w:t>
            </w:r>
          </w:p>
        </w:tc>
        <w:tc>
          <w:tcPr>
            <w:tcW w:w="276"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567</w:t>
            </w:r>
          </w:p>
        </w:tc>
      </w:tr>
      <w:tr w:rsidR="00095D0A" w:rsidRPr="008450F1" w:rsidTr="00FA5324">
        <w:trPr>
          <w:gridAfter w:val="9"/>
          <w:wAfter w:w="3229" w:type="pct"/>
          <w:trHeight w:val="300"/>
        </w:trPr>
        <w:tc>
          <w:tcPr>
            <w:tcW w:w="589" w:type="pct"/>
            <w:shd w:val="clear" w:color="auto" w:fill="auto"/>
            <w:noWrap/>
            <w:vAlign w:val="center"/>
            <w:hideMark/>
          </w:tcPr>
          <w:p w:rsidR="004926BF" w:rsidRPr="00FA5324" w:rsidRDefault="004926BF" w:rsidP="00AF0916">
            <w:pPr>
              <w:pStyle w:val="Tabla"/>
              <w:rPr>
                <w:rFonts w:ascii="Times New Roman" w:hAnsi="Times New Roman"/>
                <w:b/>
                <w:color w:val="auto"/>
                <w:sz w:val="18"/>
                <w:lang w:val="es-DO"/>
              </w:rPr>
            </w:pPr>
          </w:p>
        </w:tc>
        <w:tc>
          <w:tcPr>
            <w:tcW w:w="382"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SUMA</w:t>
            </w:r>
          </w:p>
        </w:tc>
        <w:tc>
          <w:tcPr>
            <w:tcW w:w="383" w:type="pct"/>
            <w:shd w:val="clear" w:color="auto" w:fill="auto"/>
            <w:noWrap/>
            <w:vAlign w:val="center"/>
            <w:hideMark/>
          </w:tcPr>
          <w:p w:rsidR="004926BF" w:rsidRPr="00FA5324" w:rsidRDefault="004926BF" w:rsidP="00FA5324">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Promedio</w:t>
            </w:r>
          </w:p>
        </w:tc>
        <w:tc>
          <w:tcPr>
            <w:tcW w:w="417" w:type="pct"/>
            <w:shd w:val="clear" w:color="auto" w:fill="auto"/>
            <w:noWrap/>
            <w:vAlign w:val="center"/>
            <w:hideMark/>
          </w:tcPr>
          <w:p w:rsidR="004926BF" w:rsidRPr="00FA5324" w:rsidRDefault="004926BF" w:rsidP="00AF0916">
            <w:pPr>
              <w:pStyle w:val="Tabla"/>
              <w:jc w:val="center"/>
              <w:rPr>
                <w:rFonts w:ascii="Times New Roman" w:hAnsi="Times New Roman"/>
                <w:b/>
                <w:color w:val="auto"/>
                <w:sz w:val="18"/>
                <w:lang w:val="es-DO"/>
              </w:rPr>
            </w:pPr>
            <w:r w:rsidRPr="00FA5324">
              <w:rPr>
                <w:rFonts w:ascii="Times New Roman" w:hAnsi="Times New Roman"/>
                <w:b/>
                <w:color w:val="auto"/>
                <w:sz w:val="18"/>
                <w:lang w:val="es-DO"/>
              </w:rPr>
              <w:t>Suma</w:t>
            </w:r>
          </w:p>
        </w:tc>
      </w:tr>
    </w:tbl>
    <w:p w:rsidR="004926BF" w:rsidRPr="008450F1" w:rsidRDefault="004637ED" w:rsidP="00AF0916">
      <w:pPr>
        <w:spacing w:after="0" w:line="240" w:lineRule="auto"/>
        <w:jc w:val="left"/>
        <w:rPr>
          <w:i/>
          <w:sz w:val="18"/>
          <w:lang w:val="es-DO"/>
        </w:rPr>
      </w:pPr>
      <w:r w:rsidRPr="008450F1">
        <w:rPr>
          <w:rStyle w:val="FootnoteReference"/>
          <w:i/>
          <w:sz w:val="18"/>
          <w:lang w:val="es-DO"/>
        </w:rPr>
        <w:footnoteReference w:id="19"/>
      </w:r>
    </w:p>
    <w:p w:rsidR="00230706" w:rsidRPr="00FA5324" w:rsidRDefault="00230706" w:rsidP="00AF0916">
      <w:pPr>
        <w:spacing w:after="0" w:line="240" w:lineRule="auto"/>
        <w:jc w:val="left"/>
        <w:rPr>
          <w:lang w:val="es-DO"/>
        </w:rPr>
      </w:pPr>
      <w:r w:rsidRPr="00FA5324">
        <w:rPr>
          <w:lang w:val="es-DO"/>
        </w:rPr>
        <w:br w:type="page"/>
      </w:r>
    </w:p>
    <w:p w:rsidR="004926BF" w:rsidRPr="00FA5324" w:rsidRDefault="004926BF" w:rsidP="00FA5324">
      <w:pPr>
        <w:pStyle w:val="Heading2"/>
        <w:spacing w:before="0" w:after="0" w:line="240" w:lineRule="auto"/>
        <w:ind w:left="0"/>
        <w:rPr>
          <w:lang w:val="es-DO"/>
        </w:rPr>
      </w:pPr>
      <w:bookmarkStart w:id="44" w:name="_Toc401244727"/>
      <w:r w:rsidRPr="00FA5324">
        <w:rPr>
          <w:lang w:val="es-DO"/>
        </w:rPr>
        <w:lastRenderedPageBreak/>
        <w:t>Anexo 3</w:t>
      </w:r>
      <w:r w:rsidR="008B09E2" w:rsidRPr="00FA5324">
        <w:rPr>
          <w:lang w:val="es-DO"/>
        </w:rPr>
        <w:t xml:space="preserve">. </w:t>
      </w:r>
      <w:r w:rsidR="00230706" w:rsidRPr="00FA5324">
        <w:rPr>
          <w:lang w:val="es-DO"/>
        </w:rPr>
        <w:t xml:space="preserve">Proyecciones para </w:t>
      </w:r>
      <w:r w:rsidR="007A3FB4" w:rsidRPr="008450F1">
        <w:rPr>
          <w:lang w:val="es-DO"/>
        </w:rPr>
        <w:t>las</w:t>
      </w:r>
      <w:r w:rsidR="007A3FB4" w:rsidRPr="00FA5324">
        <w:rPr>
          <w:lang w:val="es-DO"/>
        </w:rPr>
        <w:t xml:space="preserve"> valoraciones</w:t>
      </w:r>
      <w:r w:rsidR="00230706" w:rsidRPr="00FA5324">
        <w:rPr>
          <w:lang w:val="es-DO"/>
        </w:rPr>
        <w:t xml:space="preserve"> de costos y beneficios</w:t>
      </w:r>
      <w:bookmarkEnd w:id="44"/>
    </w:p>
    <w:p w:rsidR="00095D0A" w:rsidRPr="008450F1" w:rsidRDefault="00095D0A" w:rsidP="00AF0916">
      <w:pPr>
        <w:pStyle w:val="Caption"/>
        <w:keepNext/>
        <w:spacing w:after="0"/>
        <w:rPr>
          <w:color w:val="auto"/>
          <w:lang w:val="es-DO"/>
        </w:rPr>
      </w:pPr>
    </w:p>
    <w:p w:rsidR="004926BF" w:rsidRPr="00FA5324" w:rsidRDefault="004926BF" w:rsidP="00FA5324">
      <w:pPr>
        <w:pStyle w:val="Caption"/>
        <w:keepNext/>
        <w:spacing w:after="0"/>
        <w:jc w:val="center"/>
        <w:rPr>
          <w:i w:val="0"/>
          <w:color w:val="auto"/>
          <w:lang w:val="es-DO"/>
        </w:rPr>
      </w:pPr>
      <w:r w:rsidRPr="00FA5324">
        <w:rPr>
          <w:i w:val="0"/>
          <w:color w:val="auto"/>
          <w:lang w:val="es-DO"/>
        </w:rPr>
        <w:t xml:space="preserve">Gráfico </w:t>
      </w:r>
      <w:r w:rsidR="007A6186" w:rsidRPr="00FA5324">
        <w:rPr>
          <w:i w:val="0"/>
          <w:color w:val="auto"/>
          <w:lang w:val="es-DO"/>
        </w:rPr>
        <w:t>6</w:t>
      </w:r>
      <w:r w:rsidRPr="00FA5324">
        <w:rPr>
          <w:i w:val="0"/>
          <w:color w:val="auto"/>
          <w:lang w:val="es-DO"/>
        </w:rPr>
        <w:t>. Comparación estimaciones y proyección poblacionales ONE</w:t>
      </w:r>
    </w:p>
    <w:p w:rsidR="004926BF" w:rsidRPr="008450F1" w:rsidRDefault="004926BF" w:rsidP="00AF0916">
      <w:pPr>
        <w:spacing w:after="0" w:line="240" w:lineRule="auto"/>
        <w:jc w:val="center"/>
        <w:rPr>
          <w:i/>
          <w:sz w:val="20"/>
          <w:lang w:val="es-DO" w:bidi="x-none"/>
        </w:rPr>
      </w:pPr>
      <w:r w:rsidRPr="008450F1">
        <w:rPr>
          <w:noProof/>
          <w:lang w:val="en-US" w:eastAsia="en-US"/>
        </w:rPr>
        <w:drawing>
          <wp:inline distT="0" distB="0" distL="0" distR="0" wp14:anchorId="49B0A033" wp14:editId="17FEAA95">
            <wp:extent cx="5332021" cy="4025735"/>
            <wp:effectExtent l="0" t="0" r="2540" b="1333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4637ED" w:rsidRPr="008450F1">
        <w:rPr>
          <w:rStyle w:val="FootnoteReference"/>
          <w:i/>
          <w:sz w:val="20"/>
          <w:lang w:val="es-DO" w:bidi="x-none"/>
        </w:rPr>
        <w:footnoteReference w:id="20"/>
      </w:r>
    </w:p>
    <w:p w:rsidR="0066088A" w:rsidRPr="008450F1" w:rsidRDefault="0066088A" w:rsidP="00AF0916">
      <w:pPr>
        <w:spacing w:after="0" w:line="240" w:lineRule="auto"/>
        <w:jc w:val="left"/>
        <w:rPr>
          <w:i/>
          <w:sz w:val="20"/>
          <w:lang w:val="es-DO"/>
        </w:rPr>
      </w:pPr>
    </w:p>
    <w:p w:rsidR="004926BF" w:rsidRPr="00FA5324" w:rsidRDefault="004926BF" w:rsidP="00FA5324">
      <w:pPr>
        <w:spacing w:after="0" w:line="240" w:lineRule="auto"/>
        <w:jc w:val="center"/>
        <w:rPr>
          <w:sz w:val="20"/>
          <w:lang w:val="es-DO"/>
        </w:rPr>
      </w:pPr>
    </w:p>
    <w:p w:rsidR="004926BF" w:rsidRPr="00FA5324" w:rsidRDefault="004926BF" w:rsidP="00FA5324">
      <w:pPr>
        <w:spacing w:after="0" w:line="240" w:lineRule="auto"/>
        <w:jc w:val="center"/>
        <w:rPr>
          <w:lang w:val="es-DO"/>
        </w:rPr>
      </w:pPr>
    </w:p>
    <w:p w:rsidR="004926BF" w:rsidRPr="00FA5324" w:rsidRDefault="007A6186" w:rsidP="00FA5324">
      <w:pPr>
        <w:pStyle w:val="Caption"/>
        <w:keepNext/>
        <w:spacing w:after="0"/>
        <w:jc w:val="center"/>
        <w:rPr>
          <w:i w:val="0"/>
          <w:color w:val="auto"/>
          <w:lang w:val="es-DO"/>
        </w:rPr>
      </w:pPr>
      <w:r w:rsidRPr="00FA5324">
        <w:rPr>
          <w:lang w:val="es-DO"/>
        </w:rPr>
        <w:lastRenderedPageBreak/>
        <w:t>Gráfico 7.</w:t>
      </w:r>
      <w:r w:rsidRPr="00FA5324">
        <w:rPr>
          <w:i w:val="0"/>
          <w:color w:val="auto"/>
          <w:lang w:val="es-DO"/>
        </w:rPr>
        <w:t xml:space="preserve"> </w:t>
      </w:r>
      <w:r w:rsidR="004926BF" w:rsidRPr="00FA5324">
        <w:rPr>
          <w:i w:val="0"/>
          <w:color w:val="auto"/>
          <w:lang w:val="es-DO"/>
        </w:rPr>
        <w:t>Estimaciones y proyección por género del porcentaje de la población en edad laboral que es económicamente activa</w:t>
      </w:r>
    </w:p>
    <w:p w:rsidR="00477D9E" w:rsidRPr="008450F1" w:rsidRDefault="004926BF" w:rsidP="00AF0916">
      <w:pPr>
        <w:spacing w:after="0" w:line="240" w:lineRule="auto"/>
        <w:jc w:val="center"/>
        <w:rPr>
          <w:i/>
          <w:sz w:val="18"/>
          <w:lang w:val="es-DO" w:bidi="x-none"/>
        </w:rPr>
      </w:pPr>
      <w:r w:rsidRPr="008450F1">
        <w:rPr>
          <w:noProof/>
          <w:lang w:val="en-US" w:eastAsia="en-US"/>
        </w:rPr>
        <w:drawing>
          <wp:inline distT="0" distB="0" distL="0" distR="0" wp14:anchorId="1FE2D8BE" wp14:editId="5CA1B6DB">
            <wp:extent cx="5400000" cy="3600000"/>
            <wp:effectExtent l="0" t="0" r="10795" b="63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4637ED" w:rsidRPr="008450F1">
        <w:rPr>
          <w:rStyle w:val="FootnoteReference"/>
          <w:i/>
          <w:sz w:val="20"/>
          <w:lang w:val="es-DO" w:bidi="x-none"/>
        </w:rPr>
        <w:footnoteReference w:id="21"/>
      </w:r>
    </w:p>
    <w:p w:rsidR="00477D9E" w:rsidRPr="008450F1" w:rsidRDefault="00477D9E" w:rsidP="00AF0916">
      <w:pPr>
        <w:spacing w:after="0" w:line="240" w:lineRule="auto"/>
        <w:jc w:val="center"/>
        <w:rPr>
          <w:i/>
          <w:sz w:val="18"/>
          <w:lang w:val="es-DO" w:bidi="x-none"/>
        </w:rPr>
      </w:pPr>
    </w:p>
    <w:p w:rsidR="004926BF" w:rsidRPr="008450F1" w:rsidRDefault="004926BF" w:rsidP="00AF0916">
      <w:pPr>
        <w:spacing w:after="0" w:line="240" w:lineRule="auto"/>
        <w:jc w:val="center"/>
        <w:rPr>
          <w:i/>
          <w:sz w:val="20"/>
          <w:lang w:val="es-DO" w:bidi="x-none"/>
        </w:rPr>
      </w:pPr>
    </w:p>
    <w:p w:rsidR="004926BF" w:rsidRPr="00FA5324" w:rsidRDefault="004926BF" w:rsidP="00FA5324">
      <w:pPr>
        <w:pStyle w:val="Caption"/>
        <w:keepNext/>
        <w:spacing w:after="0"/>
        <w:jc w:val="center"/>
        <w:rPr>
          <w:i w:val="0"/>
          <w:color w:val="auto"/>
          <w:lang w:val="es-DO"/>
        </w:rPr>
      </w:pPr>
      <w:bookmarkStart w:id="45" w:name="_Ref398851336"/>
      <w:r w:rsidRPr="008450F1">
        <w:rPr>
          <w:lang w:val="es-DO"/>
        </w:rPr>
        <w:lastRenderedPageBreak/>
        <w:t xml:space="preserve">Gráfico </w:t>
      </w:r>
      <w:r w:rsidR="007A6186" w:rsidRPr="008450F1">
        <w:rPr>
          <w:noProof/>
          <w:lang w:val="es-DO"/>
        </w:rPr>
        <w:t>8</w:t>
      </w:r>
      <w:bookmarkEnd w:id="45"/>
      <w:r w:rsidRPr="008450F1">
        <w:rPr>
          <w:lang w:val="es-DO"/>
        </w:rPr>
        <w:t>.</w:t>
      </w:r>
      <w:r w:rsidRPr="00FA5324">
        <w:rPr>
          <w:i w:val="0"/>
          <w:color w:val="auto"/>
          <w:lang w:val="es-DO"/>
        </w:rPr>
        <w:t xml:space="preserve"> Estimaciones y proyección por género del porcentaje de la población económicamente activa que es asalariada</w:t>
      </w:r>
    </w:p>
    <w:p w:rsidR="004926BF" w:rsidRPr="008450F1" w:rsidRDefault="004926BF" w:rsidP="00AF0916">
      <w:pPr>
        <w:spacing w:after="0" w:line="240" w:lineRule="auto"/>
        <w:jc w:val="center"/>
        <w:rPr>
          <w:i/>
          <w:sz w:val="20"/>
          <w:lang w:val="es-DO" w:bidi="x-none"/>
        </w:rPr>
      </w:pPr>
      <w:r w:rsidRPr="008450F1">
        <w:rPr>
          <w:noProof/>
          <w:lang w:val="en-US" w:eastAsia="en-US"/>
        </w:rPr>
        <w:drawing>
          <wp:inline distT="0" distB="0" distL="0" distR="0" wp14:anchorId="42F0D47D" wp14:editId="2C148C96">
            <wp:extent cx="5400000" cy="3600000"/>
            <wp:effectExtent l="0" t="0" r="10795" b="63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4637ED" w:rsidRPr="008450F1">
        <w:rPr>
          <w:rStyle w:val="FootnoteReference"/>
          <w:i/>
          <w:sz w:val="20"/>
          <w:lang w:val="es-DO" w:bidi="x-none"/>
        </w:rPr>
        <w:footnoteReference w:id="22"/>
      </w:r>
    </w:p>
    <w:p w:rsidR="0066088A" w:rsidRPr="008450F1" w:rsidRDefault="0066088A" w:rsidP="00AF0916">
      <w:pPr>
        <w:spacing w:after="0" w:line="240" w:lineRule="auto"/>
        <w:jc w:val="left"/>
        <w:rPr>
          <w:sz w:val="20"/>
          <w:lang w:val="es-DO" w:bidi="x-none"/>
        </w:rPr>
      </w:pPr>
    </w:p>
    <w:p w:rsidR="004926BF" w:rsidRPr="00FA5324" w:rsidRDefault="004926BF" w:rsidP="00FA5324">
      <w:pPr>
        <w:pStyle w:val="Caption"/>
        <w:keepNext/>
        <w:spacing w:after="0"/>
        <w:jc w:val="center"/>
        <w:rPr>
          <w:i w:val="0"/>
          <w:color w:val="auto"/>
          <w:lang w:val="es-DO"/>
        </w:rPr>
      </w:pPr>
      <w:bookmarkStart w:id="46" w:name="_Ref398851921"/>
      <w:r w:rsidRPr="00FA5324">
        <w:rPr>
          <w:i w:val="0"/>
          <w:color w:val="auto"/>
          <w:lang w:val="es-DO"/>
        </w:rPr>
        <w:lastRenderedPageBreak/>
        <w:t xml:space="preserve">Gráfico </w:t>
      </w:r>
      <w:r w:rsidR="007A6186" w:rsidRPr="008450F1">
        <w:rPr>
          <w:i w:val="0"/>
          <w:noProof/>
          <w:color w:val="auto"/>
          <w:lang w:val="es-DO"/>
        </w:rPr>
        <w:t>9</w:t>
      </w:r>
      <w:bookmarkEnd w:id="46"/>
      <w:r w:rsidRPr="00FA5324">
        <w:rPr>
          <w:i w:val="0"/>
          <w:color w:val="auto"/>
          <w:lang w:val="es-DO"/>
        </w:rPr>
        <w:t>. Estimaciones y proyección por género del porcentaje de la población asalariada que es titular</w:t>
      </w:r>
      <w:r w:rsidR="00DF2F88" w:rsidRPr="008450F1">
        <w:rPr>
          <w:i w:val="0"/>
          <w:color w:val="auto"/>
          <w:lang w:val="es-DO"/>
        </w:rPr>
        <w:t xml:space="preserve"> en salud</w:t>
      </w:r>
    </w:p>
    <w:p w:rsidR="004926BF" w:rsidRPr="008450F1" w:rsidRDefault="004926BF" w:rsidP="00AF0916">
      <w:pPr>
        <w:spacing w:after="0" w:line="240" w:lineRule="auto"/>
        <w:jc w:val="center"/>
        <w:rPr>
          <w:i/>
          <w:sz w:val="20"/>
          <w:lang w:val="es-DO" w:bidi="x-none"/>
        </w:rPr>
      </w:pPr>
      <w:r w:rsidRPr="008450F1">
        <w:rPr>
          <w:noProof/>
          <w:lang w:val="en-US" w:eastAsia="en-US"/>
        </w:rPr>
        <w:drawing>
          <wp:inline distT="0" distB="0" distL="0" distR="0" wp14:anchorId="2B6233C8" wp14:editId="71693899">
            <wp:extent cx="5400000" cy="3600000"/>
            <wp:effectExtent l="0" t="0" r="10795" b="63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4637ED" w:rsidRPr="008450F1">
        <w:rPr>
          <w:rStyle w:val="FootnoteReference"/>
          <w:i/>
          <w:sz w:val="20"/>
          <w:lang w:val="es-DO" w:bidi="x-none"/>
        </w:rPr>
        <w:footnoteReference w:id="23"/>
      </w:r>
    </w:p>
    <w:p w:rsidR="004926BF" w:rsidRPr="008450F1" w:rsidRDefault="004926BF" w:rsidP="00AF0916">
      <w:pPr>
        <w:spacing w:after="0" w:line="240" w:lineRule="auto"/>
        <w:rPr>
          <w:lang w:val="es-DO"/>
        </w:rPr>
      </w:pPr>
    </w:p>
    <w:p w:rsidR="0066088A" w:rsidRPr="008450F1" w:rsidRDefault="0066088A" w:rsidP="00AF0916">
      <w:pPr>
        <w:spacing w:after="0" w:line="240" w:lineRule="auto"/>
        <w:jc w:val="left"/>
        <w:rPr>
          <w:lang w:val="es-DO"/>
        </w:rPr>
      </w:pPr>
      <w:r w:rsidRPr="008450F1">
        <w:rPr>
          <w:lang w:val="es-DO"/>
        </w:rPr>
        <w:br w:type="page"/>
      </w:r>
    </w:p>
    <w:p w:rsidR="0066088A" w:rsidRPr="00FA5324" w:rsidRDefault="0066088A" w:rsidP="00FA5324">
      <w:pPr>
        <w:spacing w:after="0" w:line="240" w:lineRule="auto"/>
        <w:rPr>
          <w:lang w:val="es-DO"/>
        </w:rPr>
      </w:pPr>
    </w:p>
    <w:p w:rsidR="004926BF" w:rsidRPr="00FA5324" w:rsidRDefault="004926BF" w:rsidP="00FA5324">
      <w:pPr>
        <w:pStyle w:val="Caption"/>
        <w:keepNext/>
        <w:spacing w:after="0"/>
        <w:jc w:val="center"/>
        <w:rPr>
          <w:i w:val="0"/>
          <w:color w:val="auto"/>
          <w:lang w:val="es-DO"/>
        </w:rPr>
      </w:pPr>
      <w:bookmarkStart w:id="47" w:name="_Ref398851897"/>
      <w:r w:rsidRPr="00FA5324">
        <w:rPr>
          <w:i w:val="0"/>
          <w:color w:val="auto"/>
          <w:lang w:val="es-DO"/>
        </w:rPr>
        <w:t xml:space="preserve">Gráfico </w:t>
      </w:r>
      <w:r w:rsidR="007A6186" w:rsidRPr="00FA5324">
        <w:rPr>
          <w:i w:val="0"/>
          <w:color w:val="auto"/>
          <w:lang w:val="es-DO"/>
        </w:rPr>
        <w:t>10</w:t>
      </w:r>
      <w:bookmarkEnd w:id="47"/>
      <w:r w:rsidRPr="00FA5324">
        <w:rPr>
          <w:i w:val="0"/>
          <w:color w:val="auto"/>
          <w:lang w:val="es-DO"/>
        </w:rPr>
        <w:t>. Afiliados al RC</w:t>
      </w:r>
      <w:r w:rsidR="00DF2F88" w:rsidRPr="008450F1">
        <w:rPr>
          <w:i w:val="0"/>
          <w:color w:val="auto"/>
          <w:lang w:val="es-DO"/>
        </w:rPr>
        <w:t xml:space="preserve"> en salud</w:t>
      </w:r>
    </w:p>
    <w:p w:rsidR="004926BF" w:rsidRPr="008450F1" w:rsidRDefault="004926BF" w:rsidP="00AF0916">
      <w:pPr>
        <w:spacing w:after="0" w:line="240" w:lineRule="auto"/>
        <w:jc w:val="center"/>
        <w:rPr>
          <w:i/>
          <w:sz w:val="20"/>
          <w:lang w:val="es-DO" w:bidi="x-none"/>
        </w:rPr>
      </w:pPr>
      <w:r w:rsidRPr="008450F1">
        <w:rPr>
          <w:noProof/>
          <w:lang w:val="en-US" w:eastAsia="en-US"/>
        </w:rPr>
        <w:drawing>
          <wp:inline distT="0" distB="0" distL="0" distR="0" wp14:anchorId="6CAD4795" wp14:editId="4E9FFEA9">
            <wp:extent cx="4566285" cy="2441051"/>
            <wp:effectExtent l="0" t="0" r="5715" b="1651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477D9E" w:rsidRPr="008450F1">
        <w:rPr>
          <w:rStyle w:val="FootnoteReference"/>
          <w:i/>
          <w:sz w:val="20"/>
          <w:lang w:val="es-DO" w:bidi="x-none"/>
        </w:rPr>
        <w:footnoteReference w:id="24"/>
      </w:r>
    </w:p>
    <w:p w:rsidR="0066088A" w:rsidRPr="00FA5324" w:rsidRDefault="0066088A" w:rsidP="00FA5324">
      <w:pPr>
        <w:spacing w:after="0" w:line="240" w:lineRule="auto"/>
        <w:rPr>
          <w:lang w:val="es-DO"/>
        </w:rPr>
      </w:pPr>
    </w:p>
    <w:p w:rsidR="004926BF" w:rsidRPr="00FA5324" w:rsidRDefault="004926BF" w:rsidP="00FA5324">
      <w:pPr>
        <w:pStyle w:val="Caption"/>
        <w:keepNext/>
        <w:spacing w:after="0"/>
        <w:jc w:val="center"/>
        <w:rPr>
          <w:i w:val="0"/>
          <w:color w:val="auto"/>
          <w:lang w:val="es-DO"/>
        </w:rPr>
      </w:pPr>
      <w:bookmarkStart w:id="48" w:name="_Ref398851489"/>
      <w:r w:rsidRPr="00FA5324">
        <w:rPr>
          <w:lang w:val="es-DO"/>
        </w:rPr>
        <w:t xml:space="preserve">Gráfico </w:t>
      </w:r>
      <w:r w:rsidR="008B09E2" w:rsidRPr="00FA5324">
        <w:rPr>
          <w:lang w:val="es-DO"/>
        </w:rPr>
        <w:t>1</w:t>
      </w:r>
      <w:r w:rsidR="007A6186" w:rsidRPr="00FA5324">
        <w:rPr>
          <w:lang w:val="es-DO"/>
        </w:rPr>
        <w:t>1</w:t>
      </w:r>
      <w:bookmarkEnd w:id="48"/>
      <w:r w:rsidRPr="00FA5324">
        <w:rPr>
          <w:lang w:val="es-DO"/>
        </w:rPr>
        <w:t xml:space="preserve">. </w:t>
      </w:r>
      <w:r w:rsidRPr="00FA5324">
        <w:rPr>
          <w:i w:val="0"/>
          <w:color w:val="auto"/>
          <w:lang w:val="es-DO"/>
        </w:rPr>
        <w:t>Crecimiento del RS</w:t>
      </w:r>
      <w:r w:rsidR="00DF2F88" w:rsidRPr="00FA5324">
        <w:rPr>
          <w:i w:val="0"/>
          <w:color w:val="auto"/>
          <w:lang w:val="es-DO"/>
        </w:rPr>
        <w:t xml:space="preserve"> en </w:t>
      </w:r>
      <w:r w:rsidR="00DF2F88" w:rsidRPr="008450F1">
        <w:rPr>
          <w:i w:val="0"/>
          <w:color w:val="auto"/>
          <w:lang w:val="es-DO"/>
        </w:rPr>
        <w:t>salud</w:t>
      </w:r>
      <w:r w:rsidRPr="008450F1">
        <w:rPr>
          <w:i w:val="0"/>
          <w:color w:val="auto"/>
          <w:lang w:val="es-DO"/>
        </w:rPr>
        <w:t xml:space="preserve"> en </w:t>
      </w:r>
      <w:r w:rsidRPr="00FA5324">
        <w:rPr>
          <w:i w:val="0"/>
          <w:color w:val="auto"/>
          <w:lang w:val="es-DO"/>
        </w:rPr>
        <w:t>función del crecimiento del PIB</w:t>
      </w:r>
    </w:p>
    <w:p w:rsidR="004926BF" w:rsidRPr="008450F1" w:rsidRDefault="004926BF" w:rsidP="00AF0916">
      <w:pPr>
        <w:spacing w:after="0" w:line="240" w:lineRule="auto"/>
        <w:jc w:val="center"/>
        <w:rPr>
          <w:i/>
          <w:sz w:val="20"/>
          <w:lang w:val="es-DO" w:bidi="x-none"/>
        </w:rPr>
      </w:pPr>
      <w:r w:rsidRPr="008450F1">
        <w:rPr>
          <w:i/>
          <w:noProof/>
          <w:sz w:val="20"/>
          <w:lang w:val="en-US" w:eastAsia="en-US"/>
        </w:rPr>
        <w:drawing>
          <wp:inline distT="0" distB="0" distL="0" distR="0" wp14:anchorId="6AF98A02" wp14:editId="02306F28">
            <wp:extent cx="5824855" cy="1854200"/>
            <wp:effectExtent l="0" t="0" r="4445" b="1270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477D9E" w:rsidRPr="008450F1">
        <w:rPr>
          <w:rStyle w:val="FootnoteReference"/>
          <w:i/>
          <w:sz w:val="20"/>
          <w:lang w:val="es-DO" w:bidi="x-none"/>
        </w:rPr>
        <w:footnoteReference w:id="25"/>
      </w:r>
    </w:p>
    <w:p w:rsidR="004926BF" w:rsidRPr="008450F1" w:rsidRDefault="004926BF" w:rsidP="00AF0916">
      <w:pPr>
        <w:pStyle w:val="Caption"/>
        <w:keepNext/>
        <w:spacing w:after="0"/>
        <w:jc w:val="center"/>
        <w:rPr>
          <w:i w:val="0"/>
          <w:color w:val="auto"/>
          <w:lang w:val="es-DO"/>
        </w:rPr>
      </w:pPr>
      <w:bookmarkStart w:id="49" w:name="_Ref398851882"/>
      <w:r w:rsidRPr="00FA5324">
        <w:rPr>
          <w:i w:val="0"/>
          <w:color w:val="auto"/>
          <w:lang w:val="es-DO"/>
        </w:rPr>
        <w:lastRenderedPageBreak/>
        <w:t xml:space="preserve">Gráfico </w:t>
      </w:r>
      <w:r w:rsidR="008B09E2" w:rsidRPr="00FA5324">
        <w:rPr>
          <w:i w:val="0"/>
          <w:color w:val="auto"/>
          <w:lang w:val="es-DO"/>
        </w:rPr>
        <w:t>1</w:t>
      </w:r>
      <w:r w:rsidR="007A6186" w:rsidRPr="00FA5324">
        <w:rPr>
          <w:i w:val="0"/>
          <w:color w:val="auto"/>
          <w:lang w:val="es-DO"/>
        </w:rPr>
        <w:t>2</w:t>
      </w:r>
      <w:bookmarkEnd w:id="49"/>
      <w:r w:rsidRPr="00FA5324">
        <w:rPr>
          <w:i w:val="0"/>
          <w:color w:val="auto"/>
          <w:lang w:val="es-DO"/>
        </w:rPr>
        <w:t xml:space="preserve">. Afiliados </w:t>
      </w:r>
      <w:r w:rsidRPr="008450F1">
        <w:rPr>
          <w:i w:val="0"/>
          <w:color w:val="auto"/>
          <w:lang w:val="es-DO"/>
        </w:rPr>
        <w:t>RS</w:t>
      </w:r>
    </w:p>
    <w:p w:rsidR="004926BF" w:rsidRPr="008450F1" w:rsidRDefault="004926BF" w:rsidP="00AF0916">
      <w:pPr>
        <w:spacing w:after="0" w:line="240" w:lineRule="auto"/>
        <w:jc w:val="center"/>
        <w:rPr>
          <w:i/>
          <w:sz w:val="20"/>
          <w:lang w:val="es-DO" w:bidi="x-none"/>
        </w:rPr>
      </w:pPr>
      <w:r w:rsidRPr="008450F1">
        <w:rPr>
          <w:noProof/>
          <w:lang w:val="en-US" w:eastAsia="en-US"/>
        </w:rPr>
        <w:drawing>
          <wp:inline distT="0" distB="0" distL="0" distR="0" wp14:anchorId="172511E6" wp14:editId="042C5929">
            <wp:extent cx="5628005" cy="2250219"/>
            <wp:effectExtent l="0" t="0" r="10795" b="1714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477D9E" w:rsidRPr="008450F1">
        <w:rPr>
          <w:rStyle w:val="FootnoteReference"/>
          <w:i/>
          <w:sz w:val="20"/>
          <w:lang w:val="es-DO" w:bidi="x-none"/>
        </w:rPr>
        <w:footnoteReference w:id="26"/>
      </w:r>
    </w:p>
    <w:p w:rsidR="004926BF" w:rsidRPr="00FA5324" w:rsidRDefault="004926BF" w:rsidP="00FA5324">
      <w:pPr>
        <w:spacing w:after="0" w:line="240" w:lineRule="auto"/>
        <w:rPr>
          <w:lang w:val="es-DO"/>
        </w:rPr>
      </w:pPr>
    </w:p>
    <w:p w:rsidR="004926BF" w:rsidRPr="00FA5324" w:rsidRDefault="004926BF" w:rsidP="00FA5324">
      <w:pPr>
        <w:pStyle w:val="Caption"/>
        <w:keepNext/>
        <w:spacing w:after="0"/>
        <w:jc w:val="center"/>
        <w:rPr>
          <w:i w:val="0"/>
          <w:color w:val="auto"/>
          <w:lang w:val="es-DO"/>
        </w:rPr>
      </w:pPr>
      <w:bookmarkStart w:id="50" w:name="_Ref398851866"/>
      <w:r w:rsidRPr="00FA5324">
        <w:rPr>
          <w:i w:val="0"/>
          <w:color w:val="auto"/>
          <w:lang w:val="es-DO"/>
        </w:rPr>
        <w:t xml:space="preserve">Gráfico </w:t>
      </w:r>
      <w:r w:rsidR="008B09E2" w:rsidRPr="008450F1">
        <w:rPr>
          <w:i w:val="0"/>
          <w:noProof/>
          <w:color w:val="auto"/>
          <w:lang w:val="es-DO"/>
        </w:rPr>
        <w:t>1</w:t>
      </w:r>
      <w:r w:rsidR="007A6186" w:rsidRPr="008450F1">
        <w:rPr>
          <w:i w:val="0"/>
          <w:noProof/>
          <w:color w:val="auto"/>
          <w:lang w:val="es-DO"/>
        </w:rPr>
        <w:t>3</w:t>
      </w:r>
      <w:bookmarkEnd w:id="50"/>
      <w:r w:rsidRPr="008450F1">
        <w:rPr>
          <w:i w:val="0"/>
          <w:color w:val="auto"/>
          <w:lang w:val="es-DO"/>
        </w:rPr>
        <w:t xml:space="preserve">. Afiliados </w:t>
      </w:r>
      <w:r w:rsidRPr="00FA5324">
        <w:rPr>
          <w:i w:val="0"/>
          <w:color w:val="auto"/>
          <w:lang w:val="es-DO"/>
        </w:rPr>
        <w:t>al SDSS</w:t>
      </w:r>
      <w:r w:rsidR="00DF2F88" w:rsidRPr="008450F1">
        <w:rPr>
          <w:i w:val="0"/>
          <w:color w:val="auto"/>
          <w:lang w:val="es-DO"/>
        </w:rPr>
        <w:t xml:space="preserve"> en salud</w:t>
      </w:r>
    </w:p>
    <w:p w:rsidR="00477D9E" w:rsidRPr="008450F1" w:rsidRDefault="004926BF" w:rsidP="00AF0916">
      <w:pPr>
        <w:jc w:val="center"/>
        <w:rPr>
          <w:i/>
          <w:sz w:val="20"/>
          <w:lang w:val="es-DO" w:bidi="x-none"/>
        </w:rPr>
      </w:pPr>
      <w:r w:rsidRPr="008450F1">
        <w:rPr>
          <w:i/>
          <w:noProof/>
          <w:sz w:val="20"/>
          <w:lang w:val="en-US" w:eastAsia="en-US"/>
        </w:rPr>
        <w:drawing>
          <wp:inline distT="0" distB="0" distL="0" distR="0" wp14:anchorId="346531A4" wp14:editId="292E3FD0">
            <wp:extent cx="5226050" cy="2194560"/>
            <wp:effectExtent l="0" t="0" r="12700" b="1524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477D9E" w:rsidRPr="008450F1">
        <w:rPr>
          <w:rStyle w:val="FootnoteReference"/>
          <w:i/>
          <w:sz w:val="20"/>
          <w:lang w:val="es-DO" w:bidi="x-none"/>
        </w:rPr>
        <w:footnoteReference w:id="27"/>
      </w:r>
    </w:p>
    <w:p w:rsidR="008B09E2" w:rsidRPr="00FA5324" w:rsidRDefault="008B09E2" w:rsidP="00FA5324">
      <w:pPr>
        <w:pStyle w:val="Heading2"/>
        <w:spacing w:before="0" w:after="0" w:line="240" w:lineRule="auto"/>
        <w:ind w:left="0"/>
        <w:rPr>
          <w:lang w:val="es-DO"/>
        </w:rPr>
      </w:pPr>
      <w:bookmarkStart w:id="51" w:name="_Toc401244728"/>
      <w:r w:rsidRPr="00FA5324">
        <w:rPr>
          <w:lang w:val="es-DO"/>
        </w:rPr>
        <w:lastRenderedPageBreak/>
        <w:t xml:space="preserve">Anexo 4. </w:t>
      </w:r>
      <w:r w:rsidR="0083498C" w:rsidRPr="00FA5324">
        <w:rPr>
          <w:lang w:val="es-DO"/>
        </w:rPr>
        <w:t>Beneficios Incrementales</w:t>
      </w:r>
      <w:bookmarkEnd w:id="51"/>
    </w:p>
    <w:p w:rsidR="0066088A" w:rsidRPr="008450F1" w:rsidRDefault="0066088A" w:rsidP="00AF0916">
      <w:pPr>
        <w:pStyle w:val="Caption"/>
        <w:keepNext/>
        <w:spacing w:after="0"/>
        <w:rPr>
          <w:color w:val="auto"/>
          <w:lang w:val="es-DO"/>
        </w:rPr>
      </w:pPr>
      <w:bookmarkStart w:id="52" w:name="_Ref398872064"/>
    </w:p>
    <w:p w:rsidR="00E372A3" w:rsidRPr="00FA5324" w:rsidRDefault="008B09E2" w:rsidP="00FA5324">
      <w:pPr>
        <w:pStyle w:val="Caption"/>
        <w:keepNext/>
        <w:spacing w:after="0"/>
        <w:jc w:val="center"/>
        <w:rPr>
          <w:i w:val="0"/>
          <w:lang w:val="es-DO"/>
        </w:rPr>
      </w:pPr>
      <w:r w:rsidRPr="00FA5324">
        <w:rPr>
          <w:i w:val="0"/>
          <w:color w:val="auto"/>
          <w:lang w:val="es-DO"/>
        </w:rPr>
        <w:t xml:space="preserve">Tabla </w:t>
      </w:r>
      <w:r w:rsidR="00875AEB" w:rsidRPr="008450F1">
        <w:rPr>
          <w:i w:val="0"/>
          <w:noProof/>
          <w:color w:val="auto"/>
          <w:lang w:val="es-DO"/>
        </w:rPr>
        <w:t>1</w:t>
      </w:r>
      <w:r w:rsidR="00D731B7" w:rsidRPr="008450F1">
        <w:rPr>
          <w:i w:val="0"/>
          <w:noProof/>
          <w:color w:val="auto"/>
          <w:lang w:val="es-DO"/>
        </w:rPr>
        <w:t>7</w:t>
      </w:r>
      <w:bookmarkEnd w:id="52"/>
      <w:r w:rsidRPr="00FA5324">
        <w:rPr>
          <w:i w:val="0"/>
          <w:color w:val="auto"/>
          <w:lang w:val="es-DO"/>
        </w:rPr>
        <w:t xml:space="preserve">. Beneficios incrementales </w:t>
      </w:r>
      <w:r w:rsidR="0066088A" w:rsidRPr="008450F1">
        <w:rPr>
          <w:i w:val="0"/>
          <w:color w:val="auto"/>
          <w:lang w:val="es-DO"/>
        </w:rPr>
        <w:t>en m</w:t>
      </w:r>
      <w:r w:rsidRPr="008450F1">
        <w:rPr>
          <w:i w:val="0"/>
          <w:color w:val="auto"/>
          <w:lang w:val="es-DO"/>
        </w:rPr>
        <w:t>illones</w:t>
      </w:r>
      <w:r w:rsidRPr="00FA5324">
        <w:rPr>
          <w:i w:val="0"/>
          <w:color w:val="auto"/>
          <w:lang w:val="es-DO"/>
        </w:rPr>
        <w:t xml:space="preserve"> de DOP de 2015</w:t>
      </w:r>
    </w:p>
    <w:tbl>
      <w:tblPr>
        <w:tblW w:w="5000" w:type="pct"/>
        <w:jc w:val="center"/>
        <w:tblLayout w:type="fixed"/>
        <w:tblCellMar>
          <w:left w:w="70" w:type="dxa"/>
          <w:right w:w="70" w:type="dxa"/>
        </w:tblCellMar>
        <w:tblLook w:val="04A0" w:firstRow="1" w:lastRow="0" w:firstColumn="1" w:lastColumn="0" w:noHBand="0" w:noVBand="1"/>
      </w:tblPr>
      <w:tblGrid>
        <w:gridCol w:w="1046"/>
        <w:gridCol w:w="587"/>
        <w:gridCol w:w="668"/>
        <w:gridCol w:w="477"/>
        <w:gridCol w:w="477"/>
        <w:gridCol w:w="202"/>
        <w:gridCol w:w="276"/>
        <w:gridCol w:w="476"/>
        <w:gridCol w:w="476"/>
        <w:gridCol w:w="476"/>
        <w:gridCol w:w="477"/>
        <w:gridCol w:w="476"/>
        <w:gridCol w:w="476"/>
        <w:gridCol w:w="476"/>
        <w:gridCol w:w="476"/>
        <w:gridCol w:w="476"/>
        <w:gridCol w:w="476"/>
        <w:gridCol w:w="477"/>
        <w:gridCol w:w="476"/>
        <w:gridCol w:w="476"/>
        <w:gridCol w:w="476"/>
        <w:gridCol w:w="476"/>
        <w:gridCol w:w="543"/>
        <w:gridCol w:w="1682"/>
      </w:tblGrid>
      <w:tr w:rsidR="00FA5324" w:rsidRPr="008450F1" w:rsidTr="00635AF4">
        <w:trPr>
          <w:trHeight w:val="305"/>
          <w:jc w:val="center"/>
        </w:trPr>
        <w:tc>
          <w:tcPr>
            <w:tcW w:w="1156" w:type="dxa"/>
            <w:vMerge w:val="restart"/>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rsidR="00FA5324" w:rsidRPr="00FA5324" w:rsidRDefault="00FA5324"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Rubro</w:t>
            </w:r>
          </w:p>
        </w:tc>
        <w:tc>
          <w:tcPr>
            <w:tcW w:w="639" w:type="dxa"/>
            <w:gridSpan w:val="3"/>
            <w:tcBorders>
              <w:top w:val="single" w:sz="4" w:space="0" w:color="auto"/>
              <w:left w:val="single" w:sz="4" w:space="0" w:color="auto"/>
              <w:bottom w:val="single" w:sz="4" w:space="0" w:color="000000"/>
              <w:right w:val="single" w:sz="4" w:space="0" w:color="auto"/>
            </w:tcBorders>
            <w:shd w:val="clear" w:color="auto" w:fill="AEAAAA" w:themeFill="background2" w:themeFillShade="BF"/>
            <w:noWrap/>
            <w:vAlign w:val="center"/>
            <w:hideMark/>
          </w:tcPr>
          <w:p w:rsidR="00FA5324" w:rsidRPr="00FA5324" w:rsidRDefault="00FA5324" w:rsidP="00FA5324">
            <w:pPr>
              <w:pStyle w:val="Tabla"/>
              <w:jc w:val="center"/>
              <w:rPr>
                <w:rFonts w:ascii="Times New Roman" w:hAnsi="Times New Roman"/>
                <w:b/>
                <w:color w:val="auto"/>
                <w:sz w:val="16"/>
                <w:lang w:val="es-DO"/>
              </w:rPr>
            </w:pPr>
            <w:r w:rsidRPr="008450F1">
              <w:rPr>
                <w:rFonts w:ascii="Times New Roman" w:hAnsi="Times New Roman"/>
                <w:b/>
                <w:color w:val="auto"/>
                <w:sz w:val="16"/>
                <w:szCs w:val="16"/>
                <w:lang w:val="es-DO"/>
              </w:rPr>
              <w:t>Total</w:t>
            </w:r>
          </w:p>
        </w:tc>
        <w:tc>
          <w:tcPr>
            <w:tcW w:w="731" w:type="dxa"/>
            <w:gridSpan w:val="2"/>
            <w:tcBorders>
              <w:top w:val="single" w:sz="4" w:space="0" w:color="auto"/>
              <w:left w:val="single" w:sz="4" w:space="0" w:color="auto"/>
              <w:bottom w:val="single" w:sz="4" w:space="0" w:color="000000"/>
              <w:right w:val="single" w:sz="4" w:space="0" w:color="auto"/>
            </w:tcBorders>
            <w:shd w:val="clear" w:color="auto" w:fill="AEAAAA" w:themeFill="background2" w:themeFillShade="BF"/>
            <w:noWrap/>
            <w:vAlign w:val="center"/>
            <w:hideMark/>
          </w:tcPr>
          <w:p w:rsidR="00FA5324" w:rsidRPr="00FA5324" w:rsidRDefault="00FA5324"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 xml:space="preserve">Total </w:t>
            </w:r>
            <w:r w:rsidRPr="008450F1">
              <w:rPr>
                <w:rFonts w:ascii="Times New Roman" w:hAnsi="Times New Roman"/>
                <w:b/>
                <w:color w:val="auto"/>
                <w:sz w:val="16"/>
                <w:szCs w:val="16"/>
                <w:lang w:val="es-DO"/>
              </w:rPr>
              <w:t>(@12%)</w:t>
            </w:r>
          </w:p>
        </w:tc>
        <w:tc>
          <w:tcPr>
            <w:tcW w:w="10507" w:type="dxa"/>
            <w:gridSpan w:val="18"/>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FA5324" w:rsidRPr="008450F1" w:rsidRDefault="00FA5324"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Año</w:t>
            </w:r>
          </w:p>
        </w:tc>
      </w:tr>
      <w:tr w:rsidR="00FA5324" w:rsidRPr="008450F1" w:rsidTr="00AF0916">
        <w:trPr>
          <w:trHeight w:val="305"/>
          <w:jc w:val="center"/>
        </w:trPr>
        <w:tc>
          <w:tcPr>
            <w:tcW w:w="1156" w:type="dxa"/>
            <w:vMerge/>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p>
        </w:tc>
        <w:tc>
          <w:tcPr>
            <w:tcW w:w="639" w:type="dxa"/>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p>
        </w:tc>
        <w:tc>
          <w:tcPr>
            <w:tcW w:w="731" w:type="dxa"/>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2015</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2016</w:t>
            </w:r>
          </w:p>
        </w:tc>
        <w:tc>
          <w:tcPr>
            <w:tcW w:w="516" w:type="dxa"/>
            <w:gridSpan w:val="2"/>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2017</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2018</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2019</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2020</w:t>
            </w:r>
          </w:p>
        </w:tc>
        <w:tc>
          <w:tcPr>
            <w:tcW w:w="517"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2021</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2022</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2023</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2024</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2025</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2026</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2027</w:t>
            </w:r>
          </w:p>
        </w:tc>
        <w:tc>
          <w:tcPr>
            <w:tcW w:w="517"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2028</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2029</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2030</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2031</w:t>
            </w:r>
          </w:p>
        </w:tc>
        <w:tc>
          <w:tcPr>
            <w:tcW w:w="51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2032</w:t>
            </w:r>
          </w:p>
        </w:tc>
        <w:tc>
          <w:tcPr>
            <w:tcW w:w="591"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2033</w:t>
            </w:r>
          </w:p>
        </w:tc>
        <w:tc>
          <w:tcPr>
            <w:tcW w:w="626"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bCs w:val="0"/>
                <w:color w:val="auto"/>
                <w:sz w:val="16"/>
                <w:szCs w:val="16"/>
                <w:lang w:val="es-DO"/>
              </w:rPr>
            </w:pPr>
            <w:r w:rsidRPr="008450F1">
              <w:rPr>
                <w:rFonts w:ascii="Times New Roman" w:hAnsi="Times New Roman"/>
                <w:b/>
                <w:color w:val="auto"/>
                <w:sz w:val="16"/>
                <w:szCs w:val="16"/>
                <w:lang w:val="es-DO"/>
              </w:rPr>
              <w:t>2034</w:t>
            </w:r>
          </w:p>
        </w:tc>
      </w:tr>
      <w:tr w:rsidR="00FA5324" w:rsidRPr="008450F1" w:rsidTr="00635AF4">
        <w:trPr>
          <w:trHeight w:val="305"/>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FA5324" w:rsidRPr="00FA5324" w:rsidRDefault="00FA5324"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 xml:space="preserve"> Canal 1 Mercado Laboral </w:t>
            </w:r>
          </w:p>
        </w:tc>
        <w:tc>
          <w:tcPr>
            <w:tcW w:w="639"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7.42</w:t>
            </w:r>
          </w:p>
        </w:tc>
        <w:tc>
          <w:tcPr>
            <w:tcW w:w="731" w:type="dxa"/>
            <w:tcBorders>
              <w:top w:val="nil"/>
              <w:left w:val="nil"/>
              <w:bottom w:val="single" w:sz="4" w:space="0" w:color="auto"/>
              <w:right w:val="single" w:sz="4" w:space="0" w:color="auto"/>
            </w:tcBorders>
            <w:shd w:val="clear" w:color="auto" w:fill="auto"/>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$2</w:t>
            </w:r>
            <w:r w:rsidRPr="008450F1">
              <w:rPr>
                <w:rFonts w:ascii="Times New Roman" w:hAnsi="Times New Roman"/>
                <w:color w:val="auto"/>
                <w:sz w:val="16"/>
                <w:szCs w:val="16"/>
                <w:lang w:val="es-DO"/>
              </w:rPr>
              <w:t>.44</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181</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283</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$294</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$304</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$315</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$326</w:t>
            </w:r>
          </w:p>
        </w:tc>
        <w:tc>
          <w:tcPr>
            <w:tcW w:w="517"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$337</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$348</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$359</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$370</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$381</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392</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403</w:t>
            </w:r>
          </w:p>
        </w:tc>
        <w:tc>
          <w:tcPr>
            <w:tcW w:w="517"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$414</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$425</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$436</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$447</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$458</w:t>
            </w:r>
          </w:p>
        </w:tc>
        <w:tc>
          <w:tcPr>
            <w:tcW w:w="591"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$469</w:t>
            </w:r>
          </w:p>
        </w:tc>
        <w:tc>
          <w:tcPr>
            <w:tcW w:w="62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$479</w:t>
            </w:r>
          </w:p>
        </w:tc>
      </w:tr>
      <w:tr w:rsidR="00A60F38" w:rsidRPr="008450F1" w:rsidTr="00AF0916">
        <w:trPr>
          <w:trHeight w:val="305"/>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1C6EBE" w:rsidRPr="00FA5324" w:rsidRDefault="001C6EBE"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 xml:space="preserve"> Canal 2 Mercado Financiero y de Capitales </w:t>
            </w:r>
          </w:p>
        </w:tc>
        <w:tc>
          <w:tcPr>
            <w:tcW w:w="639"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.08</w:t>
            </w:r>
          </w:p>
        </w:tc>
        <w:tc>
          <w:tcPr>
            <w:tcW w:w="731" w:type="dxa"/>
            <w:tcBorders>
              <w:top w:val="nil"/>
              <w:left w:val="nil"/>
              <w:bottom w:val="single" w:sz="4" w:space="0" w:color="auto"/>
              <w:right w:val="single" w:sz="4" w:space="0" w:color="auto"/>
            </w:tcBorders>
            <w:shd w:val="clear" w:color="auto" w:fill="auto"/>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348</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32,</w:t>
            </w:r>
            <w:r w:rsidRPr="00FA5324">
              <w:rPr>
                <w:rFonts w:ascii="Times New Roman" w:hAnsi="Times New Roman"/>
                <w:color w:val="auto"/>
                <w:sz w:val="16"/>
                <w:lang w:val="es-DO"/>
              </w:rPr>
              <w:t>0</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$34,9</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$37,7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$40,2</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$42,7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$45,1</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$47,4</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$49,7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$51,9</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54,</w:t>
            </w:r>
            <w:r w:rsidRPr="00FA5324">
              <w:rPr>
                <w:rFonts w:ascii="Times New Roman" w:hAnsi="Times New Roman"/>
                <w:color w:val="auto"/>
                <w:sz w:val="16"/>
                <w:lang w:val="es-DO"/>
              </w:rPr>
              <w:t>0</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56,1</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58,2</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60,2</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62,1</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64,</w:t>
            </w:r>
            <w:r w:rsidRPr="00FA5324">
              <w:rPr>
                <w:rFonts w:ascii="Times New Roman" w:hAnsi="Times New Roman"/>
                <w:color w:val="auto"/>
                <w:sz w:val="16"/>
                <w:lang w:val="es-DO"/>
              </w:rPr>
              <w:t>1</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$65,9</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$67,8</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$69,6</w:t>
            </w:r>
          </w:p>
        </w:tc>
        <w:tc>
          <w:tcPr>
            <w:tcW w:w="59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$71,4</w:t>
            </w:r>
          </w:p>
        </w:tc>
        <w:tc>
          <w:tcPr>
            <w:tcW w:w="62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$73,1</w:t>
            </w:r>
          </w:p>
        </w:tc>
      </w:tr>
      <w:tr w:rsidR="00A60F38" w:rsidRPr="008450F1" w:rsidTr="00AF0916">
        <w:trPr>
          <w:trHeight w:val="305"/>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1C6EBE" w:rsidRPr="00FA5324" w:rsidRDefault="00EE72DD" w:rsidP="00AF0916">
            <w:pPr>
              <w:pStyle w:val="Tabla"/>
              <w:rPr>
                <w:rFonts w:ascii="Times New Roman" w:hAnsi="Times New Roman"/>
                <w:b/>
                <w:color w:val="auto"/>
                <w:sz w:val="16"/>
                <w:lang w:val="es-DO"/>
              </w:rPr>
            </w:pPr>
            <w:r w:rsidRPr="008450F1">
              <w:rPr>
                <w:rFonts w:ascii="Times New Roman" w:hAnsi="Times New Roman"/>
                <w:b/>
                <w:color w:val="auto"/>
                <w:sz w:val="16"/>
                <w:szCs w:val="16"/>
                <w:lang w:val="es-DO"/>
              </w:rPr>
              <w:t xml:space="preserve"> </w:t>
            </w:r>
            <w:r w:rsidR="001C6EBE" w:rsidRPr="008450F1">
              <w:rPr>
                <w:rFonts w:ascii="Times New Roman" w:hAnsi="Times New Roman"/>
                <w:b/>
                <w:color w:val="auto"/>
                <w:sz w:val="16"/>
                <w:szCs w:val="16"/>
                <w:lang w:val="es-DO"/>
              </w:rPr>
              <w:t>Sub total componente</w:t>
            </w:r>
          </w:p>
        </w:tc>
        <w:tc>
          <w:tcPr>
            <w:tcW w:w="639"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8.5</w:t>
            </w:r>
            <w:r w:rsidR="00EE72DD" w:rsidRPr="008450F1">
              <w:rPr>
                <w:rFonts w:ascii="Times New Roman" w:hAnsi="Times New Roman"/>
                <w:b/>
                <w:color w:val="auto"/>
                <w:sz w:val="16"/>
                <w:szCs w:val="16"/>
                <w:lang w:val="es-DO"/>
              </w:rPr>
              <w:t>1</w:t>
            </w:r>
          </w:p>
        </w:tc>
        <w:tc>
          <w:tcPr>
            <w:tcW w:w="731"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$2</w:t>
            </w:r>
            <w:r w:rsidRPr="008450F1">
              <w:rPr>
                <w:rFonts w:ascii="Times New Roman" w:hAnsi="Times New Roman"/>
                <w:b/>
                <w:color w:val="auto"/>
                <w:sz w:val="16"/>
                <w:szCs w:val="16"/>
                <w:lang w:val="es-DO"/>
              </w:rPr>
              <w:t>.7</w:t>
            </w:r>
            <w:r w:rsidR="00EE72DD" w:rsidRPr="008450F1">
              <w:rPr>
                <w:rFonts w:ascii="Times New Roman" w:hAnsi="Times New Roman"/>
                <w:b/>
                <w:color w:val="auto"/>
                <w:sz w:val="16"/>
                <w:szCs w:val="16"/>
                <w:lang w:val="es-DO"/>
              </w:rPr>
              <w:t>9</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213</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318</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331</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345</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358</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371</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385</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$398</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$411</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$424</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$437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$450</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$463</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$476</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$489</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$502</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$514</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$527</w:t>
            </w:r>
          </w:p>
        </w:tc>
        <w:tc>
          <w:tcPr>
            <w:tcW w:w="59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$540</w:t>
            </w:r>
          </w:p>
        </w:tc>
        <w:tc>
          <w:tcPr>
            <w:tcW w:w="62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$553</w:t>
            </w:r>
          </w:p>
        </w:tc>
      </w:tr>
      <w:tr w:rsidR="00A60F38" w:rsidRPr="008450F1" w:rsidTr="00AF0916">
        <w:trPr>
          <w:trHeight w:val="305"/>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1C6EBE" w:rsidRPr="00FA5324" w:rsidRDefault="001C6EBE"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 xml:space="preserve"> Ahorros Recursos Humanos </w:t>
            </w:r>
          </w:p>
        </w:tc>
        <w:tc>
          <w:tcPr>
            <w:tcW w:w="639"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36.07</w:t>
            </w:r>
          </w:p>
        </w:tc>
        <w:tc>
          <w:tcPr>
            <w:tcW w:w="731" w:type="dxa"/>
            <w:tcBorders>
              <w:top w:val="nil"/>
              <w:left w:val="nil"/>
              <w:bottom w:val="single" w:sz="4" w:space="0" w:color="auto"/>
              <w:right w:val="single" w:sz="4" w:space="0" w:color="auto"/>
            </w:tcBorders>
            <w:shd w:val="clear" w:color="auto" w:fill="auto"/>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7.40</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8450F1">
              <w:rPr>
                <w:rFonts w:ascii="Times New Roman" w:hAnsi="Times New Roman"/>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8450F1">
              <w:rPr>
                <w:rFonts w:ascii="Times New Roman" w:hAnsi="Times New Roman"/>
                <w:color w:val="auto"/>
                <w:sz w:val="16"/>
                <w:szCs w:val="16"/>
                <w:lang w:val="es-DO"/>
              </w:rPr>
              <w:t>$-</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8450F1">
              <w:rPr>
                <w:rFonts w:ascii="Times New Roman" w:hAnsi="Times New Roman"/>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190</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388</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597</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$813</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w:t>
            </w:r>
            <w:r w:rsidR="00EE72DD" w:rsidRPr="008450F1">
              <w:rPr>
                <w:rFonts w:ascii="Times New Roman" w:hAnsi="Times New Roman"/>
                <w:color w:val="auto"/>
                <w:sz w:val="16"/>
                <w:szCs w:val="16"/>
                <w:lang w:val="es-DO"/>
              </w:rPr>
              <w:t>4</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r w:rsidR="00EE72DD" w:rsidRPr="008450F1">
              <w:rPr>
                <w:rFonts w:ascii="Times New Roman" w:hAnsi="Times New Roman"/>
                <w:color w:val="auto"/>
                <w:sz w:val="16"/>
                <w:szCs w:val="16"/>
                <w:lang w:val="es-DO"/>
              </w:rPr>
              <w:t>2</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$1.7</w:t>
            </w:r>
            <w:r w:rsidR="00EE72DD" w:rsidRPr="008450F1">
              <w:rPr>
                <w:rFonts w:ascii="Times New Roman" w:hAnsi="Times New Roman"/>
                <w:color w:val="auto"/>
                <w:sz w:val="16"/>
                <w:szCs w:val="16"/>
                <w:lang w:val="es-DO"/>
              </w:rPr>
              <w:t>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$2.0</w:t>
            </w:r>
            <w:r w:rsidR="00EE72DD" w:rsidRPr="008450F1">
              <w:rPr>
                <w:rFonts w:ascii="Times New Roman" w:hAnsi="Times New Roman"/>
                <w:color w:val="auto"/>
                <w:sz w:val="16"/>
                <w:szCs w:val="16"/>
                <w:lang w:val="es-DO"/>
              </w:rPr>
              <w:t>3</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$2.29</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$2.57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r w:rsidR="00EE72DD" w:rsidRPr="008450F1">
              <w:rPr>
                <w:rFonts w:ascii="Times New Roman" w:hAnsi="Times New Roman"/>
                <w:color w:val="auto"/>
                <w:sz w:val="16"/>
                <w:szCs w:val="16"/>
                <w:lang w:val="es-DO"/>
              </w:rPr>
              <w:t>5</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$3</w:t>
            </w:r>
            <w:r w:rsidRPr="008450F1">
              <w:rPr>
                <w:rFonts w:ascii="Times New Roman" w:hAnsi="Times New Roman"/>
                <w:color w:val="auto"/>
                <w:sz w:val="16"/>
                <w:szCs w:val="16"/>
                <w:lang w:val="es-DO"/>
              </w:rPr>
              <w:t>.14</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$3.4</w:t>
            </w:r>
            <w:r w:rsidR="00EE72DD" w:rsidRPr="008450F1">
              <w:rPr>
                <w:rFonts w:ascii="Times New Roman" w:hAnsi="Times New Roman"/>
                <w:color w:val="auto"/>
                <w:sz w:val="16"/>
                <w:szCs w:val="16"/>
                <w:lang w:val="es-DO"/>
              </w:rPr>
              <w:t>4</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$3.74</w:t>
            </w:r>
          </w:p>
        </w:tc>
        <w:tc>
          <w:tcPr>
            <w:tcW w:w="59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$4.0</w:t>
            </w:r>
            <w:r w:rsidR="00C87540" w:rsidRPr="008450F1">
              <w:rPr>
                <w:rFonts w:ascii="Times New Roman" w:hAnsi="Times New Roman"/>
                <w:color w:val="auto"/>
                <w:sz w:val="16"/>
                <w:szCs w:val="16"/>
                <w:lang w:val="es-DO"/>
              </w:rPr>
              <w:t>6</w:t>
            </w:r>
          </w:p>
        </w:tc>
        <w:tc>
          <w:tcPr>
            <w:tcW w:w="62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$4.38</w:t>
            </w:r>
          </w:p>
        </w:tc>
      </w:tr>
      <w:tr w:rsidR="00FA5324" w:rsidRPr="008450F1" w:rsidTr="00635AF4">
        <w:trPr>
          <w:trHeight w:val="305"/>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FA5324" w:rsidRPr="00FA5324" w:rsidRDefault="00FA5324"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 xml:space="preserve"> Ahorros Medicamentos </w:t>
            </w:r>
          </w:p>
        </w:tc>
        <w:tc>
          <w:tcPr>
            <w:tcW w:w="639"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$6</w:t>
            </w:r>
            <w:r w:rsidRPr="008450F1">
              <w:rPr>
                <w:rFonts w:ascii="Times New Roman" w:hAnsi="Times New Roman"/>
                <w:color w:val="auto"/>
                <w:sz w:val="16"/>
                <w:szCs w:val="16"/>
                <w:lang w:val="es-DO"/>
              </w:rPr>
              <w:t>.07</w:t>
            </w:r>
          </w:p>
        </w:tc>
        <w:tc>
          <w:tcPr>
            <w:tcW w:w="731" w:type="dxa"/>
            <w:tcBorders>
              <w:top w:val="nil"/>
              <w:left w:val="nil"/>
              <w:bottom w:val="single" w:sz="4" w:space="0" w:color="auto"/>
              <w:right w:val="single" w:sz="4" w:space="0" w:color="auto"/>
            </w:tcBorders>
            <w:shd w:val="clear" w:color="auto" w:fill="auto"/>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1.25</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8450F1">
              <w:rPr>
                <w:rFonts w:ascii="Times New Roman" w:hAnsi="Times New Roman"/>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$32</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$100</w:t>
            </w:r>
          </w:p>
        </w:tc>
        <w:tc>
          <w:tcPr>
            <w:tcW w:w="517"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$137</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$175</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$214</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$255</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$297</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$341</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$386</w:t>
            </w:r>
          </w:p>
        </w:tc>
        <w:tc>
          <w:tcPr>
            <w:tcW w:w="517"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$432</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$479</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$528</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$578</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$630</w:t>
            </w:r>
          </w:p>
        </w:tc>
        <w:tc>
          <w:tcPr>
            <w:tcW w:w="591"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683</w:t>
            </w:r>
          </w:p>
        </w:tc>
        <w:tc>
          <w:tcPr>
            <w:tcW w:w="62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737</w:t>
            </w:r>
          </w:p>
        </w:tc>
      </w:tr>
      <w:tr w:rsidR="00A60F38" w:rsidRPr="008450F1" w:rsidTr="00AF0916">
        <w:trPr>
          <w:trHeight w:val="305"/>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1C6EBE" w:rsidRPr="00FA5324" w:rsidRDefault="001C6EBE"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 xml:space="preserve"> Ahorros Hospitales </w:t>
            </w:r>
          </w:p>
        </w:tc>
        <w:tc>
          <w:tcPr>
            <w:tcW w:w="639"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27.9</w:t>
            </w:r>
            <w:r w:rsidR="00EE72DD" w:rsidRPr="008450F1">
              <w:rPr>
                <w:rFonts w:ascii="Times New Roman" w:hAnsi="Times New Roman"/>
                <w:color w:val="auto"/>
                <w:sz w:val="16"/>
                <w:szCs w:val="16"/>
                <w:lang w:val="es-DO"/>
              </w:rPr>
              <w:t>3</w:t>
            </w:r>
          </w:p>
        </w:tc>
        <w:tc>
          <w:tcPr>
            <w:tcW w:w="731" w:type="dxa"/>
            <w:tcBorders>
              <w:top w:val="nil"/>
              <w:left w:val="nil"/>
              <w:bottom w:val="single" w:sz="4" w:space="0" w:color="auto"/>
              <w:right w:val="single" w:sz="4" w:space="0" w:color="auto"/>
            </w:tcBorders>
            <w:shd w:val="clear" w:color="auto" w:fill="auto"/>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5.73</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$147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$301</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$462</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$630</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$804</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$986</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.17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1.37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.5</w:t>
            </w:r>
            <w:r w:rsidR="00EE72DD" w:rsidRPr="008450F1">
              <w:rPr>
                <w:rFonts w:ascii="Times New Roman" w:hAnsi="Times New Roman"/>
                <w:color w:val="auto"/>
                <w:sz w:val="16"/>
                <w:szCs w:val="16"/>
                <w:lang w:val="es-DO"/>
              </w:rPr>
              <w:t>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1.77</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1.9</w:t>
            </w:r>
            <w:r w:rsidR="00EE72DD" w:rsidRPr="008450F1">
              <w:rPr>
                <w:rFonts w:ascii="Times New Roman" w:hAnsi="Times New Roman"/>
                <w:color w:val="auto"/>
                <w:sz w:val="16"/>
                <w:szCs w:val="16"/>
                <w:lang w:val="es-DO"/>
              </w:rPr>
              <w:t>9</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$2.2</w:t>
            </w:r>
            <w:r w:rsidR="00EE72DD" w:rsidRPr="008450F1">
              <w:rPr>
                <w:rFonts w:ascii="Times New Roman" w:hAnsi="Times New Roman"/>
                <w:color w:val="auto"/>
                <w:sz w:val="16"/>
                <w:szCs w:val="16"/>
                <w:lang w:val="es-DO"/>
              </w:rPr>
              <w:t>1</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$2.43</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$2.66</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$2.9</w:t>
            </w:r>
            <w:r w:rsidR="00EE72DD" w:rsidRPr="008450F1">
              <w:rPr>
                <w:rFonts w:ascii="Times New Roman" w:hAnsi="Times New Roman"/>
                <w:color w:val="auto"/>
                <w:sz w:val="16"/>
                <w:szCs w:val="16"/>
                <w:lang w:val="es-DO"/>
              </w:rPr>
              <w:t>0</w:t>
            </w:r>
          </w:p>
        </w:tc>
        <w:tc>
          <w:tcPr>
            <w:tcW w:w="591"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$3</w:t>
            </w:r>
            <w:r w:rsidRPr="008450F1">
              <w:rPr>
                <w:rFonts w:ascii="Times New Roman" w:hAnsi="Times New Roman"/>
                <w:color w:val="auto"/>
                <w:sz w:val="16"/>
                <w:szCs w:val="16"/>
                <w:lang w:val="es-DO"/>
              </w:rPr>
              <w:t>.14</w:t>
            </w:r>
          </w:p>
        </w:tc>
        <w:tc>
          <w:tcPr>
            <w:tcW w:w="62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3.39</w:t>
            </w:r>
          </w:p>
        </w:tc>
      </w:tr>
      <w:tr w:rsidR="00FA5324" w:rsidRPr="008450F1" w:rsidTr="00635AF4">
        <w:trPr>
          <w:trHeight w:val="305"/>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FA5324" w:rsidRPr="00FA5324" w:rsidRDefault="00FA5324"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 xml:space="preserve"> Ahorros "Fugas" </w:t>
            </w:r>
          </w:p>
        </w:tc>
        <w:tc>
          <w:tcPr>
            <w:tcW w:w="639"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6.47</w:t>
            </w:r>
          </w:p>
        </w:tc>
        <w:tc>
          <w:tcPr>
            <w:tcW w:w="731" w:type="dxa"/>
            <w:tcBorders>
              <w:top w:val="nil"/>
              <w:left w:val="nil"/>
              <w:bottom w:val="single" w:sz="4" w:space="0" w:color="auto"/>
              <w:right w:val="single" w:sz="4" w:space="0" w:color="auto"/>
            </w:tcBorders>
            <w:shd w:val="clear" w:color="auto" w:fill="auto"/>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$1</w:t>
            </w:r>
            <w:r w:rsidRPr="008450F1">
              <w:rPr>
                <w:rFonts w:ascii="Times New Roman" w:hAnsi="Times New Roman"/>
                <w:color w:val="auto"/>
                <w:sz w:val="16"/>
                <w:szCs w:val="16"/>
                <w:lang w:val="es-DO"/>
              </w:rPr>
              <w:t>.33</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8450F1">
              <w:rPr>
                <w:rFonts w:ascii="Times New Roman" w:hAnsi="Times New Roman"/>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8450F1">
              <w:rPr>
                <w:rFonts w:ascii="Times New Roman" w:hAnsi="Times New Roman"/>
                <w:color w:val="auto"/>
                <w:sz w:val="16"/>
                <w:szCs w:val="16"/>
                <w:lang w:val="es-DO"/>
              </w:rPr>
              <w:t>$-</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8450F1">
              <w:rPr>
                <w:rFonts w:ascii="Times New Roman" w:hAnsi="Times New Roman"/>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34</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70</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FA5324" w:rsidRDefault="00FA5324"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107</w:t>
            </w:r>
          </w:p>
        </w:tc>
        <w:tc>
          <w:tcPr>
            <w:tcW w:w="517"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$146</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$186</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$228</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$272</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$317</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$363</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$411</w:t>
            </w:r>
          </w:p>
        </w:tc>
        <w:tc>
          <w:tcPr>
            <w:tcW w:w="517"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$460</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$511</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$563</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$616</w:t>
            </w:r>
          </w:p>
        </w:tc>
        <w:tc>
          <w:tcPr>
            <w:tcW w:w="51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$671</w:t>
            </w:r>
          </w:p>
        </w:tc>
        <w:tc>
          <w:tcPr>
            <w:tcW w:w="591"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$727</w:t>
            </w:r>
          </w:p>
        </w:tc>
        <w:tc>
          <w:tcPr>
            <w:tcW w:w="626" w:type="dxa"/>
            <w:tcBorders>
              <w:top w:val="nil"/>
              <w:left w:val="nil"/>
              <w:bottom w:val="single" w:sz="4" w:space="0" w:color="auto"/>
              <w:right w:val="single" w:sz="4" w:space="0" w:color="auto"/>
            </w:tcBorders>
            <w:shd w:val="clear" w:color="auto" w:fill="auto"/>
            <w:noWrap/>
            <w:vAlign w:val="center"/>
            <w:hideMark/>
          </w:tcPr>
          <w:p w:rsidR="00FA5324" w:rsidRPr="008450F1" w:rsidRDefault="00FA5324"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$79</w:t>
            </w:r>
          </w:p>
        </w:tc>
      </w:tr>
      <w:tr w:rsidR="00A60F38" w:rsidRPr="008450F1" w:rsidTr="00AF0916">
        <w:trPr>
          <w:trHeight w:val="305"/>
          <w:jc w:val="center"/>
        </w:trPr>
        <w:tc>
          <w:tcPr>
            <w:tcW w:w="1156" w:type="dxa"/>
            <w:tcBorders>
              <w:top w:val="nil"/>
              <w:left w:val="single" w:sz="4" w:space="0" w:color="auto"/>
              <w:bottom w:val="single" w:sz="4" w:space="0" w:color="auto"/>
              <w:right w:val="single" w:sz="4" w:space="0" w:color="auto"/>
            </w:tcBorders>
            <w:shd w:val="clear" w:color="auto" w:fill="auto"/>
            <w:noWrap/>
            <w:vAlign w:val="center"/>
            <w:hideMark/>
          </w:tcPr>
          <w:p w:rsidR="001C6EBE" w:rsidRPr="00FA5324" w:rsidRDefault="001C6EBE" w:rsidP="00AF0916">
            <w:pPr>
              <w:pStyle w:val="Tabla"/>
              <w:rPr>
                <w:rFonts w:ascii="Times New Roman" w:hAnsi="Times New Roman"/>
                <w:color w:val="auto"/>
                <w:sz w:val="16"/>
                <w:lang w:val="es-DO"/>
              </w:rPr>
            </w:pPr>
            <w:r w:rsidRPr="008450F1">
              <w:rPr>
                <w:rFonts w:ascii="Times New Roman" w:hAnsi="Times New Roman"/>
                <w:color w:val="auto"/>
                <w:sz w:val="16"/>
                <w:szCs w:val="16"/>
                <w:lang w:val="es-DO"/>
              </w:rPr>
              <w:t xml:space="preserve"> Ahorros Plan de Beneficios </w:t>
            </w:r>
          </w:p>
        </w:tc>
        <w:tc>
          <w:tcPr>
            <w:tcW w:w="639"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12.93</w:t>
            </w:r>
          </w:p>
        </w:tc>
        <w:tc>
          <w:tcPr>
            <w:tcW w:w="731" w:type="dxa"/>
            <w:tcBorders>
              <w:top w:val="nil"/>
              <w:left w:val="nil"/>
              <w:bottom w:val="single" w:sz="4" w:space="0" w:color="auto"/>
              <w:right w:val="single" w:sz="4" w:space="0" w:color="auto"/>
            </w:tcBorders>
            <w:shd w:val="clear" w:color="auto" w:fill="auto"/>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2.65</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8450F1">
              <w:rPr>
                <w:rFonts w:ascii="Times New Roman" w:hAnsi="Times New Roman"/>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8450F1">
              <w:rPr>
                <w:rFonts w:ascii="Times New Roman" w:hAnsi="Times New Roman"/>
                <w:color w:val="auto"/>
                <w:sz w:val="16"/>
                <w:szCs w:val="16"/>
                <w:lang w:val="es-DO"/>
              </w:rPr>
              <w:t>$-</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8450F1">
              <w:rPr>
                <w:rFonts w:ascii="Times New Roman" w:hAnsi="Times New Roman"/>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$68</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$139</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$214</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$292</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372</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456</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$543</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$633</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$726</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$822</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$920</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$1.02</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color w:val="auto"/>
                <w:sz w:val="16"/>
                <w:lang w:val="es-DO"/>
              </w:rPr>
            </w:pPr>
            <w:r w:rsidRPr="00FA5324">
              <w:rPr>
                <w:rFonts w:ascii="Times New Roman" w:hAnsi="Times New Roman"/>
                <w:color w:val="auto"/>
                <w:sz w:val="16"/>
                <w:lang w:val="es-DO"/>
              </w:rPr>
              <w:t>$</w:t>
            </w:r>
            <w:r w:rsidRPr="008450F1">
              <w:rPr>
                <w:rFonts w:ascii="Times New Roman" w:hAnsi="Times New Roman"/>
                <w:color w:val="auto"/>
                <w:sz w:val="16"/>
                <w:szCs w:val="16"/>
                <w:lang w:val="es-DO"/>
              </w:rPr>
              <w:t>1.</w:t>
            </w:r>
            <w:r w:rsidRPr="00FA5324">
              <w:rPr>
                <w:rFonts w:ascii="Times New Roman" w:hAnsi="Times New Roman"/>
                <w:color w:val="auto"/>
                <w:sz w:val="16"/>
                <w:lang w:val="es-DO"/>
              </w:rPr>
              <w:t>1</w:t>
            </w:r>
            <w:r w:rsidR="00EE72DD" w:rsidRPr="00FA5324">
              <w:rPr>
                <w:rFonts w:ascii="Times New Roman" w:hAnsi="Times New Roman"/>
                <w:color w:val="auto"/>
                <w:sz w:val="16"/>
                <w:lang w:val="es-DO"/>
              </w:rPr>
              <w:t>3</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$1.34</w:t>
            </w:r>
          </w:p>
        </w:tc>
        <w:tc>
          <w:tcPr>
            <w:tcW w:w="59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$1.4</w:t>
            </w:r>
            <w:r w:rsidR="00C87540" w:rsidRPr="008450F1">
              <w:rPr>
                <w:rFonts w:ascii="Times New Roman" w:hAnsi="Times New Roman"/>
                <w:color w:val="auto"/>
                <w:sz w:val="16"/>
                <w:szCs w:val="16"/>
                <w:lang w:val="es-DO"/>
              </w:rPr>
              <w:t>6</w:t>
            </w:r>
          </w:p>
        </w:tc>
        <w:tc>
          <w:tcPr>
            <w:tcW w:w="62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$1.57</w:t>
            </w:r>
          </w:p>
        </w:tc>
      </w:tr>
      <w:tr w:rsidR="00A60F38" w:rsidRPr="008450F1" w:rsidTr="00AF0916">
        <w:trPr>
          <w:trHeight w:val="305"/>
          <w:jc w:val="center"/>
        </w:trPr>
        <w:tc>
          <w:tcPr>
            <w:tcW w:w="1156" w:type="dxa"/>
            <w:tcBorders>
              <w:top w:val="nil"/>
              <w:left w:val="single" w:sz="4" w:space="0" w:color="auto"/>
              <w:bottom w:val="single" w:sz="4" w:space="0" w:color="auto"/>
              <w:right w:val="single" w:sz="4" w:space="0" w:color="auto"/>
            </w:tcBorders>
            <w:shd w:val="clear" w:color="auto" w:fill="auto"/>
            <w:vAlign w:val="center"/>
            <w:hideMark/>
          </w:tcPr>
          <w:p w:rsidR="001C6EBE" w:rsidRPr="00FA5324" w:rsidRDefault="001C6EBE" w:rsidP="00AF0916">
            <w:pPr>
              <w:pStyle w:val="Tabla"/>
              <w:rPr>
                <w:rFonts w:ascii="Times New Roman" w:hAnsi="Times New Roman"/>
                <w:b/>
                <w:color w:val="auto"/>
                <w:sz w:val="16"/>
                <w:lang w:val="es-DO"/>
              </w:rPr>
            </w:pPr>
            <w:r w:rsidRPr="008450F1">
              <w:rPr>
                <w:rFonts w:ascii="Times New Roman" w:hAnsi="Times New Roman"/>
                <w:b/>
                <w:color w:val="auto"/>
                <w:sz w:val="16"/>
                <w:szCs w:val="16"/>
                <w:lang w:val="es-DO"/>
              </w:rPr>
              <w:t>Sub total componente</w:t>
            </w:r>
          </w:p>
        </w:tc>
        <w:tc>
          <w:tcPr>
            <w:tcW w:w="639"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89.47</w:t>
            </w:r>
          </w:p>
        </w:tc>
        <w:tc>
          <w:tcPr>
            <w:tcW w:w="731"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18.36</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8450F1">
              <w:rPr>
                <w:rFonts w:ascii="Times New Roman" w:hAnsi="Times New Roman"/>
                <w:b/>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8450F1">
              <w:rPr>
                <w:rFonts w:ascii="Times New Roman" w:hAnsi="Times New Roman"/>
                <w:b/>
                <w:color w:val="auto"/>
                <w:sz w:val="16"/>
                <w:szCs w:val="16"/>
                <w:lang w:val="es-DO"/>
              </w:rPr>
              <w:t>$-</w:t>
            </w:r>
          </w:p>
        </w:tc>
        <w:tc>
          <w:tcPr>
            <w:tcW w:w="516" w:type="dxa"/>
            <w:gridSpan w:val="2"/>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8450F1">
              <w:rPr>
                <w:rFonts w:ascii="Times New Roman" w:hAnsi="Times New Roman"/>
                <w:b/>
                <w:color w:val="auto"/>
                <w:sz w:val="16"/>
                <w:szCs w:val="16"/>
                <w:lang w:val="es-DO"/>
              </w:rPr>
              <w:t>$-</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471</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963</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$1.48</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w:t>
            </w:r>
            <w:r w:rsidR="00EE72DD" w:rsidRPr="008450F1">
              <w:rPr>
                <w:rFonts w:ascii="Times New Roman" w:hAnsi="Times New Roman"/>
                <w:b/>
                <w:color w:val="auto"/>
                <w:sz w:val="16"/>
                <w:szCs w:val="16"/>
                <w:lang w:val="es-DO"/>
              </w:rPr>
              <w:t>2</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$2.5</w:t>
            </w:r>
            <w:r w:rsidR="00EE72DD" w:rsidRPr="008450F1">
              <w:rPr>
                <w:rFonts w:ascii="Times New Roman" w:hAnsi="Times New Roman"/>
                <w:b/>
                <w:color w:val="auto"/>
                <w:sz w:val="16"/>
                <w:szCs w:val="16"/>
                <w:lang w:val="es-DO"/>
              </w:rPr>
              <w:t>8</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$3.1</w:t>
            </w:r>
            <w:r w:rsidR="00EE72DD" w:rsidRPr="008450F1">
              <w:rPr>
                <w:rFonts w:ascii="Times New Roman" w:hAnsi="Times New Roman"/>
                <w:b/>
                <w:color w:val="auto"/>
                <w:sz w:val="16"/>
                <w:szCs w:val="16"/>
                <w:lang w:val="es-DO"/>
              </w:rPr>
              <w:t>6</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$3.7</w:t>
            </w:r>
            <w:r w:rsidR="00EE72DD" w:rsidRPr="008450F1">
              <w:rPr>
                <w:rFonts w:ascii="Times New Roman" w:hAnsi="Times New Roman"/>
                <w:b/>
                <w:color w:val="auto"/>
                <w:sz w:val="16"/>
                <w:szCs w:val="16"/>
                <w:lang w:val="es-DO"/>
              </w:rPr>
              <w:t>6</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$4</w:t>
            </w:r>
            <w:r w:rsidRPr="008450F1">
              <w:rPr>
                <w:rFonts w:ascii="Times New Roman" w:hAnsi="Times New Roman"/>
                <w:b/>
                <w:color w:val="auto"/>
                <w:sz w:val="16"/>
                <w:szCs w:val="16"/>
                <w:lang w:val="es-DO"/>
              </w:rPr>
              <w:t>.38</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5.02</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$5.68</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$6.3</w:t>
            </w:r>
            <w:r w:rsidR="00EE72DD" w:rsidRPr="008450F1">
              <w:rPr>
                <w:rFonts w:ascii="Times New Roman" w:hAnsi="Times New Roman"/>
                <w:b/>
                <w:color w:val="auto"/>
                <w:sz w:val="16"/>
                <w:szCs w:val="16"/>
                <w:lang w:val="es-DO"/>
              </w:rPr>
              <w:t>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$7.0</w:t>
            </w:r>
            <w:r w:rsidR="00EE72DD" w:rsidRPr="008450F1">
              <w:rPr>
                <w:rFonts w:ascii="Times New Roman" w:hAnsi="Times New Roman"/>
                <w:b/>
                <w:color w:val="auto"/>
                <w:sz w:val="16"/>
                <w:szCs w:val="16"/>
                <w:lang w:val="es-DO"/>
              </w:rPr>
              <w:t>7</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$7.7</w:t>
            </w:r>
            <w:r w:rsidR="00EE72DD" w:rsidRPr="008450F1">
              <w:rPr>
                <w:rFonts w:ascii="Times New Roman" w:hAnsi="Times New Roman"/>
                <w:b/>
                <w:color w:val="auto"/>
                <w:sz w:val="16"/>
                <w:szCs w:val="16"/>
                <w:lang w:val="es-DO"/>
              </w:rPr>
              <w:t>9</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$8.5</w:t>
            </w:r>
            <w:r w:rsidR="00EE72DD" w:rsidRPr="008450F1">
              <w:rPr>
                <w:rFonts w:ascii="Times New Roman" w:hAnsi="Times New Roman"/>
                <w:b/>
                <w:color w:val="auto"/>
                <w:sz w:val="16"/>
                <w:szCs w:val="16"/>
                <w:lang w:val="es-DO"/>
              </w:rPr>
              <w:t>3</w:t>
            </w:r>
          </w:p>
        </w:tc>
        <w:tc>
          <w:tcPr>
            <w:tcW w:w="51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$9.2</w:t>
            </w:r>
            <w:r w:rsidR="00EE72DD" w:rsidRPr="008450F1">
              <w:rPr>
                <w:rFonts w:ascii="Times New Roman" w:hAnsi="Times New Roman"/>
                <w:b/>
                <w:color w:val="auto"/>
                <w:sz w:val="16"/>
                <w:szCs w:val="16"/>
                <w:lang w:val="es-DO"/>
              </w:rPr>
              <w:t>9</w:t>
            </w:r>
          </w:p>
        </w:tc>
        <w:tc>
          <w:tcPr>
            <w:tcW w:w="59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$10.06</w:t>
            </w:r>
          </w:p>
        </w:tc>
        <w:tc>
          <w:tcPr>
            <w:tcW w:w="626"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$10.86</w:t>
            </w:r>
          </w:p>
        </w:tc>
      </w:tr>
      <w:tr w:rsidR="00FA5324" w:rsidRPr="008450F1" w:rsidTr="00AF0916">
        <w:trPr>
          <w:trHeight w:val="350"/>
          <w:jc w:val="center"/>
        </w:trPr>
        <w:tc>
          <w:tcPr>
            <w:tcW w:w="1156" w:type="dxa"/>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1C6EBE" w:rsidRPr="00FA5324" w:rsidRDefault="001C6EBE" w:rsidP="00AF0916">
            <w:pPr>
              <w:pStyle w:val="Tabla"/>
              <w:rPr>
                <w:rFonts w:ascii="Times New Roman" w:hAnsi="Times New Roman"/>
                <w:b/>
                <w:color w:val="auto"/>
                <w:sz w:val="16"/>
                <w:lang w:val="es-DO"/>
              </w:rPr>
            </w:pPr>
            <w:r w:rsidRPr="008450F1">
              <w:rPr>
                <w:rFonts w:ascii="Times New Roman" w:hAnsi="Times New Roman"/>
                <w:b/>
                <w:color w:val="auto"/>
                <w:sz w:val="16"/>
                <w:szCs w:val="16"/>
                <w:lang w:val="es-DO"/>
              </w:rPr>
              <w:t xml:space="preserve"> Total Beneficios </w:t>
            </w:r>
          </w:p>
        </w:tc>
        <w:tc>
          <w:tcPr>
            <w:tcW w:w="639"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97.9</w:t>
            </w:r>
            <w:r w:rsidR="00EE72DD" w:rsidRPr="008450F1">
              <w:rPr>
                <w:rFonts w:ascii="Times New Roman" w:hAnsi="Times New Roman"/>
                <w:b/>
                <w:color w:val="auto"/>
                <w:sz w:val="16"/>
                <w:szCs w:val="16"/>
                <w:lang w:val="es-DO"/>
              </w:rPr>
              <w:t>8</w:t>
            </w:r>
          </w:p>
        </w:tc>
        <w:tc>
          <w:tcPr>
            <w:tcW w:w="731"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21.15</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213</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318</w:t>
            </w:r>
          </w:p>
        </w:tc>
        <w:tc>
          <w:tcPr>
            <w:tcW w:w="516" w:type="dxa"/>
            <w:gridSpan w:val="2"/>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331</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815</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1.32</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$1.85</w:t>
            </w:r>
          </w:p>
        </w:tc>
        <w:tc>
          <w:tcPr>
            <w:tcW w:w="517"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$2.40</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$2.97</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$3.5</w:t>
            </w:r>
            <w:r w:rsidR="00EE72DD" w:rsidRPr="008450F1">
              <w:rPr>
                <w:rFonts w:ascii="Times New Roman" w:hAnsi="Times New Roman"/>
                <w:b/>
                <w:color w:val="auto"/>
                <w:sz w:val="16"/>
                <w:szCs w:val="16"/>
                <w:lang w:val="es-DO"/>
              </w:rPr>
              <w:t>7</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$4</w:t>
            </w:r>
            <w:r w:rsidRPr="008450F1">
              <w:rPr>
                <w:rFonts w:ascii="Times New Roman" w:hAnsi="Times New Roman"/>
                <w:b/>
                <w:color w:val="auto"/>
                <w:sz w:val="16"/>
                <w:szCs w:val="16"/>
                <w:lang w:val="es-DO"/>
              </w:rPr>
              <w:t>.18</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w:t>
            </w:r>
            <w:r w:rsidR="00EE72DD" w:rsidRPr="008450F1">
              <w:rPr>
                <w:rFonts w:ascii="Times New Roman" w:hAnsi="Times New Roman"/>
                <w:b/>
                <w:color w:val="auto"/>
                <w:sz w:val="16"/>
                <w:szCs w:val="16"/>
                <w:lang w:val="es-DO"/>
              </w:rPr>
              <w:t>2</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$5.47</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FA5324" w:rsidRDefault="001C6EBE" w:rsidP="00FA5324">
            <w:pPr>
              <w:pStyle w:val="Tabla"/>
              <w:jc w:val="center"/>
              <w:rPr>
                <w:rFonts w:ascii="Times New Roman" w:hAnsi="Times New Roman"/>
                <w:b/>
                <w:color w:val="auto"/>
                <w:sz w:val="16"/>
                <w:lang w:val="es-DO"/>
              </w:rPr>
            </w:pPr>
            <w:r w:rsidRPr="00FA5324">
              <w:rPr>
                <w:rFonts w:ascii="Times New Roman" w:hAnsi="Times New Roman"/>
                <w:b/>
                <w:color w:val="auto"/>
                <w:sz w:val="16"/>
                <w:lang w:val="es-DO"/>
              </w:rPr>
              <w:t>$</w:t>
            </w:r>
            <w:r w:rsidRPr="008450F1">
              <w:rPr>
                <w:rFonts w:ascii="Times New Roman" w:hAnsi="Times New Roman"/>
                <w:b/>
                <w:color w:val="auto"/>
                <w:sz w:val="16"/>
                <w:szCs w:val="16"/>
                <w:lang w:val="es-DO"/>
              </w:rPr>
              <w:t>6.</w:t>
            </w:r>
            <w:r w:rsidRPr="00FA5324">
              <w:rPr>
                <w:rFonts w:ascii="Times New Roman" w:hAnsi="Times New Roman"/>
                <w:b/>
                <w:color w:val="auto"/>
                <w:sz w:val="16"/>
                <w:lang w:val="es-DO"/>
              </w:rPr>
              <w:t>1</w:t>
            </w:r>
            <w:r w:rsidR="00EE72DD" w:rsidRPr="00FA5324">
              <w:rPr>
                <w:rFonts w:ascii="Times New Roman" w:hAnsi="Times New Roman"/>
                <w:b/>
                <w:color w:val="auto"/>
                <w:sz w:val="16"/>
                <w:lang w:val="es-DO"/>
              </w:rPr>
              <w:t>5</w:t>
            </w:r>
          </w:p>
        </w:tc>
        <w:tc>
          <w:tcPr>
            <w:tcW w:w="517"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$6.84</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$7.56</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$8.29</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$9.04</w:t>
            </w:r>
          </w:p>
        </w:tc>
        <w:tc>
          <w:tcPr>
            <w:tcW w:w="51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$9.81</w:t>
            </w:r>
          </w:p>
        </w:tc>
        <w:tc>
          <w:tcPr>
            <w:tcW w:w="591"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$10.60</w:t>
            </w:r>
          </w:p>
        </w:tc>
        <w:tc>
          <w:tcPr>
            <w:tcW w:w="626"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$11.41</w:t>
            </w:r>
          </w:p>
        </w:tc>
      </w:tr>
    </w:tbl>
    <w:p w:rsidR="001C6EBE" w:rsidRPr="008450F1" w:rsidRDefault="001C6EBE" w:rsidP="00AF0916">
      <w:pPr>
        <w:spacing w:after="0" w:line="240" w:lineRule="auto"/>
        <w:jc w:val="left"/>
        <w:rPr>
          <w:lang w:val="es-DO"/>
        </w:rPr>
      </w:pPr>
    </w:p>
    <w:p w:rsidR="00E372A3" w:rsidRPr="008450F1" w:rsidRDefault="00E372A3" w:rsidP="00AF0916">
      <w:pPr>
        <w:spacing w:after="0" w:line="240" w:lineRule="auto"/>
        <w:jc w:val="left"/>
        <w:rPr>
          <w:b/>
          <w:lang w:val="es-DO"/>
        </w:rPr>
      </w:pPr>
      <w:r w:rsidRPr="008450F1">
        <w:rPr>
          <w:lang w:val="es-DO"/>
        </w:rPr>
        <w:br w:type="page"/>
      </w:r>
    </w:p>
    <w:p w:rsidR="00E372A3" w:rsidRPr="008450F1" w:rsidRDefault="00E372A3" w:rsidP="00AF0916">
      <w:pPr>
        <w:pStyle w:val="Heading2"/>
        <w:spacing w:before="0" w:after="0" w:line="240" w:lineRule="auto"/>
        <w:ind w:left="0"/>
        <w:rPr>
          <w:lang w:val="es-DO"/>
        </w:rPr>
      </w:pPr>
      <w:bookmarkStart w:id="53" w:name="_Toc401244729"/>
      <w:r w:rsidRPr="008450F1">
        <w:rPr>
          <w:lang w:val="es-DO"/>
        </w:rPr>
        <w:lastRenderedPageBreak/>
        <w:t xml:space="preserve">Anexo 5 Costos </w:t>
      </w:r>
      <w:r w:rsidR="007A3FB4" w:rsidRPr="008450F1">
        <w:rPr>
          <w:lang w:val="es-DO"/>
        </w:rPr>
        <w:t>Económicos</w:t>
      </w:r>
      <w:bookmarkEnd w:id="53"/>
    </w:p>
    <w:p w:rsidR="00D731B7" w:rsidRPr="008450F1" w:rsidRDefault="00D731B7" w:rsidP="00AF0916">
      <w:pPr>
        <w:pStyle w:val="Caption"/>
        <w:keepNext/>
        <w:spacing w:after="0"/>
        <w:jc w:val="center"/>
        <w:rPr>
          <w:i w:val="0"/>
          <w:color w:val="auto"/>
          <w:lang w:val="es-DO"/>
        </w:rPr>
      </w:pPr>
    </w:p>
    <w:p w:rsidR="00477D9E" w:rsidRPr="008450F1" w:rsidRDefault="00D731B7" w:rsidP="00AF0916">
      <w:pPr>
        <w:pStyle w:val="Caption"/>
        <w:keepNext/>
        <w:spacing w:after="0"/>
        <w:jc w:val="center"/>
        <w:rPr>
          <w:i w:val="0"/>
          <w:color w:val="auto"/>
          <w:lang w:val="es-DO"/>
        </w:rPr>
      </w:pPr>
      <w:r w:rsidRPr="008450F1">
        <w:rPr>
          <w:i w:val="0"/>
          <w:color w:val="auto"/>
          <w:lang w:val="es-DO"/>
        </w:rPr>
        <w:t>Tabla 18. Beneficios incrementales en millones de DOP de 2015</w:t>
      </w:r>
    </w:p>
    <w:tbl>
      <w:tblPr>
        <w:tblW w:w="12950" w:type="dxa"/>
        <w:tblLayout w:type="fixed"/>
        <w:tblCellMar>
          <w:left w:w="70" w:type="dxa"/>
          <w:right w:w="70" w:type="dxa"/>
        </w:tblCellMar>
        <w:tblLook w:val="04A0" w:firstRow="1" w:lastRow="0" w:firstColumn="1" w:lastColumn="0" w:noHBand="0" w:noVBand="1"/>
      </w:tblPr>
      <w:tblGrid>
        <w:gridCol w:w="1027"/>
        <w:gridCol w:w="623"/>
        <w:gridCol w:w="623"/>
        <w:gridCol w:w="512"/>
        <w:gridCol w:w="519"/>
        <w:gridCol w:w="471"/>
        <w:gridCol w:w="517"/>
        <w:gridCol w:w="558"/>
        <w:gridCol w:w="545"/>
        <w:gridCol w:w="540"/>
        <w:gridCol w:w="540"/>
        <w:gridCol w:w="540"/>
        <w:gridCol w:w="540"/>
        <w:gridCol w:w="540"/>
        <w:gridCol w:w="540"/>
        <w:gridCol w:w="540"/>
        <w:gridCol w:w="540"/>
        <w:gridCol w:w="540"/>
        <w:gridCol w:w="540"/>
        <w:gridCol w:w="540"/>
        <w:gridCol w:w="540"/>
        <w:gridCol w:w="540"/>
        <w:gridCol w:w="535"/>
      </w:tblGrid>
      <w:tr w:rsidR="00546FED" w:rsidRPr="008450F1" w:rsidTr="00546FED">
        <w:trPr>
          <w:trHeight w:val="299"/>
          <w:tblHeader/>
        </w:trPr>
        <w:tc>
          <w:tcPr>
            <w:tcW w:w="1027" w:type="dxa"/>
            <w:vMerge w:val="restart"/>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Rubro</w:t>
            </w:r>
          </w:p>
        </w:tc>
        <w:tc>
          <w:tcPr>
            <w:tcW w:w="623" w:type="dxa"/>
            <w:vMerge w:val="restart"/>
            <w:tcBorders>
              <w:top w:val="single" w:sz="4" w:space="0" w:color="auto"/>
              <w:left w:val="single" w:sz="4" w:space="0" w:color="auto"/>
              <w:bottom w:val="single" w:sz="4" w:space="0" w:color="000000"/>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Total</w:t>
            </w:r>
          </w:p>
        </w:tc>
        <w:tc>
          <w:tcPr>
            <w:tcW w:w="623" w:type="dxa"/>
            <w:vMerge w:val="restart"/>
            <w:tcBorders>
              <w:top w:val="single" w:sz="4" w:space="0" w:color="auto"/>
              <w:left w:val="single" w:sz="4" w:space="0" w:color="auto"/>
              <w:bottom w:val="single" w:sz="4" w:space="0" w:color="000000"/>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Total @12%</w:t>
            </w:r>
          </w:p>
        </w:tc>
        <w:tc>
          <w:tcPr>
            <w:tcW w:w="10677" w:type="dxa"/>
            <w:gridSpan w:val="20"/>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Año</w:t>
            </w:r>
          </w:p>
        </w:tc>
      </w:tr>
      <w:tr w:rsidR="00546FED" w:rsidRPr="008450F1" w:rsidTr="00AF0916">
        <w:trPr>
          <w:trHeight w:val="299"/>
          <w:tblHeader/>
        </w:trPr>
        <w:tc>
          <w:tcPr>
            <w:tcW w:w="1027" w:type="dxa"/>
            <w:vMerge/>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p>
        </w:tc>
        <w:tc>
          <w:tcPr>
            <w:tcW w:w="623" w:type="dxa"/>
            <w:vMerge/>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p>
        </w:tc>
        <w:tc>
          <w:tcPr>
            <w:tcW w:w="623" w:type="dxa"/>
            <w:vMerge/>
            <w:tcBorders>
              <w:top w:val="single" w:sz="4" w:space="0" w:color="auto"/>
              <w:left w:val="single" w:sz="4" w:space="0" w:color="auto"/>
              <w:bottom w:val="single" w:sz="4" w:space="0" w:color="000000"/>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p>
        </w:tc>
        <w:tc>
          <w:tcPr>
            <w:tcW w:w="512"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2015</w:t>
            </w:r>
          </w:p>
        </w:tc>
        <w:tc>
          <w:tcPr>
            <w:tcW w:w="519"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2016</w:t>
            </w:r>
          </w:p>
        </w:tc>
        <w:tc>
          <w:tcPr>
            <w:tcW w:w="471"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2017</w:t>
            </w:r>
          </w:p>
        </w:tc>
        <w:tc>
          <w:tcPr>
            <w:tcW w:w="517"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2018</w:t>
            </w:r>
          </w:p>
        </w:tc>
        <w:tc>
          <w:tcPr>
            <w:tcW w:w="558"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2019</w:t>
            </w:r>
          </w:p>
        </w:tc>
        <w:tc>
          <w:tcPr>
            <w:tcW w:w="545"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2020</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2021</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2022</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2023</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2024</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2025</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2026</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2027</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2028</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2029</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2030</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2031</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2032</w:t>
            </w:r>
          </w:p>
        </w:tc>
        <w:tc>
          <w:tcPr>
            <w:tcW w:w="540"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2033</w:t>
            </w:r>
          </w:p>
        </w:tc>
        <w:tc>
          <w:tcPr>
            <w:tcW w:w="535" w:type="dxa"/>
            <w:tcBorders>
              <w:top w:val="nil"/>
              <w:left w:val="nil"/>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2034</w:t>
            </w:r>
          </w:p>
        </w:tc>
      </w:tr>
      <w:tr w:rsidR="00546FED" w:rsidRPr="008450F1" w:rsidTr="00AF0916">
        <w:trPr>
          <w:trHeight w:val="598"/>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Costo administrati</w:t>
            </w:r>
            <w:r w:rsidR="00546FED"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vo de otorgar las pensiones.</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$36</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$13</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p>
        </w:tc>
      </w:tr>
      <w:tr w:rsidR="00546FED" w:rsidRPr="008450F1" w:rsidTr="00AF0916">
        <w:trPr>
          <w:trHeight w:val="299"/>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Costo de las pensiones</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$1.7</w:t>
            </w:r>
            <w:r w:rsidR="00546FED" w:rsidRPr="008450F1">
              <w:rPr>
                <w:rFonts w:ascii="Times New Roman" w:hAnsi="Times New Roman"/>
                <w:color w:val="auto"/>
                <w:sz w:val="16"/>
                <w:szCs w:val="16"/>
                <w:lang w:val="es-DO"/>
              </w:rPr>
              <w:t>3</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$645</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$86</w:t>
            </w:r>
          </w:p>
        </w:tc>
      </w:tr>
      <w:tr w:rsidR="00546FED" w:rsidRPr="008450F1" w:rsidTr="00AF0916">
        <w:trPr>
          <w:trHeight w:val="598"/>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Costo de funciona</w:t>
            </w:r>
            <w:r w:rsidR="00546FED"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miento del sistema de monitoreo</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$2.18</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$816</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$109</w:t>
            </w:r>
          </w:p>
        </w:tc>
      </w:tr>
      <w:tr w:rsidR="00546FED" w:rsidRPr="008450F1" w:rsidTr="00AF0916">
        <w:trPr>
          <w:trHeight w:val="1197"/>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Costo de fu</w:t>
            </w:r>
            <w:r w:rsidR="000C6B14" w:rsidRPr="008450F1">
              <w:rPr>
                <w:rFonts w:ascii="Times New Roman" w:hAnsi="Times New Roman"/>
                <w:color w:val="auto"/>
                <w:sz w:val="16"/>
                <w:szCs w:val="16"/>
                <w:lang w:val="es-DO"/>
              </w:rPr>
              <w:t>nciona</w:t>
            </w:r>
            <w:r w:rsidR="00546FED" w:rsidRPr="008450F1">
              <w:rPr>
                <w:rFonts w:ascii="Times New Roman" w:hAnsi="Times New Roman"/>
                <w:color w:val="auto"/>
                <w:sz w:val="16"/>
                <w:szCs w:val="16"/>
                <w:lang w:val="es-DO"/>
              </w:rPr>
              <w:t>-</w:t>
            </w:r>
            <w:r w:rsidR="000C6B14" w:rsidRPr="008450F1">
              <w:rPr>
                <w:rFonts w:ascii="Times New Roman" w:hAnsi="Times New Roman"/>
                <w:color w:val="auto"/>
                <w:sz w:val="16"/>
                <w:szCs w:val="16"/>
                <w:lang w:val="es-DO"/>
              </w:rPr>
              <w:t>miento del sistema informá</w:t>
            </w:r>
            <w:r w:rsidRPr="008450F1">
              <w:rPr>
                <w:rFonts w:ascii="Times New Roman" w:hAnsi="Times New Roman"/>
                <w:color w:val="auto"/>
                <w:sz w:val="16"/>
                <w:szCs w:val="16"/>
                <w:lang w:val="es-DO"/>
              </w:rPr>
              <w:t>tico para con</w:t>
            </w:r>
            <w:r w:rsidR="000C6B14" w:rsidRPr="008450F1">
              <w:rPr>
                <w:rFonts w:ascii="Times New Roman" w:hAnsi="Times New Roman"/>
                <w:color w:val="auto"/>
                <w:sz w:val="16"/>
                <w:szCs w:val="16"/>
                <w:lang w:val="es-DO"/>
              </w:rPr>
              <w:t>sultar la cotizació</w:t>
            </w:r>
            <w:r w:rsidRPr="008450F1">
              <w:rPr>
                <w:rFonts w:ascii="Times New Roman" w:hAnsi="Times New Roman"/>
                <w:color w:val="auto"/>
                <w:sz w:val="16"/>
                <w:szCs w:val="16"/>
                <w:lang w:val="es-DO"/>
              </w:rPr>
              <w:t>n del empleador y Costo de funciona</w:t>
            </w:r>
            <w:r w:rsidR="00546FED"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miento de las calculadora</w:t>
            </w:r>
            <w:r w:rsidR="00546FED" w:rsidRPr="008450F1">
              <w:rPr>
                <w:rFonts w:ascii="Times New Roman" w:hAnsi="Times New Roman"/>
                <w:color w:val="auto"/>
                <w:sz w:val="16"/>
                <w:szCs w:val="16"/>
                <w:lang w:val="es-DO"/>
              </w:rPr>
              <w:t>s</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$1.15</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$430</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w:t>
            </w:r>
          </w:p>
        </w:tc>
      </w:tr>
      <w:tr w:rsidR="00546FED" w:rsidRPr="008450F1" w:rsidTr="00AF0916">
        <w:trPr>
          <w:trHeight w:val="598"/>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Costo de funcionami</w:t>
            </w:r>
            <w:r w:rsidR="000C6B14" w:rsidRPr="008450F1">
              <w:rPr>
                <w:rFonts w:ascii="Times New Roman" w:hAnsi="Times New Roman"/>
                <w:color w:val="auto"/>
                <w:sz w:val="16"/>
                <w:szCs w:val="16"/>
                <w:lang w:val="es-DO"/>
              </w:rPr>
              <w:t>ento de los sitios de informació</w:t>
            </w:r>
            <w:r w:rsidRPr="008450F1">
              <w:rPr>
                <w:rFonts w:ascii="Times New Roman" w:hAnsi="Times New Roman"/>
                <w:color w:val="auto"/>
                <w:sz w:val="16"/>
                <w:szCs w:val="16"/>
                <w:lang w:val="es-DO"/>
              </w:rPr>
              <w:t>n</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$2.47</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$921</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$123</w:t>
            </w:r>
          </w:p>
        </w:tc>
      </w:tr>
      <w:tr w:rsidR="00546FED" w:rsidRPr="008450F1" w:rsidTr="00AF0916">
        <w:trPr>
          <w:trHeight w:val="598"/>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 xml:space="preserve">Costo de ejecución del acuerdo nacional por </w:t>
            </w:r>
            <w:r w:rsidR="000C6B14" w:rsidRPr="008450F1">
              <w:rPr>
                <w:rFonts w:ascii="Times New Roman" w:hAnsi="Times New Roman"/>
                <w:color w:val="auto"/>
                <w:sz w:val="16"/>
                <w:szCs w:val="16"/>
                <w:lang w:val="es-DO"/>
              </w:rPr>
              <w:t>la cultura previs</w:t>
            </w:r>
            <w:r w:rsidRPr="008450F1">
              <w:rPr>
                <w:rFonts w:ascii="Times New Roman" w:hAnsi="Times New Roman"/>
                <w:color w:val="auto"/>
                <w:sz w:val="16"/>
                <w:szCs w:val="16"/>
                <w:lang w:val="es-DO"/>
              </w:rPr>
              <w:t>ional</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w:t>
            </w:r>
            <w:r w:rsidR="00546FED" w:rsidRPr="008450F1">
              <w:rPr>
                <w:rFonts w:ascii="Times New Roman" w:hAnsi="Times New Roman"/>
                <w:color w:val="auto"/>
                <w:sz w:val="16"/>
                <w:szCs w:val="16"/>
                <w:lang w:val="es-DO"/>
              </w:rPr>
              <w:t>10</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$784</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$105</w:t>
            </w:r>
          </w:p>
        </w:tc>
      </w:tr>
      <w:tr w:rsidR="00546FED" w:rsidRPr="008450F1" w:rsidTr="00AF0916">
        <w:trPr>
          <w:trHeight w:val="299"/>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b/>
                <w:color w:val="auto"/>
                <w:sz w:val="16"/>
                <w:szCs w:val="16"/>
                <w:lang w:val="es-DO"/>
              </w:rPr>
            </w:pPr>
            <w:r w:rsidRPr="008450F1">
              <w:rPr>
                <w:rFonts w:ascii="Times New Roman" w:hAnsi="Times New Roman"/>
                <w:b/>
                <w:color w:val="auto"/>
                <w:sz w:val="16"/>
                <w:szCs w:val="16"/>
                <w:lang w:val="es-DO"/>
              </w:rPr>
              <w:t>Sub total componente</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$9.6</w:t>
            </w:r>
            <w:r w:rsidR="00546FED" w:rsidRPr="008450F1">
              <w:rPr>
                <w:rFonts w:ascii="Times New Roman" w:hAnsi="Times New Roman"/>
                <w:b/>
                <w:color w:val="auto"/>
                <w:sz w:val="16"/>
                <w:szCs w:val="16"/>
                <w:lang w:val="es-DO"/>
              </w:rPr>
              <w:t>7</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$3.6</w:t>
            </w:r>
            <w:r w:rsidR="00546FED" w:rsidRPr="008450F1">
              <w:rPr>
                <w:rFonts w:ascii="Times New Roman" w:hAnsi="Times New Roman"/>
                <w:b/>
                <w:color w:val="auto"/>
                <w:sz w:val="16"/>
                <w:szCs w:val="16"/>
                <w:lang w:val="es-DO"/>
              </w:rPr>
              <w:t>1</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$483</w:t>
            </w:r>
          </w:p>
        </w:tc>
      </w:tr>
      <w:tr w:rsidR="00546FED" w:rsidRPr="008450F1" w:rsidTr="00AF0916">
        <w:trPr>
          <w:trHeight w:val="598"/>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Implemen</w:t>
            </w:r>
            <w:r w:rsidR="00546FED"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tación y funciona</w:t>
            </w:r>
            <w:r w:rsidR="00546FED"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lastRenderedPageBreak/>
              <w:t>miento de la unidad actuarial</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lastRenderedPageBreak/>
              <w:t>$1.</w:t>
            </w:r>
            <w:r w:rsidR="00546FED" w:rsidRPr="008450F1">
              <w:rPr>
                <w:rFonts w:ascii="Times New Roman" w:hAnsi="Times New Roman"/>
                <w:color w:val="auto"/>
                <w:sz w:val="16"/>
                <w:szCs w:val="16"/>
                <w:lang w:val="es-DO"/>
              </w:rPr>
              <w:t>30</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$484</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$65</w:t>
            </w:r>
          </w:p>
        </w:tc>
      </w:tr>
      <w:tr w:rsidR="00546FED" w:rsidRPr="008450F1" w:rsidTr="00AF0916">
        <w:trPr>
          <w:trHeight w:val="598"/>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lastRenderedPageBreak/>
              <w:t>Implemen</w:t>
            </w:r>
            <w:r w:rsidR="00546FED"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tación y funciona</w:t>
            </w:r>
            <w:r w:rsidR="00546FED"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miento del sistema de monitoreo</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$4.78</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$1.7</w:t>
            </w:r>
            <w:r w:rsidR="00546FED" w:rsidRPr="008450F1">
              <w:rPr>
                <w:rFonts w:ascii="Times New Roman" w:hAnsi="Times New Roman"/>
                <w:color w:val="auto"/>
                <w:sz w:val="16"/>
                <w:szCs w:val="16"/>
                <w:lang w:val="es-DO"/>
              </w:rPr>
              <w:t>9</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$239</w:t>
            </w:r>
          </w:p>
        </w:tc>
      </w:tr>
      <w:tr w:rsidR="00546FED" w:rsidRPr="008450F1" w:rsidTr="00AF0916">
        <w:trPr>
          <w:trHeight w:val="897"/>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Implemen</w:t>
            </w:r>
            <w:r w:rsidR="00546FED"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tación y funciona</w:t>
            </w:r>
            <w:r w:rsidR="00546FED"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miento del Instituto Coordinador de los Servicios Públicos de Salud</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$158</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$59</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w:t>
            </w:r>
          </w:p>
        </w:tc>
      </w:tr>
      <w:tr w:rsidR="00546FED" w:rsidRPr="008450F1" w:rsidTr="00AF0916">
        <w:trPr>
          <w:trHeight w:val="897"/>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La implemen</w:t>
            </w:r>
            <w:r w:rsidR="00546FED"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 xml:space="preserve">tación de la Política Nacional de Calidad en Salud </w:t>
            </w:r>
            <w:r w:rsidR="00546FED" w:rsidRPr="008450F1">
              <w:rPr>
                <w:rFonts w:ascii="Times New Roman" w:hAnsi="Times New Roman"/>
                <w:color w:val="auto"/>
                <w:sz w:val="16"/>
                <w:szCs w:val="16"/>
                <w:lang w:val="es-DO"/>
              </w:rPr>
              <w:t>en la parte de empode-ramiento</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$62</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$23</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w:t>
            </w:r>
          </w:p>
        </w:tc>
      </w:tr>
      <w:tr w:rsidR="00546FED" w:rsidRPr="008450F1" w:rsidTr="00AF0916">
        <w:trPr>
          <w:trHeight w:val="897"/>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9A2674">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La implemen</w:t>
            </w:r>
            <w:r w:rsidR="00546FED"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 xml:space="preserve">tación de la Política Nacional de Calidad en Salud </w:t>
            </w:r>
            <w:r w:rsidR="008B48E7" w:rsidRPr="008450F1">
              <w:rPr>
                <w:rFonts w:ascii="Times New Roman" w:hAnsi="Times New Roman"/>
                <w:color w:val="auto"/>
                <w:sz w:val="16"/>
                <w:szCs w:val="16"/>
                <w:lang w:val="es-DO"/>
              </w:rPr>
              <w:t xml:space="preserve">en la parte de </w:t>
            </w:r>
            <w:r w:rsidR="009A2674" w:rsidRPr="008450F1">
              <w:rPr>
                <w:rFonts w:ascii="Times New Roman" w:hAnsi="Times New Roman"/>
                <w:color w:val="auto"/>
                <w:sz w:val="16"/>
                <w:szCs w:val="16"/>
                <w:lang w:val="es-DO"/>
              </w:rPr>
              <w:t>medica-mentos</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$309</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$115</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r>
      <w:tr w:rsidR="00546FED" w:rsidRPr="008450F1" w:rsidTr="00AF0916">
        <w:trPr>
          <w:trHeight w:val="299"/>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Actualizar el PDSS</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$1.852</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$692</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$93</w:t>
            </w:r>
          </w:p>
        </w:tc>
      </w:tr>
      <w:tr w:rsidR="00546FED" w:rsidRPr="008450F1" w:rsidTr="00AF0916">
        <w:trPr>
          <w:trHeight w:val="897"/>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8B48E7"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lastRenderedPageBreak/>
              <w:t>L</w:t>
            </w:r>
            <w:r w:rsidR="001C6EBE" w:rsidRPr="008450F1">
              <w:rPr>
                <w:rFonts w:ascii="Times New Roman" w:hAnsi="Times New Roman"/>
                <w:color w:val="auto"/>
                <w:sz w:val="16"/>
                <w:szCs w:val="16"/>
                <w:lang w:val="es-DO"/>
              </w:rPr>
              <w:t>a implemen</w:t>
            </w:r>
            <w:r w:rsidRPr="008450F1">
              <w:rPr>
                <w:rFonts w:ascii="Times New Roman" w:hAnsi="Times New Roman"/>
                <w:color w:val="auto"/>
                <w:sz w:val="16"/>
                <w:szCs w:val="16"/>
                <w:lang w:val="es-DO"/>
              </w:rPr>
              <w:t>-</w:t>
            </w:r>
            <w:r w:rsidR="001C6EBE" w:rsidRPr="008450F1">
              <w:rPr>
                <w:rFonts w:ascii="Times New Roman" w:hAnsi="Times New Roman"/>
                <w:color w:val="auto"/>
                <w:sz w:val="16"/>
                <w:szCs w:val="16"/>
                <w:lang w:val="es-DO"/>
              </w:rPr>
              <w:t>tación del modelo, manuales, capacita</w:t>
            </w:r>
            <w:r w:rsidRPr="008450F1">
              <w:rPr>
                <w:rFonts w:ascii="Times New Roman" w:hAnsi="Times New Roman"/>
                <w:color w:val="auto"/>
                <w:sz w:val="16"/>
                <w:szCs w:val="16"/>
                <w:lang w:val="es-DO"/>
              </w:rPr>
              <w:t>-</w:t>
            </w:r>
            <w:r w:rsidR="001C6EBE" w:rsidRPr="008450F1">
              <w:rPr>
                <w:rFonts w:ascii="Times New Roman" w:hAnsi="Times New Roman"/>
                <w:color w:val="auto"/>
                <w:sz w:val="16"/>
                <w:szCs w:val="16"/>
                <w:lang w:val="es-DO"/>
              </w:rPr>
              <w:t>ciones, adecuaciones</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$309</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$115</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r>
      <w:tr w:rsidR="00546FED" w:rsidRPr="008450F1" w:rsidTr="00AF0916">
        <w:trPr>
          <w:trHeight w:val="897"/>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La implemen</w:t>
            </w:r>
            <w:r w:rsidR="008B48E7"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 xml:space="preserve">tación de la Política Nacional de Calidad en Salud </w:t>
            </w:r>
            <w:r w:rsidR="008B48E7" w:rsidRPr="008450F1">
              <w:rPr>
                <w:rFonts w:ascii="Times New Roman" w:hAnsi="Times New Roman"/>
                <w:color w:val="auto"/>
                <w:sz w:val="16"/>
                <w:szCs w:val="16"/>
                <w:lang w:val="es-DO"/>
              </w:rPr>
              <w:t>en la parte de calidad de los servicios</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$553</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$206</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r>
      <w:tr w:rsidR="00546FED" w:rsidRPr="008450F1" w:rsidTr="00AF0916">
        <w:trPr>
          <w:trHeight w:val="299"/>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Los cambios en el esquema laboral</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$22.83</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$5.89</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$0</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$0</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$0</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$292</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$585</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$877</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$1.1</w:t>
            </w:r>
            <w:r w:rsidR="00C87540" w:rsidRPr="008450F1">
              <w:rPr>
                <w:rFonts w:ascii="Times New Roman" w:hAnsi="Times New Roman"/>
                <w:color w:val="auto"/>
                <w:sz w:val="16"/>
                <w:szCs w:val="16"/>
                <w:lang w:val="es-DO"/>
              </w:rPr>
              <w:t>7</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$1.46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$1.47</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$1.4</w:t>
            </w:r>
            <w:r w:rsidR="00C87540" w:rsidRPr="008450F1">
              <w:rPr>
                <w:rFonts w:ascii="Times New Roman" w:hAnsi="Times New Roman"/>
                <w:color w:val="auto"/>
                <w:sz w:val="16"/>
                <w:szCs w:val="16"/>
                <w:lang w:val="es-DO"/>
              </w:rPr>
              <w:t>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w:t>
            </w:r>
            <w:r w:rsidR="00C87540" w:rsidRPr="008450F1">
              <w:rPr>
                <w:rFonts w:ascii="Times New Roman" w:hAnsi="Times New Roman"/>
                <w:color w:val="auto"/>
                <w:sz w:val="16"/>
                <w:szCs w:val="16"/>
                <w:lang w:val="es-DO"/>
              </w:rPr>
              <w:t>50</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$1.51</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$1.54</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r w:rsidR="00C87540" w:rsidRPr="008450F1">
              <w:rPr>
                <w:rFonts w:ascii="Times New Roman" w:hAnsi="Times New Roman"/>
                <w:color w:val="auto"/>
                <w:sz w:val="16"/>
                <w:szCs w:val="16"/>
                <w:lang w:val="es-DO"/>
              </w:rPr>
              <w:t>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r w:rsidR="00C87540" w:rsidRPr="008450F1">
              <w:rPr>
                <w:rFonts w:ascii="Times New Roman" w:hAnsi="Times New Roman"/>
                <w:color w:val="auto"/>
                <w:sz w:val="16"/>
                <w:szCs w:val="16"/>
                <w:lang w:val="es-DO"/>
              </w:rPr>
              <w:t>7</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r w:rsidR="00C87540" w:rsidRPr="008450F1">
              <w:rPr>
                <w:rFonts w:ascii="Times New Roman" w:hAnsi="Times New Roman"/>
                <w:color w:val="auto"/>
                <w:sz w:val="16"/>
                <w:szCs w:val="16"/>
                <w:lang w:val="es-DO"/>
              </w:rPr>
              <w:t>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$1.5</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w:t>
            </w:r>
            <w:r w:rsidR="00FA18B1" w:rsidRPr="008450F1">
              <w:rPr>
                <w:rFonts w:ascii="Times New Roman" w:hAnsi="Times New Roman"/>
                <w:color w:val="auto"/>
                <w:sz w:val="16"/>
                <w:szCs w:val="16"/>
                <w:lang w:val="es-DO"/>
              </w:rPr>
              <w:t>60</w:t>
            </w:r>
          </w:p>
        </w:tc>
      </w:tr>
      <w:tr w:rsidR="00546FED" w:rsidRPr="008450F1" w:rsidTr="00AF0916">
        <w:trPr>
          <w:trHeight w:val="598"/>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color w:val="auto"/>
                <w:sz w:val="16"/>
                <w:szCs w:val="16"/>
                <w:lang w:val="es-DO"/>
              </w:rPr>
            </w:pPr>
            <w:r w:rsidRPr="008450F1">
              <w:rPr>
                <w:rFonts w:ascii="Times New Roman" w:hAnsi="Times New Roman"/>
                <w:color w:val="auto"/>
                <w:sz w:val="16"/>
                <w:szCs w:val="16"/>
                <w:lang w:val="es-DO"/>
              </w:rPr>
              <w:t>Implemen</w:t>
            </w:r>
            <w:r w:rsidR="008B48E7"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tación y funcina</w:t>
            </w:r>
            <w:r w:rsidR="008B48E7" w:rsidRPr="008450F1">
              <w:rPr>
                <w:rFonts w:ascii="Times New Roman" w:hAnsi="Times New Roman"/>
                <w:color w:val="auto"/>
                <w:sz w:val="16"/>
                <w:szCs w:val="16"/>
                <w:lang w:val="es-DO"/>
              </w:rPr>
              <w:t>-</w:t>
            </w:r>
            <w:r w:rsidRPr="008450F1">
              <w:rPr>
                <w:rFonts w:ascii="Times New Roman" w:hAnsi="Times New Roman"/>
                <w:color w:val="auto"/>
                <w:sz w:val="16"/>
                <w:szCs w:val="16"/>
                <w:lang w:val="es-DO"/>
              </w:rPr>
              <w:t>miento de la nueva infraestr</w:t>
            </w:r>
            <w:r w:rsidR="008B48E7" w:rsidRPr="008450F1">
              <w:rPr>
                <w:rFonts w:ascii="Times New Roman" w:hAnsi="Times New Roman"/>
                <w:color w:val="auto"/>
                <w:sz w:val="16"/>
                <w:szCs w:val="16"/>
                <w:lang w:val="es-DO"/>
              </w:rPr>
              <w:t>uc-</w:t>
            </w:r>
            <w:r w:rsidRPr="008450F1">
              <w:rPr>
                <w:rFonts w:ascii="Times New Roman" w:hAnsi="Times New Roman"/>
                <w:color w:val="auto"/>
                <w:sz w:val="16"/>
                <w:szCs w:val="16"/>
                <w:lang w:val="es-DO"/>
              </w:rPr>
              <w:t>tura</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$3.75</w:t>
            </w:r>
          </w:p>
        </w:tc>
        <w:tc>
          <w:tcPr>
            <w:tcW w:w="623" w:type="dxa"/>
            <w:tcBorders>
              <w:top w:val="nil"/>
              <w:left w:val="nil"/>
              <w:bottom w:val="single" w:sz="4" w:space="0" w:color="auto"/>
              <w:right w:val="single" w:sz="4" w:space="0" w:color="auto"/>
            </w:tcBorders>
            <w:shd w:val="clear" w:color="auto" w:fill="auto"/>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$1.4</w:t>
            </w:r>
            <w:r w:rsidR="00FA18B1" w:rsidRPr="008450F1">
              <w:rPr>
                <w:rFonts w:ascii="Times New Roman" w:hAnsi="Times New Roman"/>
                <w:color w:val="auto"/>
                <w:sz w:val="16"/>
                <w:szCs w:val="16"/>
                <w:lang w:val="es-DO"/>
              </w:rPr>
              <w:t>8</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$0</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$0</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$0</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$0</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$0</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$698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$698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$698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$698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$698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$28</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$27</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$27</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$25</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color w:val="auto"/>
                <w:sz w:val="16"/>
                <w:szCs w:val="16"/>
                <w:lang w:val="es-DO"/>
              </w:rPr>
            </w:pPr>
            <w:r w:rsidRPr="008450F1">
              <w:rPr>
                <w:rFonts w:ascii="Times New Roman" w:hAnsi="Times New Roman"/>
                <w:color w:val="auto"/>
                <w:sz w:val="16"/>
                <w:szCs w:val="16"/>
                <w:lang w:val="es-DO"/>
              </w:rPr>
              <w:t>$24</w:t>
            </w:r>
          </w:p>
        </w:tc>
      </w:tr>
      <w:tr w:rsidR="00546FED" w:rsidRPr="008450F1" w:rsidTr="00AF0916">
        <w:trPr>
          <w:trHeight w:val="299"/>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1C6EBE" w:rsidRPr="008450F1" w:rsidRDefault="001C6EBE" w:rsidP="00AF0916">
            <w:pPr>
              <w:pStyle w:val="Tabla"/>
              <w:rPr>
                <w:rFonts w:ascii="Times New Roman" w:hAnsi="Times New Roman"/>
                <w:b/>
                <w:color w:val="auto"/>
                <w:sz w:val="16"/>
                <w:szCs w:val="16"/>
                <w:lang w:val="es-DO"/>
              </w:rPr>
            </w:pPr>
            <w:r w:rsidRPr="008450F1">
              <w:rPr>
                <w:rFonts w:ascii="Times New Roman" w:hAnsi="Times New Roman"/>
                <w:b/>
                <w:color w:val="auto"/>
                <w:sz w:val="16"/>
                <w:szCs w:val="16"/>
                <w:lang w:val="es-DO"/>
              </w:rPr>
              <w:t>Sub total componente</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$35.9</w:t>
            </w:r>
            <w:r w:rsidR="00FA18B1" w:rsidRPr="008450F1">
              <w:rPr>
                <w:rFonts w:ascii="Times New Roman" w:hAnsi="Times New Roman"/>
                <w:b/>
                <w:color w:val="auto"/>
                <w:sz w:val="16"/>
                <w:szCs w:val="16"/>
                <w:lang w:val="es-DO"/>
              </w:rPr>
              <w:t>1</w:t>
            </w:r>
          </w:p>
        </w:tc>
        <w:tc>
          <w:tcPr>
            <w:tcW w:w="623"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$10.8</w:t>
            </w:r>
            <w:r w:rsidR="00FA18B1" w:rsidRPr="008450F1">
              <w:rPr>
                <w:rFonts w:ascii="Times New Roman" w:hAnsi="Times New Roman"/>
                <w:b/>
                <w:color w:val="auto"/>
                <w:sz w:val="16"/>
                <w:szCs w:val="16"/>
                <w:lang w:val="es-DO"/>
              </w:rPr>
              <w:t>5</w:t>
            </w:r>
          </w:p>
        </w:tc>
        <w:tc>
          <w:tcPr>
            <w:tcW w:w="512"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$466</w:t>
            </w:r>
          </w:p>
        </w:tc>
        <w:tc>
          <w:tcPr>
            <w:tcW w:w="519"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$466</w:t>
            </w:r>
          </w:p>
        </w:tc>
        <w:tc>
          <w:tcPr>
            <w:tcW w:w="471"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$466</w:t>
            </w:r>
          </w:p>
        </w:tc>
        <w:tc>
          <w:tcPr>
            <w:tcW w:w="517"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$759</w:t>
            </w:r>
          </w:p>
        </w:tc>
        <w:tc>
          <w:tcPr>
            <w:tcW w:w="558"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$1.05</w:t>
            </w:r>
          </w:p>
        </w:tc>
        <w:tc>
          <w:tcPr>
            <w:tcW w:w="54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$2.04</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$2.33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$2.6</w:t>
            </w:r>
            <w:r w:rsidR="00FA18B1" w:rsidRPr="008450F1">
              <w:rPr>
                <w:rFonts w:ascii="Times New Roman" w:hAnsi="Times New Roman"/>
                <w:b/>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$2.6</w:t>
            </w:r>
            <w:r w:rsidR="00FA18B1" w:rsidRPr="008450F1">
              <w:rPr>
                <w:rFonts w:ascii="Times New Roman" w:hAnsi="Times New Roman"/>
                <w:b/>
                <w:color w:val="auto"/>
                <w:sz w:val="16"/>
                <w:szCs w:val="16"/>
                <w:lang w:val="es-DO"/>
              </w:rPr>
              <w:t>4</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$2.65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$1.99</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$2.00</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w:t>
            </w:r>
            <w:r w:rsidR="00FA18B1" w:rsidRPr="008450F1">
              <w:rPr>
                <w:rFonts w:ascii="Times New Roman" w:hAnsi="Times New Roman"/>
                <w:b/>
                <w:color w:val="auto"/>
                <w:sz w:val="16"/>
                <w:szCs w:val="16"/>
                <w:lang w:val="es-DO"/>
              </w:rPr>
              <w:t>2</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w:t>
            </w:r>
            <w:r w:rsidR="00FA18B1" w:rsidRPr="008450F1">
              <w:rPr>
                <w:rFonts w:ascii="Times New Roman" w:hAnsi="Times New Roman"/>
                <w:b/>
                <w:color w:val="auto"/>
                <w:sz w:val="16"/>
                <w:szCs w:val="16"/>
                <w:lang w:val="es-DO"/>
              </w:rPr>
              <w:t>3</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w:t>
            </w:r>
            <w:r w:rsidR="00FA18B1" w:rsidRPr="008450F1">
              <w:rPr>
                <w:rFonts w:ascii="Times New Roman" w:hAnsi="Times New Roman"/>
                <w:b/>
                <w:color w:val="auto"/>
                <w:sz w:val="16"/>
                <w:szCs w:val="16"/>
                <w:lang w:val="es-DO"/>
              </w:rPr>
              <w:t>4</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w:t>
            </w:r>
            <w:r w:rsidR="00FA18B1" w:rsidRPr="008450F1">
              <w:rPr>
                <w:rFonts w:ascii="Times New Roman" w:hAnsi="Times New Roman"/>
                <w:b/>
                <w:color w:val="auto"/>
                <w:sz w:val="16"/>
                <w:szCs w:val="16"/>
                <w:lang w:val="es-DO"/>
              </w:rPr>
              <w:t>5</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w:t>
            </w:r>
            <w:r w:rsidR="00FA18B1" w:rsidRPr="008450F1">
              <w:rPr>
                <w:rFonts w:ascii="Times New Roman" w:hAnsi="Times New Roman"/>
                <w:b/>
                <w:color w:val="auto"/>
                <w:sz w:val="16"/>
                <w:szCs w:val="16"/>
                <w:lang w:val="es-DO"/>
              </w:rPr>
              <w:t>6</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w:t>
            </w:r>
            <w:r w:rsidR="00FA18B1" w:rsidRPr="008450F1">
              <w:rPr>
                <w:rFonts w:ascii="Times New Roman" w:hAnsi="Times New Roman"/>
                <w:b/>
                <w:color w:val="auto"/>
                <w:sz w:val="16"/>
                <w:szCs w:val="16"/>
                <w:lang w:val="es-DO"/>
              </w:rPr>
              <w:t>7</w:t>
            </w:r>
          </w:p>
        </w:tc>
        <w:tc>
          <w:tcPr>
            <w:tcW w:w="540"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$2.08</w:t>
            </w:r>
          </w:p>
        </w:tc>
        <w:tc>
          <w:tcPr>
            <w:tcW w:w="535" w:type="dxa"/>
            <w:tcBorders>
              <w:top w:val="nil"/>
              <w:left w:val="nil"/>
              <w:bottom w:val="single" w:sz="4" w:space="0" w:color="auto"/>
              <w:right w:val="single" w:sz="4" w:space="0" w:color="auto"/>
            </w:tcBorders>
            <w:shd w:val="clear" w:color="auto" w:fill="auto"/>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$2.0</w:t>
            </w:r>
            <w:r w:rsidR="00FA18B1" w:rsidRPr="008450F1">
              <w:rPr>
                <w:rFonts w:ascii="Times New Roman" w:hAnsi="Times New Roman"/>
                <w:b/>
                <w:color w:val="auto"/>
                <w:sz w:val="16"/>
                <w:szCs w:val="16"/>
                <w:lang w:val="es-DO"/>
              </w:rPr>
              <w:t>9</w:t>
            </w:r>
          </w:p>
        </w:tc>
      </w:tr>
      <w:tr w:rsidR="00546FED" w:rsidRPr="008450F1" w:rsidTr="00AF0916">
        <w:trPr>
          <w:trHeight w:val="344"/>
        </w:trPr>
        <w:tc>
          <w:tcPr>
            <w:tcW w:w="1027" w:type="dxa"/>
            <w:tcBorders>
              <w:top w:val="nil"/>
              <w:left w:val="single" w:sz="4" w:space="0" w:color="auto"/>
              <w:bottom w:val="single" w:sz="4" w:space="0" w:color="auto"/>
              <w:right w:val="single" w:sz="4" w:space="0" w:color="auto"/>
            </w:tcBorders>
            <w:shd w:val="clear" w:color="auto" w:fill="AEAAAA" w:themeFill="background2" w:themeFillShade="BF"/>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Total Costos</w:t>
            </w:r>
          </w:p>
        </w:tc>
        <w:tc>
          <w:tcPr>
            <w:tcW w:w="623"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$45.57</w:t>
            </w:r>
          </w:p>
        </w:tc>
        <w:tc>
          <w:tcPr>
            <w:tcW w:w="623"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$14.4</w:t>
            </w:r>
            <w:r w:rsidR="00FA18B1" w:rsidRPr="008450F1">
              <w:rPr>
                <w:rFonts w:ascii="Times New Roman" w:hAnsi="Times New Roman"/>
                <w:b/>
                <w:color w:val="auto"/>
                <w:sz w:val="16"/>
                <w:szCs w:val="16"/>
                <w:lang w:val="es-DO"/>
              </w:rPr>
              <w:t>6</w:t>
            </w:r>
          </w:p>
        </w:tc>
        <w:tc>
          <w:tcPr>
            <w:tcW w:w="512"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$949</w:t>
            </w:r>
          </w:p>
        </w:tc>
        <w:tc>
          <w:tcPr>
            <w:tcW w:w="519"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$949</w:t>
            </w:r>
          </w:p>
        </w:tc>
        <w:tc>
          <w:tcPr>
            <w:tcW w:w="471"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$949</w:t>
            </w:r>
          </w:p>
        </w:tc>
        <w:tc>
          <w:tcPr>
            <w:tcW w:w="517"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$1.24</w:t>
            </w:r>
          </w:p>
        </w:tc>
        <w:tc>
          <w:tcPr>
            <w:tcW w:w="558"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$1.53</w:t>
            </w:r>
          </w:p>
        </w:tc>
        <w:tc>
          <w:tcPr>
            <w:tcW w:w="545"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$2.5</w:t>
            </w:r>
            <w:r w:rsidR="00FA18B1" w:rsidRPr="008450F1">
              <w:rPr>
                <w:rFonts w:ascii="Times New Roman" w:hAnsi="Times New Roman"/>
                <w:b/>
                <w:color w:val="auto"/>
                <w:sz w:val="16"/>
                <w:szCs w:val="16"/>
                <w:lang w:val="es-DO"/>
              </w:rPr>
              <w:t>3</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$2.8</w:t>
            </w:r>
            <w:r w:rsidR="00FA18B1" w:rsidRPr="008450F1">
              <w:rPr>
                <w:rFonts w:ascii="Times New Roman" w:hAnsi="Times New Roman"/>
                <w:b/>
                <w:color w:val="auto"/>
                <w:sz w:val="16"/>
                <w:szCs w:val="16"/>
                <w:lang w:val="es-DO"/>
              </w:rPr>
              <w:t>2</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$3.1</w:t>
            </w:r>
            <w:r w:rsidR="00FA18B1" w:rsidRPr="008450F1">
              <w:rPr>
                <w:rFonts w:ascii="Times New Roman" w:hAnsi="Times New Roman"/>
                <w:b/>
                <w:color w:val="auto"/>
                <w:sz w:val="16"/>
                <w:szCs w:val="16"/>
                <w:lang w:val="es-DO"/>
              </w:rPr>
              <w:t>1</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$3.12</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$3.13</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$2.4</w:t>
            </w:r>
            <w:r w:rsidR="00FA18B1" w:rsidRPr="008450F1">
              <w:rPr>
                <w:rFonts w:ascii="Times New Roman" w:hAnsi="Times New Roman"/>
                <w:b/>
                <w:color w:val="auto"/>
                <w:sz w:val="16"/>
                <w:szCs w:val="16"/>
                <w:lang w:val="es-DO"/>
              </w:rPr>
              <w:t>8</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$2.4</w:t>
            </w:r>
            <w:r w:rsidR="00FA18B1" w:rsidRPr="008450F1">
              <w:rPr>
                <w:rFonts w:ascii="Times New Roman" w:hAnsi="Times New Roman"/>
                <w:b/>
                <w:color w:val="auto"/>
                <w:sz w:val="16"/>
                <w:szCs w:val="16"/>
                <w:lang w:val="es-DO"/>
              </w:rPr>
              <w:t>9</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w:t>
            </w:r>
            <w:r w:rsidR="00FA18B1" w:rsidRPr="008450F1">
              <w:rPr>
                <w:rFonts w:ascii="Times New Roman" w:hAnsi="Times New Roman"/>
                <w:b/>
                <w:color w:val="auto"/>
                <w:sz w:val="16"/>
                <w:szCs w:val="16"/>
                <w:lang w:val="es-DO"/>
              </w:rPr>
              <w:t>50</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$2.5</w:t>
            </w:r>
            <w:r w:rsidR="00FA18B1" w:rsidRPr="008450F1">
              <w:rPr>
                <w:rFonts w:ascii="Times New Roman" w:hAnsi="Times New Roman"/>
                <w:b/>
                <w:color w:val="auto"/>
                <w:sz w:val="16"/>
                <w:szCs w:val="16"/>
                <w:lang w:val="es-DO"/>
              </w:rPr>
              <w:t>1</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$2.52</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$2.53</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$2.54</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$2.55</w:t>
            </w:r>
          </w:p>
        </w:tc>
        <w:tc>
          <w:tcPr>
            <w:tcW w:w="540"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$2.56</w:t>
            </w:r>
          </w:p>
        </w:tc>
        <w:tc>
          <w:tcPr>
            <w:tcW w:w="535" w:type="dxa"/>
            <w:tcBorders>
              <w:top w:val="nil"/>
              <w:left w:val="nil"/>
              <w:bottom w:val="single" w:sz="4" w:space="0" w:color="auto"/>
              <w:right w:val="single" w:sz="4" w:space="0" w:color="auto"/>
            </w:tcBorders>
            <w:shd w:val="clear" w:color="auto" w:fill="AEAAAA" w:themeFill="background2" w:themeFillShade="BF"/>
            <w:noWrap/>
            <w:vAlign w:val="center"/>
            <w:hideMark/>
          </w:tcPr>
          <w:p w:rsidR="001C6EBE" w:rsidRPr="008450F1" w:rsidRDefault="001C6EBE" w:rsidP="00AF0916">
            <w:pPr>
              <w:pStyle w:val="Tabla"/>
              <w:jc w:val="center"/>
              <w:rPr>
                <w:rFonts w:ascii="Times New Roman" w:hAnsi="Times New Roman"/>
                <w:b/>
                <w:color w:val="auto"/>
                <w:sz w:val="16"/>
                <w:szCs w:val="16"/>
                <w:lang w:val="es-DO"/>
              </w:rPr>
            </w:pPr>
            <w:r w:rsidRPr="008450F1">
              <w:rPr>
                <w:rFonts w:ascii="Times New Roman" w:hAnsi="Times New Roman"/>
                <w:b/>
                <w:color w:val="auto"/>
                <w:sz w:val="16"/>
                <w:szCs w:val="16"/>
                <w:lang w:val="es-DO"/>
              </w:rPr>
              <w:t>$2.57</w:t>
            </w:r>
          </w:p>
        </w:tc>
      </w:tr>
    </w:tbl>
    <w:p w:rsidR="001C6EBE" w:rsidRPr="008450F1" w:rsidRDefault="001C6EBE" w:rsidP="00AF0916">
      <w:pPr>
        <w:spacing w:after="0" w:line="240" w:lineRule="auto"/>
        <w:rPr>
          <w:lang w:val="es-DO"/>
        </w:rPr>
      </w:pPr>
    </w:p>
    <w:p w:rsidR="008B09E2" w:rsidRPr="00FA5324" w:rsidRDefault="008B09E2" w:rsidP="00FA5324">
      <w:pPr>
        <w:spacing w:after="0" w:line="240" w:lineRule="auto"/>
        <w:rPr>
          <w:lang w:val="es-DO"/>
        </w:rPr>
      </w:pPr>
    </w:p>
    <w:sectPr w:rsidR="008B09E2" w:rsidRPr="00FA5324" w:rsidSect="00F901A9">
      <w:pgSz w:w="15840" w:h="12240" w:orient="landscape"/>
      <w:pgMar w:top="1440" w:right="1440" w:bottom="1627" w:left="144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Joan Delgado" w:date="2015-10-01T21:01:00Z" w:initials="JD">
    <w:p w:rsidR="006805F0" w:rsidRDefault="006805F0">
      <w:pPr>
        <w:pStyle w:val="CommentText"/>
      </w:pPr>
      <w:r>
        <w:rPr>
          <w:rStyle w:val="CommentReference"/>
        </w:rPr>
        <w:annotationRef/>
      </w:r>
      <w:r>
        <w:t>Citar fuente</w:t>
      </w:r>
    </w:p>
  </w:comment>
  <w:comment w:id="13" w:author="Joan Delgado" w:date="2015-10-01T21:24:00Z" w:initials="JD">
    <w:p w:rsidR="00E279E1" w:rsidRDefault="00E279E1">
      <w:pPr>
        <w:pStyle w:val="CommentText"/>
      </w:pPr>
      <w:r>
        <w:rPr>
          <w:rStyle w:val="CommentReference"/>
        </w:rPr>
        <w:annotationRef/>
      </w:r>
      <w:r>
        <w:t>Citar fuente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43203" w15:done="0"/>
  <w15:commentEx w15:paraId="589AF162" w15:done="0"/>
  <w15:commentEx w15:paraId="083C65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A5" w:rsidRDefault="004A6DA5" w:rsidP="008265C4">
      <w:r>
        <w:separator/>
      </w:r>
    </w:p>
  </w:endnote>
  <w:endnote w:type="continuationSeparator" w:id="0">
    <w:p w:rsidR="004A6DA5" w:rsidRDefault="004A6DA5" w:rsidP="008265C4">
      <w:r>
        <w:continuationSeparator/>
      </w:r>
    </w:p>
  </w:endnote>
  <w:endnote w:type="continuationNotice" w:id="1">
    <w:p w:rsidR="004A6DA5" w:rsidRDefault="004A6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referenci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95674"/>
      <w:docPartObj>
        <w:docPartGallery w:val="Page Numbers (Bottom of Page)"/>
        <w:docPartUnique/>
      </w:docPartObj>
    </w:sdtPr>
    <w:sdtEndPr>
      <w:rPr>
        <w:noProof/>
      </w:rPr>
    </w:sdtEndPr>
    <w:sdtContent>
      <w:p w:rsidR="00635AF4" w:rsidRDefault="00635AF4">
        <w:pPr>
          <w:pStyle w:val="Footer"/>
          <w:jc w:val="right"/>
        </w:pPr>
        <w:r>
          <w:fldChar w:fldCharType="begin"/>
        </w:r>
        <w:r>
          <w:instrText xml:space="preserve"> PAGE   \* MERGEFORMAT </w:instrText>
        </w:r>
        <w:r>
          <w:fldChar w:fldCharType="separate"/>
        </w:r>
        <w:r w:rsidR="00AA3DCF">
          <w:rPr>
            <w:noProof/>
          </w:rPr>
          <w:t>1</w:t>
        </w:r>
        <w:r>
          <w:rPr>
            <w:noProof/>
          </w:rPr>
          <w:fldChar w:fldCharType="end"/>
        </w:r>
      </w:p>
    </w:sdtContent>
  </w:sdt>
  <w:p w:rsidR="00635AF4" w:rsidRDefault="00635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A5" w:rsidRDefault="004A6DA5" w:rsidP="008265C4">
      <w:r>
        <w:separator/>
      </w:r>
    </w:p>
  </w:footnote>
  <w:footnote w:type="continuationSeparator" w:id="0">
    <w:p w:rsidR="004A6DA5" w:rsidRDefault="004A6DA5" w:rsidP="008265C4">
      <w:r>
        <w:continuationSeparator/>
      </w:r>
    </w:p>
  </w:footnote>
  <w:footnote w:type="continuationNotice" w:id="1">
    <w:p w:rsidR="004A6DA5" w:rsidRDefault="004A6DA5">
      <w:pPr>
        <w:spacing w:after="0" w:line="240" w:lineRule="auto"/>
      </w:pPr>
    </w:p>
  </w:footnote>
  <w:footnote w:id="2">
    <w:p w:rsidR="00635AF4" w:rsidRDefault="00635AF4">
      <w:pPr>
        <w:pStyle w:val="FootnoteText"/>
      </w:pPr>
      <w:r w:rsidRPr="00AF0916">
        <w:rPr>
          <w:sz w:val="18"/>
          <w:szCs w:val="18"/>
          <w:vertAlign w:val="superscript"/>
          <w:lang w:val="es-ES"/>
        </w:rPr>
        <w:footnoteRef/>
      </w:r>
      <w:r w:rsidRPr="00940869">
        <w:rPr>
          <w:sz w:val="18"/>
          <w:szCs w:val="18"/>
          <w:lang w:val="es-ES"/>
        </w:rPr>
        <w:t xml:space="preserve"> Los autores agradecen los aportes de</w:t>
      </w:r>
      <w:r>
        <w:rPr>
          <w:sz w:val="18"/>
          <w:szCs w:val="18"/>
          <w:lang w:val="es-ES"/>
        </w:rPr>
        <w:t xml:space="preserve"> </w:t>
      </w:r>
      <w:r w:rsidRPr="00940869">
        <w:rPr>
          <w:sz w:val="18"/>
          <w:szCs w:val="18"/>
          <w:lang w:val="es-ES"/>
        </w:rPr>
        <w:t>Mar</w:t>
      </w:r>
      <w:r>
        <w:rPr>
          <w:sz w:val="18"/>
          <w:szCs w:val="18"/>
          <w:lang w:val="es-ES"/>
        </w:rPr>
        <w:t>í</w:t>
      </w:r>
      <w:r w:rsidRPr="00940869">
        <w:rPr>
          <w:sz w:val="18"/>
          <w:szCs w:val="18"/>
          <w:lang w:val="es-ES"/>
        </w:rPr>
        <w:t>a</w:t>
      </w:r>
      <w:r>
        <w:rPr>
          <w:sz w:val="18"/>
          <w:szCs w:val="18"/>
          <w:lang w:val="es-ES"/>
        </w:rPr>
        <w:t xml:space="preserve"> Victoria Fazio</w:t>
      </w:r>
      <w:r w:rsidRPr="00940869">
        <w:rPr>
          <w:sz w:val="18"/>
          <w:szCs w:val="18"/>
          <w:lang w:val="es-ES"/>
        </w:rPr>
        <w:t xml:space="preserve"> y Solange </w:t>
      </w:r>
      <w:r>
        <w:rPr>
          <w:sz w:val="18"/>
          <w:szCs w:val="18"/>
          <w:lang w:val="es-ES"/>
        </w:rPr>
        <w:t xml:space="preserve">Berstein </w:t>
      </w:r>
      <w:r w:rsidRPr="00940869">
        <w:rPr>
          <w:sz w:val="18"/>
          <w:szCs w:val="18"/>
          <w:lang w:val="es-ES"/>
        </w:rPr>
        <w:t>para el componente de pensiones.</w:t>
      </w:r>
    </w:p>
  </w:footnote>
  <w:footnote w:id="3">
    <w:p w:rsidR="00635AF4" w:rsidRPr="00A9745C" w:rsidRDefault="00635AF4" w:rsidP="00FA5324">
      <w:pPr>
        <w:pStyle w:val="FootnoteText"/>
        <w:ind w:left="180" w:hanging="180"/>
        <w:rPr>
          <w:sz w:val="18"/>
          <w:szCs w:val="18"/>
          <w:lang w:val="es-ES"/>
        </w:rPr>
      </w:pPr>
      <w:r w:rsidRPr="00A9745C">
        <w:rPr>
          <w:rStyle w:val="FootnoteReference"/>
          <w:sz w:val="18"/>
          <w:szCs w:val="18"/>
        </w:rPr>
        <w:footnoteRef/>
      </w:r>
      <w:r w:rsidRPr="00A9745C">
        <w:rPr>
          <w:sz w:val="18"/>
          <w:szCs w:val="18"/>
          <w:lang w:val="es-ES"/>
        </w:rPr>
        <w:t xml:space="preserve"> </w:t>
      </w:r>
      <w:r w:rsidRPr="00AF0916">
        <w:rPr>
          <w:sz w:val="18"/>
          <w:szCs w:val="18"/>
          <w:lang w:val="es-ES_tradnl"/>
        </w:rPr>
        <w:tab/>
      </w:r>
      <w:r w:rsidRPr="00811B4C">
        <w:rPr>
          <w:sz w:val="18"/>
          <w:szCs w:val="18"/>
          <w:lang w:val="es-ES"/>
        </w:rPr>
        <w:t xml:space="preserve">Ver </w:t>
      </w:r>
      <w:r w:rsidRPr="003E5572">
        <w:rPr>
          <w:sz w:val="18"/>
          <w:szCs w:val="18"/>
          <w:lang w:val="es-ES"/>
        </w:rPr>
        <w:t>Bos</w:t>
      </w:r>
      <w:r w:rsidRPr="00A9745C">
        <w:rPr>
          <w:sz w:val="18"/>
          <w:szCs w:val="18"/>
          <w:lang w:val="es-ES"/>
        </w:rPr>
        <w:t>ch, Melguizo y Pagés (2013) para una comparación con otros países. El promedio de cotizantes sobre población ocupada para la región se encuentra cercano a 45%, mientras que el nivel más bajo se da en Bolivia 16% y el más alto en Brasil, Chile, Uruguay y Costa Rica (entre 60 y 70%).</w:t>
      </w:r>
    </w:p>
  </w:footnote>
  <w:footnote w:id="4">
    <w:p w:rsidR="00635AF4" w:rsidRPr="00811B4C" w:rsidRDefault="00635AF4" w:rsidP="00FA5324">
      <w:pPr>
        <w:pStyle w:val="FootnoteText"/>
        <w:ind w:left="180" w:hanging="180"/>
        <w:rPr>
          <w:sz w:val="18"/>
          <w:szCs w:val="18"/>
          <w:lang w:val="es-DO"/>
        </w:rPr>
      </w:pPr>
      <w:r w:rsidRPr="00811B4C">
        <w:rPr>
          <w:rStyle w:val="FootnoteReference"/>
          <w:sz w:val="18"/>
          <w:szCs w:val="18"/>
        </w:rPr>
        <w:footnoteRef/>
      </w:r>
      <w:r w:rsidRPr="00720E13">
        <w:rPr>
          <w:sz w:val="18"/>
          <w:szCs w:val="18"/>
          <w:lang w:val="es-ES_tradnl"/>
        </w:rPr>
        <w:tab/>
      </w:r>
      <w:r w:rsidRPr="00FA5324">
        <w:rPr>
          <w:rStyle w:val="FootnoteReference"/>
        </w:rPr>
        <w:t xml:space="preserve"> </w:t>
      </w:r>
      <w:r w:rsidRPr="00FA5324">
        <w:rPr>
          <w:sz w:val="18"/>
          <w:lang w:val="es-ES"/>
        </w:rPr>
        <w:t xml:space="preserve">La falta de protección en la vejez impone no </w:t>
      </w:r>
      <w:r w:rsidRPr="00AF0916">
        <w:rPr>
          <w:sz w:val="18"/>
          <w:szCs w:val="18"/>
          <w:lang w:val="es-ES"/>
        </w:rPr>
        <w:t>sólo</w:t>
      </w:r>
      <w:r w:rsidRPr="00FA5324">
        <w:rPr>
          <w:sz w:val="18"/>
          <w:lang w:val="es-ES"/>
        </w:rPr>
        <w:t xml:space="preserve"> costos sociales para los adultos mayores y las familias de quienes dependen, sino también costos fiscales (Bosch et al 2013).</w:t>
      </w:r>
    </w:p>
  </w:footnote>
  <w:footnote w:id="5">
    <w:p w:rsidR="00635AF4" w:rsidRPr="00A9745C" w:rsidRDefault="00635AF4" w:rsidP="00FA5324">
      <w:pPr>
        <w:pStyle w:val="FootnoteText"/>
        <w:tabs>
          <w:tab w:val="left" w:pos="270"/>
        </w:tabs>
        <w:ind w:left="180" w:hanging="180"/>
        <w:rPr>
          <w:sz w:val="18"/>
          <w:szCs w:val="18"/>
          <w:lang w:val="es-ES_tradnl"/>
        </w:rPr>
      </w:pPr>
      <w:r w:rsidRPr="00FA5324">
        <w:rPr>
          <w:rStyle w:val="FootnoteReference"/>
          <w:sz w:val="18"/>
        </w:rPr>
        <w:footnoteRef/>
      </w:r>
      <w:r w:rsidRPr="00FA5324">
        <w:rPr>
          <w:rStyle w:val="FootnoteReference"/>
        </w:rPr>
        <w:t xml:space="preserve"> </w:t>
      </w:r>
      <w:r w:rsidRPr="00FA5324">
        <w:rPr>
          <w:rStyle w:val="FootnoteReference"/>
        </w:rPr>
        <w:tab/>
      </w:r>
      <w:r w:rsidRPr="00811B4C">
        <w:rPr>
          <w:color w:val="000000"/>
          <w:sz w:val="18"/>
          <w:szCs w:val="18"/>
          <w:lang w:val="es-ES_tradnl"/>
        </w:rPr>
        <w:t>La tasa de mortalidad materna en Jamaica y Ecuador es 110 muertes por 100.000 nacidos</w:t>
      </w:r>
      <w:r w:rsidRPr="003E5572">
        <w:rPr>
          <w:sz w:val="18"/>
          <w:szCs w:val="18"/>
          <w:lang w:val="es-ES_tradnl"/>
        </w:rPr>
        <w:t xml:space="preserve"> </w:t>
      </w:r>
      <w:r w:rsidRPr="00A9745C">
        <w:rPr>
          <w:color w:val="000000"/>
          <w:sz w:val="18"/>
          <w:szCs w:val="18"/>
          <w:lang w:val="es-ES_tradnl"/>
        </w:rPr>
        <w:t>vivos y 125,9 en RD. El gasto en salud per cápita es US$220 en Jamaica y US$255 en Ecuador, y el de RD es US$256.</w:t>
      </w:r>
    </w:p>
  </w:footnote>
  <w:footnote w:id="6">
    <w:p w:rsidR="00635AF4" w:rsidRPr="00811B4C" w:rsidRDefault="00635AF4" w:rsidP="00FA5324">
      <w:pPr>
        <w:pStyle w:val="FootnoteText"/>
        <w:ind w:left="180" w:hanging="180"/>
        <w:rPr>
          <w:sz w:val="18"/>
          <w:szCs w:val="18"/>
          <w:lang w:val="es-ES_tradnl"/>
        </w:rPr>
      </w:pPr>
      <w:r w:rsidRPr="00811B4C">
        <w:rPr>
          <w:rStyle w:val="FootnoteReference"/>
          <w:sz w:val="18"/>
        </w:rPr>
        <w:footnoteRef/>
      </w:r>
      <w:r w:rsidRPr="00AF0916">
        <w:rPr>
          <w:rStyle w:val="FootnoteReference"/>
          <w:sz w:val="18"/>
        </w:rPr>
        <w:tab/>
      </w:r>
      <w:r w:rsidRPr="00FA5324">
        <w:rPr>
          <w:color w:val="000000"/>
          <w:sz w:val="18"/>
          <w:lang w:val="es-ES_tradnl"/>
        </w:rPr>
        <w:t>Análisis envolvente de datos (DEA por sus siglas en inglés).</w:t>
      </w:r>
    </w:p>
  </w:footnote>
  <w:footnote w:id="7">
    <w:p w:rsidR="00635AF4" w:rsidRPr="00A9745C" w:rsidRDefault="00635AF4" w:rsidP="00FA5324">
      <w:pPr>
        <w:pStyle w:val="FootnoteText"/>
        <w:tabs>
          <w:tab w:val="left" w:pos="270"/>
        </w:tabs>
        <w:ind w:left="180" w:hanging="180"/>
        <w:rPr>
          <w:sz w:val="18"/>
          <w:szCs w:val="18"/>
          <w:lang w:val="pt-BR"/>
        </w:rPr>
      </w:pPr>
      <w:r w:rsidRPr="00811B4C">
        <w:rPr>
          <w:rStyle w:val="FootnoteReference"/>
          <w:sz w:val="18"/>
          <w:szCs w:val="18"/>
        </w:rPr>
        <w:footnoteRef/>
      </w:r>
      <w:r w:rsidRPr="00FA5324">
        <w:rPr>
          <w:sz w:val="18"/>
          <w:lang w:val="es-ES_tradnl"/>
        </w:rPr>
        <w:tab/>
      </w:r>
      <w:r w:rsidRPr="00811B4C">
        <w:rPr>
          <w:spacing w:val="-4"/>
          <w:sz w:val="18"/>
          <w:szCs w:val="18"/>
          <w:lang w:val="es-ES_tradnl"/>
        </w:rPr>
        <w:t>Análisis de 191 países encuentra que RD está 17 puntos porcentuales por debajo del país más eficiente en producir expectativa de vida saludable (Evans DB et al. 2001.</w:t>
      </w:r>
      <w:r w:rsidRPr="00A9745C">
        <w:rPr>
          <w:spacing w:val="-4"/>
          <w:sz w:val="18"/>
          <w:szCs w:val="18"/>
          <w:lang w:val="es-ES_tradnl"/>
        </w:rPr>
        <w:t xml:space="preserve"> </w:t>
      </w:r>
      <w:r w:rsidRPr="00FA5324">
        <w:rPr>
          <w:i/>
          <w:spacing w:val="-4"/>
          <w:sz w:val="18"/>
          <w:lang w:val="en-GB"/>
        </w:rPr>
        <w:t>The comparative efficiency of National Health Systems in producing health</w:t>
      </w:r>
      <w:r w:rsidRPr="00A9745C">
        <w:rPr>
          <w:spacing w:val="-4"/>
          <w:sz w:val="18"/>
          <w:szCs w:val="18"/>
          <w:lang w:val="en-US"/>
        </w:rPr>
        <w:t xml:space="preserve">. GPE Discussion Paper Series No. 29. EIP/GPE/EQC World Health Organization). </w:t>
      </w:r>
      <w:r w:rsidRPr="00A9745C">
        <w:rPr>
          <w:spacing w:val="-4"/>
          <w:sz w:val="18"/>
          <w:szCs w:val="18"/>
          <w:lang w:val="es-ES_tradnl"/>
        </w:rPr>
        <w:t>Otro análisis la sitúa alrededor de 30% en la frontera de producción de esperanza de vida, índice de sobrevivencia infantil, años de vida recuperados por dolencias transmisibles y no transmisibles y causas externas (</w:t>
      </w:r>
      <w:r w:rsidRPr="00FA5324">
        <w:rPr>
          <w:spacing w:val="-4"/>
          <w:sz w:val="18"/>
          <w:lang w:val="es-ES"/>
        </w:rPr>
        <w:t xml:space="preserve">Marinho et al. 2012. </w:t>
      </w:r>
      <w:r w:rsidRPr="00A9745C">
        <w:rPr>
          <w:color w:val="333333"/>
          <w:spacing w:val="-4"/>
          <w:sz w:val="18"/>
          <w:szCs w:val="18"/>
          <w:lang w:val="pt-BR"/>
        </w:rPr>
        <w:t xml:space="preserve">Avaliação de Eficiência em Sistemas de Saúde: Brasil, América Latina, Caribe e OCDE. </w:t>
      </w:r>
      <w:r w:rsidRPr="00A9745C">
        <w:rPr>
          <w:spacing w:val="-4"/>
          <w:sz w:val="18"/>
          <w:szCs w:val="18"/>
          <w:lang w:val="pt-BR"/>
        </w:rPr>
        <w:t>Texto para Discussão 1784. Rio de Janeiro: Instituto de Pesquisa Econômica Aplicada)</w:t>
      </w:r>
      <w:r w:rsidRPr="00A9745C">
        <w:rPr>
          <w:sz w:val="18"/>
          <w:szCs w:val="18"/>
          <w:lang w:val="pt-BR"/>
        </w:rPr>
        <w:t>.</w:t>
      </w:r>
    </w:p>
  </w:footnote>
  <w:footnote w:id="8">
    <w:p w:rsidR="00635AF4" w:rsidRPr="00FA5324" w:rsidRDefault="00635AF4" w:rsidP="00FA5324">
      <w:pPr>
        <w:pStyle w:val="FootnoteText"/>
        <w:ind w:left="180" w:hanging="180"/>
        <w:rPr>
          <w:sz w:val="18"/>
        </w:rPr>
      </w:pPr>
      <w:r w:rsidRPr="00FA5324">
        <w:rPr>
          <w:rStyle w:val="FootnoteReference"/>
        </w:rPr>
        <w:footnoteRef/>
      </w:r>
      <w:r w:rsidRPr="00FA5324">
        <w:rPr>
          <w:rStyle w:val="FootnoteReference"/>
          <w:sz w:val="20"/>
        </w:rPr>
        <w:t xml:space="preserve"> </w:t>
      </w:r>
      <w:r>
        <w:rPr>
          <w:sz w:val="20"/>
        </w:rPr>
        <w:tab/>
      </w:r>
      <w:r w:rsidRPr="00811B4C">
        <w:rPr>
          <w:spacing w:val="-4"/>
          <w:sz w:val="18"/>
          <w:szCs w:val="18"/>
          <w:lang w:val="es-ES_tradnl"/>
        </w:rPr>
        <w:t>Medido como la distancia entre el país y la línea de tendencia polinómica grado 2 de los países que se encuentran en la frontera.</w:t>
      </w:r>
    </w:p>
  </w:footnote>
  <w:footnote w:id="9">
    <w:p w:rsidR="00635AF4" w:rsidRPr="002D7D3C" w:rsidRDefault="00635AF4" w:rsidP="00FA5324">
      <w:pPr>
        <w:pStyle w:val="FootnoteText"/>
        <w:ind w:left="180" w:hanging="180"/>
        <w:rPr>
          <w:sz w:val="18"/>
          <w:szCs w:val="18"/>
        </w:rPr>
      </w:pPr>
      <w:r w:rsidRPr="002D7D3C">
        <w:rPr>
          <w:rStyle w:val="FootnoteReference"/>
          <w:sz w:val="18"/>
          <w:szCs w:val="18"/>
        </w:rPr>
        <w:footnoteRef/>
      </w:r>
      <w:r w:rsidRPr="00FA5324">
        <w:rPr>
          <w:rStyle w:val="FootnoteReference"/>
        </w:rPr>
        <w:tab/>
      </w:r>
      <w:r w:rsidRPr="00FA5324">
        <w:rPr>
          <w:spacing w:val="-4"/>
          <w:sz w:val="18"/>
          <w:lang w:val="es-ES_tradnl"/>
        </w:rPr>
        <w:t>Cuentas Nacionales de Salud RD: Informe Gasto Público en Salud 2011. MSP</w:t>
      </w:r>
      <w:r w:rsidRPr="002D7D3C">
        <w:rPr>
          <w:sz w:val="18"/>
          <w:szCs w:val="18"/>
        </w:rPr>
        <w:t>.</w:t>
      </w:r>
    </w:p>
  </w:footnote>
  <w:footnote w:id="10">
    <w:p w:rsidR="00635AF4" w:rsidRPr="00235F85" w:rsidRDefault="00635AF4">
      <w:pPr>
        <w:pStyle w:val="FootnoteText"/>
        <w:rPr>
          <w:sz w:val="18"/>
          <w:szCs w:val="18"/>
        </w:rPr>
      </w:pPr>
      <w:r w:rsidRPr="00235F85">
        <w:rPr>
          <w:rStyle w:val="FootnoteReference"/>
          <w:sz w:val="18"/>
          <w:szCs w:val="18"/>
        </w:rPr>
        <w:footnoteRef/>
      </w:r>
      <w:r w:rsidRPr="00235F85">
        <w:rPr>
          <w:sz w:val="18"/>
          <w:szCs w:val="18"/>
        </w:rPr>
        <w:t xml:space="preserve"> Este ejemplo para la región también es relevante para estimar el beneficio del mayor ahorro previsional.</w:t>
      </w:r>
    </w:p>
  </w:footnote>
  <w:footnote w:id="11">
    <w:p w:rsidR="00682DB4" w:rsidRPr="00682DB4" w:rsidRDefault="00682DB4">
      <w:pPr>
        <w:pStyle w:val="FootnoteText"/>
      </w:pPr>
      <w:r>
        <w:rPr>
          <w:rStyle w:val="FootnoteReference"/>
        </w:rPr>
        <w:footnoteRef/>
      </w:r>
      <w:r>
        <w:t xml:space="preserve"> </w:t>
      </w:r>
      <w:r>
        <w:rPr>
          <w:sz w:val="18"/>
          <w:lang w:val="es-DO"/>
        </w:rPr>
        <w:t>SURA Asset Management.</w:t>
      </w:r>
      <w:r w:rsidRPr="00FA5324">
        <w:rPr>
          <w:sz w:val="18"/>
          <w:lang w:val="es-DO"/>
        </w:rPr>
        <w:t>Acuña R, Villar L, Villagomez A, Fuentes R, Secada P.</w:t>
      </w:r>
      <w:r>
        <w:rPr>
          <w:sz w:val="18"/>
          <w:lang w:val="es-DO"/>
        </w:rPr>
        <w:t xml:space="preserve"> (eds) (2013)</w:t>
      </w:r>
      <w:r w:rsidRPr="00FA5324">
        <w:rPr>
          <w:sz w:val="18"/>
          <w:lang w:val="es-DO"/>
        </w:rPr>
        <w:t xml:space="preserve"> </w:t>
      </w:r>
      <w:r>
        <w:rPr>
          <w:sz w:val="18"/>
          <w:lang w:val="es-DO"/>
        </w:rPr>
        <w:t xml:space="preserve"> </w:t>
      </w:r>
      <w:r w:rsidRPr="00FA5324">
        <w:rPr>
          <w:sz w:val="18"/>
          <w:lang w:val="es-DO"/>
        </w:rPr>
        <w:t>Contribución del sistema privado de pensiones al desarrollo económico de Latinoamérica</w:t>
      </w:r>
      <w:r>
        <w:rPr>
          <w:sz w:val="18"/>
          <w:lang w:val="es-DO"/>
        </w:rPr>
        <w:t>.</w:t>
      </w:r>
    </w:p>
  </w:footnote>
  <w:footnote w:id="12">
    <w:p w:rsidR="00635AF4" w:rsidRPr="00D10540" w:rsidRDefault="00635AF4" w:rsidP="00811B4C">
      <w:pPr>
        <w:pStyle w:val="FootnoteText"/>
        <w:rPr>
          <w:sz w:val="18"/>
          <w:szCs w:val="18"/>
          <w:lang w:val="es-ES"/>
        </w:rPr>
      </w:pPr>
      <w:r w:rsidRPr="00235F85">
        <w:rPr>
          <w:sz w:val="18"/>
          <w:szCs w:val="18"/>
          <w:vertAlign w:val="superscript"/>
          <w:lang w:val="es-ES"/>
        </w:rPr>
        <w:footnoteRef/>
      </w:r>
      <w:r w:rsidRPr="00D10540">
        <w:rPr>
          <w:sz w:val="18"/>
          <w:szCs w:val="18"/>
          <w:vertAlign w:val="superscript"/>
          <w:lang w:val="es-ES"/>
        </w:rPr>
        <w:t xml:space="preserve"> </w:t>
      </w:r>
      <w:r w:rsidRPr="00D10540">
        <w:rPr>
          <w:sz w:val="18"/>
          <w:szCs w:val="18"/>
          <w:lang w:val="es-ES"/>
        </w:rPr>
        <w:t>Aquellas que buscan incrementar la financiación de las pensiones, fortaleciendo los sistemas de contribución definid</w:t>
      </w:r>
      <w:r>
        <w:rPr>
          <w:sz w:val="18"/>
          <w:szCs w:val="18"/>
          <w:lang w:val="es-ES"/>
        </w:rPr>
        <w:t xml:space="preserve">a en lugar de </w:t>
      </w:r>
      <w:r w:rsidRPr="00D10540">
        <w:rPr>
          <w:sz w:val="18"/>
          <w:szCs w:val="18"/>
          <w:lang w:val="es-ES"/>
        </w:rPr>
        <w:t>los de beneficios definidos. Así como la focalización de los beneficios subsidiados mediante mecanismos que minimicen la</w:t>
      </w:r>
      <w:r>
        <w:rPr>
          <w:sz w:val="18"/>
          <w:szCs w:val="18"/>
          <w:lang w:val="es-ES"/>
        </w:rPr>
        <w:t>s</w:t>
      </w:r>
      <w:r w:rsidRPr="00D10540">
        <w:rPr>
          <w:sz w:val="18"/>
          <w:szCs w:val="18"/>
          <w:lang w:val="es-ES"/>
        </w:rPr>
        <w:t xml:space="preserve"> distorsiones del mercado laboral </w:t>
      </w:r>
      <w:sdt>
        <w:sdtPr>
          <w:rPr>
            <w:sz w:val="18"/>
            <w:szCs w:val="18"/>
            <w:lang w:val="es-ES"/>
          </w:rPr>
          <w:id w:val="-479383284"/>
          <w:citation/>
        </w:sdtPr>
        <w:sdtEndPr/>
        <w:sdtContent>
          <w:r w:rsidRPr="00D10540">
            <w:rPr>
              <w:sz w:val="18"/>
              <w:szCs w:val="18"/>
              <w:lang w:val="es-ES"/>
            </w:rPr>
            <w:fldChar w:fldCharType="begin"/>
          </w:r>
          <w:r w:rsidRPr="00D10540">
            <w:rPr>
              <w:sz w:val="18"/>
              <w:szCs w:val="18"/>
              <w:lang w:val="es-ES"/>
            </w:rPr>
            <w:instrText xml:space="preserve"> CITATION Bos13 \l 9226 </w:instrText>
          </w:r>
          <w:r w:rsidRPr="00D10540">
            <w:rPr>
              <w:sz w:val="18"/>
              <w:szCs w:val="18"/>
              <w:lang w:val="es-ES"/>
            </w:rPr>
            <w:fldChar w:fldCharType="separate"/>
          </w:r>
          <w:r w:rsidRPr="00160DA0">
            <w:rPr>
              <w:noProof/>
              <w:sz w:val="18"/>
              <w:szCs w:val="18"/>
              <w:lang w:val="es-ES"/>
            </w:rPr>
            <w:t>(Bosch, Melguizo, &amp; Pagés, 2013)</w:t>
          </w:r>
          <w:r w:rsidRPr="00D10540">
            <w:rPr>
              <w:sz w:val="18"/>
              <w:szCs w:val="18"/>
              <w:lang w:val="es-ES"/>
            </w:rPr>
            <w:fldChar w:fldCharType="end"/>
          </w:r>
        </w:sdtContent>
      </w:sdt>
      <w:r w:rsidRPr="00D10540">
        <w:rPr>
          <w:sz w:val="18"/>
          <w:szCs w:val="18"/>
          <w:lang w:val="es-ES"/>
        </w:rPr>
        <w:t>.</w:t>
      </w:r>
    </w:p>
  </w:footnote>
  <w:footnote w:id="13">
    <w:p w:rsidR="001840E8" w:rsidRPr="004759CA" w:rsidRDefault="001840E8" w:rsidP="004759CA">
      <w:pPr>
        <w:pStyle w:val="Tabla"/>
        <w:rPr>
          <w:lang w:val="es-ES_tradnl"/>
        </w:rPr>
      </w:pPr>
      <w:r>
        <w:rPr>
          <w:rStyle w:val="FootnoteReference"/>
        </w:rPr>
        <w:footnoteRef/>
      </w:r>
      <w:r>
        <w:t xml:space="preserve"> </w:t>
      </w:r>
      <w:r>
        <w:rPr>
          <w:rFonts w:ascii="Times New Roman" w:hAnsi="Times New Roman"/>
          <w:color w:val="auto"/>
          <w:sz w:val="18"/>
          <w:lang w:val="es-DO"/>
        </w:rPr>
        <w:t>SURA Asset Management.</w:t>
      </w:r>
      <w:r w:rsidRPr="00FA5324">
        <w:rPr>
          <w:rFonts w:ascii="Times New Roman" w:hAnsi="Times New Roman"/>
          <w:color w:val="auto"/>
          <w:sz w:val="18"/>
          <w:lang w:val="es-DO"/>
        </w:rPr>
        <w:t>Acuña R, Villar L, Villagomez A, Fuentes R, Secada P.</w:t>
      </w:r>
      <w:r>
        <w:rPr>
          <w:rFonts w:ascii="Times New Roman" w:hAnsi="Times New Roman"/>
          <w:color w:val="auto"/>
          <w:sz w:val="18"/>
          <w:lang w:val="es-DO"/>
        </w:rPr>
        <w:t xml:space="preserve"> (eds) (2013)</w:t>
      </w:r>
      <w:r w:rsidRPr="00FA5324">
        <w:rPr>
          <w:rFonts w:ascii="Times New Roman" w:hAnsi="Times New Roman"/>
          <w:color w:val="auto"/>
          <w:sz w:val="18"/>
          <w:lang w:val="es-DO"/>
        </w:rPr>
        <w:t xml:space="preserve"> </w:t>
      </w:r>
      <w:r>
        <w:rPr>
          <w:rFonts w:ascii="Times New Roman" w:hAnsi="Times New Roman"/>
          <w:color w:val="auto"/>
          <w:sz w:val="18"/>
          <w:lang w:val="es-DO"/>
        </w:rPr>
        <w:t xml:space="preserve"> </w:t>
      </w:r>
      <w:r w:rsidRPr="00FA5324">
        <w:rPr>
          <w:rFonts w:ascii="Times New Roman" w:hAnsi="Times New Roman"/>
          <w:color w:val="auto"/>
          <w:sz w:val="18"/>
          <w:lang w:val="es-DO"/>
        </w:rPr>
        <w:t>Contribución del sistema privado de pensiones al desarrollo económico de Latinoamérica</w:t>
      </w:r>
      <w:r>
        <w:rPr>
          <w:rFonts w:ascii="Times New Roman" w:hAnsi="Times New Roman"/>
          <w:color w:val="auto"/>
          <w:sz w:val="18"/>
          <w:lang w:val="es-DO"/>
        </w:rPr>
        <w:t xml:space="preserve">. </w:t>
      </w:r>
    </w:p>
  </w:footnote>
  <w:footnote w:id="14">
    <w:p w:rsidR="001840E8" w:rsidRPr="001840E8" w:rsidRDefault="001840E8">
      <w:pPr>
        <w:pStyle w:val="FootnoteText"/>
      </w:pPr>
      <w:r>
        <w:rPr>
          <w:rStyle w:val="FootnoteReference"/>
        </w:rPr>
        <w:footnoteRef/>
      </w:r>
      <w:r>
        <w:t xml:space="preserve"> </w:t>
      </w:r>
      <w:r>
        <w:rPr>
          <w:sz w:val="18"/>
          <w:lang w:val="es-DO"/>
        </w:rPr>
        <w:t>SURA Asset Management.</w:t>
      </w:r>
      <w:r w:rsidRPr="00FA5324">
        <w:rPr>
          <w:sz w:val="18"/>
          <w:lang w:val="es-DO"/>
        </w:rPr>
        <w:t>Acuña R, Villar L, Villagomez A, Fuentes R, Secada P.</w:t>
      </w:r>
      <w:r>
        <w:rPr>
          <w:sz w:val="18"/>
          <w:lang w:val="es-DO"/>
        </w:rPr>
        <w:t xml:space="preserve"> (eds) (2013)</w:t>
      </w:r>
      <w:r w:rsidRPr="00FA5324">
        <w:rPr>
          <w:sz w:val="18"/>
          <w:lang w:val="es-DO"/>
        </w:rPr>
        <w:t xml:space="preserve"> </w:t>
      </w:r>
      <w:r>
        <w:rPr>
          <w:sz w:val="18"/>
          <w:lang w:val="es-DO"/>
        </w:rPr>
        <w:t xml:space="preserve"> </w:t>
      </w:r>
      <w:r w:rsidRPr="00FA5324">
        <w:rPr>
          <w:sz w:val="18"/>
          <w:lang w:val="es-DO"/>
        </w:rPr>
        <w:t>Contribución del sistema privado de pensiones al desarrollo económico de Latinoamérica</w:t>
      </w:r>
      <w:r>
        <w:rPr>
          <w:sz w:val="18"/>
          <w:lang w:val="es-DO"/>
        </w:rPr>
        <w:t>.</w:t>
      </w:r>
    </w:p>
  </w:footnote>
  <w:footnote w:id="15">
    <w:p w:rsidR="00B57188" w:rsidRPr="004759CA" w:rsidRDefault="00B57188">
      <w:pPr>
        <w:pStyle w:val="FootnoteText"/>
        <w:rPr>
          <w:sz w:val="18"/>
          <w:szCs w:val="18"/>
        </w:rPr>
      </w:pPr>
      <w:r w:rsidRPr="004759CA">
        <w:rPr>
          <w:rStyle w:val="FootnoteReference"/>
          <w:sz w:val="18"/>
          <w:szCs w:val="18"/>
        </w:rPr>
        <w:footnoteRef/>
      </w:r>
      <w:r w:rsidRPr="004759CA">
        <w:rPr>
          <w:sz w:val="18"/>
          <w:szCs w:val="18"/>
        </w:rPr>
        <w:t xml:space="preserve"> Se refiere a los Fondos de pensiones como porcentaje del PIB. Se </w:t>
      </w:r>
      <w:r w:rsidRPr="00B57188">
        <w:rPr>
          <w:sz w:val="18"/>
          <w:szCs w:val="18"/>
        </w:rPr>
        <w:t>estim</w:t>
      </w:r>
      <w:r>
        <w:rPr>
          <w:sz w:val="18"/>
          <w:szCs w:val="18"/>
        </w:rPr>
        <w:t>ó</w:t>
      </w:r>
      <w:r w:rsidRPr="004759CA">
        <w:rPr>
          <w:sz w:val="18"/>
          <w:szCs w:val="18"/>
        </w:rPr>
        <w:t xml:space="preserve"> en 10% en base a supuestos según los datos en </w:t>
      </w:r>
      <w:r w:rsidRPr="00B57188">
        <w:rPr>
          <w:sz w:val="18"/>
          <w:szCs w:val="18"/>
          <w:lang w:val="es-DO"/>
        </w:rPr>
        <w:t>SURA Asset Management.Acuña R, Villar L, Villagomez A, Fuentes R, Secada P. (eds) (2013)</w:t>
      </w:r>
      <w:r w:rsidRPr="004759CA">
        <w:rPr>
          <w:sz w:val="18"/>
          <w:szCs w:val="18"/>
          <w:lang w:val="es-DO"/>
        </w:rPr>
        <w:t xml:space="preserve">  Contribución del sistema privado de pensiones al desarrollo económico de Latinoamérica.</w:t>
      </w:r>
    </w:p>
  </w:footnote>
  <w:footnote w:id="16">
    <w:p w:rsidR="00635AF4" w:rsidRPr="00671413" w:rsidRDefault="00635AF4">
      <w:pPr>
        <w:pStyle w:val="FootnoteText"/>
      </w:pPr>
      <w:r w:rsidRPr="00B57188">
        <w:rPr>
          <w:rStyle w:val="FootnoteReference"/>
          <w:sz w:val="18"/>
          <w:szCs w:val="18"/>
        </w:rPr>
        <w:footnoteRef/>
      </w:r>
      <w:r w:rsidRPr="00B57188">
        <w:rPr>
          <w:sz w:val="18"/>
          <w:szCs w:val="18"/>
        </w:rPr>
        <w:t xml:space="preserve"> Es de señalarse que el sistema dominicano guarda una gran similitud con el sistema colombiano.</w:t>
      </w:r>
    </w:p>
  </w:footnote>
  <w:footnote w:id="17">
    <w:p w:rsidR="00635AF4" w:rsidRPr="003E73A4" w:rsidRDefault="00635AF4">
      <w:pPr>
        <w:pStyle w:val="FootnoteText"/>
        <w:rPr>
          <w:sz w:val="18"/>
          <w:szCs w:val="18"/>
        </w:rPr>
      </w:pPr>
      <w:r w:rsidRPr="003E73A4">
        <w:rPr>
          <w:rStyle w:val="FootnoteReference"/>
          <w:sz w:val="18"/>
          <w:szCs w:val="18"/>
        </w:rPr>
        <w:footnoteRef/>
      </w:r>
      <w:r w:rsidRPr="003E73A4">
        <w:rPr>
          <w:sz w:val="18"/>
          <w:szCs w:val="18"/>
        </w:rPr>
        <w:t xml:space="preserve"> La separación de funciones, como está prevista en la normativa, envuelve la creación del Instituto Coordinador de los Servicios Públicos de Salud, que será responsable por la función de provisión.</w:t>
      </w:r>
    </w:p>
  </w:footnote>
  <w:footnote w:id="18">
    <w:p w:rsidR="00635AF4" w:rsidRPr="00AF0916" w:rsidRDefault="00635AF4">
      <w:pPr>
        <w:pStyle w:val="FootnoteText"/>
      </w:pPr>
      <w:r w:rsidRPr="00AF0916">
        <w:rPr>
          <w:rStyle w:val="FootnoteReference"/>
          <w:sz w:val="18"/>
        </w:rPr>
        <w:footnoteRef/>
      </w:r>
      <w:r>
        <w:t xml:space="preserve"> </w:t>
      </w:r>
      <w:r w:rsidRPr="00E73697">
        <w:rPr>
          <w:i/>
          <w:sz w:val="18"/>
        </w:rPr>
        <w:t xml:space="preserve">Fuente: Consolidado a partir de </w:t>
      </w:r>
      <w:r w:rsidRPr="00E73697">
        <w:rPr>
          <w:i/>
          <w:noProof/>
          <w:sz w:val="18"/>
        </w:rPr>
        <w:t xml:space="preserve">Davis &amp; Hu </w:t>
      </w:r>
      <w:r>
        <w:rPr>
          <w:i/>
          <w:noProof/>
          <w:sz w:val="18"/>
        </w:rPr>
        <w:t>(</w:t>
      </w:r>
      <w:r w:rsidRPr="00E73697">
        <w:rPr>
          <w:i/>
          <w:noProof/>
          <w:sz w:val="18"/>
        </w:rPr>
        <w:t>2004)</w:t>
      </w:r>
      <w:r>
        <w:rPr>
          <w:i/>
          <w:noProof/>
          <w:sz w:val="18"/>
        </w:rPr>
        <w:t>,</w:t>
      </w:r>
      <w:r w:rsidRPr="00E73697">
        <w:rPr>
          <w:i/>
          <w:noProof/>
          <w:sz w:val="18"/>
        </w:rPr>
        <w:t xml:space="preserve"> </w:t>
      </w:r>
      <w:r w:rsidRPr="00FA18B1">
        <w:rPr>
          <w:i/>
          <w:noProof/>
          <w:sz w:val="18"/>
        </w:rPr>
        <w:t>Bijlsma et al (</w:t>
      </w:r>
      <w:r w:rsidRPr="00E73697">
        <w:rPr>
          <w:i/>
          <w:noProof/>
          <w:sz w:val="18"/>
        </w:rPr>
        <w:t>2014)</w:t>
      </w:r>
      <w:r>
        <w:rPr>
          <w:i/>
          <w:noProof/>
          <w:sz w:val="18"/>
        </w:rPr>
        <w:t>,</w:t>
      </w:r>
      <w:r w:rsidRPr="00E73697">
        <w:rPr>
          <w:i/>
          <w:noProof/>
          <w:sz w:val="18"/>
        </w:rPr>
        <w:t xml:space="preserve"> Kipanga </w:t>
      </w:r>
      <w:r>
        <w:rPr>
          <w:i/>
          <w:noProof/>
          <w:sz w:val="18"/>
        </w:rPr>
        <w:t>(</w:t>
      </w:r>
      <w:r w:rsidRPr="00E73697">
        <w:rPr>
          <w:i/>
          <w:noProof/>
          <w:sz w:val="18"/>
        </w:rPr>
        <w:t>2012)</w:t>
      </w:r>
      <w:r>
        <w:rPr>
          <w:i/>
          <w:noProof/>
          <w:sz w:val="18"/>
        </w:rPr>
        <w:t>,</w:t>
      </w:r>
      <w:r w:rsidRPr="00E73697">
        <w:rPr>
          <w:i/>
          <w:noProof/>
          <w:sz w:val="18"/>
        </w:rPr>
        <w:t xml:space="preserve"> Bebczuk &amp; Musalem </w:t>
      </w:r>
      <w:r>
        <w:rPr>
          <w:i/>
          <w:noProof/>
          <w:sz w:val="18"/>
        </w:rPr>
        <w:t>(</w:t>
      </w:r>
      <w:r w:rsidRPr="00E73697">
        <w:rPr>
          <w:i/>
          <w:noProof/>
          <w:sz w:val="18"/>
        </w:rPr>
        <w:t>2006)</w:t>
      </w:r>
      <w:r>
        <w:rPr>
          <w:i/>
          <w:noProof/>
          <w:sz w:val="18"/>
        </w:rPr>
        <w:t>,</w:t>
      </w:r>
      <w:r w:rsidRPr="00E73697">
        <w:rPr>
          <w:i/>
          <w:sz w:val="18"/>
        </w:rPr>
        <w:t xml:space="preserve"> </w:t>
      </w:r>
      <w:r w:rsidRPr="00E73697">
        <w:rPr>
          <w:i/>
          <w:noProof/>
          <w:sz w:val="18"/>
        </w:rPr>
        <w:t xml:space="preserve">Mungoma </w:t>
      </w:r>
      <w:r>
        <w:rPr>
          <w:i/>
          <w:noProof/>
          <w:sz w:val="18"/>
        </w:rPr>
        <w:t>(</w:t>
      </w:r>
      <w:r w:rsidRPr="00E73697">
        <w:rPr>
          <w:i/>
          <w:noProof/>
          <w:sz w:val="18"/>
        </w:rPr>
        <w:t>2011)</w:t>
      </w:r>
      <w:r>
        <w:rPr>
          <w:i/>
          <w:noProof/>
          <w:sz w:val="18"/>
        </w:rPr>
        <w:t xml:space="preserve"> y</w:t>
      </w:r>
      <w:r w:rsidRPr="00E73697">
        <w:rPr>
          <w:i/>
          <w:noProof/>
          <w:sz w:val="18"/>
        </w:rPr>
        <w:t xml:space="preserve"> </w:t>
      </w:r>
      <w:r w:rsidRPr="00FA18B1">
        <w:rPr>
          <w:i/>
          <w:noProof/>
          <w:sz w:val="18"/>
        </w:rPr>
        <w:t>Zandberg &amp; Spierdijk (</w:t>
      </w:r>
      <w:r w:rsidRPr="00E73697">
        <w:rPr>
          <w:i/>
          <w:noProof/>
          <w:sz w:val="18"/>
        </w:rPr>
        <w:t>2010)</w:t>
      </w:r>
      <w:r>
        <w:rPr>
          <w:i/>
          <w:noProof/>
          <w:sz w:val="18"/>
        </w:rPr>
        <w:t>.</w:t>
      </w:r>
    </w:p>
  </w:footnote>
  <w:footnote w:id="19">
    <w:p w:rsidR="00635AF4" w:rsidRPr="00AF0916" w:rsidRDefault="00635AF4">
      <w:pPr>
        <w:pStyle w:val="FootnoteText"/>
      </w:pPr>
      <w:r w:rsidRPr="00AF0916">
        <w:rPr>
          <w:rStyle w:val="FootnoteReference"/>
          <w:sz w:val="18"/>
        </w:rPr>
        <w:footnoteRef/>
      </w:r>
      <w:r>
        <w:t xml:space="preserve"> </w:t>
      </w:r>
      <w:r w:rsidRPr="00E73697">
        <w:rPr>
          <w:i/>
          <w:sz w:val="18"/>
        </w:rPr>
        <w:t xml:space="preserve">Fuentes: </w:t>
      </w:r>
      <w:r w:rsidRPr="00E73697">
        <w:rPr>
          <w:i/>
          <w:noProof/>
          <w:sz w:val="18"/>
        </w:rPr>
        <w:t>Secretaría de Estado de Sa</w:t>
      </w:r>
      <w:r w:rsidRPr="00FA18B1">
        <w:rPr>
          <w:i/>
          <w:noProof/>
          <w:sz w:val="18"/>
        </w:rPr>
        <w:t>lud Pública y Asistencia Social</w:t>
      </w:r>
      <w:r w:rsidRPr="00E73697">
        <w:rPr>
          <w:i/>
          <w:noProof/>
          <w:sz w:val="18"/>
        </w:rPr>
        <w:t xml:space="preserve"> </w:t>
      </w:r>
      <w:r>
        <w:rPr>
          <w:i/>
          <w:noProof/>
          <w:sz w:val="18"/>
        </w:rPr>
        <w:t>(</w:t>
      </w:r>
      <w:r w:rsidRPr="00E73697">
        <w:rPr>
          <w:i/>
          <w:noProof/>
          <w:sz w:val="18"/>
        </w:rPr>
        <w:t>2010)</w:t>
      </w:r>
      <w:r>
        <w:rPr>
          <w:i/>
          <w:noProof/>
          <w:sz w:val="18"/>
        </w:rPr>
        <w:t>,</w:t>
      </w:r>
      <w:r w:rsidRPr="00E73697">
        <w:rPr>
          <w:i/>
          <w:sz w:val="18"/>
        </w:rPr>
        <w:t xml:space="preserve"> </w:t>
      </w:r>
      <w:r w:rsidRPr="00FA18B1">
        <w:rPr>
          <w:i/>
          <w:noProof/>
          <w:sz w:val="18"/>
        </w:rPr>
        <w:t>Oficina Nacional de Estadística</w:t>
      </w:r>
      <w:r w:rsidRPr="00E73697">
        <w:rPr>
          <w:i/>
          <w:noProof/>
          <w:sz w:val="18"/>
        </w:rPr>
        <w:t xml:space="preserve"> </w:t>
      </w:r>
      <w:r>
        <w:rPr>
          <w:i/>
          <w:noProof/>
          <w:sz w:val="18"/>
        </w:rPr>
        <w:t>(</w:t>
      </w:r>
      <w:r w:rsidRPr="00E73697">
        <w:rPr>
          <w:i/>
          <w:noProof/>
          <w:sz w:val="18"/>
        </w:rPr>
        <w:t>2014)</w:t>
      </w:r>
      <w:r>
        <w:rPr>
          <w:i/>
          <w:noProof/>
          <w:sz w:val="18"/>
        </w:rPr>
        <w:t>.</w:t>
      </w:r>
    </w:p>
  </w:footnote>
  <w:footnote w:id="20">
    <w:p w:rsidR="00635AF4" w:rsidRPr="00AF0916" w:rsidRDefault="00635AF4">
      <w:pPr>
        <w:pStyle w:val="FootnoteText"/>
      </w:pPr>
      <w:r w:rsidRPr="00AF0916">
        <w:rPr>
          <w:rStyle w:val="FootnoteReference"/>
          <w:sz w:val="18"/>
        </w:rPr>
        <w:footnoteRef/>
      </w:r>
      <w:r w:rsidRPr="00AF0916">
        <w:rPr>
          <w:sz w:val="18"/>
        </w:rPr>
        <w:t xml:space="preserve"> </w:t>
      </w:r>
      <w:r w:rsidRPr="00E73697">
        <w:rPr>
          <w:i/>
          <w:sz w:val="18"/>
        </w:rPr>
        <w:t>Fuente: proyecciones propias a partir de las estimaciones y proyecciones de la ONE 2007 y 2014.</w:t>
      </w:r>
    </w:p>
  </w:footnote>
  <w:footnote w:id="21">
    <w:p w:rsidR="00635AF4" w:rsidRPr="00AF0916" w:rsidRDefault="00635AF4" w:rsidP="00AF0916">
      <w:pPr>
        <w:spacing w:after="0" w:line="240" w:lineRule="auto"/>
        <w:rPr>
          <w:i/>
          <w:sz w:val="18"/>
          <w:lang w:bidi="x-none"/>
        </w:rPr>
      </w:pPr>
      <w:r w:rsidRPr="00AF0916">
        <w:rPr>
          <w:rStyle w:val="FootnoteReference"/>
          <w:sz w:val="18"/>
        </w:rPr>
        <w:footnoteRef/>
      </w:r>
      <w:r>
        <w:t xml:space="preserve"> </w:t>
      </w:r>
      <w:r w:rsidRPr="00E73697">
        <w:rPr>
          <w:i/>
          <w:sz w:val="18"/>
          <w:lang w:bidi="x-none"/>
        </w:rPr>
        <w:t>Fuente: serie de datos de SISDOM, Ficha: 06 3 002 ‘Población económicamente activa’ y proyecciones propias. La proporción de la población asalariada se obtuvo de los datos del SISDOM 2012, ficha: 06 3 002 ‘Población económicamente activa’. Se proyectó mediante una tendencia lineal. Ver Gráfico 7</w:t>
      </w:r>
      <w:r>
        <w:rPr>
          <w:i/>
          <w:sz w:val="18"/>
          <w:lang w:bidi="x-none"/>
        </w:rPr>
        <w:t>.</w:t>
      </w:r>
    </w:p>
  </w:footnote>
  <w:footnote w:id="22">
    <w:p w:rsidR="00635AF4" w:rsidRPr="00AF0916" w:rsidRDefault="00635AF4" w:rsidP="00AF0916">
      <w:pPr>
        <w:spacing w:after="0" w:line="240" w:lineRule="auto"/>
        <w:jc w:val="left"/>
        <w:rPr>
          <w:sz w:val="20"/>
        </w:rPr>
      </w:pPr>
      <w:r w:rsidRPr="00AF0916">
        <w:rPr>
          <w:rStyle w:val="FootnoteReference"/>
          <w:sz w:val="18"/>
        </w:rPr>
        <w:footnoteRef/>
      </w:r>
      <w:r w:rsidRPr="00AF0916">
        <w:rPr>
          <w:sz w:val="18"/>
        </w:rPr>
        <w:t xml:space="preserve"> </w:t>
      </w:r>
      <w:r w:rsidRPr="00E73697">
        <w:rPr>
          <w:sz w:val="18"/>
          <w:lang w:bidi="x-none"/>
        </w:rPr>
        <w:t>Fuente: serie de datos de SISDOM Ficha: 06 3 002 ‘Población económicamente activa (PEA)’ y proyecciones propias.</w:t>
      </w:r>
    </w:p>
  </w:footnote>
  <w:footnote w:id="23">
    <w:p w:rsidR="00635AF4" w:rsidRPr="00AF0916" w:rsidRDefault="00635AF4" w:rsidP="00AF0916">
      <w:pPr>
        <w:spacing w:after="0" w:line="240" w:lineRule="auto"/>
        <w:rPr>
          <w:sz w:val="20"/>
        </w:rPr>
      </w:pPr>
      <w:r w:rsidRPr="00AF0916">
        <w:rPr>
          <w:rStyle w:val="FootnoteReference"/>
          <w:sz w:val="18"/>
        </w:rPr>
        <w:footnoteRef/>
      </w:r>
      <w:r>
        <w:t xml:space="preserve"> </w:t>
      </w:r>
      <w:r w:rsidRPr="00E73697">
        <w:rPr>
          <w:i/>
          <w:sz w:val="18"/>
          <w:lang w:bidi="x-none"/>
        </w:rPr>
        <w:t>Fuente: serie de datos de SIS</w:t>
      </w:r>
      <w:r>
        <w:rPr>
          <w:i/>
          <w:sz w:val="18"/>
          <w:lang w:bidi="x-none"/>
        </w:rPr>
        <w:t>DOM</w:t>
      </w:r>
      <w:r w:rsidRPr="00E73697">
        <w:rPr>
          <w:i/>
          <w:sz w:val="18"/>
          <w:lang w:bidi="x-none"/>
        </w:rPr>
        <w:t xml:space="preserve"> Ficha: 06 3 002 ‘Población económicamente activa’, reporte afiliados de la SISALRIL y proyecciones propias.</w:t>
      </w:r>
    </w:p>
  </w:footnote>
  <w:footnote w:id="24">
    <w:p w:rsidR="00635AF4" w:rsidRPr="00AF0916" w:rsidRDefault="00635AF4">
      <w:pPr>
        <w:pStyle w:val="FootnoteText"/>
        <w:rPr>
          <w:lang w:val="es-DO"/>
        </w:rPr>
      </w:pPr>
      <w:r>
        <w:rPr>
          <w:rStyle w:val="FootnoteReference"/>
        </w:rPr>
        <w:footnoteRef/>
      </w:r>
      <w:r>
        <w:t xml:space="preserve"> </w:t>
      </w:r>
      <w:r w:rsidRPr="00E73697">
        <w:rPr>
          <w:i/>
          <w:sz w:val="18"/>
          <w:lang w:bidi="x-none"/>
        </w:rPr>
        <w:t>Fuente: estimaciones propias a partir de ONE, SI</w:t>
      </w:r>
      <w:r>
        <w:rPr>
          <w:i/>
          <w:sz w:val="18"/>
          <w:lang w:bidi="x-none"/>
        </w:rPr>
        <w:t>S</w:t>
      </w:r>
      <w:r w:rsidRPr="00E73697">
        <w:rPr>
          <w:i/>
          <w:sz w:val="18"/>
          <w:lang w:bidi="x-none"/>
        </w:rPr>
        <w:t>D</w:t>
      </w:r>
      <w:r>
        <w:rPr>
          <w:i/>
          <w:sz w:val="18"/>
          <w:lang w:bidi="x-none"/>
        </w:rPr>
        <w:t>OM</w:t>
      </w:r>
      <w:r w:rsidRPr="00E73697">
        <w:rPr>
          <w:i/>
          <w:sz w:val="18"/>
          <w:lang w:bidi="x-none"/>
        </w:rPr>
        <w:t xml:space="preserve"> y SISALRIL</w:t>
      </w:r>
      <w:r>
        <w:rPr>
          <w:i/>
          <w:sz w:val="18"/>
          <w:lang w:bidi="x-none"/>
        </w:rPr>
        <w:t>.</w:t>
      </w:r>
    </w:p>
  </w:footnote>
  <w:footnote w:id="25">
    <w:p w:rsidR="00635AF4" w:rsidRPr="00AF0916" w:rsidRDefault="00635AF4">
      <w:pPr>
        <w:pStyle w:val="FootnoteText"/>
        <w:rPr>
          <w:lang w:val="es-DO"/>
        </w:rPr>
      </w:pPr>
      <w:r>
        <w:rPr>
          <w:rStyle w:val="FootnoteReference"/>
        </w:rPr>
        <w:footnoteRef/>
      </w:r>
      <w:r>
        <w:t xml:space="preserve"> </w:t>
      </w:r>
      <w:r w:rsidRPr="00E73697">
        <w:rPr>
          <w:i/>
          <w:sz w:val="18"/>
          <w:lang w:bidi="x-none"/>
        </w:rPr>
        <w:t>Fuente</w:t>
      </w:r>
      <w:r>
        <w:rPr>
          <w:i/>
          <w:sz w:val="18"/>
          <w:lang w:bidi="x-none"/>
        </w:rPr>
        <w:t>:</w:t>
      </w:r>
      <w:r w:rsidRPr="00E73697">
        <w:rPr>
          <w:i/>
          <w:sz w:val="18"/>
          <w:lang w:bidi="x-none"/>
        </w:rPr>
        <w:t xml:space="preserve"> cálculos propias a partir de IMF y SISALRIL</w:t>
      </w:r>
      <w:r>
        <w:rPr>
          <w:i/>
          <w:sz w:val="18"/>
          <w:lang w:bidi="x-none"/>
        </w:rPr>
        <w:t>.</w:t>
      </w:r>
    </w:p>
  </w:footnote>
  <w:footnote w:id="26">
    <w:p w:rsidR="00635AF4" w:rsidRPr="00AF0916" w:rsidRDefault="00635AF4" w:rsidP="00AF0916">
      <w:pPr>
        <w:spacing w:after="0" w:line="240" w:lineRule="auto"/>
        <w:jc w:val="left"/>
        <w:rPr>
          <w:lang w:val="es-DO"/>
        </w:rPr>
      </w:pPr>
      <w:r>
        <w:rPr>
          <w:rStyle w:val="FootnoteReference"/>
        </w:rPr>
        <w:footnoteRef/>
      </w:r>
      <w:r>
        <w:t xml:space="preserve"> </w:t>
      </w:r>
      <w:r w:rsidRPr="00E73697">
        <w:rPr>
          <w:i/>
          <w:sz w:val="18"/>
          <w:lang w:bidi="x-none"/>
        </w:rPr>
        <w:t>Fuente</w:t>
      </w:r>
      <w:r>
        <w:rPr>
          <w:i/>
          <w:sz w:val="18"/>
          <w:lang w:bidi="x-none"/>
        </w:rPr>
        <w:t>:</w:t>
      </w:r>
      <w:r w:rsidRPr="00E73697">
        <w:rPr>
          <w:i/>
          <w:sz w:val="18"/>
          <w:lang w:bidi="x-none"/>
        </w:rPr>
        <w:t xml:space="preserve"> cálculos propios</w:t>
      </w:r>
      <w:r>
        <w:rPr>
          <w:i/>
          <w:sz w:val="18"/>
          <w:lang w:bidi="x-none"/>
        </w:rPr>
        <w:t>.</w:t>
      </w:r>
    </w:p>
  </w:footnote>
  <w:footnote w:id="27">
    <w:p w:rsidR="00635AF4" w:rsidRPr="00AF0916" w:rsidRDefault="00635AF4" w:rsidP="00AF0916">
      <w:pPr>
        <w:spacing w:after="0" w:line="240" w:lineRule="auto"/>
        <w:jc w:val="left"/>
      </w:pPr>
      <w:r>
        <w:rPr>
          <w:rStyle w:val="FootnoteReference"/>
        </w:rPr>
        <w:footnoteRef/>
      </w:r>
      <w:r>
        <w:t xml:space="preserve"> </w:t>
      </w:r>
      <w:r w:rsidRPr="00E73697">
        <w:rPr>
          <w:i/>
          <w:sz w:val="18"/>
          <w:lang w:bidi="x-none"/>
        </w:rPr>
        <w:t>Fuente: cálculos propios</w:t>
      </w:r>
      <w:r>
        <w:rPr>
          <w:i/>
          <w:sz w:val="18"/>
          <w:lang w:bidi="x-none"/>
        </w:rPr>
        <w:t>.</w:t>
      </w:r>
      <w:r w:rsidRPr="00E73697">
        <w:rPr>
          <w:i/>
          <w:sz w:val="18"/>
          <w:lang w:bidi="x-none"/>
        </w:rPr>
        <w:t xml:space="preserve"> </w:t>
      </w:r>
      <w:r>
        <w:rPr>
          <w:i/>
          <w:sz w:val="18"/>
          <w:lang w:bidi="x-none"/>
        </w:rPr>
        <w:t>V</w:t>
      </w:r>
      <w:r w:rsidRPr="00E73697">
        <w:rPr>
          <w:i/>
          <w:sz w:val="18"/>
          <w:lang w:bidi="x-none"/>
        </w:rPr>
        <w:t>er Tabla 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F4" w:rsidRDefault="00635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multilevel"/>
    <w:tmpl w:val="E1F27DDE"/>
    <w:lvl w:ilvl="0">
      <w:start w:val="1"/>
      <w:numFmt w:val="upperRoman"/>
      <w:pStyle w:val="Heading1"/>
      <w:lvlText w:val="%1."/>
      <w:lvlJc w:val="left"/>
      <w:pPr>
        <w:ind w:left="360" w:hanging="360"/>
      </w:pPr>
      <w:rPr>
        <w:rFonts w:hint="default"/>
      </w:rPr>
    </w:lvl>
    <w:lvl w:ilvl="1">
      <w:start w:val="1"/>
      <w:numFmt w:val="decimal"/>
      <w:isLgl/>
      <w:lvlText w:val="%1.%2"/>
      <w:lvlJc w:val="left"/>
      <w:pPr>
        <w:ind w:left="-1549" w:hanging="360"/>
      </w:pPr>
      <w:rPr>
        <w:rFonts w:hint="default"/>
      </w:rPr>
    </w:lvl>
    <w:lvl w:ilvl="2">
      <w:start w:val="1"/>
      <w:numFmt w:val="decimal"/>
      <w:isLgl/>
      <w:lvlText w:val="%1.%2.%3"/>
      <w:lvlJc w:val="left"/>
      <w:pPr>
        <w:ind w:left="-829" w:hanging="720"/>
      </w:pPr>
      <w:rPr>
        <w:rFonts w:hint="default"/>
      </w:rPr>
    </w:lvl>
    <w:lvl w:ilvl="3">
      <w:start w:val="1"/>
      <w:numFmt w:val="decimal"/>
      <w:isLgl/>
      <w:lvlText w:val="%1.%2.%3.%4"/>
      <w:lvlJc w:val="left"/>
      <w:pPr>
        <w:ind w:left="-469" w:hanging="720"/>
      </w:pPr>
      <w:rPr>
        <w:rFonts w:hint="default"/>
      </w:rPr>
    </w:lvl>
    <w:lvl w:ilvl="4">
      <w:start w:val="1"/>
      <w:numFmt w:val="decimal"/>
      <w:isLgl/>
      <w:lvlText w:val="%1.%2.%3.%4.%5"/>
      <w:lvlJc w:val="left"/>
      <w:pPr>
        <w:ind w:left="251" w:hanging="1080"/>
      </w:pPr>
      <w:rPr>
        <w:rFonts w:hint="default"/>
      </w:rPr>
    </w:lvl>
    <w:lvl w:ilvl="5">
      <w:start w:val="1"/>
      <w:numFmt w:val="decimal"/>
      <w:isLgl/>
      <w:lvlText w:val="%1.%2.%3.%4.%5.%6"/>
      <w:lvlJc w:val="left"/>
      <w:pPr>
        <w:ind w:left="611" w:hanging="1080"/>
      </w:pPr>
      <w:rPr>
        <w:rFonts w:hint="default"/>
      </w:rPr>
    </w:lvl>
    <w:lvl w:ilvl="6">
      <w:start w:val="1"/>
      <w:numFmt w:val="decimal"/>
      <w:isLgl/>
      <w:lvlText w:val="%1.%2.%3.%4.%5.%6.%7"/>
      <w:lvlJc w:val="left"/>
      <w:pPr>
        <w:ind w:left="1331" w:hanging="1440"/>
      </w:pPr>
      <w:rPr>
        <w:rFonts w:hint="default"/>
      </w:rPr>
    </w:lvl>
    <w:lvl w:ilvl="7">
      <w:start w:val="1"/>
      <w:numFmt w:val="decimal"/>
      <w:isLgl/>
      <w:lvlText w:val="%1.%2.%3.%4.%5.%6.%7.%8"/>
      <w:lvlJc w:val="left"/>
      <w:pPr>
        <w:ind w:left="1691" w:hanging="1440"/>
      </w:pPr>
      <w:rPr>
        <w:rFonts w:hint="default"/>
      </w:rPr>
    </w:lvl>
    <w:lvl w:ilvl="8">
      <w:start w:val="1"/>
      <w:numFmt w:val="decimal"/>
      <w:isLgl/>
      <w:lvlText w:val="%1.%2.%3.%4.%5.%6.%7.%8.%9"/>
      <w:lvlJc w:val="left"/>
      <w:pPr>
        <w:ind w:left="2051" w:hanging="1440"/>
      </w:pPr>
      <w:rPr>
        <w:rFonts w:hint="default"/>
      </w:rPr>
    </w:lvl>
  </w:abstractNum>
  <w:abstractNum w:abstractNumId="2">
    <w:nsid w:val="00000003"/>
    <w:multiLevelType w:val="hybridMultilevel"/>
    <w:tmpl w:val="A9D01EF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0000004"/>
    <w:multiLevelType w:val="hybridMultilevel"/>
    <w:tmpl w:val="8A86D4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00000005"/>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Ø"/>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D7FC9A54"/>
    <w:lvl w:ilvl="0" w:tplc="04090001">
      <w:start w:val="1"/>
      <w:numFmt w:val="bullet"/>
      <w:lvlText w:val="·"/>
      <w:lvlJc w:val="left"/>
      <w:pPr>
        <w:ind w:left="720" w:hanging="360"/>
      </w:pPr>
      <w:rPr>
        <w:rFonts w:ascii="Symbol" w:hAnsi="Symbol" w:hint="default"/>
      </w:rPr>
    </w:lvl>
    <w:lvl w:ilvl="1" w:tplc="0409000B">
      <w:start w:val="1"/>
      <w:numFmt w:val="bullet"/>
      <w:lvlText w:val="Ø"/>
      <w:lvlJc w:val="left"/>
      <w:pPr>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F84174"/>
    <w:multiLevelType w:val="hybridMultilevel"/>
    <w:tmpl w:val="9C76D778"/>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AB7FC9"/>
    <w:multiLevelType w:val="multilevel"/>
    <w:tmpl w:val="39AE4E94"/>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1566"/>
        </w:tabs>
        <w:ind w:left="1566"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nsid w:val="0E4E6BE3"/>
    <w:multiLevelType w:val="hybridMultilevel"/>
    <w:tmpl w:val="E3105C74"/>
    <w:lvl w:ilvl="0" w:tplc="AB848AD0">
      <w:start w:val="5"/>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B0D4070"/>
    <w:multiLevelType w:val="hybridMultilevel"/>
    <w:tmpl w:val="70CEED08"/>
    <w:lvl w:ilvl="0" w:tplc="E750A666">
      <w:start w:val="1"/>
      <w:numFmt w:val="bullet"/>
      <w:lvlText w:val="•"/>
      <w:lvlJc w:val="left"/>
      <w:pPr>
        <w:tabs>
          <w:tab w:val="num" w:pos="720"/>
        </w:tabs>
        <w:ind w:left="720" w:hanging="360"/>
      </w:pPr>
      <w:rPr>
        <w:rFonts w:ascii="Times New Roman" w:hAnsi="Times New Roman" w:hint="default"/>
      </w:rPr>
    </w:lvl>
    <w:lvl w:ilvl="1" w:tplc="3BC461C8" w:tentative="1">
      <w:start w:val="1"/>
      <w:numFmt w:val="bullet"/>
      <w:lvlText w:val="•"/>
      <w:lvlJc w:val="left"/>
      <w:pPr>
        <w:tabs>
          <w:tab w:val="num" w:pos="1440"/>
        </w:tabs>
        <w:ind w:left="1440" w:hanging="360"/>
      </w:pPr>
      <w:rPr>
        <w:rFonts w:ascii="Times New Roman" w:hAnsi="Times New Roman" w:hint="default"/>
      </w:rPr>
    </w:lvl>
    <w:lvl w:ilvl="2" w:tplc="D4BA5A4E" w:tentative="1">
      <w:start w:val="1"/>
      <w:numFmt w:val="bullet"/>
      <w:lvlText w:val="•"/>
      <w:lvlJc w:val="left"/>
      <w:pPr>
        <w:tabs>
          <w:tab w:val="num" w:pos="2160"/>
        </w:tabs>
        <w:ind w:left="2160" w:hanging="360"/>
      </w:pPr>
      <w:rPr>
        <w:rFonts w:ascii="Times New Roman" w:hAnsi="Times New Roman" w:hint="default"/>
      </w:rPr>
    </w:lvl>
    <w:lvl w:ilvl="3" w:tplc="E0387DEA" w:tentative="1">
      <w:start w:val="1"/>
      <w:numFmt w:val="bullet"/>
      <w:lvlText w:val="•"/>
      <w:lvlJc w:val="left"/>
      <w:pPr>
        <w:tabs>
          <w:tab w:val="num" w:pos="2880"/>
        </w:tabs>
        <w:ind w:left="2880" w:hanging="360"/>
      </w:pPr>
      <w:rPr>
        <w:rFonts w:ascii="Times New Roman" w:hAnsi="Times New Roman" w:hint="default"/>
      </w:rPr>
    </w:lvl>
    <w:lvl w:ilvl="4" w:tplc="0CF8C3E2" w:tentative="1">
      <w:start w:val="1"/>
      <w:numFmt w:val="bullet"/>
      <w:lvlText w:val="•"/>
      <w:lvlJc w:val="left"/>
      <w:pPr>
        <w:tabs>
          <w:tab w:val="num" w:pos="3600"/>
        </w:tabs>
        <w:ind w:left="3600" w:hanging="360"/>
      </w:pPr>
      <w:rPr>
        <w:rFonts w:ascii="Times New Roman" w:hAnsi="Times New Roman" w:hint="default"/>
      </w:rPr>
    </w:lvl>
    <w:lvl w:ilvl="5" w:tplc="722EEA3A" w:tentative="1">
      <w:start w:val="1"/>
      <w:numFmt w:val="bullet"/>
      <w:lvlText w:val="•"/>
      <w:lvlJc w:val="left"/>
      <w:pPr>
        <w:tabs>
          <w:tab w:val="num" w:pos="4320"/>
        </w:tabs>
        <w:ind w:left="4320" w:hanging="360"/>
      </w:pPr>
      <w:rPr>
        <w:rFonts w:ascii="Times New Roman" w:hAnsi="Times New Roman" w:hint="default"/>
      </w:rPr>
    </w:lvl>
    <w:lvl w:ilvl="6" w:tplc="60E0D952" w:tentative="1">
      <w:start w:val="1"/>
      <w:numFmt w:val="bullet"/>
      <w:lvlText w:val="•"/>
      <w:lvlJc w:val="left"/>
      <w:pPr>
        <w:tabs>
          <w:tab w:val="num" w:pos="5040"/>
        </w:tabs>
        <w:ind w:left="5040" w:hanging="360"/>
      </w:pPr>
      <w:rPr>
        <w:rFonts w:ascii="Times New Roman" w:hAnsi="Times New Roman" w:hint="default"/>
      </w:rPr>
    </w:lvl>
    <w:lvl w:ilvl="7" w:tplc="DE54CC72" w:tentative="1">
      <w:start w:val="1"/>
      <w:numFmt w:val="bullet"/>
      <w:lvlText w:val="•"/>
      <w:lvlJc w:val="left"/>
      <w:pPr>
        <w:tabs>
          <w:tab w:val="num" w:pos="5760"/>
        </w:tabs>
        <w:ind w:left="5760" w:hanging="360"/>
      </w:pPr>
      <w:rPr>
        <w:rFonts w:ascii="Times New Roman" w:hAnsi="Times New Roman" w:hint="default"/>
      </w:rPr>
    </w:lvl>
    <w:lvl w:ilvl="8" w:tplc="B4D8626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175394"/>
    <w:multiLevelType w:val="hybridMultilevel"/>
    <w:tmpl w:val="42B44622"/>
    <w:lvl w:ilvl="0" w:tplc="0409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CA642C"/>
    <w:multiLevelType w:val="hybridMultilevel"/>
    <w:tmpl w:val="46802890"/>
    <w:lvl w:ilvl="0" w:tplc="2AB830B6">
      <w:start w:val="5"/>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1E45214"/>
    <w:multiLevelType w:val="hybridMultilevel"/>
    <w:tmpl w:val="42B44622"/>
    <w:lvl w:ilvl="0" w:tplc="0409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F960ECE"/>
    <w:multiLevelType w:val="hybridMultilevel"/>
    <w:tmpl w:val="1D165270"/>
    <w:lvl w:ilvl="0" w:tplc="23664846">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FB22040"/>
    <w:multiLevelType w:val="hybridMultilevel"/>
    <w:tmpl w:val="42B44622"/>
    <w:lvl w:ilvl="0" w:tplc="0409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7"/>
  </w:num>
  <w:num w:numId="10">
    <w:abstractNumId w:val="9"/>
  </w:num>
  <w:num w:numId="11">
    <w:abstractNumId w:val="6"/>
  </w:num>
  <w:num w:numId="12">
    <w:abstractNumId w:val="10"/>
  </w:num>
  <w:num w:numId="13">
    <w:abstractNumId w:val="14"/>
  </w:num>
  <w:num w:numId="14">
    <w:abstractNumId w:val="12"/>
  </w:num>
  <w:num w:numId="15">
    <w:abstractNumId w:val="13"/>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 Delgado">
    <w15:presenceInfo w15:providerId="None" w15:userId="Joan Delga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activeWritingStyle w:appName="MSWord" w:lang="pt-BR" w:vendorID="64" w:dllVersion="131078" w:nlCheck="1" w:checkStyle="0"/>
  <w:activeWritingStyle w:appName="MSWord" w:lang="es-CO"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DO" w:vendorID="64" w:dllVersion="131078" w:nlCheck="1" w:checkStyle="1"/>
  <w:activeWritingStyle w:appName="MSWord" w:lang="en-AU"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10"/>
  <w:displayHorizontalDrawingGridEvery w:val="2"/>
  <w:characterSpacingControl w:val="doNotCompress"/>
  <w:doNotDemarcateInvalidXml/>
  <w:hdrShapeDefaults>
    <o:shapedefaults v:ext="edit" spidmax="6145"/>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5E"/>
    <w:rsid w:val="000013A7"/>
    <w:rsid w:val="00005565"/>
    <w:rsid w:val="00006EE6"/>
    <w:rsid w:val="00011899"/>
    <w:rsid w:val="000118ED"/>
    <w:rsid w:val="00013320"/>
    <w:rsid w:val="00015102"/>
    <w:rsid w:val="00015AB7"/>
    <w:rsid w:val="00020530"/>
    <w:rsid w:val="00030448"/>
    <w:rsid w:val="00036C48"/>
    <w:rsid w:val="00041451"/>
    <w:rsid w:val="00050D1A"/>
    <w:rsid w:val="00050D46"/>
    <w:rsid w:val="0005157E"/>
    <w:rsid w:val="000520C9"/>
    <w:rsid w:val="000573F5"/>
    <w:rsid w:val="000621CB"/>
    <w:rsid w:val="00062917"/>
    <w:rsid w:val="000726CC"/>
    <w:rsid w:val="00077388"/>
    <w:rsid w:val="000777A1"/>
    <w:rsid w:val="00077CDA"/>
    <w:rsid w:val="0008435B"/>
    <w:rsid w:val="0008484E"/>
    <w:rsid w:val="00084F0A"/>
    <w:rsid w:val="00085EAD"/>
    <w:rsid w:val="00085F12"/>
    <w:rsid w:val="00090D3A"/>
    <w:rsid w:val="00091BE2"/>
    <w:rsid w:val="00092212"/>
    <w:rsid w:val="00093C57"/>
    <w:rsid w:val="00095CBB"/>
    <w:rsid w:val="00095D0A"/>
    <w:rsid w:val="000A1DCF"/>
    <w:rsid w:val="000A25D5"/>
    <w:rsid w:val="000A4583"/>
    <w:rsid w:val="000B1CFD"/>
    <w:rsid w:val="000B2129"/>
    <w:rsid w:val="000B315E"/>
    <w:rsid w:val="000B4442"/>
    <w:rsid w:val="000C27E1"/>
    <w:rsid w:val="000C36DB"/>
    <w:rsid w:val="000C576C"/>
    <w:rsid w:val="000C6B14"/>
    <w:rsid w:val="000D053D"/>
    <w:rsid w:val="000D2BD0"/>
    <w:rsid w:val="000D47B2"/>
    <w:rsid w:val="000E22D3"/>
    <w:rsid w:val="000E3123"/>
    <w:rsid w:val="000E46E0"/>
    <w:rsid w:val="000E5967"/>
    <w:rsid w:val="000E7857"/>
    <w:rsid w:val="000F07ED"/>
    <w:rsid w:val="000F4BF7"/>
    <w:rsid w:val="000F76A4"/>
    <w:rsid w:val="001016F8"/>
    <w:rsid w:val="00103693"/>
    <w:rsid w:val="00104F8B"/>
    <w:rsid w:val="0010628C"/>
    <w:rsid w:val="00106611"/>
    <w:rsid w:val="00107057"/>
    <w:rsid w:val="00107583"/>
    <w:rsid w:val="00111647"/>
    <w:rsid w:val="00111E19"/>
    <w:rsid w:val="001222B2"/>
    <w:rsid w:val="0012580A"/>
    <w:rsid w:val="001305B7"/>
    <w:rsid w:val="00134DF5"/>
    <w:rsid w:val="0013607F"/>
    <w:rsid w:val="001400E9"/>
    <w:rsid w:val="001417C1"/>
    <w:rsid w:val="00142A46"/>
    <w:rsid w:val="00150449"/>
    <w:rsid w:val="00150476"/>
    <w:rsid w:val="00152EE6"/>
    <w:rsid w:val="00155B3A"/>
    <w:rsid w:val="00160DA0"/>
    <w:rsid w:val="00163377"/>
    <w:rsid w:val="00165003"/>
    <w:rsid w:val="00166E59"/>
    <w:rsid w:val="00173B80"/>
    <w:rsid w:val="00174333"/>
    <w:rsid w:val="00174625"/>
    <w:rsid w:val="00175892"/>
    <w:rsid w:val="001840E8"/>
    <w:rsid w:val="00184420"/>
    <w:rsid w:val="00195BEB"/>
    <w:rsid w:val="001A646A"/>
    <w:rsid w:val="001A7E3B"/>
    <w:rsid w:val="001B09E9"/>
    <w:rsid w:val="001B298A"/>
    <w:rsid w:val="001B3D79"/>
    <w:rsid w:val="001B6B08"/>
    <w:rsid w:val="001C066B"/>
    <w:rsid w:val="001C0D63"/>
    <w:rsid w:val="001C1234"/>
    <w:rsid w:val="001C2A42"/>
    <w:rsid w:val="001C3DCA"/>
    <w:rsid w:val="001C6EBE"/>
    <w:rsid w:val="001C7217"/>
    <w:rsid w:val="001D25D4"/>
    <w:rsid w:val="001D39C4"/>
    <w:rsid w:val="001D5873"/>
    <w:rsid w:val="001D6C39"/>
    <w:rsid w:val="001E261A"/>
    <w:rsid w:val="001E3A34"/>
    <w:rsid w:val="001F69F5"/>
    <w:rsid w:val="002013CD"/>
    <w:rsid w:val="0020224B"/>
    <w:rsid w:val="0020651E"/>
    <w:rsid w:val="0020721B"/>
    <w:rsid w:val="0020732E"/>
    <w:rsid w:val="00210B55"/>
    <w:rsid w:val="002231E3"/>
    <w:rsid w:val="00223EBC"/>
    <w:rsid w:val="002273A1"/>
    <w:rsid w:val="00230706"/>
    <w:rsid w:val="00232BB3"/>
    <w:rsid w:val="00235F85"/>
    <w:rsid w:val="00237C92"/>
    <w:rsid w:val="00244EBC"/>
    <w:rsid w:val="002461E2"/>
    <w:rsid w:val="00246B20"/>
    <w:rsid w:val="0024750E"/>
    <w:rsid w:val="00252D1F"/>
    <w:rsid w:val="00254576"/>
    <w:rsid w:val="00260783"/>
    <w:rsid w:val="00260C8B"/>
    <w:rsid w:val="00270D21"/>
    <w:rsid w:val="0027169A"/>
    <w:rsid w:val="00274350"/>
    <w:rsid w:val="0028055E"/>
    <w:rsid w:val="00285985"/>
    <w:rsid w:val="00292D0D"/>
    <w:rsid w:val="00295074"/>
    <w:rsid w:val="00296B46"/>
    <w:rsid w:val="00297262"/>
    <w:rsid w:val="002974E7"/>
    <w:rsid w:val="002A150F"/>
    <w:rsid w:val="002A1DD4"/>
    <w:rsid w:val="002A3938"/>
    <w:rsid w:val="002A5017"/>
    <w:rsid w:val="002A6B98"/>
    <w:rsid w:val="002B7731"/>
    <w:rsid w:val="002C735D"/>
    <w:rsid w:val="002D1AF6"/>
    <w:rsid w:val="002D1E23"/>
    <w:rsid w:val="002E3E43"/>
    <w:rsid w:val="002E5FB1"/>
    <w:rsid w:val="002E6B89"/>
    <w:rsid w:val="002F0610"/>
    <w:rsid w:val="002F1D8C"/>
    <w:rsid w:val="002F4B17"/>
    <w:rsid w:val="002F65E3"/>
    <w:rsid w:val="002F67E2"/>
    <w:rsid w:val="0030511C"/>
    <w:rsid w:val="00307E40"/>
    <w:rsid w:val="0031365C"/>
    <w:rsid w:val="003151D2"/>
    <w:rsid w:val="00315F57"/>
    <w:rsid w:val="0031611B"/>
    <w:rsid w:val="00317679"/>
    <w:rsid w:val="00320537"/>
    <w:rsid w:val="00324D32"/>
    <w:rsid w:val="0032593E"/>
    <w:rsid w:val="0033023F"/>
    <w:rsid w:val="0033136F"/>
    <w:rsid w:val="0033175B"/>
    <w:rsid w:val="0033190F"/>
    <w:rsid w:val="00332CB0"/>
    <w:rsid w:val="0033573A"/>
    <w:rsid w:val="00336268"/>
    <w:rsid w:val="00343745"/>
    <w:rsid w:val="00345770"/>
    <w:rsid w:val="00351C60"/>
    <w:rsid w:val="00362782"/>
    <w:rsid w:val="00366B29"/>
    <w:rsid w:val="00367581"/>
    <w:rsid w:val="003819AD"/>
    <w:rsid w:val="00383084"/>
    <w:rsid w:val="0038786F"/>
    <w:rsid w:val="003967B1"/>
    <w:rsid w:val="003A2E41"/>
    <w:rsid w:val="003A3DA2"/>
    <w:rsid w:val="003B1EE7"/>
    <w:rsid w:val="003B7734"/>
    <w:rsid w:val="003C0446"/>
    <w:rsid w:val="003C49B7"/>
    <w:rsid w:val="003C51D0"/>
    <w:rsid w:val="003E10D4"/>
    <w:rsid w:val="003E2761"/>
    <w:rsid w:val="003E4304"/>
    <w:rsid w:val="003E5572"/>
    <w:rsid w:val="003E73A4"/>
    <w:rsid w:val="003F2252"/>
    <w:rsid w:val="003F7ED1"/>
    <w:rsid w:val="00401AED"/>
    <w:rsid w:val="00407405"/>
    <w:rsid w:val="00413344"/>
    <w:rsid w:val="004147F2"/>
    <w:rsid w:val="00421690"/>
    <w:rsid w:val="00423788"/>
    <w:rsid w:val="004267E2"/>
    <w:rsid w:val="00432C90"/>
    <w:rsid w:val="00433A82"/>
    <w:rsid w:val="004343CC"/>
    <w:rsid w:val="00435B34"/>
    <w:rsid w:val="00437176"/>
    <w:rsid w:val="004413E1"/>
    <w:rsid w:val="00441750"/>
    <w:rsid w:val="00443AF0"/>
    <w:rsid w:val="00444BE8"/>
    <w:rsid w:val="00445A11"/>
    <w:rsid w:val="00453CA7"/>
    <w:rsid w:val="0045690D"/>
    <w:rsid w:val="004578DE"/>
    <w:rsid w:val="00461846"/>
    <w:rsid w:val="004637ED"/>
    <w:rsid w:val="00464C3D"/>
    <w:rsid w:val="004676D9"/>
    <w:rsid w:val="004676F3"/>
    <w:rsid w:val="00471DAB"/>
    <w:rsid w:val="00472B0E"/>
    <w:rsid w:val="004759CA"/>
    <w:rsid w:val="00476150"/>
    <w:rsid w:val="00477D9E"/>
    <w:rsid w:val="00485C5C"/>
    <w:rsid w:val="004926BF"/>
    <w:rsid w:val="004938C5"/>
    <w:rsid w:val="004A6DA5"/>
    <w:rsid w:val="004A71CB"/>
    <w:rsid w:val="004C3751"/>
    <w:rsid w:val="004C46EB"/>
    <w:rsid w:val="004D3830"/>
    <w:rsid w:val="004D696E"/>
    <w:rsid w:val="004D7348"/>
    <w:rsid w:val="004E2E15"/>
    <w:rsid w:val="004F2C33"/>
    <w:rsid w:val="004F3B4D"/>
    <w:rsid w:val="004F5AAF"/>
    <w:rsid w:val="004F7614"/>
    <w:rsid w:val="00501087"/>
    <w:rsid w:val="00502CFA"/>
    <w:rsid w:val="00502E04"/>
    <w:rsid w:val="005120D3"/>
    <w:rsid w:val="00512468"/>
    <w:rsid w:val="0051371E"/>
    <w:rsid w:val="00515EA5"/>
    <w:rsid w:val="00520CF8"/>
    <w:rsid w:val="00523B46"/>
    <w:rsid w:val="0053363A"/>
    <w:rsid w:val="005375EE"/>
    <w:rsid w:val="00542005"/>
    <w:rsid w:val="00543EB6"/>
    <w:rsid w:val="00546FED"/>
    <w:rsid w:val="00547BBD"/>
    <w:rsid w:val="005529E1"/>
    <w:rsid w:val="00555324"/>
    <w:rsid w:val="005602ED"/>
    <w:rsid w:val="00563C28"/>
    <w:rsid w:val="00566468"/>
    <w:rsid w:val="005711DC"/>
    <w:rsid w:val="00575E15"/>
    <w:rsid w:val="00582890"/>
    <w:rsid w:val="005847A8"/>
    <w:rsid w:val="00585E7B"/>
    <w:rsid w:val="005912A8"/>
    <w:rsid w:val="005938F0"/>
    <w:rsid w:val="005A0C01"/>
    <w:rsid w:val="005A210D"/>
    <w:rsid w:val="005A2399"/>
    <w:rsid w:val="005A43A3"/>
    <w:rsid w:val="005B3C69"/>
    <w:rsid w:val="005C1182"/>
    <w:rsid w:val="005D22B2"/>
    <w:rsid w:val="005E089A"/>
    <w:rsid w:val="005E1BF9"/>
    <w:rsid w:val="005E5B7A"/>
    <w:rsid w:val="005E771E"/>
    <w:rsid w:val="005F182B"/>
    <w:rsid w:val="005F2E4E"/>
    <w:rsid w:val="005F33DC"/>
    <w:rsid w:val="005F7A38"/>
    <w:rsid w:val="00604BC4"/>
    <w:rsid w:val="00604DBE"/>
    <w:rsid w:val="00605BA0"/>
    <w:rsid w:val="006063A4"/>
    <w:rsid w:val="0061037C"/>
    <w:rsid w:val="00624FAB"/>
    <w:rsid w:val="00625C67"/>
    <w:rsid w:val="00627BB7"/>
    <w:rsid w:val="00633DCB"/>
    <w:rsid w:val="00635AF4"/>
    <w:rsid w:val="0063607E"/>
    <w:rsid w:val="00637A31"/>
    <w:rsid w:val="00637C3A"/>
    <w:rsid w:val="006402CB"/>
    <w:rsid w:val="00642D59"/>
    <w:rsid w:val="00645A14"/>
    <w:rsid w:val="00647CAE"/>
    <w:rsid w:val="0066088A"/>
    <w:rsid w:val="00664D27"/>
    <w:rsid w:val="006655C7"/>
    <w:rsid w:val="00671413"/>
    <w:rsid w:val="00673BF6"/>
    <w:rsid w:val="0067563A"/>
    <w:rsid w:val="006805F0"/>
    <w:rsid w:val="0068165A"/>
    <w:rsid w:val="00682DB4"/>
    <w:rsid w:val="0068308F"/>
    <w:rsid w:val="006834EB"/>
    <w:rsid w:val="00683ACC"/>
    <w:rsid w:val="006924F6"/>
    <w:rsid w:val="00693791"/>
    <w:rsid w:val="006970E0"/>
    <w:rsid w:val="006A0393"/>
    <w:rsid w:val="006A4F7E"/>
    <w:rsid w:val="006A5B1B"/>
    <w:rsid w:val="006A6F0E"/>
    <w:rsid w:val="006B321B"/>
    <w:rsid w:val="006B4E6D"/>
    <w:rsid w:val="006C14EE"/>
    <w:rsid w:val="006C5031"/>
    <w:rsid w:val="006C5599"/>
    <w:rsid w:val="006D24EF"/>
    <w:rsid w:val="006D2C35"/>
    <w:rsid w:val="006D6CA8"/>
    <w:rsid w:val="006D7326"/>
    <w:rsid w:val="006D7559"/>
    <w:rsid w:val="006E1533"/>
    <w:rsid w:val="006E550F"/>
    <w:rsid w:val="006F7B99"/>
    <w:rsid w:val="00700A20"/>
    <w:rsid w:val="00703B12"/>
    <w:rsid w:val="00703E51"/>
    <w:rsid w:val="00711BAC"/>
    <w:rsid w:val="00713C8D"/>
    <w:rsid w:val="00713D52"/>
    <w:rsid w:val="0071497D"/>
    <w:rsid w:val="00720874"/>
    <w:rsid w:val="00730261"/>
    <w:rsid w:val="00742627"/>
    <w:rsid w:val="00751DF1"/>
    <w:rsid w:val="007557B4"/>
    <w:rsid w:val="00761712"/>
    <w:rsid w:val="007670F5"/>
    <w:rsid w:val="00774D2E"/>
    <w:rsid w:val="00782DCE"/>
    <w:rsid w:val="00785491"/>
    <w:rsid w:val="00790F5E"/>
    <w:rsid w:val="00794D24"/>
    <w:rsid w:val="00796708"/>
    <w:rsid w:val="00796CE0"/>
    <w:rsid w:val="007A02C6"/>
    <w:rsid w:val="007A3FB4"/>
    <w:rsid w:val="007A41F6"/>
    <w:rsid w:val="007A6111"/>
    <w:rsid w:val="007A6186"/>
    <w:rsid w:val="007B56D9"/>
    <w:rsid w:val="007B5A47"/>
    <w:rsid w:val="007C1CA0"/>
    <w:rsid w:val="007C25B6"/>
    <w:rsid w:val="007C50B6"/>
    <w:rsid w:val="007D15C8"/>
    <w:rsid w:val="007D2A68"/>
    <w:rsid w:val="007D35E9"/>
    <w:rsid w:val="007D4B6E"/>
    <w:rsid w:val="007D75F1"/>
    <w:rsid w:val="007E059C"/>
    <w:rsid w:val="007E70A2"/>
    <w:rsid w:val="007E74F7"/>
    <w:rsid w:val="007E77A4"/>
    <w:rsid w:val="008010E5"/>
    <w:rsid w:val="0080299B"/>
    <w:rsid w:val="00806E4E"/>
    <w:rsid w:val="00811B4C"/>
    <w:rsid w:val="00811FB1"/>
    <w:rsid w:val="00814382"/>
    <w:rsid w:val="00815287"/>
    <w:rsid w:val="0081606C"/>
    <w:rsid w:val="00824865"/>
    <w:rsid w:val="008265C4"/>
    <w:rsid w:val="008318E1"/>
    <w:rsid w:val="0083498C"/>
    <w:rsid w:val="00841F80"/>
    <w:rsid w:val="008450F1"/>
    <w:rsid w:val="00846A47"/>
    <w:rsid w:val="00851F8D"/>
    <w:rsid w:val="0085219C"/>
    <w:rsid w:val="00855BAE"/>
    <w:rsid w:val="00856024"/>
    <w:rsid w:val="00862F2B"/>
    <w:rsid w:val="00866FCD"/>
    <w:rsid w:val="008671F5"/>
    <w:rsid w:val="008741FF"/>
    <w:rsid w:val="00875AEB"/>
    <w:rsid w:val="00882E06"/>
    <w:rsid w:val="00883C9C"/>
    <w:rsid w:val="00886B6C"/>
    <w:rsid w:val="008A1EA0"/>
    <w:rsid w:val="008A3FD8"/>
    <w:rsid w:val="008A6DBC"/>
    <w:rsid w:val="008B0554"/>
    <w:rsid w:val="008B09E2"/>
    <w:rsid w:val="008B0B7A"/>
    <w:rsid w:val="008B48E7"/>
    <w:rsid w:val="008B4A04"/>
    <w:rsid w:val="008B6043"/>
    <w:rsid w:val="008C4088"/>
    <w:rsid w:val="008C4E7C"/>
    <w:rsid w:val="008D070C"/>
    <w:rsid w:val="008D2912"/>
    <w:rsid w:val="008E089F"/>
    <w:rsid w:val="008E715A"/>
    <w:rsid w:val="008E72B8"/>
    <w:rsid w:val="008F1796"/>
    <w:rsid w:val="008F1D59"/>
    <w:rsid w:val="008F308A"/>
    <w:rsid w:val="008F4CFD"/>
    <w:rsid w:val="00906700"/>
    <w:rsid w:val="00911BF6"/>
    <w:rsid w:val="00917280"/>
    <w:rsid w:val="00921703"/>
    <w:rsid w:val="009303BF"/>
    <w:rsid w:val="00930BCC"/>
    <w:rsid w:val="0093490B"/>
    <w:rsid w:val="00935BE1"/>
    <w:rsid w:val="00936D82"/>
    <w:rsid w:val="00940869"/>
    <w:rsid w:val="00945319"/>
    <w:rsid w:val="00960BF5"/>
    <w:rsid w:val="00960E6E"/>
    <w:rsid w:val="00961D5D"/>
    <w:rsid w:val="0096501F"/>
    <w:rsid w:val="009657AA"/>
    <w:rsid w:val="009711B4"/>
    <w:rsid w:val="0097138B"/>
    <w:rsid w:val="00972BE8"/>
    <w:rsid w:val="00977B8F"/>
    <w:rsid w:val="009841AA"/>
    <w:rsid w:val="00985386"/>
    <w:rsid w:val="0098703F"/>
    <w:rsid w:val="00987DD7"/>
    <w:rsid w:val="009956B6"/>
    <w:rsid w:val="00996915"/>
    <w:rsid w:val="009A2674"/>
    <w:rsid w:val="009A7F18"/>
    <w:rsid w:val="009B17AC"/>
    <w:rsid w:val="009B22EE"/>
    <w:rsid w:val="009B404B"/>
    <w:rsid w:val="009B5B6D"/>
    <w:rsid w:val="009B79FB"/>
    <w:rsid w:val="009C2EF0"/>
    <w:rsid w:val="009C3114"/>
    <w:rsid w:val="009C6D72"/>
    <w:rsid w:val="009C7406"/>
    <w:rsid w:val="009D28B6"/>
    <w:rsid w:val="009D38BE"/>
    <w:rsid w:val="009D46AE"/>
    <w:rsid w:val="009D524E"/>
    <w:rsid w:val="009D55E9"/>
    <w:rsid w:val="009E410E"/>
    <w:rsid w:val="009E49E3"/>
    <w:rsid w:val="009E58DA"/>
    <w:rsid w:val="009F0644"/>
    <w:rsid w:val="009F06E1"/>
    <w:rsid w:val="009F0A15"/>
    <w:rsid w:val="009F4EBE"/>
    <w:rsid w:val="00A03F2E"/>
    <w:rsid w:val="00A04D48"/>
    <w:rsid w:val="00A05220"/>
    <w:rsid w:val="00A07644"/>
    <w:rsid w:val="00A22E59"/>
    <w:rsid w:val="00A22E6A"/>
    <w:rsid w:val="00A26346"/>
    <w:rsid w:val="00A30153"/>
    <w:rsid w:val="00A31C72"/>
    <w:rsid w:val="00A42FAC"/>
    <w:rsid w:val="00A46893"/>
    <w:rsid w:val="00A50345"/>
    <w:rsid w:val="00A510C8"/>
    <w:rsid w:val="00A51948"/>
    <w:rsid w:val="00A5757E"/>
    <w:rsid w:val="00A60F38"/>
    <w:rsid w:val="00A615FC"/>
    <w:rsid w:val="00A62C7B"/>
    <w:rsid w:val="00A6574C"/>
    <w:rsid w:val="00A670E0"/>
    <w:rsid w:val="00A720B4"/>
    <w:rsid w:val="00A80352"/>
    <w:rsid w:val="00A8088E"/>
    <w:rsid w:val="00A81CE3"/>
    <w:rsid w:val="00A82A97"/>
    <w:rsid w:val="00A85EFC"/>
    <w:rsid w:val="00A94E81"/>
    <w:rsid w:val="00A9745C"/>
    <w:rsid w:val="00AA01FC"/>
    <w:rsid w:val="00AA3DCF"/>
    <w:rsid w:val="00AA7495"/>
    <w:rsid w:val="00AA7676"/>
    <w:rsid w:val="00AB058A"/>
    <w:rsid w:val="00AB076E"/>
    <w:rsid w:val="00AB0AC6"/>
    <w:rsid w:val="00AC1D95"/>
    <w:rsid w:val="00AC5430"/>
    <w:rsid w:val="00AC6696"/>
    <w:rsid w:val="00AC7DEF"/>
    <w:rsid w:val="00AD1FA7"/>
    <w:rsid w:val="00AD3458"/>
    <w:rsid w:val="00AD7BEE"/>
    <w:rsid w:val="00AE05DA"/>
    <w:rsid w:val="00AE4D24"/>
    <w:rsid w:val="00AF0916"/>
    <w:rsid w:val="00AF3441"/>
    <w:rsid w:val="00AF5DF6"/>
    <w:rsid w:val="00AF6077"/>
    <w:rsid w:val="00AF6523"/>
    <w:rsid w:val="00AF65CE"/>
    <w:rsid w:val="00AF7824"/>
    <w:rsid w:val="00B049DF"/>
    <w:rsid w:val="00B1054C"/>
    <w:rsid w:val="00B149E8"/>
    <w:rsid w:val="00B15A27"/>
    <w:rsid w:val="00B165E4"/>
    <w:rsid w:val="00B16AB8"/>
    <w:rsid w:val="00B202FE"/>
    <w:rsid w:val="00B23531"/>
    <w:rsid w:val="00B24839"/>
    <w:rsid w:val="00B27A2B"/>
    <w:rsid w:val="00B3041F"/>
    <w:rsid w:val="00B34304"/>
    <w:rsid w:val="00B3776D"/>
    <w:rsid w:val="00B51537"/>
    <w:rsid w:val="00B52E29"/>
    <w:rsid w:val="00B53515"/>
    <w:rsid w:val="00B57188"/>
    <w:rsid w:val="00B571AA"/>
    <w:rsid w:val="00B575B1"/>
    <w:rsid w:val="00B638F9"/>
    <w:rsid w:val="00B7152E"/>
    <w:rsid w:val="00B7689A"/>
    <w:rsid w:val="00B769F4"/>
    <w:rsid w:val="00B81F05"/>
    <w:rsid w:val="00B82B14"/>
    <w:rsid w:val="00B9226B"/>
    <w:rsid w:val="00B92F80"/>
    <w:rsid w:val="00BA3381"/>
    <w:rsid w:val="00BA5844"/>
    <w:rsid w:val="00BA779C"/>
    <w:rsid w:val="00BB1233"/>
    <w:rsid w:val="00BB5FD6"/>
    <w:rsid w:val="00BB6D78"/>
    <w:rsid w:val="00BC2072"/>
    <w:rsid w:val="00BC2A9F"/>
    <w:rsid w:val="00BC57AE"/>
    <w:rsid w:val="00BC6E42"/>
    <w:rsid w:val="00BC704E"/>
    <w:rsid w:val="00BC7082"/>
    <w:rsid w:val="00BD66B4"/>
    <w:rsid w:val="00BD6EB1"/>
    <w:rsid w:val="00BD7B22"/>
    <w:rsid w:val="00BD7F62"/>
    <w:rsid w:val="00BE172B"/>
    <w:rsid w:val="00BF3D3B"/>
    <w:rsid w:val="00BF5CFE"/>
    <w:rsid w:val="00BF6812"/>
    <w:rsid w:val="00C01440"/>
    <w:rsid w:val="00C02BD6"/>
    <w:rsid w:val="00C04734"/>
    <w:rsid w:val="00C04ED5"/>
    <w:rsid w:val="00C05D06"/>
    <w:rsid w:val="00C07551"/>
    <w:rsid w:val="00C2502A"/>
    <w:rsid w:val="00C26C0F"/>
    <w:rsid w:val="00C27909"/>
    <w:rsid w:val="00C42369"/>
    <w:rsid w:val="00C466CA"/>
    <w:rsid w:val="00C50A71"/>
    <w:rsid w:val="00C60704"/>
    <w:rsid w:val="00C62A67"/>
    <w:rsid w:val="00C70C65"/>
    <w:rsid w:val="00C75AB8"/>
    <w:rsid w:val="00C75C27"/>
    <w:rsid w:val="00C85E21"/>
    <w:rsid w:val="00C87540"/>
    <w:rsid w:val="00C94EF8"/>
    <w:rsid w:val="00CA005B"/>
    <w:rsid w:val="00CA6AA3"/>
    <w:rsid w:val="00CB0EA4"/>
    <w:rsid w:val="00CB6F18"/>
    <w:rsid w:val="00CC0236"/>
    <w:rsid w:val="00CD1CEE"/>
    <w:rsid w:val="00CD262F"/>
    <w:rsid w:val="00CD2DA2"/>
    <w:rsid w:val="00CE4A9B"/>
    <w:rsid w:val="00CE4DFE"/>
    <w:rsid w:val="00CF2083"/>
    <w:rsid w:val="00CF5271"/>
    <w:rsid w:val="00D00E75"/>
    <w:rsid w:val="00D0140E"/>
    <w:rsid w:val="00D02264"/>
    <w:rsid w:val="00D05556"/>
    <w:rsid w:val="00D10540"/>
    <w:rsid w:val="00D22560"/>
    <w:rsid w:val="00D23681"/>
    <w:rsid w:val="00D24FA3"/>
    <w:rsid w:val="00D313A2"/>
    <w:rsid w:val="00D332FF"/>
    <w:rsid w:val="00D41CD7"/>
    <w:rsid w:val="00D41D5F"/>
    <w:rsid w:val="00D51D32"/>
    <w:rsid w:val="00D527D2"/>
    <w:rsid w:val="00D5628A"/>
    <w:rsid w:val="00D5631D"/>
    <w:rsid w:val="00D56DC7"/>
    <w:rsid w:val="00D66313"/>
    <w:rsid w:val="00D66565"/>
    <w:rsid w:val="00D727F7"/>
    <w:rsid w:val="00D731B7"/>
    <w:rsid w:val="00D75FFB"/>
    <w:rsid w:val="00D76208"/>
    <w:rsid w:val="00D85461"/>
    <w:rsid w:val="00D911C7"/>
    <w:rsid w:val="00D912F8"/>
    <w:rsid w:val="00D9345D"/>
    <w:rsid w:val="00D960CB"/>
    <w:rsid w:val="00DA03C6"/>
    <w:rsid w:val="00DB5E93"/>
    <w:rsid w:val="00DC3B40"/>
    <w:rsid w:val="00DC69BB"/>
    <w:rsid w:val="00DD264E"/>
    <w:rsid w:val="00DD3843"/>
    <w:rsid w:val="00DE14A9"/>
    <w:rsid w:val="00DE452A"/>
    <w:rsid w:val="00DF2F88"/>
    <w:rsid w:val="00DF3C59"/>
    <w:rsid w:val="00DF4854"/>
    <w:rsid w:val="00DF5C7B"/>
    <w:rsid w:val="00DF703B"/>
    <w:rsid w:val="00E0618A"/>
    <w:rsid w:val="00E06E27"/>
    <w:rsid w:val="00E07CB4"/>
    <w:rsid w:val="00E07DF8"/>
    <w:rsid w:val="00E07E48"/>
    <w:rsid w:val="00E16DE5"/>
    <w:rsid w:val="00E279E1"/>
    <w:rsid w:val="00E3462C"/>
    <w:rsid w:val="00E372A3"/>
    <w:rsid w:val="00E43A15"/>
    <w:rsid w:val="00E4655D"/>
    <w:rsid w:val="00E47FA5"/>
    <w:rsid w:val="00E51797"/>
    <w:rsid w:val="00E53AF7"/>
    <w:rsid w:val="00E54F1A"/>
    <w:rsid w:val="00E5718F"/>
    <w:rsid w:val="00E623CF"/>
    <w:rsid w:val="00E624CD"/>
    <w:rsid w:val="00E6288B"/>
    <w:rsid w:val="00E661B5"/>
    <w:rsid w:val="00E71CD3"/>
    <w:rsid w:val="00E855A2"/>
    <w:rsid w:val="00E87400"/>
    <w:rsid w:val="00E9491C"/>
    <w:rsid w:val="00E97919"/>
    <w:rsid w:val="00EA1F37"/>
    <w:rsid w:val="00EA1FA7"/>
    <w:rsid w:val="00EA3C7B"/>
    <w:rsid w:val="00EA619C"/>
    <w:rsid w:val="00EA7F9A"/>
    <w:rsid w:val="00EB5B8E"/>
    <w:rsid w:val="00EC0D79"/>
    <w:rsid w:val="00EC28C3"/>
    <w:rsid w:val="00EC580B"/>
    <w:rsid w:val="00EC703C"/>
    <w:rsid w:val="00ED01AE"/>
    <w:rsid w:val="00EE0318"/>
    <w:rsid w:val="00EE1E29"/>
    <w:rsid w:val="00EE39AF"/>
    <w:rsid w:val="00EE72DD"/>
    <w:rsid w:val="00EF0FED"/>
    <w:rsid w:val="00EF2577"/>
    <w:rsid w:val="00EF4AAD"/>
    <w:rsid w:val="00F0088D"/>
    <w:rsid w:val="00F01FB8"/>
    <w:rsid w:val="00F02883"/>
    <w:rsid w:val="00F04E9E"/>
    <w:rsid w:val="00F07A4C"/>
    <w:rsid w:val="00F12245"/>
    <w:rsid w:val="00F12AE8"/>
    <w:rsid w:val="00F1405C"/>
    <w:rsid w:val="00F14C56"/>
    <w:rsid w:val="00F30958"/>
    <w:rsid w:val="00F32445"/>
    <w:rsid w:val="00F33D8D"/>
    <w:rsid w:val="00F3508B"/>
    <w:rsid w:val="00F40C3D"/>
    <w:rsid w:val="00F44A8D"/>
    <w:rsid w:val="00F53E85"/>
    <w:rsid w:val="00F56641"/>
    <w:rsid w:val="00F62615"/>
    <w:rsid w:val="00F65BC4"/>
    <w:rsid w:val="00F65CEE"/>
    <w:rsid w:val="00F819B4"/>
    <w:rsid w:val="00F8508C"/>
    <w:rsid w:val="00F86CC0"/>
    <w:rsid w:val="00F86D3D"/>
    <w:rsid w:val="00F872C1"/>
    <w:rsid w:val="00F901A9"/>
    <w:rsid w:val="00FA0334"/>
    <w:rsid w:val="00FA18B1"/>
    <w:rsid w:val="00FA52A6"/>
    <w:rsid w:val="00FA5324"/>
    <w:rsid w:val="00FA713F"/>
    <w:rsid w:val="00FB1231"/>
    <w:rsid w:val="00FB5236"/>
    <w:rsid w:val="00FC35D9"/>
    <w:rsid w:val="00FC41F9"/>
    <w:rsid w:val="00FC6DA3"/>
    <w:rsid w:val="00FD4AE8"/>
    <w:rsid w:val="00FD5BF1"/>
    <w:rsid w:val="00FD7A00"/>
    <w:rsid w:val="00FE2265"/>
    <w:rsid w:val="00FF0ACD"/>
    <w:rsid w:val="00FF150E"/>
    <w:rsid w:val="00FF323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C4"/>
    <w:pPr>
      <w:spacing w:after="200" w:line="276" w:lineRule="auto"/>
      <w:jc w:val="both"/>
    </w:pPr>
    <w:rPr>
      <w:rFonts w:ascii="Times New Roman" w:hAnsi="Times New Roman"/>
      <w:sz w:val="22"/>
      <w:szCs w:val="22"/>
      <w:lang w:eastAsia="x-none"/>
    </w:rPr>
  </w:style>
  <w:style w:type="paragraph" w:styleId="Heading1">
    <w:name w:val="heading 1"/>
    <w:basedOn w:val="Normal"/>
    <w:next w:val="Normal"/>
    <w:link w:val="Heading1Char"/>
    <w:uiPriority w:val="9"/>
    <w:qFormat/>
    <w:rsid w:val="00F65BC4"/>
    <w:pPr>
      <w:numPr>
        <w:numId w:val="2"/>
      </w:numPr>
      <w:spacing w:before="360"/>
      <w:outlineLvl w:val="0"/>
    </w:pPr>
    <w:rPr>
      <w:b/>
    </w:rPr>
  </w:style>
  <w:style w:type="paragraph" w:styleId="Heading2">
    <w:name w:val="heading 2"/>
    <w:basedOn w:val="Heading1"/>
    <w:next w:val="Normal"/>
    <w:link w:val="Heading2Char"/>
    <w:unhideWhenUsed/>
    <w:qFormat/>
    <w:rsid w:val="000777A1"/>
    <w:pPr>
      <w:numPr>
        <w:numId w:val="0"/>
      </w:numPr>
      <w:ind w:left="360"/>
      <w:outlineLvl w:val="1"/>
    </w:pPr>
  </w:style>
  <w:style w:type="paragraph" w:styleId="Heading3">
    <w:name w:val="heading 3"/>
    <w:basedOn w:val="Normal"/>
    <w:next w:val="Normal"/>
    <w:link w:val="Heading3Char"/>
    <w:unhideWhenUsed/>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rsid w:val="00A60F38"/>
    <w:pPr>
      <w:keepNext/>
      <w:keepLines/>
      <w:spacing w:before="240" w:after="60"/>
      <w:outlineLvl w:val="4"/>
    </w:pPr>
    <w:rPr>
      <w:rFonts w:ascii="Cambria" w:hAnsi="Cambria"/>
      <w:bCs/>
      <w:color w:val="4F81BD"/>
      <w:sz w:val="20"/>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77A1"/>
    <w:rPr>
      <w:rFonts w:ascii="Times New Roman" w:hAnsi="Times New Roman"/>
      <w:b/>
      <w:sz w:val="22"/>
      <w:szCs w:val="22"/>
      <w:lang w:eastAsia="x-none"/>
    </w:rPr>
  </w:style>
  <w:style w:type="character" w:customStyle="1" w:styleId="Heading3Char">
    <w:name w:val="Heading 3 Char"/>
    <w:basedOn w:val="DefaultParagraphFont"/>
    <w:link w:val="Heading3"/>
    <w:rPr>
      <w:rFonts w:ascii="Cambria" w:hAnsi="Cambria" w:hint="default"/>
      <w:b/>
      <w:bCs/>
      <w:color w:val="4F81BD"/>
    </w:rPr>
  </w:style>
  <w:style w:type="character" w:customStyle="1" w:styleId="Heading4Char">
    <w:name w:val="Heading 4 Char"/>
    <w:basedOn w:val="DefaultParagraphFont"/>
    <w:link w:val="Heading4"/>
    <w:rPr>
      <w:rFonts w:ascii="Cambria" w:hAnsi="Cambria" w:hint="default"/>
      <w:b/>
      <w:bCs/>
      <w:color w:val="4F81BD"/>
    </w:rPr>
  </w:style>
  <w:style w:type="character" w:customStyle="1" w:styleId="Heading5Char">
    <w:name w:val="Heading 5 Char"/>
    <w:basedOn w:val="DefaultParagraphFont"/>
    <w:link w:val="Heading5"/>
    <w:rsid w:val="002A150F"/>
    <w:rPr>
      <w:rFonts w:ascii="Cambria" w:hAnsi="Cambria"/>
      <w:bCs/>
      <w:color w:val="4F81BD"/>
      <w:szCs w:val="22"/>
      <w:lang w:eastAsia="x-none"/>
    </w:rPr>
  </w:style>
  <w:style w:type="character" w:customStyle="1" w:styleId="Heading6Char">
    <w:name w:val="Heading 6 Char"/>
    <w:basedOn w:val="DefaultParagraphFont"/>
    <w:link w:val="Heading6"/>
    <w:rPr>
      <w:rFonts w:ascii="Cambria" w:hAnsi="Cambria" w:hint="default"/>
      <w:b/>
      <w:bCs/>
      <w:color w:val="4F81BD"/>
    </w:rPr>
  </w:style>
  <w:style w:type="character" w:customStyle="1" w:styleId="Heading7Char">
    <w:name w:val="Heading 7 Char"/>
    <w:basedOn w:val="DefaultParagraphFont"/>
    <w:link w:val="Heading7"/>
    <w:rPr>
      <w:rFonts w:ascii="Cambria" w:hAnsi="Cambria" w:hint="default"/>
      <w:b/>
      <w:bCs/>
      <w:color w:val="4F81BD"/>
    </w:rPr>
  </w:style>
  <w:style w:type="character" w:customStyle="1" w:styleId="Heading8Char">
    <w:name w:val="Heading 8 Char"/>
    <w:basedOn w:val="DefaultParagraphFont"/>
    <w:link w:val="Heading8"/>
    <w:rPr>
      <w:rFonts w:ascii="Cambria" w:hAnsi="Cambria" w:hint="default"/>
      <w:b/>
      <w:bCs/>
      <w:color w:val="4F81BD"/>
    </w:rPr>
  </w:style>
  <w:style w:type="character" w:customStyle="1" w:styleId="Heading9Char">
    <w:name w:val="Heading 9 Char"/>
    <w:basedOn w:val="DefaultParagraphFont"/>
    <w:link w:val="Heading9"/>
    <w:rPr>
      <w:rFonts w:ascii="Cambria" w:hAnsi="Cambria" w:hint="default"/>
      <w:b/>
      <w:bCs/>
      <w:color w:val="4F81BD"/>
    </w:rPr>
  </w:style>
  <w:style w:type="paragraph" w:styleId="Title">
    <w:name w:val="Title"/>
    <w:basedOn w:val="Normal"/>
    <w:qFormat/>
    <w:rsid w:val="00402F2E"/>
    <w:pPr>
      <w:tabs>
        <w:tab w:val="left" w:pos="1440"/>
        <w:tab w:val="left" w:pos="3060"/>
      </w:tabs>
      <w:spacing w:after="0" w:line="240" w:lineRule="auto"/>
      <w:jc w:val="center"/>
      <w:outlineLvl w:val="0"/>
    </w:pPr>
    <w:rPr>
      <w:rFonts w:eastAsia="Times New Roman"/>
      <w:sz w:val="24"/>
      <w:szCs w:val="20"/>
    </w:rPr>
  </w:style>
  <w:style w:type="character" w:styleId="Hyperlink">
    <w:name w:val="Hyperlink"/>
    <w:basedOn w:val="DefaultParagraphFont"/>
    <w:uiPriority w:val="99"/>
    <w:unhideWhenUsed/>
    <w:rsid w:val="00A22E59"/>
    <w:rPr>
      <w:color w:val="0563C1"/>
      <w:u w:val="single"/>
    </w:rPr>
  </w:style>
  <w:style w:type="paragraph" w:styleId="ListParagraph">
    <w:name w:val="List Paragraph"/>
    <w:basedOn w:val="Normal"/>
    <w:uiPriority w:val="34"/>
    <w:qFormat/>
    <w:rsid w:val="00CA6DEC"/>
    <w:pPr>
      <w:ind w:left="720"/>
      <w:contextualSpacing/>
    </w:pPr>
  </w:style>
  <w:style w:type="paragraph" w:styleId="BalloonText">
    <w:name w:val="Balloon Text"/>
    <w:basedOn w:val="Normal"/>
    <w:uiPriority w:val="99"/>
    <w:semiHidden/>
    <w:rsid w:val="00FC0621"/>
    <w:pPr>
      <w:spacing w:after="0" w:line="240" w:lineRule="auto"/>
    </w:pPr>
    <w:rPr>
      <w:rFonts w:ascii="Tahoma" w:eastAsia="Times New Roman" w:hAnsi="Tahoma" w:cs="Tahoma"/>
      <w:sz w:val="16"/>
      <w:szCs w:val="16"/>
    </w:rPr>
  </w:style>
  <w:style w:type="paragraph" w:styleId="FootnoteText">
    <w:name w:val="footnote text"/>
    <w:aliases w:val="fn,footnote,Footnote Text Char Char Char,Footnote Text Char Char Char Char Char Char Char,Footnote Text Char Char Char Char Char,Footnote Text Char Char Char Char Char Char,Footnote Text Char Char Char Char Ch Char,foottextfra,F,f,ADB,ft"/>
    <w:basedOn w:val="Normal"/>
    <w:link w:val="FootnoteTextChar"/>
    <w:unhideWhenUsed/>
    <w:qFormat/>
    <w:rsid w:val="00902F77"/>
    <w:pPr>
      <w:spacing w:after="0" w:line="240" w:lineRule="auto"/>
    </w:pPr>
    <w:rPr>
      <w:sz w:val="24"/>
      <w:szCs w:val="24"/>
    </w:rPr>
  </w:style>
  <w:style w:type="character" w:styleId="FootnoteReference">
    <w:name w:val="footnote reference"/>
    <w:aliases w:val="referencia nota al pie,FC,ftref,titulo 2,16 Point,Superscript 6 Point,Ref,de nota al pie,Style 24,pie pddes,Footnote Reference.SES,Fußnotenzeichen DISS,Footnote Referencefra,BVI fnr,Знак сноски 1,Ref. de nota al pie.,fr,SUPERS,Style "/>
    <w:basedOn w:val="DefaultParagraphFont"/>
    <w:uiPriority w:val="99"/>
    <w:unhideWhenUsed/>
    <w:qFormat/>
    <w:rsid w:val="00902F77"/>
    <w:rPr>
      <w:vertAlign w:val="superscript"/>
    </w:rPr>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paragraph" w:customStyle="1" w:styleId="Newpage">
    <w:name w:val="Newpage"/>
    <w:basedOn w:val="Normal"/>
    <w:rsid w:val="00B52681"/>
    <w:pPr>
      <w:tabs>
        <w:tab w:val="left" w:pos="1440"/>
        <w:tab w:val="left" w:pos="3060"/>
      </w:tabs>
      <w:spacing w:after="0" w:line="240" w:lineRule="auto"/>
      <w:jc w:val="center"/>
    </w:pPr>
    <w:rPr>
      <w:rFonts w:eastAsia="Times New Roman" w:cs="Arial"/>
      <w:b/>
      <w:smallCaps/>
      <w:sz w:val="24"/>
      <w:szCs w:val="20"/>
    </w:rPr>
  </w:style>
  <w:style w:type="paragraph" w:styleId="BodyText">
    <w:name w:val="Body Text"/>
    <w:basedOn w:val="Normal"/>
    <w:rsid w:val="00B52681"/>
    <w:pPr>
      <w:tabs>
        <w:tab w:val="left" w:pos="3060"/>
      </w:tabs>
      <w:spacing w:after="0" w:line="240" w:lineRule="auto"/>
      <w:jc w:val="center"/>
    </w:pPr>
    <w:rPr>
      <w:rFonts w:eastAsia="Times New Roman"/>
      <w:sz w:val="24"/>
      <w:szCs w:val="20"/>
    </w:rPr>
  </w:style>
  <w:style w:type="character" w:styleId="CommentReference">
    <w:name w:val="annotation reference"/>
    <w:basedOn w:val="DefaultParagraphFont"/>
    <w:uiPriority w:val="99"/>
    <w:rsid w:val="009365EC"/>
    <w:rPr>
      <w:sz w:val="16"/>
      <w:szCs w:val="16"/>
    </w:rPr>
  </w:style>
  <w:style w:type="paragraph" w:styleId="CommentText">
    <w:name w:val="annotation text"/>
    <w:basedOn w:val="Normal"/>
    <w:link w:val="CommentTextChar"/>
    <w:uiPriority w:val="99"/>
    <w:rsid w:val="009365EC"/>
    <w:rPr>
      <w:sz w:val="20"/>
      <w:szCs w:val="20"/>
    </w:rPr>
  </w:style>
  <w:style w:type="character" w:customStyle="1" w:styleId="Heading1Char">
    <w:name w:val="Heading 1 Char"/>
    <w:basedOn w:val="DefaultParagraphFont"/>
    <w:link w:val="Heading1"/>
    <w:uiPriority w:val="9"/>
    <w:rsid w:val="00AF6523"/>
    <w:rPr>
      <w:rFonts w:ascii="Times New Roman" w:hAnsi="Times New Roman"/>
      <w:b/>
      <w:sz w:val="22"/>
      <w:szCs w:val="22"/>
      <w:lang w:eastAsia="x-none"/>
    </w:rPr>
  </w:style>
  <w:style w:type="paragraph" w:styleId="Bibliography">
    <w:name w:val="Bibliography"/>
    <w:basedOn w:val="Normal"/>
    <w:next w:val="Normal"/>
    <w:uiPriority w:val="37"/>
    <w:unhideWhenUsed/>
    <w:rsid w:val="00AF6523"/>
  </w:style>
  <w:style w:type="paragraph" w:styleId="Header">
    <w:name w:val="header"/>
    <w:basedOn w:val="Normal"/>
    <w:link w:val="HeaderChar"/>
    <w:uiPriority w:val="99"/>
    <w:unhideWhenUsed/>
    <w:rsid w:val="00472B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472B0E"/>
    <w:rPr>
      <w:sz w:val="22"/>
      <w:szCs w:val="22"/>
      <w:lang w:eastAsia="en-US"/>
    </w:rPr>
  </w:style>
  <w:style w:type="paragraph" w:customStyle="1" w:styleId="Codigo">
    <w:name w:val="Codigo"/>
    <w:basedOn w:val="Normal"/>
    <w:qFormat/>
    <w:rsid w:val="00BA5844"/>
    <w:pPr>
      <w:pBdr>
        <w:top w:val="single" w:sz="4" w:space="1" w:color="auto"/>
        <w:left w:val="single" w:sz="4" w:space="4" w:color="auto"/>
        <w:bottom w:val="single" w:sz="4" w:space="1" w:color="auto"/>
        <w:right w:val="single" w:sz="4" w:space="4" w:color="auto"/>
      </w:pBdr>
      <w:shd w:val="clear" w:color="auto" w:fill="E7E6E6" w:themeFill="background2"/>
      <w:spacing w:line="240" w:lineRule="auto"/>
    </w:pPr>
    <w:rPr>
      <w:rFonts w:ascii="Consolas" w:hAnsi="Consolas"/>
    </w:rPr>
  </w:style>
  <w:style w:type="table" w:styleId="TableGrid">
    <w:name w:val="Table Grid"/>
    <w:basedOn w:val="TableNormal"/>
    <w:uiPriority w:val="39"/>
    <w:rsid w:val="00244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link w:val="TablaCar"/>
    <w:qFormat/>
    <w:rsid w:val="00244EBC"/>
    <w:pPr>
      <w:spacing w:after="0" w:line="240" w:lineRule="auto"/>
      <w:jc w:val="left"/>
    </w:pPr>
    <w:rPr>
      <w:rFonts w:ascii="Arial Narrow" w:eastAsia="Times New Roman" w:hAnsi="Arial Narrow"/>
      <w:bCs/>
      <w:color w:val="000000"/>
      <w:sz w:val="20"/>
      <w:lang w:eastAsia="es-CO"/>
    </w:rPr>
  </w:style>
  <w:style w:type="character" w:customStyle="1" w:styleId="TablaCar">
    <w:name w:val="Tabla Car"/>
    <w:basedOn w:val="DefaultParagraphFont"/>
    <w:link w:val="Tabla"/>
    <w:rsid w:val="00244EBC"/>
    <w:rPr>
      <w:rFonts w:ascii="Arial Narrow" w:eastAsia="Times New Roman" w:hAnsi="Arial Narrow"/>
      <w:bCs/>
      <w:color w:val="000000"/>
      <w:szCs w:val="22"/>
    </w:rPr>
  </w:style>
  <w:style w:type="paragraph" w:styleId="Caption">
    <w:name w:val="caption"/>
    <w:basedOn w:val="Normal"/>
    <w:next w:val="Normal"/>
    <w:uiPriority w:val="35"/>
    <w:unhideWhenUsed/>
    <w:qFormat/>
    <w:rsid w:val="00501087"/>
    <w:pPr>
      <w:spacing w:line="240" w:lineRule="auto"/>
    </w:pPr>
    <w:rPr>
      <w:i/>
      <w:iCs/>
      <w:color w:val="44546A" w:themeColor="text2"/>
      <w:sz w:val="18"/>
      <w:szCs w:val="18"/>
    </w:rPr>
  </w:style>
  <w:style w:type="paragraph" w:styleId="NormalWeb">
    <w:name w:val="Normal (Web)"/>
    <w:basedOn w:val="Normal"/>
    <w:uiPriority w:val="99"/>
    <w:semiHidden/>
    <w:unhideWhenUsed/>
    <w:rsid w:val="002E3E43"/>
    <w:pPr>
      <w:spacing w:before="100" w:beforeAutospacing="1" w:after="100" w:afterAutospacing="1" w:line="240" w:lineRule="auto"/>
      <w:jc w:val="left"/>
    </w:pPr>
    <w:rPr>
      <w:rFonts w:eastAsia="Times New Roman"/>
      <w:sz w:val="24"/>
      <w:szCs w:val="24"/>
      <w:lang w:eastAsia="es-CO"/>
    </w:rPr>
  </w:style>
  <w:style w:type="paragraph" w:styleId="CommentSubject">
    <w:name w:val="annotation subject"/>
    <w:basedOn w:val="CommentText"/>
    <w:next w:val="CommentText"/>
    <w:link w:val="CommentSubjectChar"/>
    <w:uiPriority w:val="99"/>
    <w:semiHidden/>
    <w:unhideWhenUsed/>
    <w:rsid w:val="00433A82"/>
    <w:pPr>
      <w:spacing w:line="240" w:lineRule="auto"/>
    </w:pPr>
    <w:rPr>
      <w:b/>
      <w:bCs/>
    </w:rPr>
  </w:style>
  <w:style w:type="character" w:customStyle="1" w:styleId="CommentTextChar">
    <w:name w:val="Comment Text Char"/>
    <w:basedOn w:val="DefaultParagraphFont"/>
    <w:link w:val="CommentText"/>
    <w:uiPriority w:val="99"/>
    <w:rsid w:val="00433A82"/>
    <w:rPr>
      <w:rFonts w:ascii="Times New Roman" w:hAnsi="Times New Roman"/>
      <w:lang w:eastAsia="x-none"/>
    </w:rPr>
  </w:style>
  <w:style w:type="character" w:customStyle="1" w:styleId="CommentSubjectChar">
    <w:name w:val="Comment Subject Char"/>
    <w:basedOn w:val="CommentTextChar"/>
    <w:link w:val="CommentSubject"/>
    <w:uiPriority w:val="99"/>
    <w:semiHidden/>
    <w:rsid w:val="00433A82"/>
    <w:rPr>
      <w:rFonts w:ascii="Times New Roman" w:hAnsi="Times New Roman"/>
      <w:b/>
      <w:bCs/>
      <w:lang w:eastAsia="x-none"/>
    </w:rPr>
  </w:style>
  <w:style w:type="paragraph" w:customStyle="1" w:styleId="Chapter">
    <w:name w:val="Chapter"/>
    <w:basedOn w:val="Normal"/>
    <w:next w:val="Normal"/>
    <w:rsid w:val="00173B80"/>
    <w:pPr>
      <w:keepNext/>
      <w:numPr>
        <w:numId w:val="9"/>
      </w:numPr>
      <w:tabs>
        <w:tab w:val="clear" w:pos="1800"/>
        <w:tab w:val="num" w:pos="648"/>
        <w:tab w:val="left" w:pos="1440"/>
      </w:tabs>
      <w:spacing w:before="240" w:after="240" w:line="240" w:lineRule="auto"/>
      <w:ind w:left="0"/>
      <w:jc w:val="center"/>
    </w:pPr>
    <w:rPr>
      <w:rFonts w:eastAsia="Times New Roman"/>
      <w:b/>
      <w:smallCaps/>
      <w:sz w:val="24"/>
      <w:szCs w:val="20"/>
      <w:lang w:val="es-ES" w:eastAsia="en-US"/>
    </w:rPr>
  </w:style>
  <w:style w:type="paragraph" w:customStyle="1" w:styleId="Paragraph">
    <w:name w:val="Paragraph"/>
    <w:aliases w:val="p,PARAGRAPH,PG,pa,at,paragraph+1,paragraph"/>
    <w:basedOn w:val="BodyTextIndent"/>
    <w:link w:val="ParagraphChar"/>
    <w:qFormat/>
    <w:rsid w:val="00173B80"/>
    <w:pPr>
      <w:numPr>
        <w:ilvl w:val="1"/>
        <w:numId w:val="9"/>
      </w:numPr>
      <w:tabs>
        <w:tab w:val="clear" w:pos="1566"/>
        <w:tab w:val="num" w:pos="720"/>
      </w:tabs>
      <w:spacing w:before="120" w:line="240" w:lineRule="auto"/>
      <w:ind w:left="720" w:hanging="720"/>
      <w:outlineLvl w:val="1"/>
    </w:pPr>
    <w:rPr>
      <w:rFonts w:eastAsia="Times New Roman"/>
      <w:sz w:val="24"/>
      <w:szCs w:val="24"/>
      <w:lang w:val="es-ES_tradnl" w:eastAsia="en-US"/>
    </w:rPr>
  </w:style>
  <w:style w:type="paragraph" w:customStyle="1" w:styleId="subpar">
    <w:name w:val="subpar"/>
    <w:basedOn w:val="BodyTextIndent3"/>
    <w:rsid w:val="00173B80"/>
    <w:pPr>
      <w:numPr>
        <w:ilvl w:val="2"/>
        <w:numId w:val="9"/>
      </w:numPr>
      <w:tabs>
        <w:tab w:val="clear" w:pos="2304"/>
        <w:tab w:val="num" w:pos="360"/>
        <w:tab w:val="num" w:pos="1152"/>
      </w:tabs>
      <w:spacing w:before="120" w:line="240" w:lineRule="auto"/>
      <w:ind w:left="1152" w:firstLine="0"/>
      <w:outlineLvl w:val="2"/>
    </w:pPr>
    <w:rPr>
      <w:rFonts w:eastAsia="Times New Roman"/>
      <w:sz w:val="24"/>
      <w:szCs w:val="20"/>
      <w:lang w:val="es-ES_tradnl" w:eastAsia="en-US"/>
    </w:rPr>
  </w:style>
  <w:style w:type="paragraph" w:customStyle="1" w:styleId="SubSubPar">
    <w:name w:val="SubSubPar"/>
    <w:basedOn w:val="subpar"/>
    <w:rsid w:val="00173B80"/>
    <w:pPr>
      <w:numPr>
        <w:ilvl w:val="3"/>
      </w:numPr>
      <w:tabs>
        <w:tab w:val="clear" w:pos="2736"/>
        <w:tab w:val="left" w:pos="0"/>
        <w:tab w:val="num" w:pos="360"/>
        <w:tab w:val="num" w:pos="1152"/>
        <w:tab w:val="num" w:pos="1296"/>
      </w:tabs>
      <w:ind w:left="1296"/>
    </w:pPr>
  </w:style>
  <w:style w:type="character" w:customStyle="1" w:styleId="ParagraphChar">
    <w:name w:val="Paragraph Char"/>
    <w:link w:val="Paragraph"/>
    <w:rsid w:val="00173B80"/>
    <w:rPr>
      <w:rFonts w:ascii="Times New Roman" w:eastAsia="Times New Roman" w:hAnsi="Times New Roman"/>
      <w:sz w:val="24"/>
      <w:szCs w:val="24"/>
      <w:lang w:val="es-ES_tradnl" w:eastAsia="en-US"/>
    </w:rPr>
  </w:style>
  <w:style w:type="character" w:customStyle="1" w:styleId="FootnoteTextChar">
    <w:name w:val="Footnote Text Char"/>
    <w:aliases w:val="fn Char,footnote Char,Footnote Text Char Char Char Char,Footnote Text Char Char Char Char Char Char Char Char,Footnote Text Char Char Char Char Char Char1,Footnote Text Char Char Char Char Char Char Char1,foottextfra Char,F Char"/>
    <w:link w:val="FootnoteText"/>
    <w:rsid w:val="00173B80"/>
    <w:rPr>
      <w:rFonts w:ascii="Times New Roman" w:hAnsi="Times New Roman"/>
      <w:sz w:val="24"/>
      <w:szCs w:val="24"/>
      <w:lang w:eastAsia="x-none"/>
    </w:rPr>
  </w:style>
  <w:style w:type="paragraph" w:styleId="BodyTextIndent">
    <w:name w:val="Body Text Indent"/>
    <w:basedOn w:val="Normal"/>
    <w:link w:val="BodyTextIndentChar"/>
    <w:uiPriority w:val="99"/>
    <w:semiHidden/>
    <w:unhideWhenUsed/>
    <w:rsid w:val="00173B80"/>
    <w:pPr>
      <w:spacing w:after="120"/>
      <w:ind w:left="360"/>
    </w:pPr>
  </w:style>
  <w:style w:type="character" w:customStyle="1" w:styleId="BodyTextIndentChar">
    <w:name w:val="Body Text Indent Char"/>
    <w:basedOn w:val="DefaultParagraphFont"/>
    <w:link w:val="BodyTextIndent"/>
    <w:uiPriority w:val="99"/>
    <w:semiHidden/>
    <w:rsid w:val="00173B80"/>
    <w:rPr>
      <w:rFonts w:ascii="Times New Roman" w:hAnsi="Times New Roman"/>
      <w:sz w:val="22"/>
      <w:szCs w:val="22"/>
      <w:lang w:eastAsia="x-none"/>
    </w:rPr>
  </w:style>
  <w:style w:type="paragraph" w:styleId="BodyTextIndent3">
    <w:name w:val="Body Text Indent 3"/>
    <w:basedOn w:val="Normal"/>
    <w:link w:val="BodyTextIndent3Char"/>
    <w:uiPriority w:val="99"/>
    <w:semiHidden/>
    <w:unhideWhenUsed/>
    <w:rsid w:val="00173B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3B80"/>
    <w:rPr>
      <w:rFonts w:ascii="Times New Roman" w:hAnsi="Times New Roman"/>
      <w:sz w:val="16"/>
      <w:szCs w:val="16"/>
      <w:lang w:eastAsia="x-none"/>
    </w:rPr>
  </w:style>
  <w:style w:type="paragraph" w:styleId="Revision">
    <w:name w:val="Revision"/>
    <w:hidden/>
    <w:uiPriority w:val="99"/>
    <w:semiHidden/>
    <w:rsid w:val="00A51948"/>
    <w:rPr>
      <w:rFonts w:ascii="Times New Roman" w:hAnsi="Times New Roman"/>
      <w:sz w:val="22"/>
      <w:szCs w:val="22"/>
      <w:lang w:eastAsia="x-none"/>
    </w:rPr>
  </w:style>
  <w:style w:type="character" w:customStyle="1" w:styleId="st">
    <w:name w:val="st"/>
    <w:basedOn w:val="DefaultParagraphFont"/>
    <w:rsid w:val="002E5FB1"/>
  </w:style>
  <w:style w:type="character" w:customStyle="1" w:styleId="FooterChar">
    <w:name w:val="Footer Char"/>
    <w:basedOn w:val="DefaultParagraphFont"/>
    <w:link w:val="Footer"/>
    <w:uiPriority w:val="99"/>
    <w:rsid w:val="008A6DBC"/>
    <w:rPr>
      <w:rFonts w:ascii="Times New Roman" w:hAnsi="Times New Roman"/>
      <w:sz w:val="22"/>
      <w:szCs w:val="22"/>
      <w:lang w:eastAsia="x-none"/>
    </w:rPr>
  </w:style>
  <w:style w:type="character" w:styleId="PlaceholderText">
    <w:name w:val="Placeholder Text"/>
    <w:basedOn w:val="DefaultParagraphFont"/>
    <w:uiPriority w:val="99"/>
    <w:semiHidden/>
    <w:rsid w:val="00A62C7B"/>
    <w:rPr>
      <w:color w:val="808080"/>
    </w:rPr>
  </w:style>
  <w:style w:type="paragraph" w:styleId="TOCHeading">
    <w:name w:val="TOC Heading"/>
    <w:basedOn w:val="Heading1"/>
    <w:next w:val="Normal"/>
    <w:uiPriority w:val="39"/>
    <w:unhideWhenUsed/>
    <w:qFormat/>
    <w:rsid w:val="00C62A67"/>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83C9C"/>
    <w:pPr>
      <w:tabs>
        <w:tab w:val="left" w:pos="630"/>
        <w:tab w:val="right" w:leader="dot" w:pos="9163"/>
      </w:tabs>
      <w:spacing w:after="100"/>
    </w:pPr>
  </w:style>
  <w:style w:type="paragraph" w:styleId="TOC2">
    <w:name w:val="toc 2"/>
    <w:basedOn w:val="Normal"/>
    <w:next w:val="Normal"/>
    <w:autoRedefine/>
    <w:uiPriority w:val="39"/>
    <w:unhideWhenUsed/>
    <w:rsid w:val="00C62A67"/>
    <w:pPr>
      <w:spacing w:after="100"/>
      <w:ind w:left="220"/>
    </w:pPr>
  </w:style>
  <w:style w:type="paragraph" w:styleId="TOC3">
    <w:name w:val="toc 3"/>
    <w:basedOn w:val="Normal"/>
    <w:next w:val="Normal"/>
    <w:autoRedefine/>
    <w:uiPriority w:val="39"/>
    <w:unhideWhenUsed/>
    <w:rsid w:val="00C62A6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C4"/>
    <w:pPr>
      <w:spacing w:after="200" w:line="276" w:lineRule="auto"/>
      <w:jc w:val="both"/>
    </w:pPr>
    <w:rPr>
      <w:rFonts w:ascii="Times New Roman" w:hAnsi="Times New Roman"/>
      <w:sz w:val="22"/>
      <w:szCs w:val="22"/>
      <w:lang w:eastAsia="x-none"/>
    </w:rPr>
  </w:style>
  <w:style w:type="paragraph" w:styleId="Heading1">
    <w:name w:val="heading 1"/>
    <w:basedOn w:val="Normal"/>
    <w:next w:val="Normal"/>
    <w:link w:val="Heading1Char"/>
    <w:uiPriority w:val="9"/>
    <w:qFormat/>
    <w:rsid w:val="00F65BC4"/>
    <w:pPr>
      <w:numPr>
        <w:numId w:val="2"/>
      </w:numPr>
      <w:spacing w:before="360"/>
      <w:outlineLvl w:val="0"/>
    </w:pPr>
    <w:rPr>
      <w:b/>
    </w:rPr>
  </w:style>
  <w:style w:type="paragraph" w:styleId="Heading2">
    <w:name w:val="heading 2"/>
    <w:basedOn w:val="Heading1"/>
    <w:next w:val="Normal"/>
    <w:link w:val="Heading2Char"/>
    <w:unhideWhenUsed/>
    <w:qFormat/>
    <w:rsid w:val="000777A1"/>
    <w:pPr>
      <w:numPr>
        <w:numId w:val="0"/>
      </w:numPr>
      <w:ind w:left="360"/>
      <w:outlineLvl w:val="1"/>
    </w:pPr>
  </w:style>
  <w:style w:type="paragraph" w:styleId="Heading3">
    <w:name w:val="heading 3"/>
    <w:basedOn w:val="Normal"/>
    <w:next w:val="Normal"/>
    <w:link w:val="Heading3Char"/>
    <w:unhideWhenUsed/>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pPr>
      <w:keepNext/>
      <w:keepLines/>
      <w:spacing w:before="240" w:after="60"/>
      <w:outlineLvl w:val="3"/>
    </w:pPr>
    <w:rPr>
      <w:rFonts w:ascii="Cambria" w:hAnsi="Cambria"/>
      <w:b/>
      <w:bCs/>
      <w:color w:val="4F81BD"/>
    </w:rPr>
  </w:style>
  <w:style w:type="paragraph" w:styleId="Heading5">
    <w:name w:val="heading 5"/>
    <w:basedOn w:val="Normal"/>
    <w:next w:val="Normal"/>
    <w:link w:val="Heading5Char"/>
    <w:unhideWhenUsed/>
    <w:qFormat/>
    <w:rsid w:val="00A60F38"/>
    <w:pPr>
      <w:keepNext/>
      <w:keepLines/>
      <w:spacing w:before="240" w:after="60"/>
      <w:outlineLvl w:val="4"/>
    </w:pPr>
    <w:rPr>
      <w:rFonts w:ascii="Cambria" w:hAnsi="Cambria"/>
      <w:bCs/>
      <w:color w:val="4F81BD"/>
      <w:sz w:val="20"/>
    </w:rPr>
  </w:style>
  <w:style w:type="paragraph" w:styleId="Heading6">
    <w:name w:val="heading 6"/>
    <w:basedOn w:val="Normal"/>
    <w:next w:val="Normal"/>
    <w:link w:val="Heading6Char"/>
    <w:unhideWhenUsed/>
    <w:qFormat/>
    <w:pPr>
      <w:keepNext/>
      <w:keepLines/>
      <w:spacing w:before="240" w:after="60"/>
      <w:outlineLvl w:val="5"/>
    </w:pPr>
    <w:rPr>
      <w:rFonts w:ascii="Cambria" w:hAnsi="Cambria"/>
      <w:b/>
      <w:bCs/>
      <w:color w:val="4F81BD"/>
    </w:rPr>
  </w:style>
  <w:style w:type="paragraph" w:styleId="Heading7">
    <w:name w:val="heading 7"/>
    <w:basedOn w:val="Normal"/>
    <w:next w:val="Normal"/>
    <w:link w:val="Heading7Char"/>
    <w:unhideWhenUsed/>
    <w:qFormat/>
    <w:pPr>
      <w:keepNext/>
      <w:keepLines/>
      <w:spacing w:before="240" w:after="60"/>
      <w:outlineLvl w:val="6"/>
    </w:pPr>
    <w:rPr>
      <w:rFonts w:ascii="Cambria" w:hAnsi="Cambria"/>
      <w:b/>
      <w:bCs/>
      <w:color w:val="4F81BD"/>
    </w:rPr>
  </w:style>
  <w:style w:type="paragraph" w:styleId="Heading8">
    <w:name w:val="heading 8"/>
    <w:basedOn w:val="Normal"/>
    <w:next w:val="Normal"/>
    <w:link w:val="Heading8Char"/>
    <w:unhideWhenUsed/>
    <w:qFormat/>
    <w:pPr>
      <w:keepNext/>
      <w:keepLines/>
      <w:spacing w:before="240" w:after="60"/>
      <w:outlineLvl w:val="7"/>
    </w:pPr>
    <w:rPr>
      <w:rFonts w:ascii="Cambria" w:hAnsi="Cambria"/>
      <w:b/>
      <w:bCs/>
      <w:color w:val="4F81BD"/>
    </w:rPr>
  </w:style>
  <w:style w:type="paragraph" w:styleId="Heading9">
    <w:name w:val="heading 9"/>
    <w:basedOn w:val="Normal"/>
    <w:next w:val="Normal"/>
    <w:link w:val="Heading9Char"/>
    <w:unhideWhenUsed/>
    <w:qFormat/>
    <w:pPr>
      <w:keepNext/>
      <w:keepLines/>
      <w:spacing w:before="240" w:after="60"/>
      <w:outlineLvl w:val="8"/>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77A1"/>
    <w:rPr>
      <w:rFonts w:ascii="Times New Roman" w:hAnsi="Times New Roman"/>
      <w:b/>
      <w:sz w:val="22"/>
      <w:szCs w:val="22"/>
      <w:lang w:eastAsia="x-none"/>
    </w:rPr>
  </w:style>
  <w:style w:type="character" w:customStyle="1" w:styleId="Heading3Char">
    <w:name w:val="Heading 3 Char"/>
    <w:basedOn w:val="DefaultParagraphFont"/>
    <w:link w:val="Heading3"/>
    <w:rPr>
      <w:rFonts w:ascii="Cambria" w:hAnsi="Cambria" w:hint="default"/>
      <w:b/>
      <w:bCs/>
      <w:color w:val="4F81BD"/>
    </w:rPr>
  </w:style>
  <w:style w:type="character" w:customStyle="1" w:styleId="Heading4Char">
    <w:name w:val="Heading 4 Char"/>
    <w:basedOn w:val="DefaultParagraphFont"/>
    <w:link w:val="Heading4"/>
    <w:rPr>
      <w:rFonts w:ascii="Cambria" w:hAnsi="Cambria" w:hint="default"/>
      <w:b/>
      <w:bCs/>
      <w:color w:val="4F81BD"/>
    </w:rPr>
  </w:style>
  <w:style w:type="character" w:customStyle="1" w:styleId="Heading5Char">
    <w:name w:val="Heading 5 Char"/>
    <w:basedOn w:val="DefaultParagraphFont"/>
    <w:link w:val="Heading5"/>
    <w:rsid w:val="002A150F"/>
    <w:rPr>
      <w:rFonts w:ascii="Cambria" w:hAnsi="Cambria"/>
      <w:bCs/>
      <w:color w:val="4F81BD"/>
      <w:szCs w:val="22"/>
      <w:lang w:eastAsia="x-none"/>
    </w:rPr>
  </w:style>
  <w:style w:type="character" w:customStyle="1" w:styleId="Heading6Char">
    <w:name w:val="Heading 6 Char"/>
    <w:basedOn w:val="DefaultParagraphFont"/>
    <w:link w:val="Heading6"/>
    <w:rPr>
      <w:rFonts w:ascii="Cambria" w:hAnsi="Cambria" w:hint="default"/>
      <w:b/>
      <w:bCs/>
      <w:color w:val="4F81BD"/>
    </w:rPr>
  </w:style>
  <w:style w:type="character" w:customStyle="1" w:styleId="Heading7Char">
    <w:name w:val="Heading 7 Char"/>
    <w:basedOn w:val="DefaultParagraphFont"/>
    <w:link w:val="Heading7"/>
    <w:rPr>
      <w:rFonts w:ascii="Cambria" w:hAnsi="Cambria" w:hint="default"/>
      <w:b/>
      <w:bCs/>
      <w:color w:val="4F81BD"/>
    </w:rPr>
  </w:style>
  <w:style w:type="character" w:customStyle="1" w:styleId="Heading8Char">
    <w:name w:val="Heading 8 Char"/>
    <w:basedOn w:val="DefaultParagraphFont"/>
    <w:link w:val="Heading8"/>
    <w:rPr>
      <w:rFonts w:ascii="Cambria" w:hAnsi="Cambria" w:hint="default"/>
      <w:b/>
      <w:bCs/>
      <w:color w:val="4F81BD"/>
    </w:rPr>
  </w:style>
  <w:style w:type="character" w:customStyle="1" w:styleId="Heading9Char">
    <w:name w:val="Heading 9 Char"/>
    <w:basedOn w:val="DefaultParagraphFont"/>
    <w:link w:val="Heading9"/>
    <w:rPr>
      <w:rFonts w:ascii="Cambria" w:hAnsi="Cambria" w:hint="default"/>
      <w:b/>
      <w:bCs/>
      <w:color w:val="4F81BD"/>
    </w:rPr>
  </w:style>
  <w:style w:type="paragraph" w:styleId="Title">
    <w:name w:val="Title"/>
    <w:basedOn w:val="Normal"/>
    <w:qFormat/>
    <w:rsid w:val="00402F2E"/>
    <w:pPr>
      <w:tabs>
        <w:tab w:val="left" w:pos="1440"/>
        <w:tab w:val="left" w:pos="3060"/>
      </w:tabs>
      <w:spacing w:after="0" w:line="240" w:lineRule="auto"/>
      <w:jc w:val="center"/>
      <w:outlineLvl w:val="0"/>
    </w:pPr>
    <w:rPr>
      <w:rFonts w:eastAsia="Times New Roman"/>
      <w:sz w:val="24"/>
      <w:szCs w:val="20"/>
    </w:rPr>
  </w:style>
  <w:style w:type="character" w:styleId="Hyperlink">
    <w:name w:val="Hyperlink"/>
    <w:basedOn w:val="DefaultParagraphFont"/>
    <w:uiPriority w:val="99"/>
    <w:unhideWhenUsed/>
    <w:rsid w:val="00A22E59"/>
    <w:rPr>
      <w:color w:val="0563C1"/>
      <w:u w:val="single"/>
    </w:rPr>
  </w:style>
  <w:style w:type="paragraph" w:styleId="ListParagraph">
    <w:name w:val="List Paragraph"/>
    <w:basedOn w:val="Normal"/>
    <w:uiPriority w:val="34"/>
    <w:qFormat/>
    <w:rsid w:val="00CA6DEC"/>
    <w:pPr>
      <w:ind w:left="720"/>
      <w:contextualSpacing/>
    </w:pPr>
  </w:style>
  <w:style w:type="paragraph" w:styleId="BalloonText">
    <w:name w:val="Balloon Text"/>
    <w:basedOn w:val="Normal"/>
    <w:uiPriority w:val="99"/>
    <w:semiHidden/>
    <w:rsid w:val="00FC0621"/>
    <w:pPr>
      <w:spacing w:after="0" w:line="240" w:lineRule="auto"/>
    </w:pPr>
    <w:rPr>
      <w:rFonts w:ascii="Tahoma" w:eastAsia="Times New Roman" w:hAnsi="Tahoma" w:cs="Tahoma"/>
      <w:sz w:val="16"/>
      <w:szCs w:val="16"/>
    </w:rPr>
  </w:style>
  <w:style w:type="paragraph" w:styleId="FootnoteText">
    <w:name w:val="footnote text"/>
    <w:aliases w:val="fn,footnote,Footnote Text Char Char Char,Footnote Text Char Char Char Char Char Char Char,Footnote Text Char Char Char Char Char,Footnote Text Char Char Char Char Char Char,Footnote Text Char Char Char Char Ch Char,foottextfra,F,f,ADB,ft"/>
    <w:basedOn w:val="Normal"/>
    <w:link w:val="FootnoteTextChar"/>
    <w:unhideWhenUsed/>
    <w:qFormat/>
    <w:rsid w:val="00902F77"/>
    <w:pPr>
      <w:spacing w:after="0" w:line="240" w:lineRule="auto"/>
    </w:pPr>
    <w:rPr>
      <w:sz w:val="24"/>
      <w:szCs w:val="24"/>
    </w:rPr>
  </w:style>
  <w:style w:type="character" w:styleId="FootnoteReference">
    <w:name w:val="footnote reference"/>
    <w:aliases w:val="referencia nota al pie,FC,ftref,titulo 2,16 Point,Superscript 6 Point,Ref,de nota al pie,Style 24,pie pddes,Footnote Reference.SES,Fußnotenzeichen DISS,Footnote Referencefra,BVI fnr,Знак сноски 1,Ref. de nota al pie.,fr,SUPERS,Style "/>
    <w:basedOn w:val="DefaultParagraphFont"/>
    <w:uiPriority w:val="99"/>
    <w:unhideWhenUsed/>
    <w:qFormat/>
    <w:rsid w:val="00902F77"/>
    <w:rPr>
      <w:vertAlign w:val="superscript"/>
    </w:rPr>
  </w:style>
  <w:style w:type="paragraph" w:styleId="Footer">
    <w:name w:val="footer"/>
    <w:basedOn w:val="Normal"/>
    <w:link w:val="FooterChar"/>
    <w:uiPriority w:val="99"/>
    <w:unhideWhenUsed/>
    <w:rsid w:val="002C7B44"/>
    <w:pPr>
      <w:tabs>
        <w:tab w:val="center" w:pos="4320"/>
        <w:tab w:val="right" w:pos="8640"/>
      </w:tabs>
      <w:spacing w:after="0" w:line="240" w:lineRule="auto"/>
    </w:pPr>
  </w:style>
  <w:style w:type="paragraph" w:customStyle="1" w:styleId="Newpage">
    <w:name w:val="Newpage"/>
    <w:basedOn w:val="Normal"/>
    <w:rsid w:val="00B52681"/>
    <w:pPr>
      <w:tabs>
        <w:tab w:val="left" w:pos="1440"/>
        <w:tab w:val="left" w:pos="3060"/>
      </w:tabs>
      <w:spacing w:after="0" w:line="240" w:lineRule="auto"/>
      <w:jc w:val="center"/>
    </w:pPr>
    <w:rPr>
      <w:rFonts w:eastAsia="Times New Roman" w:cs="Arial"/>
      <w:b/>
      <w:smallCaps/>
      <w:sz w:val="24"/>
      <w:szCs w:val="20"/>
    </w:rPr>
  </w:style>
  <w:style w:type="paragraph" w:styleId="BodyText">
    <w:name w:val="Body Text"/>
    <w:basedOn w:val="Normal"/>
    <w:rsid w:val="00B52681"/>
    <w:pPr>
      <w:tabs>
        <w:tab w:val="left" w:pos="3060"/>
      </w:tabs>
      <w:spacing w:after="0" w:line="240" w:lineRule="auto"/>
      <w:jc w:val="center"/>
    </w:pPr>
    <w:rPr>
      <w:rFonts w:eastAsia="Times New Roman"/>
      <w:sz w:val="24"/>
      <w:szCs w:val="20"/>
    </w:rPr>
  </w:style>
  <w:style w:type="character" w:styleId="CommentReference">
    <w:name w:val="annotation reference"/>
    <w:basedOn w:val="DefaultParagraphFont"/>
    <w:uiPriority w:val="99"/>
    <w:rsid w:val="009365EC"/>
    <w:rPr>
      <w:sz w:val="16"/>
      <w:szCs w:val="16"/>
    </w:rPr>
  </w:style>
  <w:style w:type="paragraph" w:styleId="CommentText">
    <w:name w:val="annotation text"/>
    <w:basedOn w:val="Normal"/>
    <w:link w:val="CommentTextChar"/>
    <w:uiPriority w:val="99"/>
    <w:rsid w:val="009365EC"/>
    <w:rPr>
      <w:sz w:val="20"/>
      <w:szCs w:val="20"/>
    </w:rPr>
  </w:style>
  <w:style w:type="character" w:customStyle="1" w:styleId="Heading1Char">
    <w:name w:val="Heading 1 Char"/>
    <w:basedOn w:val="DefaultParagraphFont"/>
    <w:link w:val="Heading1"/>
    <w:uiPriority w:val="9"/>
    <w:rsid w:val="00AF6523"/>
    <w:rPr>
      <w:rFonts w:ascii="Times New Roman" w:hAnsi="Times New Roman"/>
      <w:b/>
      <w:sz w:val="22"/>
      <w:szCs w:val="22"/>
      <w:lang w:eastAsia="x-none"/>
    </w:rPr>
  </w:style>
  <w:style w:type="paragraph" w:styleId="Bibliography">
    <w:name w:val="Bibliography"/>
    <w:basedOn w:val="Normal"/>
    <w:next w:val="Normal"/>
    <w:uiPriority w:val="37"/>
    <w:unhideWhenUsed/>
    <w:rsid w:val="00AF6523"/>
  </w:style>
  <w:style w:type="paragraph" w:styleId="Header">
    <w:name w:val="header"/>
    <w:basedOn w:val="Normal"/>
    <w:link w:val="HeaderChar"/>
    <w:uiPriority w:val="99"/>
    <w:unhideWhenUsed/>
    <w:rsid w:val="00472B0E"/>
    <w:pPr>
      <w:tabs>
        <w:tab w:val="center" w:pos="4419"/>
        <w:tab w:val="right" w:pos="8838"/>
      </w:tabs>
      <w:spacing w:after="0" w:line="240" w:lineRule="auto"/>
    </w:pPr>
  </w:style>
  <w:style w:type="character" w:customStyle="1" w:styleId="HeaderChar">
    <w:name w:val="Header Char"/>
    <w:basedOn w:val="DefaultParagraphFont"/>
    <w:link w:val="Header"/>
    <w:uiPriority w:val="99"/>
    <w:rsid w:val="00472B0E"/>
    <w:rPr>
      <w:sz w:val="22"/>
      <w:szCs w:val="22"/>
      <w:lang w:eastAsia="en-US"/>
    </w:rPr>
  </w:style>
  <w:style w:type="paragraph" w:customStyle="1" w:styleId="Codigo">
    <w:name w:val="Codigo"/>
    <w:basedOn w:val="Normal"/>
    <w:qFormat/>
    <w:rsid w:val="00BA5844"/>
    <w:pPr>
      <w:pBdr>
        <w:top w:val="single" w:sz="4" w:space="1" w:color="auto"/>
        <w:left w:val="single" w:sz="4" w:space="4" w:color="auto"/>
        <w:bottom w:val="single" w:sz="4" w:space="1" w:color="auto"/>
        <w:right w:val="single" w:sz="4" w:space="4" w:color="auto"/>
      </w:pBdr>
      <w:shd w:val="clear" w:color="auto" w:fill="E7E6E6" w:themeFill="background2"/>
      <w:spacing w:line="240" w:lineRule="auto"/>
    </w:pPr>
    <w:rPr>
      <w:rFonts w:ascii="Consolas" w:hAnsi="Consolas"/>
    </w:rPr>
  </w:style>
  <w:style w:type="table" w:styleId="TableGrid">
    <w:name w:val="Table Grid"/>
    <w:basedOn w:val="TableNormal"/>
    <w:uiPriority w:val="39"/>
    <w:rsid w:val="00244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link w:val="TablaCar"/>
    <w:qFormat/>
    <w:rsid w:val="00244EBC"/>
    <w:pPr>
      <w:spacing w:after="0" w:line="240" w:lineRule="auto"/>
      <w:jc w:val="left"/>
    </w:pPr>
    <w:rPr>
      <w:rFonts w:ascii="Arial Narrow" w:eastAsia="Times New Roman" w:hAnsi="Arial Narrow"/>
      <w:bCs/>
      <w:color w:val="000000"/>
      <w:sz w:val="20"/>
      <w:lang w:eastAsia="es-CO"/>
    </w:rPr>
  </w:style>
  <w:style w:type="character" w:customStyle="1" w:styleId="TablaCar">
    <w:name w:val="Tabla Car"/>
    <w:basedOn w:val="DefaultParagraphFont"/>
    <w:link w:val="Tabla"/>
    <w:rsid w:val="00244EBC"/>
    <w:rPr>
      <w:rFonts w:ascii="Arial Narrow" w:eastAsia="Times New Roman" w:hAnsi="Arial Narrow"/>
      <w:bCs/>
      <w:color w:val="000000"/>
      <w:szCs w:val="22"/>
    </w:rPr>
  </w:style>
  <w:style w:type="paragraph" w:styleId="Caption">
    <w:name w:val="caption"/>
    <w:basedOn w:val="Normal"/>
    <w:next w:val="Normal"/>
    <w:uiPriority w:val="35"/>
    <w:unhideWhenUsed/>
    <w:qFormat/>
    <w:rsid w:val="00501087"/>
    <w:pPr>
      <w:spacing w:line="240" w:lineRule="auto"/>
    </w:pPr>
    <w:rPr>
      <w:i/>
      <w:iCs/>
      <w:color w:val="44546A" w:themeColor="text2"/>
      <w:sz w:val="18"/>
      <w:szCs w:val="18"/>
    </w:rPr>
  </w:style>
  <w:style w:type="paragraph" w:styleId="NormalWeb">
    <w:name w:val="Normal (Web)"/>
    <w:basedOn w:val="Normal"/>
    <w:uiPriority w:val="99"/>
    <w:semiHidden/>
    <w:unhideWhenUsed/>
    <w:rsid w:val="002E3E43"/>
    <w:pPr>
      <w:spacing w:before="100" w:beforeAutospacing="1" w:after="100" w:afterAutospacing="1" w:line="240" w:lineRule="auto"/>
      <w:jc w:val="left"/>
    </w:pPr>
    <w:rPr>
      <w:rFonts w:eastAsia="Times New Roman"/>
      <w:sz w:val="24"/>
      <w:szCs w:val="24"/>
      <w:lang w:eastAsia="es-CO"/>
    </w:rPr>
  </w:style>
  <w:style w:type="paragraph" w:styleId="CommentSubject">
    <w:name w:val="annotation subject"/>
    <w:basedOn w:val="CommentText"/>
    <w:next w:val="CommentText"/>
    <w:link w:val="CommentSubjectChar"/>
    <w:uiPriority w:val="99"/>
    <w:semiHidden/>
    <w:unhideWhenUsed/>
    <w:rsid w:val="00433A82"/>
    <w:pPr>
      <w:spacing w:line="240" w:lineRule="auto"/>
    </w:pPr>
    <w:rPr>
      <w:b/>
      <w:bCs/>
    </w:rPr>
  </w:style>
  <w:style w:type="character" w:customStyle="1" w:styleId="CommentTextChar">
    <w:name w:val="Comment Text Char"/>
    <w:basedOn w:val="DefaultParagraphFont"/>
    <w:link w:val="CommentText"/>
    <w:uiPriority w:val="99"/>
    <w:rsid w:val="00433A82"/>
    <w:rPr>
      <w:rFonts w:ascii="Times New Roman" w:hAnsi="Times New Roman"/>
      <w:lang w:eastAsia="x-none"/>
    </w:rPr>
  </w:style>
  <w:style w:type="character" w:customStyle="1" w:styleId="CommentSubjectChar">
    <w:name w:val="Comment Subject Char"/>
    <w:basedOn w:val="CommentTextChar"/>
    <w:link w:val="CommentSubject"/>
    <w:uiPriority w:val="99"/>
    <w:semiHidden/>
    <w:rsid w:val="00433A82"/>
    <w:rPr>
      <w:rFonts w:ascii="Times New Roman" w:hAnsi="Times New Roman"/>
      <w:b/>
      <w:bCs/>
      <w:lang w:eastAsia="x-none"/>
    </w:rPr>
  </w:style>
  <w:style w:type="paragraph" w:customStyle="1" w:styleId="Chapter">
    <w:name w:val="Chapter"/>
    <w:basedOn w:val="Normal"/>
    <w:next w:val="Normal"/>
    <w:rsid w:val="00173B80"/>
    <w:pPr>
      <w:keepNext/>
      <w:numPr>
        <w:numId w:val="9"/>
      </w:numPr>
      <w:tabs>
        <w:tab w:val="clear" w:pos="1800"/>
        <w:tab w:val="num" w:pos="648"/>
        <w:tab w:val="left" w:pos="1440"/>
      </w:tabs>
      <w:spacing w:before="240" w:after="240" w:line="240" w:lineRule="auto"/>
      <w:ind w:left="0"/>
      <w:jc w:val="center"/>
    </w:pPr>
    <w:rPr>
      <w:rFonts w:eastAsia="Times New Roman"/>
      <w:b/>
      <w:smallCaps/>
      <w:sz w:val="24"/>
      <w:szCs w:val="20"/>
      <w:lang w:val="es-ES" w:eastAsia="en-US"/>
    </w:rPr>
  </w:style>
  <w:style w:type="paragraph" w:customStyle="1" w:styleId="Paragraph">
    <w:name w:val="Paragraph"/>
    <w:aliases w:val="p,PARAGRAPH,PG,pa,at,paragraph+1,paragraph"/>
    <w:basedOn w:val="BodyTextIndent"/>
    <w:link w:val="ParagraphChar"/>
    <w:qFormat/>
    <w:rsid w:val="00173B80"/>
    <w:pPr>
      <w:numPr>
        <w:ilvl w:val="1"/>
        <w:numId w:val="9"/>
      </w:numPr>
      <w:tabs>
        <w:tab w:val="clear" w:pos="1566"/>
        <w:tab w:val="num" w:pos="720"/>
      </w:tabs>
      <w:spacing w:before="120" w:line="240" w:lineRule="auto"/>
      <w:ind w:left="720" w:hanging="720"/>
      <w:outlineLvl w:val="1"/>
    </w:pPr>
    <w:rPr>
      <w:rFonts w:eastAsia="Times New Roman"/>
      <w:sz w:val="24"/>
      <w:szCs w:val="24"/>
      <w:lang w:val="es-ES_tradnl" w:eastAsia="en-US"/>
    </w:rPr>
  </w:style>
  <w:style w:type="paragraph" w:customStyle="1" w:styleId="subpar">
    <w:name w:val="subpar"/>
    <w:basedOn w:val="BodyTextIndent3"/>
    <w:rsid w:val="00173B80"/>
    <w:pPr>
      <w:numPr>
        <w:ilvl w:val="2"/>
        <w:numId w:val="9"/>
      </w:numPr>
      <w:tabs>
        <w:tab w:val="clear" w:pos="2304"/>
        <w:tab w:val="num" w:pos="360"/>
        <w:tab w:val="num" w:pos="1152"/>
      </w:tabs>
      <w:spacing w:before="120" w:line="240" w:lineRule="auto"/>
      <w:ind w:left="1152" w:firstLine="0"/>
      <w:outlineLvl w:val="2"/>
    </w:pPr>
    <w:rPr>
      <w:rFonts w:eastAsia="Times New Roman"/>
      <w:sz w:val="24"/>
      <w:szCs w:val="20"/>
      <w:lang w:val="es-ES_tradnl" w:eastAsia="en-US"/>
    </w:rPr>
  </w:style>
  <w:style w:type="paragraph" w:customStyle="1" w:styleId="SubSubPar">
    <w:name w:val="SubSubPar"/>
    <w:basedOn w:val="subpar"/>
    <w:rsid w:val="00173B80"/>
    <w:pPr>
      <w:numPr>
        <w:ilvl w:val="3"/>
      </w:numPr>
      <w:tabs>
        <w:tab w:val="clear" w:pos="2736"/>
        <w:tab w:val="left" w:pos="0"/>
        <w:tab w:val="num" w:pos="360"/>
        <w:tab w:val="num" w:pos="1152"/>
        <w:tab w:val="num" w:pos="1296"/>
      </w:tabs>
      <w:ind w:left="1296"/>
    </w:pPr>
  </w:style>
  <w:style w:type="character" w:customStyle="1" w:styleId="ParagraphChar">
    <w:name w:val="Paragraph Char"/>
    <w:link w:val="Paragraph"/>
    <w:rsid w:val="00173B80"/>
    <w:rPr>
      <w:rFonts w:ascii="Times New Roman" w:eastAsia="Times New Roman" w:hAnsi="Times New Roman"/>
      <w:sz w:val="24"/>
      <w:szCs w:val="24"/>
      <w:lang w:val="es-ES_tradnl" w:eastAsia="en-US"/>
    </w:rPr>
  </w:style>
  <w:style w:type="character" w:customStyle="1" w:styleId="FootnoteTextChar">
    <w:name w:val="Footnote Text Char"/>
    <w:aliases w:val="fn Char,footnote Char,Footnote Text Char Char Char Char,Footnote Text Char Char Char Char Char Char Char Char,Footnote Text Char Char Char Char Char Char1,Footnote Text Char Char Char Char Char Char Char1,foottextfra Char,F Char"/>
    <w:link w:val="FootnoteText"/>
    <w:rsid w:val="00173B80"/>
    <w:rPr>
      <w:rFonts w:ascii="Times New Roman" w:hAnsi="Times New Roman"/>
      <w:sz w:val="24"/>
      <w:szCs w:val="24"/>
      <w:lang w:eastAsia="x-none"/>
    </w:rPr>
  </w:style>
  <w:style w:type="paragraph" w:styleId="BodyTextIndent">
    <w:name w:val="Body Text Indent"/>
    <w:basedOn w:val="Normal"/>
    <w:link w:val="BodyTextIndentChar"/>
    <w:uiPriority w:val="99"/>
    <w:semiHidden/>
    <w:unhideWhenUsed/>
    <w:rsid w:val="00173B80"/>
    <w:pPr>
      <w:spacing w:after="120"/>
      <w:ind w:left="360"/>
    </w:pPr>
  </w:style>
  <w:style w:type="character" w:customStyle="1" w:styleId="BodyTextIndentChar">
    <w:name w:val="Body Text Indent Char"/>
    <w:basedOn w:val="DefaultParagraphFont"/>
    <w:link w:val="BodyTextIndent"/>
    <w:uiPriority w:val="99"/>
    <w:semiHidden/>
    <w:rsid w:val="00173B80"/>
    <w:rPr>
      <w:rFonts w:ascii="Times New Roman" w:hAnsi="Times New Roman"/>
      <w:sz w:val="22"/>
      <w:szCs w:val="22"/>
      <w:lang w:eastAsia="x-none"/>
    </w:rPr>
  </w:style>
  <w:style w:type="paragraph" w:styleId="BodyTextIndent3">
    <w:name w:val="Body Text Indent 3"/>
    <w:basedOn w:val="Normal"/>
    <w:link w:val="BodyTextIndent3Char"/>
    <w:uiPriority w:val="99"/>
    <w:semiHidden/>
    <w:unhideWhenUsed/>
    <w:rsid w:val="00173B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3B80"/>
    <w:rPr>
      <w:rFonts w:ascii="Times New Roman" w:hAnsi="Times New Roman"/>
      <w:sz w:val="16"/>
      <w:szCs w:val="16"/>
      <w:lang w:eastAsia="x-none"/>
    </w:rPr>
  </w:style>
  <w:style w:type="paragraph" w:styleId="Revision">
    <w:name w:val="Revision"/>
    <w:hidden/>
    <w:uiPriority w:val="99"/>
    <w:semiHidden/>
    <w:rsid w:val="00A51948"/>
    <w:rPr>
      <w:rFonts w:ascii="Times New Roman" w:hAnsi="Times New Roman"/>
      <w:sz w:val="22"/>
      <w:szCs w:val="22"/>
      <w:lang w:eastAsia="x-none"/>
    </w:rPr>
  </w:style>
  <w:style w:type="character" w:customStyle="1" w:styleId="st">
    <w:name w:val="st"/>
    <w:basedOn w:val="DefaultParagraphFont"/>
    <w:rsid w:val="002E5FB1"/>
  </w:style>
  <w:style w:type="character" w:customStyle="1" w:styleId="FooterChar">
    <w:name w:val="Footer Char"/>
    <w:basedOn w:val="DefaultParagraphFont"/>
    <w:link w:val="Footer"/>
    <w:uiPriority w:val="99"/>
    <w:rsid w:val="008A6DBC"/>
    <w:rPr>
      <w:rFonts w:ascii="Times New Roman" w:hAnsi="Times New Roman"/>
      <w:sz w:val="22"/>
      <w:szCs w:val="22"/>
      <w:lang w:eastAsia="x-none"/>
    </w:rPr>
  </w:style>
  <w:style w:type="character" w:styleId="PlaceholderText">
    <w:name w:val="Placeholder Text"/>
    <w:basedOn w:val="DefaultParagraphFont"/>
    <w:uiPriority w:val="99"/>
    <w:semiHidden/>
    <w:rsid w:val="00A62C7B"/>
    <w:rPr>
      <w:color w:val="808080"/>
    </w:rPr>
  </w:style>
  <w:style w:type="paragraph" w:styleId="TOCHeading">
    <w:name w:val="TOC Heading"/>
    <w:basedOn w:val="Heading1"/>
    <w:next w:val="Normal"/>
    <w:uiPriority w:val="39"/>
    <w:unhideWhenUsed/>
    <w:qFormat/>
    <w:rsid w:val="00C62A67"/>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83C9C"/>
    <w:pPr>
      <w:tabs>
        <w:tab w:val="left" w:pos="630"/>
        <w:tab w:val="right" w:leader="dot" w:pos="9163"/>
      </w:tabs>
      <w:spacing w:after="100"/>
    </w:pPr>
  </w:style>
  <w:style w:type="paragraph" w:styleId="TOC2">
    <w:name w:val="toc 2"/>
    <w:basedOn w:val="Normal"/>
    <w:next w:val="Normal"/>
    <w:autoRedefine/>
    <w:uiPriority w:val="39"/>
    <w:unhideWhenUsed/>
    <w:rsid w:val="00C62A67"/>
    <w:pPr>
      <w:spacing w:after="100"/>
      <w:ind w:left="220"/>
    </w:pPr>
  </w:style>
  <w:style w:type="paragraph" w:styleId="TOC3">
    <w:name w:val="toc 3"/>
    <w:basedOn w:val="Normal"/>
    <w:next w:val="Normal"/>
    <w:autoRedefine/>
    <w:uiPriority w:val="39"/>
    <w:unhideWhenUsed/>
    <w:rsid w:val="00C62A6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090">
      <w:bodyDiv w:val="1"/>
      <w:marLeft w:val="0"/>
      <w:marRight w:val="0"/>
      <w:marTop w:val="0"/>
      <w:marBottom w:val="0"/>
      <w:divBdr>
        <w:top w:val="none" w:sz="0" w:space="0" w:color="auto"/>
        <w:left w:val="none" w:sz="0" w:space="0" w:color="auto"/>
        <w:bottom w:val="none" w:sz="0" w:space="0" w:color="auto"/>
        <w:right w:val="none" w:sz="0" w:space="0" w:color="auto"/>
      </w:divBdr>
    </w:div>
    <w:div w:id="12195089">
      <w:bodyDiv w:val="1"/>
      <w:marLeft w:val="0"/>
      <w:marRight w:val="0"/>
      <w:marTop w:val="0"/>
      <w:marBottom w:val="0"/>
      <w:divBdr>
        <w:top w:val="none" w:sz="0" w:space="0" w:color="auto"/>
        <w:left w:val="none" w:sz="0" w:space="0" w:color="auto"/>
        <w:bottom w:val="none" w:sz="0" w:space="0" w:color="auto"/>
        <w:right w:val="none" w:sz="0" w:space="0" w:color="auto"/>
      </w:divBdr>
    </w:div>
    <w:div w:id="12459088">
      <w:bodyDiv w:val="1"/>
      <w:marLeft w:val="0"/>
      <w:marRight w:val="0"/>
      <w:marTop w:val="0"/>
      <w:marBottom w:val="0"/>
      <w:divBdr>
        <w:top w:val="none" w:sz="0" w:space="0" w:color="auto"/>
        <w:left w:val="none" w:sz="0" w:space="0" w:color="auto"/>
        <w:bottom w:val="none" w:sz="0" w:space="0" w:color="auto"/>
        <w:right w:val="none" w:sz="0" w:space="0" w:color="auto"/>
      </w:divBdr>
    </w:div>
    <w:div w:id="14698579">
      <w:bodyDiv w:val="1"/>
      <w:marLeft w:val="0"/>
      <w:marRight w:val="0"/>
      <w:marTop w:val="0"/>
      <w:marBottom w:val="0"/>
      <w:divBdr>
        <w:top w:val="none" w:sz="0" w:space="0" w:color="auto"/>
        <w:left w:val="none" w:sz="0" w:space="0" w:color="auto"/>
        <w:bottom w:val="none" w:sz="0" w:space="0" w:color="auto"/>
        <w:right w:val="none" w:sz="0" w:space="0" w:color="auto"/>
      </w:divBdr>
    </w:div>
    <w:div w:id="19674605">
      <w:bodyDiv w:val="1"/>
      <w:marLeft w:val="0"/>
      <w:marRight w:val="0"/>
      <w:marTop w:val="0"/>
      <w:marBottom w:val="0"/>
      <w:divBdr>
        <w:top w:val="none" w:sz="0" w:space="0" w:color="auto"/>
        <w:left w:val="none" w:sz="0" w:space="0" w:color="auto"/>
        <w:bottom w:val="none" w:sz="0" w:space="0" w:color="auto"/>
        <w:right w:val="none" w:sz="0" w:space="0" w:color="auto"/>
      </w:divBdr>
    </w:div>
    <w:div w:id="21056408">
      <w:bodyDiv w:val="1"/>
      <w:marLeft w:val="0"/>
      <w:marRight w:val="0"/>
      <w:marTop w:val="0"/>
      <w:marBottom w:val="0"/>
      <w:divBdr>
        <w:top w:val="none" w:sz="0" w:space="0" w:color="auto"/>
        <w:left w:val="none" w:sz="0" w:space="0" w:color="auto"/>
        <w:bottom w:val="none" w:sz="0" w:space="0" w:color="auto"/>
        <w:right w:val="none" w:sz="0" w:space="0" w:color="auto"/>
      </w:divBdr>
    </w:div>
    <w:div w:id="22248928">
      <w:bodyDiv w:val="1"/>
      <w:marLeft w:val="0"/>
      <w:marRight w:val="0"/>
      <w:marTop w:val="0"/>
      <w:marBottom w:val="0"/>
      <w:divBdr>
        <w:top w:val="none" w:sz="0" w:space="0" w:color="auto"/>
        <w:left w:val="none" w:sz="0" w:space="0" w:color="auto"/>
        <w:bottom w:val="none" w:sz="0" w:space="0" w:color="auto"/>
        <w:right w:val="none" w:sz="0" w:space="0" w:color="auto"/>
      </w:divBdr>
    </w:div>
    <w:div w:id="24721903">
      <w:bodyDiv w:val="1"/>
      <w:marLeft w:val="0"/>
      <w:marRight w:val="0"/>
      <w:marTop w:val="0"/>
      <w:marBottom w:val="0"/>
      <w:divBdr>
        <w:top w:val="none" w:sz="0" w:space="0" w:color="auto"/>
        <w:left w:val="none" w:sz="0" w:space="0" w:color="auto"/>
        <w:bottom w:val="none" w:sz="0" w:space="0" w:color="auto"/>
        <w:right w:val="none" w:sz="0" w:space="0" w:color="auto"/>
      </w:divBdr>
    </w:div>
    <w:div w:id="25101468">
      <w:bodyDiv w:val="1"/>
      <w:marLeft w:val="0"/>
      <w:marRight w:val="0"/>
      <w:marTop w:val="0"/>
      <w:marBottom w:val="0"/>
      <w:divBdr>
        <w:top w:val="none" w:sz="0" w:space="0" w:color="auto"/>
        <w:left w:val="none" w:sz="0" w:space="0" w:color="auto"/>
        <w:bottom w:val="none" w:sz="0" w:space="0" w:color="auto"/>
        <w:right w:val="none" w:sz="0" w:space="0" w:color="auto"/>
      </w:divBdr>
    </w:div>
    <w:div w:id="27266923">
      <w:bodyDiv w:val="1"/>
      <w:marLeft w:val="0"/>
      <w:marRight w:val="0"/>
      <w:marTop w:val="0"/>
      <w:marBottom w:val="0"/>
      <w:divBdr>
        <w:top w:val="none" w:sz="0" w:space="0" w:color="auto"/>
        <w:left w:val="none" w:sz="0" w:space="0" w:color="auto"/>
        <w:bottom w:val="none" w:sz="0" w:space="0" w:color="auto"/>
        <w:right w:val="none" w:sz="0" w:space="0" w:color="auto"/>
      </w:divBdr>
    </w:div>
    <w:div w:id="30812557">
      <w:bodyDiv w:val="1"/>
      <w:marLeft w:val="0"/>
      <w:marRight w:val="0"/>
      <w:marTop w:val="0"/>
      <w:marBottom w:val="0"/>
      <w:divBdr>
        <w:top w:val="none" w:sz="0" w:space="0" w:color="auto"/>
        <w:left w:val="none" w:sz="0" w:space="0" w:color="auto"/>
        <w:bottom w:val="none" w:sz="0" w:space="0" w:color="auto"/>
        <w:right w:val="none" w:sz="0" w:space="0" w:color="auto"/>
      </w:divBdr>
    </w:div>
    <w:div w:id="42868353">
      <w:bodyDiv w:val="1"/>
      <w:marLeft w:val="0"/>
      <w:marRight w:val="0"/>
      <w:marTop w:val="0"/>
      <w:marBottom w:val="0"/>
      <w:divBdr>
        <w:top w:val="none" w:sz="0" w:space="0" w:color="auto"/>
        <w:left w:val="none" w:sz="0" w:space="0" w:color="auto"/>
        <w:bottom w:val="none" w:sz="0" w:space="0" w:color="auto"/>
        <w:right w:val="none" w:sz="0" w:space="0" w:color="auto"/>
      </w:divBdr>
    </w:div>
    <w:div w:id="48382940">
      <w:bodyDiv w:val="1"/>
      <w:marLeft w:val="0"/>
      <w:marRight w:val="0"/>
      <w:marTop w:val="0"/>
      <w:marBottom w:val="0"/>
      <w:divBdr>
        <w:top w:val="none" w:sz="0" w:space="0" w:color="auto"/>
        <w:left w:val="none" w:sz="0" w:space="0" w:color="auto"/>
        <w:bottom w:val="none" w:sz="0" w:space="0" w:color="auto"/>
        <w:right w:val="none" w:sz="0" w:space="0" w:color="auto"/>
      </w:divBdr>
    </w:div>
    <w:div w:id="54285425">
      <w:bodyDiv w:val="1"/>
      <w:marLeft w:val="0"/>
      <w:marRight w:val="0"/>
      <w:marTop w:val="0"/>
      <w:marBottom w:val="0"/>
      <w:divBdr>
        <w:top w:val="none" w:sz="0" w:space="0" w:color="auto"/>
        <w:left w:val="none" w:sz="0" w:space="0" w:color="auto"/>
        <w:bottom w:val="none" w:sz="0" w:space="0" w:color="auto"/>
        <w:right w:val="none" w:sz="0" w:space="0" w:color="auto"/>
      </w:divBdr>
    </w:div>
    <w:div w:id="57829028">
      <w:bodyDiv w:val="1"/>
      <w:marLeft w:val="0"/>
      <w:marRight w:val="0"/>
      <w:marTop w:val="0"/>
      <w:marBottom w:val="0"/>
      <w:divBdr>
        <w:top w:val="none" w:sz="0" w:space="0" w:color="auto"/>
        <w:left w:val="none" w:sz="0" w:space="0" w:color="auto"/>
        <w:bottom w:val="none" w:sz="0" w:space="0" w:color="auto"/>
        <w:right w:val="none" w:sz="0" w:space="0" w:color="auto"/>
      </w:divBdr>
    </w:div>
    <w:div w:id="60179091">
      <w:bodyDiv w:val="1"/>
      <w:marLeft w:val="0"/>
      <w:marRight w:val="0"/>
      <w:marTop w:val="0"/>
      <w:marBottom w:val="0"/>
      <w:divBdr>
        <w:top w:val="none" w:sz="0" w:space="0" w:color="auto"/>
        <w:left w:val="none" w:sz="0" w:space="0" w:color="auto"/>
        <w:bottom w:val="none" w:sz="0" w:space="0" w:color="auto"/>
        <w:right w:val="none" w:sz="0" w:space="0" w:color="auto"/>
      </w:divBdr>
    </w:div>
    <w:div w:id="63338357">
      <w:bodyDiv w:val="1"/>
      <w:marLeft w:val="0"/>
      <w:marRight w:val="0"/>
      <w:marTop w:val="0"/>
      <w:marBottom w:val="0"/>
      <w:divBdr>
        <w:top w:val="none" w:sz="0" w:space="0" w:color="auto"/>
        <w:left w:val="none" w:sz="0" w:space="0" w:color="auto"/>
        <w:bottom w:val="none" w:sz="0" w:space="0" w:color="auto"/>
        <w:right w:val="none" w:sz="0" w:space="0" w:color="auto"/>
      </w:divBdr>
    </w:div>
    <w:div w:id="63991962">
      <w:bodyDiv w:val="1"/>
      <w:marLeft w:val="0"/>
      <w:marRight w:val="0"/>
      <w:marTop w:val="0"/>
      <w:marBottom w:val="0"/>
      <w:divBdr>
        <w:top w:val="none" w:sz="0" w:space="0" w:color="auto"/>
        <w:left w:val="none" w:sz="0" w:space="0" w:color="auto"/>
        <w:bottom w:val="none" w:sz="0" w:space="0" w:color="auto"/>
        <w:right w:val="none" w:sz="0" w:space="0" w:color="auto"/>
      </w:divBdr>
    </w:div>
    <w:div w:id="64226605">
      <w:bodyDiv w:val="1"/>
      <w:marLeft w:val="0"/>
      <w:marRight w:val="0"/>
      <w:marTop w:val="0"/>
      <w:marBottom w:val="0"/>
      <w:divBdr>
        <w:top w:val="none" w:sz="0" w:space="0" w:color="auto"/>
        <w:left w:val="none" w:sz="0" w:space="0" w:color="auto"/>
        <w:bottom w:val="none" w:sz="0" w:space="0" w:color="auto"/>
        <w:right w:val="none" w:sz="0" w:space="0" w:color="auto"/>
      </w:divBdr>
    </w:div>
    <w:div w:id="65880263">
      <w:bodyDiv w:val="1"/>
      <w:marLeft w:val="0"/>
      <w:marRight w:val="0"/>
      <w:marTop w:val="0"/>
      <w:marBottom w:val="0"/>
      <w:divBdr>
        <w:top w:val="none" w:sz="0" w:space="0" w:color="auto"/>
        <w:left w:val="none" w:sz="0" w:space="0" w:color="auto"/>
        <w:bottom w:val="none" w:sz="0" w:space="0" w:color="auto"/>
        <w:right w:val="none" w:sz="0" w:space="0" w:color="auto"/>
      </w:divBdr>
    </w:div>
    <w:div w:id="65954381">
      <w:bodyDiv w:val="1"/>
      <w:marLeft w:val="0"/>
      <w:marRight w:val="0"/>
      <w:marTop w:val="0"/>
      <w:marBottom w:val="0"/>
      <w:divBdr>
        <w:top w:val="none" w:sz="0" w:space="0" w:color="auto"/>
        <w:left w:val="none" w:sz="0" w:space="0" w:color="auto"/>
        <w:bottom w:val="none" w:sz="0" w:space="0" w:color="auto"/>
        <w:right w:val="none" w:sz="0" w:space="0" w:color="auto"/>
      </w:divBdr>
    </w:div>
    <w:div w:id="73672557">
      <w:bodyDiv w:val="1"/>
      <w:marLeft w:val="0"/>
      <w:marRight w:val="0"/>
      <w:marTop w:val="0"/>
      <w:marBottom w:val="0"/>
      <w:divBdr>
        <w:top w:val="none" w:sz="0" w:space="0" w:color="auto"/>
        <w:left w:val="none" w:sz="0" w:space="0" w:color="auto"/>
        <w:bottom w:val="none" w:sz="0" w:space="0" w:color="auto"/>
        <w:right w:val="none" w:sz="0" w:space="0" w:color="auto"/>
      </w:divBdr>
    </w:div>
    <w:div w:id="75908282">
      <w:bodyDiv w:val="1"/>
      <w:marLeft w:val="0"/>
      <w:marRight w:val="0"/>
      <w:marTop w:val="0"/>
      <w:marBottom w:val="0"/>
      <w:divBdr>
        <w:top w:val="none" w:sz="0" w:space="0" w:color="auto"/>
        <w:left w:val="none" w:sz="0" w:space="0" w:color="auto"/>
        <w:bottom w:val="none" w:sz="0" w:space="0" w:color="auto"/>
        <w:right w:val="none" w:sz="0" w:space="0" w:color="auto"/>
      </w:divBdr>
    </w:div>
    <w:div w:id="77102379">
      <w:bodyDiv w:val="1"/>
      <w:marLeft w:val="0"/>
      <w:marRight w:val="0"/>
      <w:marTop w:val="0"/>
      <w:marBottom w:val="0"/>
      <w:divBdr>
        <w:top w:val="none" w:sz="0" w:space="0" w:color="auto"/>
        <w:left w:val="none" w:sz="0" w:space="0" w:color="auto"/>
        <w:bottom w:val="none" w:sz="0" w:space="0" w:color="auto"/>
        <w:right w:val="none" w:sz="0" w:space="0" w:color="auto"/>
      </w:divBdr>
    </w:div>
    <w:div w:id="79831983">
      <w:bodyDiv w:val="1"/>
      <w:marLeft w:val="0"/>
      <w:marRight w:val="0"/>
      <w:marTop w:val="0"/>
      <w:marBottom w:val="0"/>
      <w:divBdr>
        <w:top w:val="none" w:sz="0" w:space="0" w:color="auto"/>
        <w:left w:val="none" w:sz="0" w:space="0" w:color="auto"/>
        <w:bottom w:val="none" w:sz="0" w:space="0" w:color="auto"/>
        <w:right w:val="none" w:sz="0" w:space="0" w:color="auto"/>
      </w:divBdr>
    </w:div>
    <w:div w:id="80029009">
      <w:bodyDiv w:val="1"/>
      <w:marLeft w:val="0"/>
      <w:marRight w:val="0"/>
      <w:marTop w:val="0"/>
      <w:marBottom w:val="0"/>
      <w:divBdr>
        <w:top w:val="none" w:sz="0" w:space="0" w:color="auto"/>
        <w:left w:val="none" w:sz="0" w:space="0" w:color="auto"/>
        <w:bottom w:val="none" w:sz="0" w:space="0" w:color="auto"/>
        <w:right w:val="none" w:sz="0" w:space="0" w:color="auto"/>
      </w:divBdr>
    </w:div>
    <w:div w:id="84569500">
      <w:bodyDiv w:val="1"/>
      <w:marLeft w:val="0"/>
      <w:marRight w:val="0"/>
      <w:marTop w:val="0"/>
      <w:marBottom w:val="0"/>
      <w:divBdr>
        <w:top w:val="none" w:sz="0" w:space="0" w:color="auto"/>
        <w:left w:val="none" w:sz="0" w:space="0" w:color="auto"/>
        <w:bottom w:val="none" w:sz="0" w:space="0" w:color="auto"/>
        <w:right w:val="none" w:sz="0" w:space="0" w:color="auto"/>
      </w:divBdr>
    </w:div>
    <w:div w:id="86312289">
      <w:bodyDiv w:val="1"/>
      <w:marLeft w:val="0"/>
      <w:marRight w:val="0"/>
      <w:marTop w:val="0"/>
      <w:marBottom w:val="0"/>
      <w:divBdr>
        <w:top w:val="none" w:sz="0" w:space="0" w:color="auto"/>
        <w:left w:val="none" w:sz="0" w:space="0" w:color="auto"/>
        <w:bottom w:val="none" w:sz="0" w:space="0" w:color="auto"/>
        <w:right w:val="none" w:sz="0" w:space="0" w:color="auto"/>
      </w:divBdr>
    </w:div>
    <w:div w:id="91359991">
      <w:bodyDiv w:val="1"/>
      <w:marLeft w:val="0"/>
      <w:marRight w:val="0"/>
      <w:marTop w:val="0"/>
      <w:marBottom w:val="0"/>
      <w:divBdr>
        <w:top w:val="none" w:sz="0" w:space="0" w:color="auto"/>
        <w:left w:val="none" w:sz="0" w:space="0" w:color="auto"/>
        <w:bottom w:val="none" w:sz="0" w:space="0" w:color="auto"/>
        <w:right w:val="none" w:sz="0" w:space="0" w:color="auto"/>
      </w:divBdr>
    </w:div>
    <w:div w:id="99688220">
      <w:bodyDiv w:val="1"/>
      <w:marLeft w:val="0"/>
      <w:marRight w:val="0"/>
      <w:marTop w:val="0"/>
      <w:marBottom w:val="0"/>
      <w:divBdr>
        <w:top w:val="none" w:sz="0" w:space="0" w:color="auto"/>
        <w:left w:val="none" w:sz="0" w:space="0" w:color="auto"/>
        <w:bottom w:val="none" w:sz="0" w:space="0" w:color="auto"/>
        <w:right w:val="none" w:sz="0" w:space="0" w:color="auto"/>
      </w:divBdr>
    </w:div>
    <w:div w:id="102893679">
      <w:bodyDiv w:val="1"/>
      <w:marLeft w:val="0"/>
      <w:marRight w:val="0"/>
      <w:marTop w:val="0"/>
      <w:marBottom w:val="0"/>
      <w:divBdr>
        <w:top w:val="none" w:sz="0" w:space="0" w:color="auto"/>
        <w:left w:val="none" w:sz="0" w:space="0" w:color="auto"/>
        <w:bottom w:val="none" w:sz="0" w:space="0" w:color="auto"/>
        <w:right w:val="none" w:sz="0" w:space="0" w:color="auto"/>
      </w:divBdr>
    </w:div>
    <w:div w:id="106824427">
      <w:bodyDiv w:val="1"/>
      <w:marLeft w:val="0"/>
      <w:marRight w:val="0"/>
      <w:marTop w:val="0"/>
      <w:marBottom w:val="0"/>
      <w:divBdr>
        <w:top w:val="none" w:sz="0" w:space="0" w:color="auto"/>
        <w:left w:val="none" w:sz="0" w:space="0" w:color="auto"/>
        <w:bottom w:val="none" w:sz="0" w:space="0" w:color="auto"/>
        <w:right w:val="none" w:sz="0" w:space="0" w:color="auto"/>
      </w:divBdr>
    </w:div>
    <w:div w:id="122190593">
      <w:bodyDiv w:val="1"/>
      <w:marLeft w:val="0"/>
      <w:marRight w:val="0"/>
      <w:marTop w:val="0"/>
      <w:marBottom w:val="0"/>
      <w:divBdr>
        <w:top w:val="none" w:sz="0" w:space="0" w:color="auto"/>
        <w:left w:val="none" w:sz="0" w:space="0" w:color="auto"/>
        <w:bottom w:val="none" w:sz="0" w:space="0" w:color="auto"/>
        <w:right w:val="none" w:sz="0" w:space="0" w:color="auto"/>
      </w:divBdr>
    </w:div>
    <w:div w:id="126358551">
      <w:bodyDiv w:val="1"/>
      <w:marLeft w:val="0"/>
      <w:marRight w:val="0"/>
      <w:marTop w:val="0"/>
      <w:marBottom w:val="0"/>
      <w:divBdr>
        <w:top w:val="none" w:sz="0" w:space="0" w:color="auto"/>
        <w:left w:val="none" w:sz="0" w:space="0" w:color="auto"/>
        <w:bottom w:val="none" w:sz="0" w:space="0" w:color="auto"/>
        <w:right w:val="none" w:sz="0" w:space="0" w:color="auto"/>
      </w:divBdr>
    </w:div>
    <w:div w:id="127750673">
      <w:bodyDiv w:val="1"/>
      <w:marLeft w:val="0"/>
      <w:marRight w:val="0"/>
      <w:marTop w:val="0"/>
      <w:marBottom w:val="0"/>
      <w:divBdr>
        <w:top w:val="none" w:sz="0" w:space="0" w:color="auto"/>
        <w:left w:val="none" w:sz="0" w:space="0" w:color="auto"/>
        <w:bottom w:val="none" w:sz="0" w:space="0" w:color="auto"/>
        <w:right w:val="none" w:sz="0" w:space="0" w:color="auto"/>
      </w:divBdr>
    </w:div>
    <w:div w:id="128713967">
      <w:bodyDiv w:val="1"/>
      <w:marLeft w:val="0"/>
      <w:marRight w:val="0"/>
      <w:marTop w:val="0"/>
      <w:marBottom w:val="0"/>
      <w:divBdr>
        <w:top w:val="none" w:sz="0" w:space="0" w:color="auto"/>
        <w:left w:val="none" w:sz="0" w:space="0" w:color="auto"/>
        <w:bottom w:val="none" w:sz="0" w:space="0" w:color="auto"/>
        <w:right w:val="none" w:sz="0" w:space="0" w:color="auto"/>
      </w:divBdr>
    </w:div>
    <w:div w:id="130445311">
      <w:bodyDiv w:val="1"/>
      <w:marLeft w:val="0"/>
      <w:marRight w:val="0"/>
      <w:marTop w:val="0"/>
      <w:marBottom w:val="0"/>
      <w:divBdr>
        <w:top w:val="none" w:sz="0" w:space="0" w:color="auto"/>
        <w:left w:val="none" w:sz="0" w:space="0" w:color="auto"/>
        <w:bottom w:val="none" w:sz="0" w:space="0" w:color="auto"/>
        <w:right w:val="none" w:sz="0" w:space="0" w:color="auto"/>
      </w:divBdr>
    </w:div>
    <w:div w:id="130943147">
      <w:bodyDiv w:val="1"/>
      <w:marLeft w:val="0"/>
      <w:marRight w:val="0"/>
      <w:marTop w:val="0"/>
      <w:marBottom w:val="0"/>
      <w:divBdr>
        <w:top w:val="none" w:sz="0" w:space="0" w:color="auto"/>
        <w:left w:val="none" w:sz="0" w:space="0" w:color="auto"/>
        <w:bottom w:val="none" w:sz="0" w:space="0" w:color="auto"/>
        <w:right w:val="none" w:sz="0" w:space="0" w:color="auto"/>
      </w:divBdr>
    </w:div>
    <w:div w:id="133841121">
      <w:bodyDiv w:val="1"/>
      <w:marLeft w:val="0"/>
      <w:marRight w:val="0"/>
      <w:marTop w:val="0"/>
      <w:marBottom w:val="0"/>
      <w:divBdr>
        <w:top w:val="none" w:sz="0" w:space="0" w:color="auto"/>
        <w:left w:val="none" w:sz="0" w:space="0" w:color="auto"/>
        <w:bottom w:val="none" w:sz="0" w:space="0" w:color="auto"/>
        <w:right w:val="none" w:sz="0" w:space="0" w:color="auto"/>
      </w:divBdr>
    </w:div>
    <w:div w:id="134758652">
      <w:bodyDiv w:val="1"/>
      <w:marLeft w:val="0"/>
      <w:marRight w:val="0"/>
      <w:marTop w:val="0"/>
      <w:marBottom w:val="0"/>
      <w:divBdr>
        <w:top w:val="none" w:sz="0" w:space="0" w:color="auto"/>
        <w:left w:val="none" w:sz="0" w:space="0" w:color="auto"/>
        <w:bottom w:val="none" w:sz="0" w:space="0" w:color="auto"/>
        <w:right w:val="none" w:sz="0" w:space="0" w:color="auto"/>
      </w:divBdr>
    </w:div>
    <w:div w:id="134837347">
      <w:bodyDiv w:val="1"/>
      <w:marLeft w:val="0"/>
      <w:marRight w:val="0"/>
      <w:marTop w:val="0"/>
      <w:marBottom w:val="0"/>
      <w:divBdr>
        <w:top w:val="none" w:sz="0" w:space="0" w:color="auto"/>
        <w:left w:val="none" w:sz="0" w:space="0" w:color="auto"/>
        <w:bottom w:val="none" w:sz="0" w:space="0" w:color="auto"/>
        <w:right w:val="none" w:sz="0" w:space="0" w:color="auto"/>
      </w:divBdr>
    </w:div>
    <w:div w:id="134880091">
      <w:bodyDiv w:val="1"/>
      <w:marLeft w:val="0"/>
      <w:marRight w:val="0"/>
      <w:marTop w:val="0"/>
      <w:marBottom w:val="0"/>
      <w:divBdr>
        <w:top w:val="none" w:sz="0" w:space="0" w:color="auto"/>
        <w:left w:val="none" w:sz="0" w:space="0" w:color="auto"/>
        <w:bottom w:val="none" w:sz="0" w:space="0" w:color="auto"/>
        <w:right w:val="none" w:sz="0" w:space="0" w:color="auto"/>
      </w:divBdr>
    </w:div>
    <w:div w:id="134882162">
      <w:bodyDiv w:val="1"/>
      <w:marLeft w:val="0"/>
      <w:marRight w:val="0"/>
      <w:marTop w:val="0"/>
      <w:marBottom w:val="0"/>
      <w:divBdr>
        <w:top w:val="none" w:sz="0" w:space="0" w:color="auto"/>
        <w:left w:val="none" w:sz="0" w:space="0" w:color="auto"/>
        <w:bottom w:val="none" w:sz="0" w:space="0" w:color="auto"/>
        <w:right w:val="none" w:sz="0" w:space="0" w:color="auto"/>
      </w:divBdr>
    </w:div>
    <w:div w:id="135295585">
      <w:bodyDiv w:val="1"/>
      <w:marLeft w:val="0"/>
      <w:marRight w:val="0"/>
      <w:marTop w:val="0"/>
      <w:marBottom w:val="0"/>
      <w:divBdr>
        <w:top w:val="none" w:sz="0" w:space="0" w:color="auto"/>
        <w:left w:val="none" w:sz="0" w:space="0" w:color="auto"/>
        <w:bottom w:val="none" w:sz="0" w:space="0" w:color="auto"/>
        <w:right w:val="none" w:sz="0" w:space="0" w:color="auto"/>
      </w:divBdr>
    </w:div>
    <w:div w:id="135418070">
      <w:bodyDiv w:val="1"/>
      <w:marLeft w:val="0"/>
      <w:marRight w:val="0"/>
      <w:marTop w:val="0"/>
      <w:marBottom w:val="0"/>
      <w:divBdr>
        <w:top w:val="none" w:sz="0" w:space="0" w:color="auto"/>
        <w:left w:val="none" w:sz="0" w:space="0" w:color="auto"/>
        <w:bottom w:val="none" w:sz="0" w:space="0" w:color="auto"/>
        <w:right w:val="none" w:sz="0" w:space="0" w:color="auto"/>
      </w:divBdr>
    </w:div>
    <w:div w:id="139200311">
      <w:bodyDiv w:val="1"/>
      <w:marLeft w:val="0"/>
      <w:marRight w:val="0"/>
      <w:marTop w:val="0"/>
      <w:marBottom w:val="0"/>
      <w:divBdr>
        <w:top w:val="none" w:sz="0" w:space="0" w:color="auto"/>
        <w:left w:val="none" w:sz="0" w:space="0" w:color="auto"/>
        <w:bottom w:val="none" w:sz="0" w:space="0" w:color="auto"/>
        <w:right w:val="none" w:sz="0" w:space="0" w:color="auto"/>
      </w:divBdr>
    </w:div>
    <w:div w:id="143670469">
      <w:bodyDiv w:val="1"/>
      <w:marLeft w:val="0"/>
      <w:marRight w:val="0"/>
      <w:marTop w:val="0"/>
      <w:marBottom w:val="0"/>
      <w:divBdr>
        <w:top w:val="none" w:sz="0" w:space="0" w:color="auto"/>
        <w:left w:val="none" w:sz="0" w:space="0" w:color="auto"/>
        <w:bottom w:val="none" w:sz="0" w:space="0" w:color="auto"/>
        <w:right w:val="none" w:sz="0" w:space="0" w:color="auto"/>
      </w:divBdr>
    </w:div>
    <w:div w:id="144588259">
      <w:bodyDiv w:val="1"/>
      <w:marLeft w:val="0"/>
      <w:marRight w:val="0"/>
      <w:marTop w:val="0"/>
      <w:marBottom w:val="0"/>
      <w:divBdr>
        <w:top w:val="none" w:sz="0" w:space="0" w:color="auto"/>
        <w:left w:val="none" w:sz="0" w:space="0" w:color="auto"/>
        <w:bottom w:val="none" w:sz="0" w:space="0" w:color="auto"/>
        <w:right w:val="none" w:sz="0" w:space="0" w:color="auto"/>
      </w:divBdr>
    </w:div>
    <w:div w:id="147596433">
      <w:bodyDiv w:val="1"/>
      <w:marLeft w:val="0"/>
      <w:marRight w:val="0"/>
      <w:marTop w:val="0"/>
      <w:marBottom w:val="0"/>
      <w:divBdr>
        <w:top w:val="none" w:sz="0" w:space="0" w:color="auto"/>
        <w:left w:val="none" w:sz="0" w:space="0" w:color="auto"/>
        <w:bottom w:val="none" w:sz="0" w:space="0" w:color="auto"/>
        <w:right w:val="none" w:sz="0" w:space="0" w:color="auto"/>
      </w:divBdr>
    </w:div>
    <w:div w:id="152793115">
      <w:bodyDiv w:val="1"/>
      <w:marLeft w:val="0"/>
      <w:marRight w:val="0"/>
      <w:marTop w:val="0"/>
      <w:marBottom w:val="0"/>
      <w:divBdr>
        <w:top w:val="none" w:sz="0" w:space="0" w:color="auto"/>
        <w:left w:val="none" w:sz="0" w:space="0" w:color="auto"/>
        <w:bottom w:val="none" w:sz="0" w:space="0" w:color="auto"/>
        <w:right w:val="none" w:sz="0" w:space="0" w:color="auto"/>
      </w:divBdr>
    </w:div>
    <w:div w:id="155195817">
      <w:bodyDiv w:val="1"/>
      <w:marLeft w:val="0"/>
      <w:marRight w:val="0"/>
      <w:marTop w:val="0"/>
      <w:marBottom w:val="0"/>
      <w:divBdr>
        <w:top w:val="none" w:sz="0" w:space="0" w:color="auto"/>
        <w:left w:val="none" w:sz="0" w:space="0" w:color="auto"/>
        <w:bottom w:val="none" w:sz="0" w:space="0" w:color="auto"/>
        <w:right w:val="none" w:sz="0" w:space="0" w:color="auto"/>
      </w:divBdr>
    </w:div>
    <w:div w:id="158084025">
      <w:bodyDiv w:val="1"/>
      <w:marLeft w:val="0"/>
      <w:marRight w:val="0"/>
      <w:marTop w:val="0"/>
      <w:marBottom w:val="0"/>
      <w:divBdr>
        <w:top w:val="none" w:sz="0" w:space="0" w:color="auto"/>
        <w:left w:val="none" w:sz="0" w:space="0" w:color="auto"/>
        <w:bottom w:val="none" w:sz="0" w:space="0" w:color="auto"/>
        <w:right w:val="none" w:sz="0" w:space="0" w:color="auto"/>
      </w:divBdr>
    </w:div>
    <w:div w:id="163712490">
      <w:bodyDiv w:val="1"/>
      <w:marLeft w:val="0"/>
      <w:marRight w:val="0"/>
      <w:marTop w:val="0"/>
      <w:marBottom w:val="0"/>
      <w:divBdr>
        <w:top w:val="none" w:sz="0" w:space="0" w:color="auto"/>
        <w:left w:val="none" w:sz="0" w:space="0" w:color="auto"/>
        <w:bottom w:val="none" w:sz="0" w:space="0" w:color="auto"/>
        <w:right w:val="none" w:sz="0" w:space="0" w:color="auto"/>
      </w:divBdr>
    </w:div>
    <w:div w:id="164520717">
      <w:bodyDiv w:val="1"/>
      <w:marLeft w:val="0"/>
      <w:marRight w:val="0"/>
      <w:marTop w:val="0"/>
      <w:marBottom w:val="0"/>
      <w:divBdr>
        <w:top w:val="none" w:sz="0" w:space="0" w:color="auto"/>
        <w:left w:val="none" w:sz="0" w:space="0" w:color="auto"/>
        <w:bottom w:val="none" w:sz="0" w:space="0" w:color="auto"/>
        <w:right w:val="none" w:sz="0" w:space="0" w:color="auto"/>
      </w:divBdr>
    </w:div>
    <w:div w:id="169803998">
      <w:bodyDiv w:val="1"/>
      <w:marLeft w:val="0"/>
      <w:marRight w:val="0"/>
      <w:marTop w:val="0"/>
      <w:marBottom w:val="0"/>
      <w:divBdr>
        <w:top w:val="none" w:sz="0" w:space="0" w:color="auto"/>
        <w:left w:val="none" w:sz="0" w:space="0" w:color="auto"/>
        <w:bottom w:val="none" w:sz="0" w:space="0" w:color="auto"/>
        <w:right w:val="none" w:sz="0" w:space="0" w:color="auto"/>
      </w:divBdr>
    </w:div>
    <w:div w:id="170414210">
      <w:bodyDiv w:val="1"/>
      <w:marLeft w:val="0"/>
      <w:marRight w:val="0"/>
      <w:marTop w:val="0"/>
      <w:marBottom w:val="0"/>
      <w:divBdr>
        <w:top w:val="none" w:sz="0" w:space="0" w:color="auto"/>
        <w:left w:val="none" w:sz="0" w:space="0" w:color="auto"/>
        <w:bottom w:val="none" w:sz="0" w:space="0" w:color="auto"/>
        <w:right w:val="none" w:sz="0" w:space="0" w:color="auto"/>
      </w:divBdr>
    </w:div>
    <w:div w:id="170880966">
      <w:bodyDiv w:val="1"/>
      <w:marLeft w:val="0"/>
      <w:marRight w:val="0"/>
      <w:marTop w:val="0"/>
      <w:marBottom w:val="0"/>
      <w:divBdr>
        <w:top w:val="none" w:sz="0" w:space="0" w:color="auto"/>
        <w:left w:val="none" w:sz="0" w:space="0" w:color="auto"/>
        <w:bottom w:val="none" w:sz="0" w:space="0" w:color="auto"/>
        <w:right w:val="none" w:sz="0" w:space="0" w:color="auto"/>
      </w:divBdr>
    </w:div>
    <w:div w:id="171579247">
      <w:bodyDiv w:val="1"/>
      <w:marLeft w:val="0"/>
      <w:marRight w:val="0"/>
      <w:marTop w:val="0"/>
      <w:marBottom w:val="0"/>
      <w:divBdr>
        <w:top w:val="none" w:sz="0" w:space="0" w:color="auto"/>
        <w:left w:val="none" w:sz="0" w:space="0" w:color="auto"/>
        <w:bottom w:val="none" w:sz="0" w:space="0" w:color="auto"/>
        <w:right w:val="none" w:sz="0" w:space="0" w:color="auto"/>
      </w:divBdr>
    </w:div>
    <w:div w:id="174272760">
      <w:bodyDiv w:val="1"/>
      <w:marLeft w:val="0"/>
      <w:marRight w:val="0"/>
      <w:marTop w:val="0"/>
      <w:marBottom w:val="0"/>
      <w:divBdr>
        <w:top w:val="none" w:sz="0" w:space="0" w:color="auto"/>
        <w:left w:val="none" w:sz="0" w:space="0" w:color="auto"/>
        <w:bottom w:val="none" w:sz="0" w:space="0" w:color="auto"/>
        <w:right w:val="none" w:sz="0" w:space="0" w:color="auto"/>
      </w:divBdr>
    </w:div>
    <w:div w:id="178979532">
      <w:bodyDiv w:val="1"/>
      <w:marLeft w:val="0"/>
      <w:marRight w:val="0"/>
      <w:marTop w:val="0"/>
      <w:marBottom w:val="0"/>
      <w:divBdr>
        <w:top w:val="none" w:sz="0" w:space="0" w:color="auto"/>
        <w:left w:val="none" w:sz="0" w:space="0" w:color="auto"/>
        <w:bottom w:val="none" w:sz="0" w:space="0" w:color="auto"/>
        <w:right w:val="none" w:sz="0" w:space="0" w:color="auto"/>
      </w:divBdr>
    </w:div>
    <w:div w:id="179392587">
      <w:bodyDiv w:val="1"/>
      <w:marLeft w:val="0"/>
      <w:marRight w:val="0"/>
      <w:marTop w:val="0"/>
      <w:marBottom w:val="0"/>
      <w:divBdr>
        <w:top w:val="none" w:sz="0" w:space="0" w:color="auto"/>
        <w:left w:val="none" w:sz="0" w:space="0" w:color="auto"/>
        <w:bottom w:val="none" w:sz="0" w:space="0" w:color="auto"/>
        <w:right w:val="none" w:sz="0" w:space="0" w:color="auto"/>
      </w:divBdr>
    </w:div>
    <w:div w:id="181087385">
      <w:bodyDiv w:val="1"/>
      <w:marLeft w:val="0"/>
      <w:marRight w:val="0"/>
      <w:marTop w:val="0"/>
      <w:marBottom w:val="0"/>
      <w:divBdr>
        <w:top w:val="none" w:sz="0" w:space="0" w:color="auto"/>
        <w:left w:val="none" w:sz="0" w:space="0" w:color="auto"/>
        <w:bottom w:val="none" w:sz="0" w:space="0" w:color="auto"/>
        <w:right w:val="none" w:sz="0" w:space="0" w:color="auto"/>
      </w:divBdr>
    </w:div>
    <w:div w:id="183634950">
      <w:bodyDiv w:val="1"/>
      <w:marLeft w:val="0"/>
      <w:marRight w:val="0"/>
      <w:marTop w:val="0"/>
      <w:marBottom w:val="0"/>
      <w:divBdr>
        <w:top w:val="none" w:sz="0" w:space="0" w:color="auto"/>
        <w:left w:val="none" w:sz="0" w:space="0" w:color="auto"/>
        <w:bottom w:val="none" w:sz="0" w:space="0" w:color="auto"/>
        <w:right w:val="none" w:sz="0" w:space="0" w:color="auto"/>
      </w:divBdr>
    </w:div>
    <w:div w:id="188446551">
      <w:bodyDiv w:val="1"/>
      <w:marLeft w:val="0"/>
      <w:marRight w:val="0"/>
      <w:marTop w:val="0"/>
      <w:marBottom w:val="0"/>
      <w:divBdr>
        <w:top w:val="none" w:sz="0" w:space="0" w:color="auto"/>
        <w:left w:val="none" w:sz="0" w:space="0" w:color="auto"/>
        <w:bottom w:val="none" w:sz="0" w:space="0" w:color="auto"/>
        <w:right w:val="none" w:sz="0" w:space="0" w:color="auto"/>
      </w:divBdr>
    </w:div>
    <w:div w:id="188613787">
      <w:bodyDiv w:val="1"/>
      <w:marLeft w:val="0"/>
      <w:marRight w:val="0"/>
      <w:marTop w:val="0"/>
      <w:marBottom w:val="0"/>
      <w:divBdr>
        <w:top w:val="none" w:sz="0" w:space="0" w:color="auto"/>
        <w:left w:val="none" w:sz="0" w:space="0" w:color="auto"/>
        <w:bottom w:val="none" w:sz="0" w:space="0" w:color="auto"/>
        <w:right w:val="none" w:sz="0" w:space="0" w:color="auto"/>
      </w:divBdr>
    </w:div>
    <w:div w:id="193159188">
      <w:bodyDiv w:val="1"/>
      <w:marLeft w:val="0"/>
      <w:marRight w:val="0"/>
      <w:marTop w:val="0"/>
      <w:marBottom w:val="0"/>
      <w:divBdr>
        <w:top w:val="none" w:sz="0" w:space="0" w:color="auto"/>
        <w:left w:val="none" w:sz="0" w:space="0" w:color="auto"/>
        <w:bottom w:val="none" w:sz="0" w:space="0" w:color="auto"/>
        <w:right w:val="none" w:sz="0" w:space="0" w:color="auto"/>
      </w:divBdr>
    </w:div>
    <w:div w:id="194080860">
      <w:bodyDiv w:val="1"/>
      <w:marLeft w:val="0"/>
      <w:marRight w:val="0"/>
      <w:marTop w:val="0"/>
      <w:marBottom w:val="0"/>
      <w:divBdr>
        <w:top w:val="none" w:sz="0" w:space="0" w:color="auto"/>
        <w:left w:val="none" w:sz="0" w:space="0" w:color="auto"/>
        <w:bottom w:val="none" w:sz="0" w:space="0" w:color="auto"/>
        <w:right w:val="none" w:sz="0" w:space="0" w:color="auto"/>
      </w:divBdr>
    </w:div>
    <w:div w:id="197013837">
      <w:bodyDiv w:val="1"/>
      <w:marLeft w:val="0"/>
      <w:marRight w:val="0"/>
      <w:marTop w:val="0"/>
      <w:marBottom w:val="0"/>
      <w:divBdr>
        <w:top w:val="none" w:sz="0" w:space="0" w:color="auto"/>
        <w:left w:val="none" w:sz="0" w:space="0" w:color="auto"/>
        <w:bottom w:val="none" w:sz="0" w:space="0" w:color="auto"/>
        <w:right w:val="none" w:sz="0" w:space="0" w:color="auto"/>
      </w:divBdr>
    </w:div>
    <w:div w:id="198471484">
      <w:bodyDiv w:val="1"/>
      <w:marLeft w:val="0"/>
      <w:marRight w:val="0"/>
      <w:marTop w:val="0"/>
      <w:marBottom w:val="0"/>
      <w:divBdr>
        <w:top w:val="none" w:sz="0" w:space="0" w:color="auto"/>
        <w:left w:val="none" w:sz="0" w:space="0" w:color="auto"/>
        <w:bottom w:val="none" w:sz="0" w:space="0" w:color="auto"/>
        <w:right w:val="none" w:sz="0" w:space="0" w:color="auto"/>
      </w:divBdr>
    </w:div>
    <w:div w:id="198787611">
      <w:bodyDiv w:val="1"/>
      <w:marLeft w:val="0"/>
      <w:marRight w:val="0"/>
      <w:marTop w:val="0"/>
      <w:marBottom w:val="0"/>
      <w:divBdr>
        <w:top w:val="none" w:sz="0" w:space="0" w:color="auto"/>
        <w:left w:val="none" w:sz="0" w:space="0" w:color="auto"/>
        <w:bottom w:val="none" w:sz="0" w:space="0" w:color="auto"/>
        <w:right w:val="none" w:sz="0" w:space="0" w:color="auto"/>
      </w:divBdr>
    </w:div>
    <w:div w:id="201020534">
      <w:bodyDiv w:val="1"/>
      <w:marLeft w:val="0"/>
      <w:marRight w:val="0"/>
      <w:marTop w:val="0"/>
      <w:marBottom w:val="0"/>
      <w:divBdr>
        <w:top w:val="none" w:sz="0" w:space="0" w:color="auto"/>
        <w:left w:val="none" w:sz="0" w:space="0" w:color="auto"/>
        <w:bottom w:val="none" w:sz="0" w:space="0" w:color="auto"/>
        <w:right w:val="none" w:sz="0" w:space="0" w:color="auto"/>
      </w:divBdr>
    </w:div>
    <w:div w:id="207299073">
      <w:bodyDiv w:val="1"/>
      <w:marLeft w:val="0"/>
      <w:marRight w:val="0"/>
      <w:marTop w:val="0"/>
      <w:marBottom w:val="0"/>
      <w:divBdr>
        <w:top w:val="none" w:sz="0" w:space="0" w:color="auto"/>
        <w:left w:val="none" w:sz="0" w:space="0" w:color="auto"/>
        <w:bottom w:val="none" w:sz="0" w:space="0" w:color="auto"/>
        <w:right w:val="none" w:sz="0" w:space="0" w:color="auto"/>
      </w:divBdr>
    </w:div>
    <w:div w:id="210964828">
      <w:bodyDiv w:val="1"/>
      <w:marLeft w:val="0"/>
      <w:marRight w:val="0"/>
      <w:marTop w:val="0"/>
      <w:marBottom w:val="0"/>
      <w:divBdr>
        <w:top w:val="none" w:sz="0" w:space="0" w:color="auto"/>
        <w:left w:val="none" w:sz="0" w:space="0" w:color="auto"/>
        <w:bottom w:val="none" w:sz="0" w:space="0" w:color="auto"/>
        <w:right w:val="none" w:sz="0" w:space="0" w:color="auto"/>
      </w:divBdr>
    </w:div>
    <w:div w:id="213543761">
      <w:bodyDiv w:val="1"/>
      <w:marLeft w:val="0"/>
      <w:marRight w:val="0"/>
      <w:marTop w:val="0"/>
      <w:marBottom w:val="0"/>
      <w:divBdr>
        <w:top w:val="none" w:sz="0" w:space="0" w:color="auto"/>
        <w:left w:val="none" w:sz="0" w:space="0" w:color="auto"/>
        <w:bottom w:val="none" w:sz="0" w:space="0" w:color="auto"/>
        <w:right w:val="none" w:sz="0" w:space="0" w:color="auto"/>
      </w:divBdr>
    </w:div>
    <w:div w:id="214582159">
      <w:bodyDiv w:val="1"/>
      <w:marLeft w:val="0"/>
      <w:marRight w:val="0"/>
      <w:marTop w:val="0"/>
      <w:marBottom w:val="0"/>
      <w:divBdr>
        <w:top w:val="none" w:sz="0" w:space="0" w:color="auto"/>
        <w:left w:val="none" w:sz="0" w:space="0" w:color="auto"/>
        <w:bottom w:val="none" w:sz="0" w:space="0" w:color="auto"/>
        <w:right w:val="none" w:sz="0" w:space="0" w:color="auto"/>
      </w:divBdr>
    </w:div>
    <w:div w:id="220865993">
      <w:bodyDiv w:val="1"/>
      <w:marLeft w:val="0"/>
      <w:marRight w:val="0"/>
      <w:marTop w:val="0"/>
      <w:marBottom w:val="0"/>
      <w:divBdr>
        <w:top w:val="none" w:sz="0" w:space="0" w:color="auto"/>
        <w:left w:val="none" w:sz="0" w:space="0" w:color="auto"/>
        <w:bottom w:val="none" w:sz="0" w:space="0" w:color="auto"/>
        <w:right w:val="none" w:sz="0" w:space="0" w:color="auto"/>
      </w:divBdr>
    </w:div>
    <w:div w:id="226034482">
      <w:bodyDiv w:val="1"/>
      <w:marLeft w:val="0"/>
      <w:marRight w:val="0"/>
      <w:marTop w:val="0"/>
      <w:marBottom w:val="0"/>
      <w:divBdr>
        <w:top w:val="none" w:sz="0" w:space="0" w:color="auto"/>
        <w:left w:val="none" w:sz="0" w:space="0" w:color="auto"/>
        <w:bottom w:val="none" w:sz="0" w:space="0" w:color="auto"/>
        <w:right w:val="none" w:sz="0" w:space="0" w:color="auto"/>
      </w:divBdr>
    </w:div>
    <w:div w:id="227040740">
      <w:bodyDiv w:val="1"/>
      <w:marLeft w:val="0"/>
      <w:marRight w:val="0"/>
      <w:marTop w:val="0"/>
      <w:marBottom w:val="0"/>
      <w:divBdr>
        <w:top w:val="none" w:sz="0" w:space="0" w:color="auto"/>
        <w:left w:val="none" w:sz="0" w:space="0" w:color="auto"/>
        <w:bottom w:val="none" w:sz="0" w:space="0" w:color="auto"/>
        <w:right w:val="none" w:sz="0" w:space="0" w:color="auto"/>
      </w:divBdr>
    </w:div>
    <w:div w:id="230430701">
      <w:bodyDiv w:val="1"/>
      <w:marLeft w:val="0"/>
      <w:marRight w:val="0"/>
      <w:marTop w:val="0"/>
      <w:marBottom w:val="0"/>
      <w:divBdr>
        <w:top w:val="none" w:sz="0" w:space="0" w:color="auto"/>
        <w:left w:val="none" w:sz="0" w:space="0" w:color="auto"/>
        <w:bottom w:val="none" w:sz="0" w:space="0" w:color="auto"/>
        <w:right w:val="none" w:sz="0" w:space="0" w:color="auto"/>
      </w:divBdr>
    </w:div>
    <w:div w:id="234780708">
      <w:bodyDiv w:val="1"/>
      <w:marLeft w:val="0"/>
      <w:marRight w:val="0"/>
      <w:marTop w:val="0"/>
      <w:marBottom w:val="0"/>
      <w:divBdr>
        <w:top w:val="none" w:sz="0" w:space="0" w:color="auto"/>
        <w:left w:val="none" w:sz="0" w:space="0" w:color="auto"/>
        <w:bottom w:val="none" w:sz="0" w:space="0" w:color="auto"/>
        <w:right w:val="none" w:sz="0" w:space="0" w:color="auto"/>
      </w:divBdr>
    </w:div>
    <w:div w:id="237324903">
      <w:bodyDiv w:val="1"/>
      <w:marLeft w:val="0"/>
      <w:marRight w:val="0"/>
      <w:marTop w:val="0"/>
      <w:marBottom w:val="0"/>
      <w:divBdr>
        <w:top w:val="none" w:sz="0" w:space="0" w:color="auto"/>
        <w:left w:val="none" w:sz="0" w:space="0" w:color="auto"/>
        <w:bottom w:val="none" w:sz="0" w:space="0" w:color="auto"/>
        <w:right w:val="none" w:sz="0" w:space="0" w:color="auto"/>
      </w:divBdr>
    </w:div>
    <w:div w:id="243880513">
      <w:bodyDiv w:val="1"/>
      <w:marLeft w:val="0"/>
      <w:marRight w:val="0"/>
      <w:marTop w:val="0"/>
      <w:marBottom w:val="0"/>
      <w:divBdr>
        <w:top w:val="none" w:sz="0" w:space="0" w:color="auto"/>
        <w:left w:val="none" w:sz="0" w:space="0" w:color="auto"/>
        <w:bottom w:val="none" w:sz="0" w:space="0" w:color="auto"/>
        <w:right w:val="none" w:sz="0" w:space="0" w:color="auto"/>
      </w:divBdr>
    </w:div>
    <w:div w:id="249630326">
      <w:bodyDiv w:val="1"/>
      <w:marLeft w:val="0"/>
      <w:marRight w:val="0"/>
      <w:marTop w:val="0"/>
      <w:marBottom w:val="0"/>
      <w:divBdr>
        <w:top w:val="none" w:sz="0" w:space="0" w:color="auto"/>
        <w:left w:val="none" w:sz="0" w:space="0" w:color="auto"/>
        <w:bottom w:val="none" w:sz="0" w:space="0" w:color="auto"/>
        <w:right w:val="none" w:sz="0" w:space="0" w:color="auto"/>
      </w:divBdr>
    </w:div>
    <w:div w:id="252395484">
      <w:bodyDiv w:val="1"/>
      <w:marLeft w:val="0"/>
      <w:marRight w:val="0"/>
      <w:marTop w:val="0"/>
      <w:marBottom w:val="0"/>
      <w:divBdr>
        <w:top w:val="none" w:sz="0" w:space="0" w:color="auto"/>
        <w:left w:val="none" w:sz="0" w:space="0" w:color="auto"/>
        <w:bottom w:val="none" w:sz="0" w:space="0" w:color="auto"/>
        <w:right w:val="none" w:sz="0" w:space="0" w:color="auto"/>
      </w:divBdr>
    </w:div>
    <w:div w:id="255603992">
      <w:bodyDiv w:val="1"/>
      <w:marLeft w:val="0"/>
      <w:marRight w:val="0"/>
      <w:marTop w:val="0"/>
      <w:marBottom w:val="0"/>
      <w:divBdr>
        <w:top w:val="none" w:sz="0" w:space="0" w:color="auto"/>
        <w:left w:val="none" w:sz="0" w:space="0" w:color="auto"/>
        <w:bottom w:val="none" w:sz="0" w:space="0" w:color="auto"/>
        <w:right w:val="none" w:sz="0" w:space="0" w:color="auto"/>
      </w:divBdr>
    </w:div>
    <w:div w:id="257175615">
      <w:bodyDiv w:val="1"/>
      <w:marLeft w:val="0"/>
      <w:marRight w:val="0"/>
      <w:marTop w:val="0"/>
      <w:marBottom w:val="0"/>
      <w:divBdr>
        <w:top w:val="none" w:sz="0" w:space="0" w:color="auto"/>
        <w:left w:val="none" w:sz="0" w:space="0" w:color="auto"/>
        <w:bottom w:val="none" w:sz="0" w:space="0" w:color="auto"/>
        <w:right w:val="none" w:sz="0" w:space="0" w:color="auto"/>
      </w:divBdr>
    </w:div>
    <w:div w:id="260339220">
      <w:bodyDiv w:val="1"/>
      <w:marLeft w:val="0"/>
      <w:marRight w:val="0"/>
      <w:marTop w:val="0"/>
      <w:marBottom w:val="0"/>
      <w:divBdr>
        <w:top w:val="none" w:sz="0" w:space="0" w:color="auto"/>
        <w:left w:val="none" w:sz="0" w:space="0" w:color="auto"/>
        <w:bottom w:val="none" w:sz="0" w:space="0" w:color="auto"/>
        <w:right w:val="none" w:sz="0" w:space="0" w:color="auto"/>
      </w:divBdr>
    </w:div>
    <w:div w:id="261763204">
      <w:bodyDiv w:val="1"/>
      <w:marLeft w:val="0"/>
      <w:marRight w:val="0"/>
      <w:marTop w:val="0"/>
      <w:marBottom w:val="0"/>
      <w:divBdr>
        <w:top w:val="none" w:sz="0" w:space="0" w:color="auto"/>
        <w:left w:val="none" w:sz="0" w:space="0" w:color="auto"/>
        <w:bottom w:val="none" w:sz="0" w:space="0" w:color="auto"/>
        <w:right w:val="none" w:sz="0" w:space="0" w:color="auto"/>
      </w:divBdr>
    </w:div>
    <w:div w:id="265966580">
      <w:bodyDiv w:val="1"/>
      <w:marLeft w:val="0"/>
      <w:marRight w:val="0"/>
      <w:marTop w:val="0"/>
      <w:marBottom w:val="0"/>
      <w:divBdr>
        <w:top w:val="none" w:sz="0" w:space="0" w:color="auto"/>
        <w:left w:val="none" w:sz="0" w:space="0" w:color="auto"/>
        <w:bottom w:val="none" w:sz="0" w:space="0" w:color="auto"/>
        <w:right w:val="none" w:sz="0" w:space="0" w:color="auto"/>
      </w:divBdr>
    </w:div>
    <w:div w:id="271404170">
      <w:bodyDiv w:val="1"/>
      <w:marLeft w:val="0"/>
      <w:marRight w:val="0"/>
      <w:marTop w:val="0"/>
      <w:marBottom w:val="0"/>
      <w:divBdr>
        <w:top w:val="none" w:sz="0" w:space="0" w:color="auto"/>
        <w:left w:val="none" w:sz="0" w:space="0" w:color="auto"/>
        <w:bottom w:val="none" w:sz="0" w:space="0" w:color="auto"/>
        <w:right w:val="none" w:sz="0" w:space="0" w:color="auto"/>
      </w:divBdr>
    </w:div>
    <w:div w:id="271404479">
      <w:bodyDiv w:val="1"/>
      <w:marLeft w:val="0"/>
      <w:marRight w:val="0"/>
      <w:marTop w:val="0"/>
      <w:marBottom w:val="0"/>
      <w:divBdr>
        <w:top w:val="none" w:sz="0" w:space="0" w:color="auto"/>
        <w:left w:val="none" w:sz="0" w:space="0" w:color="auto"/>
        <w:bottom w:val="none" w:sz="0" w:space="0" w:color="auto"/>
        <w:right w:val="none" w:sz="0" w:space="0" w:color="auto"/>
      </w:divBdr>
    </w:div>
    <w:div w:id="282229136">
      <w:bodyDiv w:val="1"/>
      <w:marLeft w:val="0"/>
      <w:marRight w:val="0"/>
      <w:marTop w:val="0"/>
      <w:marBottom w:val="0"/>
      <w:divBdr>
        <w:top w:val="none" w:sz="0" w:space="0" w:color="auto"/>
        <w:left w:val="none" w:sz="0" w:space="0" w:color="auto"/>
        <w:bottom w:val="none" w:sz="0" w:space="0" w:color="auto"/>
        <w:right w:val="none" w:sz="0" w:space="0" w:color="auto"/>
      </w:divBdr>
    </w:div>
    <w:div w:id="289558145">
      <w:bodyDiv w:val="1"/>
      <w:marLeft w:val="0"/>
      <w:marRight w:val="0"/>
      <w:marTop w:val="0"/>
      <w:marBottom w:val="0"/>
      <w:divBdr>
        <w:top w:val="none" w:sz="0" w:space="0" w:color="auto"/>
        <w:left w:val="none" w:sz="0" w:space="0" w:color="auto"/>
        <w:bottom w:val="none" w:sz="0" w:space="0" w:color="auto"/>
        <w:right w:val="none" w:sz="0" w:space="0" w:color="auto"/>
      </w:divBdr>
    </w:div>
    <w:div w:id="292250244">
      <w:bodyDiv w:val="1"/>
      <w:marLeft w:val="0"/>
      <w:marRight w:val="0"/>
      <w:marTop w:val="0"/>
      <w:marBottom w:val="0"/>
      <w:divBdr>
        <w:top w:val="none" w:sz="0" w:space="0" w:color="auto"/>
        <w:left w:val="none" w:sz="0" w:space="0" w:color="auto"/>
        <w:bottom w:val="none" w:sz="0" w:space="0" w:color="auto"/>
        <w:right w:val="none" w:sz="0" w:space="0" w:color="auto"/>
      </w:divBdr>
    </w:div>
    <w:div w:id="295332511">
      <w:bodyDiv w:val="1"/>
      <w:marLeft w:val="0"/>
      <w:marRight w:val="0"/>
      <w:marTop w:val="0"/>
      <w:marBottom w:val="0"/>
      <w:divBdr>
        <w:top w:val="none" w:sz="0" w:space="0" w:color="auto"/>
        <w:left w:val="none" w:sz="0" w:space="0" w:color="auto"/>
        <w:bottom w:val="none" w:sz="0" w:space="0" w:color="auto"/>
        <w:right w:val="none" w:sz="0" w:space="0" w:color="auto"/>
      </w:divBdr>
    </w:div>
    <w:div w:id="299191798">
      <w:bodyDiv w:val="1"/>
      <w:marLeft w:val="0"/>
      <w:marRight w:val="0"/>
      <w:marTop w:val="0"/>
      <w:marBottom w:val="0"/>
      <w:divBdr>
        <w:top w:val="none" w:sz="0" w:space="0" w:color="auto"/>
        <w:left w:val="none" w:sz="0" w:space="0" w:color="auto"/>
        <w:bottom w:val="none" w:sz="0" w:space="0" w:color="auto"/>
        <w:right w:val="none" w:sz="0" w:space="0" w:color="auto"/>
      </w:divBdr>
    </w:div>
    <w:div w:id="299924858">
      <w:bodyDiv w:val="1"/>
      <w:marLeft w:val="0"/>
      <w:marRight w:val="0"/>
      <w:marTop w:val="0"/>
      <w:marBottom w:val="0"/>
      <w:divBdr>
        <w:top w:val="none" w:sz="0" w:space="0" w:color="auto"/>
        <w:left w:val="none" w:sz="0" w:space="0" w:color="auto"/>
        <w:bottom w:val="none" w:sz="0" w:space="0" w:color="auto"/>
        <w:right w:val="none" w:sz="0" w:space="0" w:color="auto"/>
      </w:divBdr>
    </w:div>
    <w:div w:id="300501028">
      <w:bodyDiv w:val="1"/>
      <w:marLeft w:val="0"/>
      <w:marRight w:val="0"/>
      <w:marTop w:val="0"/>
      <w:marBottom w:val="0"/>
      <w:divBdr>
        <w:top w:val="none" w:sz="0" w:space="0" w:color="auto"/>
        <w:left w:val="none" w:sz="0" w:space="0" w:color="auto"/>
        <w:bottom w:val="none" w:sz="0" w:space="0" w:color="auto"/>
        <w:right w:val="none" w:sz="0" w:space="0" w:color="auto"/>
      </w:divBdr>
    </w:div>
    <w:div w:id="302389384">
      <w:bodyDiv w:val="1"/>
      <w:marLeft w:val="0"/>
      <w:marRight w:val="0"/>
      <w:marTop w:val="0"/>
      <w:marBottom w:val="0"/>
      <w:divBdr>
        <w:top w:val="none" w:sz="0" w:space="0" w:color="auto"/>
        <w:left w:val="none" w:sz="0" w:space="0" w:color="auto"/>
        <w:bottom w:val="none" w:sz="0" w:space="0" w:color="auto"/>
        <w:right w:val="none" w:sz="0" w:space="0" w:color="auto"/>
      </w:divBdr>
    </w:div>
    <w:div w:id="304891955">
      <w:bodyDiv w:val="1"/>
      <w:marLeft w:val="0"/>
      <w:marRight w:val="0"/>
      <w:marTop w:val="0"/>
      <w:marBottom w:val="0"/>
      <w:divBdr>
        <w:top w:val="none" w:sz="0" w:space="0" w:color="auto"/>
        <w:left w:val="none" w:sz="0" w:space="0" w:color="auto"/>
        <w:bottom w:val="none" w:sz="0" w:space="0" w:color="auto"/>
        <w:right w:val="none" w:sz="0" w:space="0" w:color="auto"/>
      </w:divBdr>
    </w:div>
    <w:div w:id="306202113">
      <w:bodyDiv w:val="1"/>
      <w:marLeft w:val="0"/>
      <w:marRight w:val="0"/>
      <w:marTop w:val="0"/>
      <w:marBottom w:val="0"/>
      <w:divBdr>
        <w:top w:val="none" w:sz="0" w:space="0" w:color="auto"/>
        <w:left w:val="none" w:sz="0" w:space="0" w:color="auto"/>
        <w:bottom w:val="none" w:sz="0" w:space="0" w:color="auto"/>
        <w:right w:val="none" w:sz="0" w:space="0" w:color="auto"/>
      </w:divBdr>
    </w:div>
    <w:div w:id="306588931">
      <w:bodyDiv w:val="1"/>
      <w:marLeft w:val="0"/>
      <w:marRight w:val="0"/>
      <w:marTop w:val="0"/>
      <w:marBottom w:val="0"/>
      <w:divBdr>
        <w:top w:val="none" w:sz="0" w:space="0" w:color="auto"/>
        <w:left w:val="none" w:sz="0" w:space="0" w:color="auto"/>
        <w:bottom w:val="none" w:sz="0" w:space="0" w:color="auto"/>
        <w:right w:val="none" w:sz="0" w:space="0" w:color="auto"/>
      </w:divBdr>
    </w:div>
    <w:div w:id="312100509">
      <w:bodyDiv w:val="1"/>
      <w:marLeft w:val="0"/>
      <w:marRight w:val="0"/>
      <w:marTop w:val="0"/>
      <w:marBottom w:val="0"/>
      <w:divBdr>
        <w:top w:val="none" w:sz="0" w:space="0" w:color="auto"/>
        <w:left w:val="none" w:sz="0" w:space="0" w:color="auto"/>
        <w:bottom w:val="none" w:sz="0" w:space="0" w:color="auto"/>
        <w:right w:val="none" w:sz="0" w:space="0" w:color="auto"/>
      </w:divBdr>
    </w:div>
    <w:div w:id="312492417">
      <w:bodyDiv w:val="1"/>
      <w:marLeft w:val="0"/>
      <w:marRight w:val="0"/>
      <w:marTop w:val="0"/>
      <w:marBottom w:val="0"/>
      <w:divBdr>
        <w:top w:val="none" w:sz="0" w:space="0" w:color="auto"/>
        <w:left w:val="none" w:sz="0" w:space="0" w:color="auto"/>
        <w:bottom w:val="none" w:sz="0" w:space="0" w:color="auto"/>
        <w:right w:val="none" w:sz="0" w:space="0" w:color="auto"/>
      </w:divBdr>
    </w:div>
    <w:div w:id="313069963">
      <w:bodyDiv w:val="1"/>
      <w:marLeft w:val="0"/>
      <w:marRight w:val="0"/>
      <w:marTop w:val="0"/>
      <w:marBottom w:val="0"/>
      <w:divBdr>
        <w:top w:val="none" w:sz="0" w:space="0" w:color="auto"/>
        <w:left w:val="none" w:sz="0" w:space="0" w:color="auto"/>
        <w:bottom w:val="none" w:sz="0" w:space="0" w:color="auto"/>
        <w:right w:val="none" w:sz="0" w:space="0" w:color="auto"/>
      </w:divBdr>
    </w:div>
    <w:div w:id="313681370">
      <w:bodyDiv w:val="1"/>
      <w:marLeft w:val="0"/>
      <w:marRight w:val="0"/>
      <w:marTop w:val="0"/>
      <w:marBottom w:val="0"/>
      <w:divBdr>
        <w:top w:val="none" w:sz="0" w:space="0" w:color="auto"/>
        <w:left w:val="none" w:sz="0" w:space="0" w:color="auto"/>
        <w:bottom w:val="none" w:sz="0" w:space="0" w:color="auto"/>
        <w:right w:val="none" w:sz="0" w:space="0" w:color="auto"/>
      </w:divBdr>
    </w:div>
    <w:div w:id="316885547">
      <w:bodyDiv w:val="1"/>
      <w:marLeft w:val="0"/>
      <w:marRight w:val="0"/>
      <w:marTop w:val="0"/>
      <w:marBottom w:val="0"/>
      <w:divBdr>
        <w:top w:val="none" w:sz="0" w:space="0" w:color="auto"/>
        <w:left w:val="none" w:sz="0" w:space="0" w:color="auto"/>
        <w:bottom w:val="none" w:sz="0" w:space="0" w:color="auto"/>
        <w:right w:val="none" w:sz="0" w:space="0" w:color="auto"/>
      </w:divBdr>
    </w:div>
    <w:div w:id="318506648">
      <w:bodyDiv w:val="1"/>
      <w:marLeft w:val="0"/>
      <w:marRight w:val="0"/>
      <w:marTop w:val="0"/>
      <w:marBottom w:val="0"/>
      <w:divBdr>
        <w:top w:val="none" w:sz="0" w:space="0" w:color="auto"/>
        <w:left w:val="none" w:sz="0" w:space="0" w:color="auto"/>
        <w:bottom w:val="none" w:sz="0" w:space="0" w:color="auto"/>
        <w:right w:val="none" w:sz="0" w:space="0" w:color="auto"/>
      </w:divBdr>
    </w:div>
    <w:div w:id="320742206">
      <w:bodyDiv w:val="1"/>
      <w:marLeft w:val="0"/>
      <w:marRight w:val="0"/>
      <w:marTop w:val="0"/>
      <w:marBottom w:val="0"/>
      <w:divBdr>
        <w:top w:val="none" w:sz="0" w:space="0" w:color="auto"/>
        <w:left w:val="none" w:sz="0" w:space="0" w:color="auto"/>
        <w:bottom w:val="none" w:sz="0" w:space="0" w:color="auto"/>
        <w:right w:val="none" w:sz="0" w:space="0" w:color="auto"/>
      </w:divBdr>
    </w:div>
    <w:div w:id="322971273">
      <w:bodyDiv w:val="1"/>
      <w:marLeft w:val="0"/>
      <w:marRight w:val="0"/>
      <w:marTop w:val="0"/>
      <w:marBottom w:val="0"/>
      <w:divBdr>
        <w:top w:val="none" w:sz="0" w:space="0" w:color="auto"/>
        <w:left w:val="none" w:sz="0" w:space="0" w:color="auto"/>
        <w:bottom w:val="none" w:sz="0" w:space="0" w:color="auto"/>
        <w:right w:val="none" w:sz="0" w:space="0" w:color="auto"/>
      </w:divBdr>
    </w:div>
    <w:div w:id="326980049">
      <w:bodyDiv w:val="1"/>
      <w:marLeft w:val="0"/>
      <w:marRight w:val="0"/>
      <w:marTop w:val="0"/>
      <w:marBottom w:val="0"/>
      <w:divBdr>
        <w:top w:val="none" w:sz="0" w:space="0" w:color="auto"/>
        <w:left w:val="none" w:sz="0" w:space="0" w:color="auto"/>
        <w:bottom w:val="none" w:sz="0" w:space="0" w:color="auto"/>
        <w:right w:val="none" w:sz="0" w:space="0" w:color="auto"/>
      </w:divBdr>
    </w:div>
    <w:div w:id="327943682">
      <w:bodyDiv w:val="1"/>
      <w:marLeft w:val="0"/>
      <w:marRight w:val="0"/>
      <w:marTop w:val="0"/>
      <w:marBottom w:val="0"/>
      <w:divBdr>
        <w:top w:val="none" w:sz="0" w:space="0" w:color="auto"/>
        <w:left w:val="none" w:sz="0" w:space="0" w:color="auto"/>
        <w:bottom w:val="none" w:sz="0" w:space="0" w:color="auto"/>
        <w:right w:val="none" w:sz="0" w:space="0" w:color="auto"/>
      </w:divBdr>
    </w:div>
    <w:div w:id="328409380">
      <w:bodyDiv w:val="1"/>
      <w:marLeft w:val="0"/>
      <w:marRight w:val="0"/>
      <w:marTop w:val="0"/>
      <w:marBottom w:val="0"/>
      <w:divBdr>
        <w:top w:val="none" w:sz="0" w:space="0" w:color="auto"/>
        <w:left w:val="none" w:sz="0" w:space="0" w:color="auto"/>
        <w:bottom w:val="none" w:sz="0" w:space="0" w:color="auto"/>
        <w:right w:val="none" w:sz="0" w:space="0" w:color="auto"/>
      </w:divBdr>
    </w:div>
    <w:div w:id="329063120">
      <w:bodyDiv w:val="1"/>
      <w:marLeft w:val="0"/>
      <w:marRight w:val="0"/>
      <w:marTop w:val="0"/>
      <w:marBottom w:val="0"/>
      <w:divBdr>
        <w:top w:val="none" w:sz="0" w:space="0" w:color="auto"/>
        <w:left w:val="none" w:sz="0" w:space="0" w:color="auto"/>
        <w:bottom w:val="none" w:sz="0" w:space="0" w:color="auto"/>
        <w:right w:val="none" w:sz="0" w:space="0" w:color="auto"/>
      </w:divBdr>
    </w:div>
    <w:div w:id="331950649">
      <w:bodyDiv w:val="1"/>
      <w:marLeft w:val="0"/>
      <w:marRight w:val="0"/>
      <w:marTop w:val="0"/>
      <w:marBottom w:val="0"/>
      <w:divBdr>
        <w:top w:val="none" w:sz="0" w:space="0" w:color="auto"/>
        <w:left w:val="none" w:sz="0" w:space="0" w:color="auto"/>
        <w:bottom w:val="none" w:sz="0" w:space="0" w:color="auto"/>
        <w:right w:val="none" w:sz="0" w:space="0" w:color="auto"/>
      </w:divBdr>
    </w:div>
    <w:div w:id="335160533">
      <w:bodyDiv w:val="1"/>
      <w:marLeft w:val="0"/>
      <w:marRight w:val="0"/>
      <w:marTop w:val="0"/>
      <w:marBottom w:val="0"/>
      <w:divBdr>
        <w:top w:val="none" w:sz="0" w:space="0" w:color="auto"/>
        <w:left w:val="none" w:sz="0" w:space="0" w:color="auto"/>
        <w:bottom w:val="none" w:sz="0" w:space="0" w:color="auto"/>
        <w:right w:val="none" w:sz="0" w:space="0" w:color="auto"/>
      </w:divBdr>
    </w:div>
    <w:div w:id="335890811">
      <w:bodyDiv w:val="1"/>
      <w:marLeft w:val="0"/>
      <w:marRight w:val="0"/>
      <w:marTop w:val="0"/>
      <w:marBottom w:val="0"/>
      <w:divBdr>
        <w:top w:val="none" w:sz="0" w:space="0" w:color="auto"/>
        <w:left w:val="none" w:sz="0" w:space="0" w:color="auto"/>
        <w:bottom w:val="none" w:sz="0" w:space="0" w:color="auto"/>
        <w:right w:val="none" w:sz="0" w:space="0" w:color="auto"/>
      </w:divBdr>
    </w:div>
    <w:div w:id="341325355">
      <w:bodyDiv w:val="1"/>
      <w:marLeft w:val="0"/>
      <w:marRight w:val="0"/>
      <w:marTop w:val="0"/>
      <w:marBottom w:val="0"/>
      <w:divBdr>
        <w:top w:val="none" w:sz="0" w:space="0" w:color="auto"/>
        <w:left w:val="none" w:sz="0" w:space="0" w:color="auto"/>
        <w:bottom w:val="none" w:sz="0" w:space="0" w:color="auto"/>
        <w:right w:val="none" w:sz="0" w:space="0" w:color="auto"/>
      </w:divBdr>
    </w:div>
    <w:div w:id="341393200">
      <w:bodyDiv w:val="1"/>
      <w:marLeft w:val="0"/>
      <w:marRight w:val="0"/>
      <w:marTop w:val="0"/>
      <w:marBottom w:val="0"/>
      <w:divBdr>
        <w:top w:val="none" w:sz="0" w:space="0" w:color="auto"/>
        <w:left w:val="none" w:sz="0" w:space="0" w:color="auto"/>
        <w:bottom w:val="none" w:sz="0" w:space="0" w:color="auto"/>
        <w:right w:val="none" w:sz="0" w:space="0" w:color="auto"/>
      </w:divBdr>
    </w:div>
    <w:div w:id="341856292">
      <w:bodyDiv w:val="1"/>
      <w:marLeft w:val="0"/>
      <w:marRight w:val="0"/>
      <w:marTop w:val="0"/>
      <w:marBottom w:val="0"/>
      <w:divBdr>
        <w:top w:val="none" w:sz="0" w:space="0" w:color="auto"/>
        <w:left w:val="none" w:sz="0" w:space="0" w:color="auto"/>
        <w:bottom w:val="none" w:sz="0" w:space="0" w:color="auto"/>
        <w:right w:val="none" w:sz="0" w:space="0" w:color="auto"/>
      </w:divBdr>
    </w:div>
    <w:div w:id="342785154">
      <w:bodyDiv w:val="1"/>
      <w:marLeft w:val="0"/>
      <w:marRight w:val="0"/>
      <w:marTop w:val="0"/>
      <w:marBottom w:val="0"/>
      <w:divBdr>
        <w:top w:val="none" w:sz="0" w:space="0" w:color="auto"/>
        <w:left w:val="none" w:sz="0" w:space="0" w:color="auto"/>
        <w:bottom w:val="none" w:sz="0" w:space="0" w:color="auto"/>
        <w:right w:val="none" w:sz="0" w:space="0" w:color="auto"/>
      </w:divBdr>
    </w:div>
    <w:div w:id="344094535">
      <w:bodyDiv w:val="1"/>
      <w:marLeft w:val="0"/>
      <w:marRight w:val="0"/>
      <w:marTop w:val="0"/>
      <w:marBottom w:val="0"/>
      <w:divBdr>
        <w:top w:val="none" w:sz="0" w:space="0" w:color="auto"/>
        <w:left w:val="none" w:sz="0" w:space="0" w:color="auto"/>
        <w:bottom w:val="none" w:sz="0" w:space="0" w:color="auto"/>
        <w:right w:val="none" w:sz="0" w:space="0" w:color="auto"/>
      </w:divBdr>
    </w:div>
    <w:div w:id="347029659">
      <w:bodyDiv w:val="1"/>
      <w:marLeft w:val="0"/>
      <w:marRight w:val="0"/>
      <w:marTop w:val="0"/>
      <w:marBottom w:val="0"/>
      <w:divBdr>
        <w:top w:val="none" w:sz="0" w:space="0" w:color="auto"/>
        <w:left w:val="none" w:sz="0" w:space="0" w:color="auto"/>
        <w:bottom w:val="none" w:sz="0" w:space="0" w:color="auto"/>
        <w:right w:val="none" w:sz="0" w:space="0" w:color="auto"/>
      </w:divBdr>
    </w:div>
    <w:div w:id="347562905">
      <w:bodyDiv w:val="1"/>
      <w:marLeft w:val="0"/>
      <w:marRight w:val="0"/>
      <w:marTop w:val="0"/>
      <w:marBottom w:val="0"/>
      <w:divBdr>
        <w:top w:val="none" w:sz="0" w:space="0" w:color="auto"/>
        <w:left w:val="none" w:sz="0" w:space="0" w:color="auto"/>
        <w:bottom w:val="none" w:sz="0" w:space="0" w:color="auto"/>
        <w:right w:val="none" w:sz="0" w:space="0" w:color="auto"/>
      </w:divBdr>
    </w:div>
    <w:div w:id="360475996">
      <w:bodyDiv w:val="1"/>
      <w:marLeft w:val="0"/>
      <w:marRight w:val="0"/>
      <w:marTop w:val="0"/>
      <w:marBottom w:val="0"/>
      <w:divBdr>
        <w:top w:val="none" w:sz="0" w:space="0" w:color="auto"/>
        <w:left w:val="none" w:sz="0" w:space="0" w:color="auto"/>
        <w:bottom w:val="none" w:sz="0" w:space="0" w:color="auto"/>
        <w:right w:val="none" w:sz="0" w:space="0" w:color="auto"/>
      </w:divBdr>
    </w:div>
    <w:div w:id="360516883">
      <w:bodyDiv w:val="1"/>
      <w:marLeft w:val="0"/>
      <w:marRight w:val="0"/>
      <w:marTop w:val="0"/>
      <w:marBottom w:val="0"/>
      <w:divBdr>
        <w:top w:val="none" w:sz="0" w:space="0" w:color="auto"/>
        <w:left w:val="none" w:sz="0" w:space="0" w:color="auto"/>
        <w:bottom w:val="none" w:sz="0" w:space="0" w:color="auto"/>
        <w:right w:val="none" w:sz="0" w:space="0" w:color="auto"/>
      </w:divBdr>
    </w:div>
    <w:div w:id="365524017">
      <w:bodyDiv w:val="1"/>
      <w:marLeft w:val="0"/>
      <w:marRight w:val="0"/>
      <w:marTop w:val="0"/>
      <w:marBottom w:val="0"/>
      <w:divBdr>
        <w:top w:val="none" w:sz="0" w:space="0" w:color="auto"/>
        <w:left w:val="none" w:sz="0" w:space="0" w:color="auto"/>
        <w:bottom w:val="none" w:sz="0" w:space="0" w:color="auto"/>
        <w:right w:val="none" w:sz="0" w:space="0" w:color="auto"/>
      </w:divBdr>
    </w:div>
    <w:div w:id="367489583">
      <w:bodyDiv w:val="1"/>
      <w:marLeft w:val="0"/>
      <w:marRight w:val="0"/>
      <w:marTop w:val="0"/>
      <w:marBottom w:val="0"/>
      <w:divBdr>
        <w:top w:val="none" w:sz="0" w:space="0" w:color="auto"/>
        <w:left w:val="none" w:sz="0" w:space="0" w:color="auto"/>
        <w:bottom w:val="none" w:sz="0" w:space="0" w:color="auto"/>
        <w:right w:val="none" w:sz="0" w:space="0" w:color="auto"/>
      </w:divBdr>
    </w:div>
    <w:div w:id="370689431">
      <w:bodyDiv w:val="1"/>
      <w:marLeft w:val="0"/>
      <w:marRight w:val="0"/>
      <w:marTop w:val="0"/>
      <w:marBottom w:val="0"/>
      <w:divBdr>
        <w:top w:val="none" w:sz="0" w:space="0" w:color="auto"/>
        <w:left w:val="none" w:sz="0" w:space="0" w:color="auto"/>
        <w:bottom w:val="none" w:sz="0" w:space="0" w:color="auto"/>
        <w:right w:val="none" w:sz="0" w:space="0" w:color="auto"/>
      </w:divBdr>
    </w:div>
    <w:div w:id="381026577">
      <w:bodyDiv w:val="1"/>
      <w:marLeft w:val="0"/>
      <w:marRight w:val="0"/>
      <w:marTop w:val="0"/>
      <w:marBottom w:val="0"/>
      <w:divBdr>
        <w:top w:val="none" w:sz="0" w:space="0" w:color="auto"/>
        <w:left w:val="none" w:sz="0" w:space="0" w:color="auto"/>
        <w:bottom w:val="none" w:sz="0" w:space="0" w:color="auto"/>
        <w:right w:val="none" w:sz="0" w:space="0" w:color="auto"/>
      </w:divBdr>
    </w:div>
    <w:div w:id="383067918">
      <w:bodyDiv w:val="1"/>
      <w:marLeft w:val="0"/>
      <w:marRight w:val="0"/>
      <w:marTop w:val="0"/>
      <w:marBottom w:val="0"/>
      <w:divBdr>
        <w:top w:val="none" w:sz="0" w:space="0" w:color="auto"/>
        <w:left w:val="none" w:sz="0" w:space="0" w:color="auto"/>
        <w:bottom w:val="none" w:sz="0" w:space="0" w:color="auto"/>
        <w:right w:val="none" w:sz="0" w:space="0" w:color="auto"/>
      </w:divBdr>
    </w:div>
    <w:div w:id="386686582">
      <w:bodyDiv w:val="1"/>
      <w:marLeft w:val="0"/>
      <w:marRight w:val="0"/>
      <w:marTop w:val="0"/>
      <w:marBottom w:val="0"/>
      <w:divBdr>
        <w:top w:val="none" w:sz="0" w:space="0" w:color="auto"/>
        <w:left w:val="none" w:sz="0" w:space="0" w:color="auto"/>
        <w:bottom w:val="none" w:sz="0" w:space="0" w:color="auto"/>
        <w:right w:val="none" w:sz="0" w:space="0" w:color="auto"/>
      </w:divBdr>
    </w:div>
    <w:div w:id="387606378">
      <w:bodyDiv w:val="1"/>
      <w:marLeft w:val="0"/>
      <w:marRight w:val="0"/>
      <w:marTop w:val="0"/>
      <w:marBottom w:val="0"/>
      <w:divBdr>
        <w:top w:val="none" w:sz="0" w:space="0" w:color="auto"/>
        <w:left w:val="none" w:sz="0" w:space="0" w:color="auto"/>
        <w:bottom w:val="none" w:sz="0" w:space="0" w:color="auto"/>
        <w:right w:val="none" w:sz="0" w:space="0" w:color="auto"/>
      </w:divBdr>
    </w:div>
    <w:div w:id="387804119">
      <w:bodyDiv w:val="1"/>
      <w:marLeft w:val="0"/>
      <w:marRight w:val="0"/>
      <w:marTop w:val="0"/>
      <w:marBottom w:val="0"/>
      <w:divBdr>
        <w:top w:val="none" w:sz="0" w:space="0" w:color="auto"/>
        <w:left w:val="none" w:sz="0" w:space="0" w:color="auto"/>
        <w:bottom w:val="none" w:sz="0" w:space="0" w:color="auto"/>
        <w:right w:val="none" w:sz="0" w:space="0" w:color="auto"/>
      </w:divBdr>
    </w:div>
    <w:div w:id="391778398">
      <w:bodyDiv w:val="1"/>
      <w:marLeft w:val="0"/>
      <w:marRight w:val="0"/>
      <w:marTop w:val="0"/>
      <w:marBottom w:val="0"/>
      <w:divBdr>
        <w:top w:val="none" w:sz="0" w:space="0" w:color="auto"/>
        <w:left w:val="none" w:sz="0" w:space="0" w:color="auto"/>
        <w:bottom w:val="none" w:sz="0" w:space="0" w:color="auto"/>
        <w:right w:val="none" w:sz="0" w:space="0" w:color="auto"/>
      </w:divBdr>
    </w:div>
    <w:div w:id="398483947">
      <w:bodyDiv w:val="1"/>
      <w:marLeft w:val="0"/>
      <w:marRight w:val="0"/>
      <w:marTop w:val="0"/>
      <w:marBottom w:val="0"/>
      <w:divBdr>
        <w:top w:val="none" w:sz="0" w:space="0" w:color="auto"/>
        <w:left w:val="none" w:sz="0" w:space="0" w:color="auto"/>
        <w:bottom w:val="none" w:sz="0" w:space="0" w:color="auto"/>
        <w:right w:val="none" w:sz="0" w:space="0" w:color="auto"/>
      </w:divBdr>
    </w:div>
    <w:div w:id="402264919">
      <w:bodyDiv w:val="1"/>
      <w:marLeft w:val="0"/>
      <w:marRight w:val="0"/>
      <w:marTop w:val="0"/>
      <w:marBottom w:val="0"/>
      <w:divBdr>
        <w:top w:val="none" w:sz="0" w:space="0" w:color="auto"/>
        <w:left w:val="none" w:sz="0" w:space="0" w:color="auto"/>
        <w:bottom w:val="none" w:sz="0" w:space="0" w:color="auto"/>
        <w:right w:val="none" w:sz="0" w:space="0" w:color="auto"/>
      </w:divBdr>
    </w:div>
    <w:div w:id="403258678">
      <w:bodyDiv w:val="1"/>
      <w:marLeft w:val="0"/>
      <w:marRight w:val="0"/>
      <w:marTop w:val="0"/>
      <w:marBottom w:val="0"/>
      <w:divBdr>
        <w:top w:val="none" w:sz="0" w:space="0" w:color="auto"/>
        <w:left w:val="none" w:sz="0" w:space="0" w:color="auto"/>
        <w:bottom w:val="none" w:sz="0" w:space="0" w:color="auto"/>
        <w:right w:val="none" w:sz="0" w:space="0" w:color="auto"/>
      </w:divBdr>
    </w:div>
    <w:div w:id="404568039">
      <w:bodyDiv w:val="1"/>
      <w:marLeft w:val="0"/>
      <w:marRight w:val="0"/>
      <w:marTop w:val="0"/>
      <w:marBottom w:val="0"/>
      <w:divBdr>
        <w:top w:val="none" w:sz="0" w:space="0" w:color="auto"/>
        <w:left w:val="none" w:sz="0" w:space="0" w:color="auto"/>
        <w:bottom w:val="none" w:sz="0" w:space="0" w:color="auto"/>
        <w:right w:val="none" w:sz="0" w:space="0" w:color="auto"/>
      </w:divBdr>
    </w:div>
    <w:div w:id="404649801">
      <w:bodyDiv w:val="1"/>
      <w:marLeft w:val="0"/>
      <w:marRight w:val="0"/>
      <w:marTop w:val="0"/>
      <w:marBottom w:val="0"/>
      <w:divBdr>
        <w:top w:val="none" w:sz="0" w:space="0" w:color="auto"/>
        <w:left w:val="none" w:sz="0" w:space="0" w:color="auto"/>
        <w:bottom w:val="none" w:sz="0" w:space="0" w:color="auto"/>
        <w:right w:val="none" w:sz="0" w:space="0" w:color="auto"/>
      </w:divBdr>
    </w:div>
    <w:div w:id="405881842">
      <w:bodyDiv w:val="1"/>
      <w:marLeft w:val="0"/>
      <w:marRight w:val="0"/>
      <w:marTop w:val="0"/>
      <w:marBottom w:val="0"/>
      <w:divBdr>
        <w:top w:val="none" w:sz="0" w:space="0" w:color="auto"/>
        <w:left w:val="none" w:sz="0" w:space="0" w:color="auto"/>
        <w:bottom w:val="none" w:sz="0" w:space="0" w:color="auto"/>
        <w:right w:val="none" w:sz="0" w:space="0" w:color="auto"/>
      </w:divBdr>
    </w:div>
    <w:div w:id="414329365">
      <w:bodyDiv w:val="1"/>
      <w:marLeft w:val="0"/>
      <w:marRight w:val="0"/>
      <w:marTop w:val="0"/>
      <w:marBottom w:val="0"/>
      <w:divBdr>
        <w:top w:val="none" w:sz="0" w:space="0" w:color="auto"/>
        <w:left w:val="none" w:sz="0" w:space="0" w:color="auto"/>
        <w:bottom w:val="none" w:sz="0" w:space="0" w:color="auto"/>
        <w:right w:val="none" w:sz="0" w:space="0" w:color="auto"/>
      </w:divBdr>
    </w:div>
    <w:div w:id="417823136">
      <w:bodyDiv w:val="1"/>
      <w:marLeft w:val="0"/>
      <w:marRight w:val="0"/>
      <w:marTop w:val="0"/>
      <w:marBottom w:val="0"/>
      <w:divBdr>
        <w:top w:val="none" w:sz="0" w:space="0" w:color="auto"/>
        <w:left w:val="none" w:sz="0" w:space="0" w:color="auto"/>
        <w:bottom w:val="none" w:sz="0" w:space="0" w:color="auto"/>
        <w:right w:val="none" w:sz="0" w:space="0" w:color="auto"/>
      </w:divBdr>
    </w:div>
    <w:div w:id="420027754">
      <w:bodyDiv w:val="1"/>
      <w:marLeft w:val="0"/>
      <w:marRight w:val="0"/>
      <w:marTop w:val="0"/>
      <w:marBottom w:val="0"/>
      <w:divBdr>
        <w:top w:val="none" w:sz="0" w:space="0" w:color="auto"/>
        <w:left w:val="none" w:sz="0" w:space="0" w:color="auto"/>
        <w:bottom w:val="none" w:sz="0" w:space="0" w:color="auto"/>
        <w:right w:val="none" w:sz="0" w:space="0" w:color="auto"/>
      </w:divBdr>
    </w:div>
    <w:div w:id="420949991">
      <w:bodyDiv w:val="1"/>
      <w:marLeft w:val="0"/>
      <w:marRight w:val="0"/>
      <w:marTop w:val="0"/>
      <w:marBottom w:val="0"/>
      <w:divBdr>
        <w:top w:val="none" w:sz="0" w:space="0" w:color="auto"/>
        <w:left w:val="none" w:sz="0" w:space="0" w:color="auto"/>
        <w:bottom w:val="none" w:sz="0" w:space="0" w:color="auto"/>
        <w:right w:val="none" w:sz="0" w:space="0" w:color="auto"/>
      </w:divBdr>
    </w:div>
    <w:div w:id="428619008">
      <w:bodyDiv w:val="1"/>
      <w:marLeft w:val="0"/>
      <w:marRight w:val="0"/>
      <w:marTop w:val="0"/>
      <w:marBottom w:val="0"/>
      <w:divBdr>
        <w:top w:val="none" w:sz="0" w:space="0" w:color="auto"/>
        <w:left w:val="none" w:sz="0" w:space="0" w:color="auto"/>
        <w:bottom w:val="none" w:sz="0" w:space="0" w:color="auto"/>
        <w:right w:val="none" w:sz="0" w:space="0" w:color="auto"/>
      </w:divBdr>
    </w:div>
    <w:div w:id="435254863">
      <w:bodyDiv w:val="1"/>
      <w:marLeft w:val="0"/>
      <w:marRight w:val="0"/>
      <w:marTop w:val="0"/>
      <w:marBottom w:val="0"/>
      <w:divBdr>
        <w:top w:val="none" w:sz="0" w:space="0" w:color="auto"/>
        <w:left w:val="none" w:sz="0" w:space="0" w:color="auto"/>
        <w:bottom w:val="none" w:sz="0" w:space="0" w:color="auto"/>
        <w:right w:val="none" w:sz="0" w:space="0" w:color="auto"/>
      </w:divBdr>
    </w:div>
    <w:div w:id="436756126">
      <w:bodyDiv w:val="1"/>
      <w:marLeft w:val="0"/>
      <w:marRight w:val="0"/>
      <w:marTop w:val="0"/>
      <w:marBottom w:val="0"/>
      <w:divBdr>
        <w:top w:val="none" w:sz="0" w:space="0" w:color="auto"/>
        <w:left w:val="none" w:sz="0" w:space="0" w:color="auto"/>
        <w:bottom w:val="none" w:sz="0" w:space="0" w:color="auto"/>
        <w:right w:val="none" w:sz="0" w:space="0" w:color="auto"/>
      </w:divBdr>
    </w:div>
    <w:div w:id="441924217">
      <w:bodyDiv w:val="1"/>
      <w:marLeft w:val="0"/>
      <w:marRight w:val="0"/>
      <w:marTop w:val="0"/>
      <w:marBottom w:val="0"/>
      <w:divBdr>
        <w:top w:val="none" w:sz="0" w:space="0" w:color="auto"/>
        <w:left w:val="none" w:sz="0" w:space="0" w:color="auto"/>
        <w:bottom w:val="none" w:sz="0" w:space="0" w:color="auto"/>
        <w:right w:val="none" w:sz="0" w:space="0" w:color="auto"/>
      </w:divBdr>
    </w:div>
    <w:div w:id="446703711">
      <w:bodyDiv w:val="1"/>
      <w:marLeft w:val="0"/>
      <w:marRight w:val="0"/>
      <w:marTop w:val="0"/>
      <w:marBottom w:val="0"/>
      <w:divBdr>
        <w:top w:val="none" w:sz="0" w:space="0" w:color="auto"/>
        <w:left w:val="none" w:sz="0" w:space="0" w:color="auto"/>
        <w:bottom w:val="none" w:sz="0" w:space="0" w:color="auto"/>
        <w:right w:val="none" w:sz="0" w:space="0" w:color="auto"/>
      </w:divBdr>
    </w:div>
    <w:div w:id="447971028">
      <w:bodyDiv w:val="1"/>
      <w:marLeft w:val="0"/>
      <w:marRight w:val="0"/>
      <w:marTop w:val="0"/>
      <w:marBottom w:val="0"/>
      <w:divBdr>
        <w:top w:val="none" w:sz="0" w:space="0" w:color="auto"/>
        <w:left w:val="none" w:sz="0" w:space="0" w:color="auto"/>
        <w:bottom w:val="none" w:sz="0" w:space="0" w:color="auto"/>
        <w:right w:val="none" w:sz="0" w:space="0" w:color="auto"/>
      </w:divBdr>
    </w:div>
    <w:div w:id="449933741">
      <w:bodyDiv w:val="1"/>
      <w:marLeft w:val="0"/>
      <w:marRight w:val="0"/>
      <w:marTop w:val="0"/>
      <w:marBottom w:val="0"/>
      <w:divBdr>
        <w:top w:val="none" w:sz="0" w:space="0" w:color="auto"/>
        <w:left w:val="none" w:sz="0" w:space="0" w:color="auto"/>
        <w:bottom w:val="none" w:sz="0" w:space="0" w:color="auto"/>
        <w:right w:val="none" w:sz="0" w:space="0" w:color="auto"/>
      </w:divBdr>
    </w:div>
    <w:div w:id="452098292">
      <w:bodyDiv w:val="1"/>
      <w:marLeft w:val="0"/>
      <w:marRight w:val="0"/>
      <w:marTop w:val="0"/>
      <w:marBottom w:val="0"/>
      <w:divBdr>
        <w:top w:val="none" w:sz="0" w:space="0" w:color="auto"/>
        <w:left w:val="none" w:sz="0" w:space="0" w:color="auto"/>
        <w:bottom w:val="none" w:sz="0" w:space="0" w:color="auto"/>
        <w:right w:val="none" w:sz="0" w:space="0" w:color="auto"/>
      </w:divBdr>
    </w:div>
    <w:div w:id="455221200">
      <w:bodyDiv w:val="1"/>
      <w:marLeft w:val="0"/>
      <w:marRight w:val="0"/>
      <w:marTop w:val="0"/>
      <w:marBottom w:val="0"/>
      <w:divBdr>
        <w:top w:val="none" w:sz="0" w:space="0" w:color="auto"/>
        <w:left w:val="none" w:sz="0" w:space="0" w:color="auto"/>
        <w:bottom w:val="none" w:sz="0" w:space="0" w:color="auto"/>
        <w:right w:val="none" w:sz="0" w:space="0" w:color="auto"/>
      </w:divBdr>
    </w:div>
    <w:div w:id="455224728">
      <w:bodyDiv w:val="1"/>
      <w:marLeft w:val="0"/>
      <w:marRight w:val="0"/>
      <w:marTop w:val="0"/>
      <w:marBottom w:val="0"/>
      <w:divBdr>
        <w:top w:val="none" w:sz="0" w:space="0" w:color="auto"/>
        <w:left w:val="none" w:sz="0" w:space="0" w:color="auto"/>
        <w:bottom w:val="none" w:sz="0" w:space="0" w:color="auto"/>
        <w:right w:val="none" w:sz="0" w:space="0" w:color="auto"/>
      </w:divBdr>
    </w:div>
    <w:div w:id="455487712">
      <w:bodyDiv w:val="1"/>
      <w:marLeft w:val="0"/>
      <w:marRight w:val="0"/>
      <w:marTop w:val="0"/>
      <w:marBottom w:val="0"/>
      <w:divBdr>
        <w:top w:val="none" w:sz="0" w:space="0" w:color="auto"/>
        <w:left w:val="none" w:sz="0" w:space="0" w:color="auto"/>
        <w:bottom w:val="none" w:sz="0" w:space="0" w:color="auto"/>
        <w:right w:val="none" w:sz="0" w:space="0" w:color="auto"/>
      </w:divBdr>
    </w:div>
    <w:div w:id="455950358">
      <w:bodyDiv w:val="1"/>
      <w:marLeft w:val="0"/>
      <w:marRight w:val="0"/>
      <w:marTop w:val="0"/>
      <w:marBottom w:val="0"/>
      <w:divBdr>
        <w:top w:val="none" w:sz="0" w:space="0" w:color="auto"/>
        <w:left w:val="none" w:sz="0" w:space="0" w:color="auto"/>
        <w:bottom w:val="none" w:sz="0" w:space="0" w:color="auto"/>
        <w:right w:val="none" w:sz="0" w:space="0" w:color="auto"/>
      </w:divBdr>
    </w:div>
    <w:div w:id="457334831">
      <w:bodyDiv w:val="1"/>
      <w:marLeft w:val="0"/>
      <w:marRight w:val="0"/>
      <w:marTop w:val="0"/>
      <w:marBottom w:val="0"/>
      <w:divBdr>
        <w:top w:val="none" w:sz="0" w:space="0" w:color="auto"/>
        <w:left w:val="none" w:sz="0" w:space="0" w:color="auto"/>
        <w:bottom w:val="none" w:sz="0" w:space="0" w:color="auto"/>
        <w:right w:val="none" w:sz="0" w:space="0" w:color="auto"/>
      </w:divBdr>
    </w:div>
    <w:div w:id="461578773">
      <w:bodyDiv w:val="1"/>
      <w:marLeft w:val="0"/>
      <w:marRight w:val="0"/>
      <w:marTop w:val="0"/>
      <w:marBottom w:val="0"/>
      <w:divBdr>
        <w:top w:val="none" w:sz="0" w:space="0" w:color="auto"/>
        <w:left w:val="none" w:sz="0" w:space="0" w:color="auto"/>
        <w:bottom w:val="none" w:sz="0" w:space="0" w:color="auto"/>
        <w:right w:val="none" w:sz="0" w:space="0" w:color="auto"/>
      </w:divBdr>
    </w:div>
    <w:div w:id="462116195">
      <w:bodyDiv w:val="1"/>
      <w:marLeft w:val="0"/>
      <w:marRight w:val="0"/>
      <w:marTop w:val="0"/>
      <w:marBottom w:val="0"/>
      <w:divBdr>
        <w:top w:val="none" w:sz="0" w:space="0" w:color="auto"/>
        <w:left w:val="none" w:sz="0" w:space="0" w:color="auto"/>
        <w:bottom w:val="none" w:sz="0" w:space="0" w:color="auto"/>
        <w:right w:val="none" w:sz="0" w:space="0" w:color="auto"/>
      </w:divBdr>
    </w:div>
    <w:div w:id="466777694">
      <w:bodyDiv w:val="1"/>
      <w:marLeft w:val="0"/>
      <w:marRight w:val="0"/>
      <w:marTop w:val="0"/>
      <w:marBottom w:val="0"/>
      <w:divBdr>
        <w:top w:val="none" w:sz="0" w:space="0" w:color="auto"/>
        <w:left w:val="none" w:sz="0" w:space="0" w:color="auto"/>
        <w:bottom w:val="none" w:sz="0" w:space="0" w:color="auto"/>
        <w:right w:val="none" w:sz="0" w:space="0" w:color="auto"/>
      </w:divBdr>
    </w:div>
    <w:div w:id="477309364">
      <w:bodyDiv w:val="1"/>
      <w:marLeft w:val="0"/>
      <w:marRight w:val="0"/>
      <w:marTop w:val="0"/>
      <w:marBottom w:val="0"/>
      <w:divBdr>
        <w:top w:val="none" w:sz="0" w:space="0" w:color="auto"/>
        <w:left w:val="none" w:sz="0" w:space="0" w:color="auto"/>
        <w:bottom w:val="none" w:sz="0" w:space="0" w:color="auto"/>
        <w:right w:val="none" w:sz="0" w:space="0" w:color="auto"/>
      </w:divBdr>
    </w:div>
    <w:div w:id="478621040">
      <w:bodyDiv w:val="1"/>
      <w:marLeft w:val="0"/>
      <w:marRight w:val="0"/>
      <w:marTop w:val="0"/>
      <w:marBottom w:val="0"/>
      <w:divBdr>
        <w:top w:val="none" w:sz="0" w:space="0" w:color="auto"/>
        <w:left w:val="none" w:sz="0" w:space="0" w:color="auto"/>
        <w:bottom w:val="none" w:sz="0" w:space="0" w:color="auto"/>
        <w:right w:val="none" w:sz="0" w:space="0" w:color="auto"/>
      </w:divBdr>
    </w:div>
    <w:div w:id="478964149">
      <w:bodyDiv w:val="1"/>
      <w:marLeft w:val="0"/>
      <w:marRight w:val="0"/>
      <w:marTop w:val="0"/>
      <w:marBottom w:val="0"/>
      <w:divBdr>
        <w:top w:val="none" w:sz="0" w:space="0" w:color="auto"/>
        <w:left w:val="none" w:sz="0" w:space="0" w:color="auto"/>
        <w:bottom w:val="none" w:sz="0" w:space="0" w:color="auto"/>
        <w:right w:val="none" w:sz="0" w:space="0" w:color="auto"/>
      </w:divBdr>
    </w:div>
    <w:div w:id="480462913">
      <w:bodyDiv w:val="1"/>
      <w:marLeft w:val="0"/>
      <w:marRight w:val="0"/>
      <w:marTop w:val="0"/>
      <w:marBottom w:val="0"/>
      <w:divBdr>
        <w:top w:val="none" w:sz="0" w:space="0" w:color="auto"/>
        <w:left w:val="none" w:sz="0" w:space="0" w:color="auto"/>
        <w:bottom w:val="none" w:sz="0" w:space="0" w:color="auto"/>
        <w:right w:val="none" w:sz="0" w:space="0" w:color="auto"/>
      </w:divBdr>
    </w:div>
    <w:div w:id="483276672">
      <w:bodyDiv w:val="1"/>
      <w:marLeft w:val="0"/>
      <w:marRight w:val="0"/>
      <w:marTop w:val="0"/>
      <w:marBottom w:val="0"/>
      <w:divBdr>
        <w:top w:val="none" w:sz="0" w:space="0" w:color="auto"/>
        <w:left w:val="none" w:sz="0" w:space="0" w:color="auto"/>
        <w:bottom w:val="none" w:sz="0" w:space="0" w:color="auto"/>
        <w:right w:val="none" w:sz="0" w:space="0" w:color="auto"/>
      </w:divBdr>
    </w:div>
    <w:div w:id="485899078">
      <w:bodyDiv w:val="1"/>
      <w:marLeft w:val="0"/>
      <w:marRight w:val="0"/>
      <w:marTop w:val="0"/>
      <w:marBottom w:val="0"/>
      <w:divBdr>
        <w:top w:val="none" w:sz="0" w:space="0" w:color="auto"/>
        <w:left w:val="none" w:sz="0" w:space="0" w:color="auto"/>
        <w:bottom w:val="none" w:sz="0" w:space="0" w:color="auto"/>
        <w:right w:val="none" w:sz="0" w:space="0" w:color="auto"/>
      </w:divBdr>
    </w:div>
    <w:div w:id="486557663">
      <w:bodyDiv w:val="1"/>
      <w:marLeft w:val="0"/>
      <w:marRight w:val="0"/>
      <w:marTop w:val="0"/>
      <w:marBottom w:val="0"/>
      <w:divBdr>
        <w:top w:val="none" w:sz="0" w:space="0" w:color="auto"/>
        <w:left w:val="none" w:sz="0" w:space="0" w:color="auto"/>
        <w:bottom w:val="none" w:sz="0" w:space="0" w:color="auto"/>
        <w:right w:val="none" w:sz="0" w:space="0" w:color="auto"/>
      </w:divBdr>
    </w:div>
    <w:div w:id="487093541">
      <w:bodyDiv w:val="1"/>
      <w:marLeft w:val="0"/>
      <w:marRight w:val="0"/>
      <w:marTop w:val="0"/>
      <w:marBottom w:val="0"/>
      <w:divBdr>
        <w:top w:val="none" w:sz="0" w:space="0" w:color="auto"/>
        <w:left w:val="none" w:sz="0" w:space="0" w:color="auto"/>
        <w:bottom w:val="none" w:sz="0" w:space="0" w:color="auto"/>
        <w:right w:val="none" w:sz="0" w:space="0" w:color="auto"/>
      </w:divBdr>
    </w:div>
    <w:div w:id="487206154">
      <w:bodyDiv w:val="1"/>
      <w:marLeft w:val="0"/>
      <w:marRight w:val="0"/>
      <w:marTop w:val="0"/>
      <w:marBottom w:val="0"/>
      <w:divBdr>
        <w:top w:val="none" w:sz="0" w:space="0" w:color="auto"/>
        <w:left w:val="none" w:sz="0" w:space="0" w:color="auto"/>
        <w:bottom w:val="none" w:sz="0" w:space="0" w:color="auto"/>
        <w:right w:val="none" w:sz="0" w:space="0" w:color="auto"/>
      </w:divBdr>
    </w:div>
    <w:div w:id="489374272">
      <w:bodyDiv w:val="1"/>
      <w:marLeft w:val="0"/>
      <w:marRight w:val="0"/>
      <w:marTop w:val="0"/>
      <w:marBottom w:val="0"/>
      <w:divBdr>
        <w:top w:val="none" w:sz="0" w:space="0" w:color="auto"/>
        <w:left w:val="none" w:sz="0" w:space="0" w:color="auto"/>
        <w:bottom w:val="none" w:sz="0" w:space="0" w:color="auto"/>
        <w:right w:val="none" w:sz="0" w:space="0" w:color="auto"/>
      </w:divBdr>
    </w:div>
    <w:div w:id="491143404">
      <w:bodyDiv w:val="1"/>
      <w:marLeft w:val="0"/>
      <w:marRight w:val="0"/>
      <w:marTop w:val="0"/>
      <w:marBottom w:val="0"/>
      <w:divBdr>
        <w:top w:val="none" w:sz="0" w:space="0" w:color="auto"/>
        <w:left w:val="none" w:sz="0" w:space="0" w:color="auto"/>
        <w:bottom w:val="none" w:sz="0" w:space="0" w:color="auto"/>
        <w:right w:val="none" w:sz="0" w:space="0" w:color="auto"/>
      </w:divBdr>
    </w:div>
    <w:div w:id="491259546">
      <w:bodyDiv w:val="1"/>
      <w:marLeft w:val="0"/>
      <w:marRight w:val="0"/>
      <w:marTop w:val="0"/>
      <w:marBottom w:val="0"/>
      <w:divBdr>
        <w:top w:val="none" w:sz="0" w:space="0" w:color="auto"/>
        <w:left w:val="none" w:sz="0" w:space="0" w:color="auto"/>
        <w:bottom w:val="none" w:sz="0" w:space="0" w:color="auto"/>
        <w:right w:val="none" w:sz="0" w:space="0" w:color="auto"/>
      </w:divBdr>
    </w:div>
    <w:div w:id="491529420">
      <w:bodyDiv w:val="1"/>
      <w:marLeft w:val="0"/>
      <w:marRight w:val="0"/>
      <w:marTop w:val="0"/>
      <w:marBottom w:val="0"/>
      <w:divBdr>
        <w:top w:val="none" w:sz="0" w:space="0" w:color="auto"/>
        <w:left w:val="none" w:sz="0" w:space="0" w:color="auto"/>
        <w:bottom w:val="none" w:sz="0" w:space="0" w:color="auto"/>
        <w:right w:val="none" w:sz="0" w:space="0" w:color="auto"/>
      </w:divBdr>
    </w:div>
    <w:div w:id="501238188">
      <w:bodyDiv w:val="1"/>
      <w:marLeft w:val="0"/>
      <w:marRight w:val="0"/>
      <w:marTop w:val="0"/>
      <w:marBottom w:val="0"/>
      <w:divBdr>
        <w:top w:val="none" w:sz="0" w:space="0" w:color="auto"/>
        <w:left w:val="none" w:sz="0" w:space="0" w:color="auto"/>
        <w:bottom w:val="none" w:sz="0" w:space="0" w:color="auto"/>
        <w:right w:val="none" w:sz="0" w:space="0" w:color="auto"/>
      </w:divBdr>
    </w:div>
    <w:div w:id="504173580">
      <w:bodyDiv w:val="1"/>
      <w:marLeft w:val="0"/>
      <w:marRight w:val="0"/>
      <w:marTop w:val="0"/>
      <w:marBottom w:val="0"/>
      <w:divBdr>
        <w:top w:val="none" w:sz="0" w:space="0" w:color="auto"/>
        <w:left w:val="none" w:sz="0" w:space="0" w:color="auto"/>
        <w:bottom w:val="none" w:sz="0" w:space="0" w:color="auto"/>
        <w:right w:val="none" w:sz="0" w:space="0" w:color="auto"/>
      </w:divBdr>
    </w:div>
    <w:div w:id="504856444">
      <w:bodyDiv w:val="1"/>
      <w:marLeft w:val="0"/>
      <w:marRight w:val="0"/>
      <w:marTop w:val="0"/>
      <w:marBottom w:val="0"/>
      <w:divBdr>
        <w:top w:val="none" w:sz="0" w:space="0" w:color="auto"/>
        <w:left w:val="none" w:sz="0" w:space="0" w:color="auto"/>
        <w:bottom w:val="none" w:sz="0" w:space="0" w:color="auto"/>
        <w:right w:val="none" w:sz="0" w:space="0" w:color="auto"/>
      </w:divBdr>
    </w:div>
    <w:div w:id="508955282">
      <w:bodyDiv w:val="1"/>
      <w:marLeft w:val="0"/>
      <w:marRight w:val="0"/>
      <w:marTop w:val="0"/>
      <w:marBottom w:val="0"/>
      <w:divBdr>
        <w:top w:val="none" w:sz="0" w:space="0" w:color="auto"/>
        <w:left w:val="none" w:sz="0" w:space="0" w:color="auto"/>
        <w:bottom w:val="none" w:sz="0" w:space="0" w:color="auto"/>
        <w:right w:val="none" w:sz="0" w:space="0" w:color="auto"/>
      </w:divBdr>
    </w:div>
    <w:div w:id="509638536">
      <w:bodyDiv w:val="1"/>
      <w:marLeft w:val="0"/>
      <w:marRight w:val="0"/>
      <w:marTop w:val="0"/>
      <w:marBottom w:val="0"/>
      <w:divBdr>
        <w:top w:val="none" w:sz="0" w:space="0" w:color="auto"/>
        <w:left w:val="none" w:sz="0" w:space="0" w:color="auto"/>
        <w:bottom w:val="none" w:sz="0" w:space="0" w:color="auto"/>
        <w:right w:val="none" w:sz="0" w:space="0" w:color="auto"/>
      </w:divBdr>
    </w:div>
    <w:div w:id="510414854">
      <w:bodyDiv w:val="1"/>
      <w:marLeft w:val="0"/>
      <w:marRight w:val="0"/>
      <w:marTop w:val="0"/>
      <w:marBottom w:val="0"/>
      <w:divBdr>
        <w:top w:val="none" w:sz="0" w:space="0" w:color="auto"/>
        <w:left w:val="none" w:sz="0" w:space="0" w:color="auto"/>
        <w:bottom w:val="none" w:sz="0" w:space="0" w:color="auto"/>
        <w:right w:val="none" w:sz="0" w:space="0" w:color="auto"/>
      </w:divBdr>
    </w:div>
    <w:div w:id="511340318">
      <w:bodyDiv w:val="1"/>
      <w:marLeft w:val="0"/>
      <w:marRight w:val="0"/>
      <w:marTop w:val="0"/>
      <w:marBottom w:val="0"/>
      <w:divBdr>
        <w:top w:val="none" w:sz="0" w:space="0" w:color="auto"/>
        <w:left w:val="none" w:sz="0" w:space="0" w:color="auto"/>
        <w:bottom w:val="none" w:sz="0" w:space="0" w:color="auto"/>
        <w:right w:val="none" w:sz="0" w:space="0" w:color="auto"/>
      </w:divBdr>
    </w:div>
    <w:div w:id="517542517">
      <w:bodyDiv w:val="1"/>
      <w:marLeft w:val="0"/>
      <w:marRight w:val="0"/>
      <w:marTop w:val="0"/>
      <w:marBottom w:val="0"/>
      <w:divBdr>
        <w:top w:val="none" w:sz="0" w:space="0" w:color="auto"/>
        <w:left w:val="none" w:sz="0" w:space="0" w:color="auto"/>
        <w:bottom w:val="none" w:sz="0" w:space="0" w:color="auto"/>
        <w:right w:val="none" w:sz="0" w:space="0" w:color="auto"/>
      </w:divBdr>
    </w:div>
    <w:div w:id="521019900">
      <w:bodyDiv w:val="1"/>
      <w:marLeft w:val="0"/>
      <w:marRight w:val="0"/>
      <w:marTop w:val="0"/>
      <w:marBottom w:val="0"/>
      <w:divBdr>
        <w:top w:val="none" w:sz="0" w:space="0" w:color="auto"/>
        <w:left w:val="none" w:sz="0" w:space="0" w:color="auto"/>
        <w:bottom w:val="none" w:sz="0" w:space="0" w:color="auto"/>
        <w:right w:val="none" w:sz="0" w:space="0" w:color="auto"/>
      </w:divBdr>
    </w:div>
    <w:div w:id="523252021">
      <w:bodyDiv w:val="1"/>
      <w:marLeft w:val="0"/>
      <w:marRight w:val="0"/>
      <w:marTop w:val="0"/>
      <w:marBottom w:val="0"/>
      <w:divBdr>
        <w:top w:val="none" w:sz="0" w:space="0" w:color="auto"/>
        <w:left w:val="none" w:sz="0" w:space="0" w:color="auto"/>
        <w:bottom w:val="none" w:sz="0" w:space="0" w:color="auto"/>
        <w:right w:val="none" w:sz="0" w:space="0" w:color="auto"/>
      </w:divBdr>
    </w:div>
    <w:div w:id="523638669">
      <w:bodyDiv w:val="1"/>
      <w:marLeft w:val="0"/>
      <w:marRight w:val="0"/>
      <w:marTop w:val="0"/>
      <w:marBottom w:val="0"/>
      <w:divBdr>
        <w:top w:val="none" w:sz="0" w:space="0" w:color="auto"/>
        <w:left w:val="none" w:sz="0" w:space="0" w:color="auto"/>
        <w:bottom w:val="none" w:sz="0" w:space="0" w:color="auto"/>
        <w:right w:val="none" w:sz="0" w:space="0" w:color="auto"/>
      </w:divBdr>
    </w:div>
    <w:div w:id="525141750">
      <w:bodyDiv w:val="1"/>
      <w:marLeft w:val="0"/>
      <w:marRight w:val="0"/>
      <w:marTop w:val="0"/>
      <w:marBottom w:val="0"/>
      <w:divBdr>
        <w:top w:val="none" w:sz="0" w:space="0" w:color="auto"/>
        <w:left w:val="none" w:sz="0" w:space="0" w:color="auto"/>
        <w:bottom w:val="none" w:sz="0" w:space="0" w:color="auto"/>
        <w:right w:val="none" w:sz="0" w:space="0" w:color="auto"/>
      </w:divBdr>
    </w:div>
    <w:div w:id="526867251">
      <w:bodyDiv w:val="1"/>
      <w:marLeft w:val="0"/>
      <w:marRight w:val="0"/>
      <w:marTop w:val="0"/>
      <w:marBottom w:val="0"/>
      <w:divBdr>
        <w:top w:val="none" w:sz="0" w:space="0" w:color="auto"/>
        <w:left w:val="none" w:sz="0" w:space="0" w:color="auto"/>
        <w:bottom w:val="none" w:sz="0" w:space="0" w:color="auto"/>
        <w:right w:val="none" w:sz="0" w:space="0" w:color="auto"/>
      </w:divBdr>
    </w:div>
    <w:div w:id="527984144">
      <w:bodyDiv w:val="1"/>
      <w:marLeft w:val="0"/>
      <w:marRight w:val="0"/>
      <w:marTop w:val="0"/>
      <w:marBottom w:val="0"/>
      <w:divBdr>
        <w:top w:val="none" w:sz="0" w:space="0" w:color="auto"/>
        <w:left w:val="none" w:sz="0" w:space="0" w:color="auto"/>
        <w:bottom w:val="none" w:sz="0" w:space="0" w:color="auto"/>
        <w:right w:val="none" w:sz="0" w:space="0" w:color="auto"/>
      </w:divBdr>
    </w:div>
    <w:div w:id="527990087">
      <w:bodyDiv w:val="1"/>
      <w:marLeft w:val="0"/>
      <w:marRight w:val="0"/>
      <w:marTop w:val="0"/>
      <w:marBottom w:val="0"/>
      <w:divBdr>
        <w:top w:val="none" w:sz="0" w:space="0" w:color="auto"/>
        <w:left w:val="none" w:sz="0" w:space="0" w:color="auto"/>
        <w:bottom w:val="none" w:sz="0" w:space="0" w:color="auto"/>
        <w:right w:val="none" w:sz="0" w:space="0" w:color="auto"/>
      </w:divBdr>
    </w:div>
    <w:div w:id="529222646">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0920910">
      <w:bodyDiv w:val="1"/>
      <w:marLeft w:val="0"/>
      <w:marRight w:val="0"/>
      <w:marTop w:val="0"/>
      <w:marBottom w:val="0"/>
      <w:divBdr>
        <w:top w:val="none" w:sz="0" w:space="0" w:color="auto"/>
        <w:left w:val="none" w:sz="0" w:space="0" w:color="auto"/>
        <w:bottom w:val="none" w:sz="0" w:space="0" w:color="auto"/>
        <w:right w:val="none" w:sz="0" w:space="0" w:color="auto"/>
      </w:divBdr>
    </w:div>
    <w:div w:id="531501685">
      <w:bodyDiv w:val="1"/>
      <w:marLeft w:val="0"/>
      <w:marRight w:val="0"/>
      <w:marTop w:val="0"/>
      <w:marBottom w:val="0"/>
      <w:divBdr>
        <w:top w:val="none" w:sz="0" w:space="0" w:color="auto"/>
        <w:left w:val="none" w:sz="0" w:space="0" w:color="auto"/>
        <w:bottom w:val="none" w:sz="0" w:space="0" w:color="auto"/>
        <w:right w:val="none" w:sz="0" w:space="0" w:color="auto"/>
      </w:divBdr>
    </w:div>
    <w:div w:id="533202364">
      <w:bodyDiv w:val="1"/>
      <w:marLeft w:val="0"/>
      <w:marRight w:val="0"/>
      <w:marTop w:val="0"/>
      <w:marBottom w:val="0"/>
      <w:divBdr>
        <w:top w:val="none" w:sz="0" w:space="0" w:color="auto"/>
        <w:left w:val="none" w:sz="0" w:space="0" w:color="auto"/>
        <w:bottom w:val="none" w:sz="0" w:space="0" w:color="auto"/>
        <w:right w:val="none" w:sz="0" w:space="0" w:color="auto"/>
      </w:divBdr>
    </w:div>
    <w:div w:id="538664918">
      <w:bodyDiv w:val="1"/>
      <w:marLeft w:val="0"/>
      <w:marRight w:val="0"/>
      <w:marTop w:val="0"/>
      <w:marBottom w:val="0"/>
      <w:divBdr>
        <w:top w:val="none" w:sz="0" w:space="0" w:color="auto"/>
        <w:left w:val="none" w:sz="0" w:space="0" w:color="auto"/>
        <w:bottom w:val="none" w:sz="0" w:space="0" w:color="auto"/>
        <w:right w:val="none" w:sz="0" w:space="0" w:color="auto"/>
      </w:divBdr>
    </w:div>
    <w:div w:id="539367053">
      <w:bodyDiv w:val="1"/>
      <w:marLeft w:val="0"/>
      <w:marRight w:val="0"/>
      <w:marTop w:val="0"/>
      <w:marBottom w:val="0"/>
      <w:divBdr>
        <w:top w:val="none" w:sz="0" w:space="0" w:color="auto"/>
        <w:left w:val="none" w:sz="0" w:space="0" w:color="auto"/>
        <w:bottom w:val="none" w:sz="0" w:space="0" w:color="auto"/>
        <w:right w:val="none" w:sz="0" w:space="0" w:color="auto"/>
      </w:divBdr>
    </w:div>
    <w:div w:id="539900648">
      <w:bodyDiv w:val="1"/>
      <w:marLeft w:val="0"/>
      <w:marRight w:val="0"/>
      <w:marTop w:val="0"/>
      <w:marBottom w:val="0"/>
      <w:divBdr>
        <w:top w:val="none" w:sz="0" w:space="0" w:color="auto"/>
        <w:left w:val="none" w:sz="0" w:space="0" w:color="auto"/>
        <w:bottom w:val="none" w:sz="0" w:space="0" w:color="auto"/>
        <w:right w:val="none" w:sz="0" w:space="0" w:color="auto"/>
      </w:divBdr>
    </w:div>
    <w:div w:id="540363816">
      <w:bodyDiv w:val="1"/>
      <w:marLeft w:val="0"/>
      <w:marRight w:val="0"/>
      <w:marTop w:val="0"/>
      <w:marBottom w:val="0"/>
      <w:divBdr>
        <w:top w:val="none" w:sz="0" w:space="0" w:color="auto"/>
        <w:left w:val="none" w:sz="0" w:space="0" w:color="auto"/>
        <w:bottom w:val="none" w:sz="0" w:space="0" w:color="auto"/>
        <w:right w:val="none" w:sz="0" w:space="0" w:color="auto"/>
      </w:divBdr>
    </w:div>
    <w:div w:id="544608862">
      <w:bodyDiv w:val="1"/>
      <w:marLeft w:val="0"/>
      <w:marRight w:val="0"/>
      <w:marTop w:val="0"/>
      <w:marBottom w:val="0"/>
      <w:divBdr>
        <w:top w:val="none" w:sz="0" w:space="0" w:color="auto"/>
        <w:left w:val="none" w:sz="0" w:space="0" w:color="auto"/>
        <w:bottom w:val="none" w:sz="0" w:space="0" w:color="auto"/>
        <w:right w:val="none" w:sz="0" w:space="0" w:color="auto"/>
      </w:divBdr>
    </w:div>
    <w:div w:id="547304517">
      <w:bodyDiv w:val="1"/>
      <w:marLeft w:val="0"/>
      <w:marRight w:val="0"/>
      <w:marTop w:val="0"/>
      <w:marBottom w:val="0"/>
      <w:divBdr>
        <w:top w:val="none" w:sz="0" w:space="0" w:color="auto"/>
        <w:left w:val="none" w:sz="0" w:space="0" w:color="auto"/>
        <w:bottom w:val="none" w:sz="0" w:space="0" w:color="auto"/>
        <w:right w:val="none" w:sz="0" w:space="0" w:color="auto"/>
      </w:divBdr>
    </w:div>
    <w:div w:id="549532557">
      <w:bodyDiv w:val="1"/>
      <w:marLeft w:val="0"/>
      <w:marRight w:val="0"/>
      <w:marTop w:val="0"/>
      <w:marBottom w:val="0"/>
      <w:divBdr>
        <w:top w:val="none" w:sz="0" w:space="0" w:color="auto"/>
        <w:left w:val="none" w:sz="0" w:space="0" w:color="auto"/>
        <w:bottom w:val="none" w:sz="0" w:space="0" w:color="auto"/>
        <w:right w:val="none" w:sz="0" w:space="0" w:color="auto"/>
      </w:divBdr>
    </w:div>
    <w:div w:id="549995315">
      <w:bodyDiv w:val="1"/>
      <w:marLeft w:val="0"/>
      <w:marRight w:val="0"/>
      <w:marTop w:val="0"/>
      <w:marBottom w:val="0"/>
      <w:divBdr>
        <w:top w:val="none" w:sz="0" w:space="0" w:color="auto"/>
        <w:left w:val="none" w:sz="0" w:space="0" w:color="auto"/>
        <w:bottom w:val="none" w:sz="0" w:space="0" w:color="auto"/>
        <w:right w:val="none" w:sz="0" w:space="0" w:color="auto"/>
      </w:divBdr>
    </w:div>
    <w:div w:id="558631393">
      <w:bodyDiv w:val="1"/>
      <w:marLeft w:val="0"/>
      <w:marRight w:val="0"/>
      <w:marTop w:val="0"/>
      <w:marBottom w:val="0"/>
      <w:divBdr>
        <w:top w:val="none" w:sz="0" w:space="0" w:color="auto"/>
        <w:left w:val="none" w:sz="0" w:space="0" w:color="auto"/>
        <w:bottom w:val="none" w:sz="0" w:space="0" w:color="auto"/>
        <w:right w:val="none" w:sz="0" w:space="0" w:color="auto"/>
      </w:divBdr>
    </w:div>
    <w:div w:id="560750087">
      <w:bodyDiv w:val="1"/>
      <w:marLeft w:val="0"/>
      <w:marRight w:val="0"/>
      <w:marTop w:val="0"/>
      <w:marBottom w:val="0"/>
      <w:divBdr>
        <w:top w:val="none" w:sz="0" w:space="0" w:color="auto"/>
        <w:left w:val="none" w:sz="0" w:space="0" w:color="auto"/>
        <w:bottom w:val="none" w:sz="0" w:space="0" w:color="auto"/>
        <w:right w:val="none" w:sz="0" w:space="0" w:color="auto"/>
      </w:divBdr>
    </w:div>
    <w:div w:id="567497230">
      <w:bodyDiv w:val="1"/>
      <w:marLeft w:val="0"/>
      <w:marRight w:val="0"/>
      <w:marTop w:val="0"/>
      <w:marBottom w:val="0"/>
      <w:divBdr>
        <w:top w:val="none" w:sz="0" w:space="0" w:color="auto"/>
        <w:left w:val="none" w:sz="0" w:space="0" w:color="auto"/>
        <w:bottom w:val="none" w:sz="0" w:space="0" w:color="auto"/>
        <w:right w:val="none" w:sz="0" w:space="0" w:color="auto"/>
      </w:divBdr>
    </w:div>
    <w:div w:id="567884890">
      <w:bodyDiv w:val="1"/>
      <w:marLeft w:val="0"/>
      <w:marRight w:val="0"/>
      <w:marTop w:val="0"/>
      <w:marBottom w:val="0"/>
      <w:divBdr>
        <w:top w:val="none" w:sz="0" w:space="0" w:color="auto"/>
        <w:left w:val="none" w:sz="0" w:space="0" w:color="auto"/>
        <w:bottom w:val="none" w:sz="0" w:space="0" w:color="auto"/>
        <w:right w:val="none" w:sz="0" w:space="0" w:color="auto"/>
      </w:divBdr>
    </w:div>
    <w:div w:id="569924294">
      <w:bodyDiv w:val="1"/>
      <w:marLeft w:val="0"/>
      <w:marRight w:val="0"/>
      <w:marTop w:val="0"/>
      <w:marBottom w:val="0"/>
      <w:divBdr>
        <w:top w:val="none" w:sz="0" w:space="0" w:color="auto"/>
        <w:left w:val="none" w:sz="0" w:space="0" w:color="auto"/>
        <w:bottom w:val="none" w:sz="0" w:space="0" w:color="auto"/>
        <w:right w:val="none" w:sz="0" w:space="0" w:color="auto"/>
      </w:divBdr>
    </w:div>
    <w:div w:id="579827509">
      <w:bodyDiv w:val="1"/>
      <w:marLeft w:val="0"/>
      <w:marRight w:val="0"/>
      <w:marTop w:val="0"/>
      <w:marBottom w:val="0"/>
      <w:divBdr>
        <w:top w:val="none" w:sz="0" w:space="0" w:color="auto"/>
        <w:left w:val="none" w:sz="0" w:space="0" w:color="auto"/>
        <w:bottom w:val="none" w:sz="0" w:space="0" w:color="auto"/>
        <w:right w:val="none" w:sz="0" w:space="0" w:color="auto"/>
      </w:divBdr>
    </w:div>
    <w:div w:id="580987211">
      <w:bodyDiv w:val="1"/>
      <w:marLeft w:val="0"/>
      <w:marRight w:val="0"/>
      <w:marTop w:val="0"/>
      <w:marBottom w:val="0"/>
      <w:divBdr>
        <w:top w:val="none" w:sz="0" w:space="0" w:color="auto"/>
        <w:left w:val="none" w:sz="0" w:space="0" w:color="auto"/>
        <w:bottom w:val="none" w:sz="0" w:space="0" w:color="auto"/>
        <w:right w:val="none" w:sz="0" w:space="0" w:color="auto"/>
      </w:divBdr>
    </w:div>
    <w:div w:id="584152833">
      <w:bodyDiv w:val="1"/>
      <w:marLeft w:val="0"/>
      <w:marRight w:val="0"/>
      <w:marTop w:val="0"/>
      <w:marBottom w:val="0"/>
      <w:divBdr>
        <w:top w:val="none" w:sz="0" w:space="0" w:color="auto"/>
        <w:left w:val="none" w:sz="0" w:space="0" w:color="auto"/>
        <w:bottom w:val="none" w:sz="0" w:space="0" w:color="auto"/>
        <w:right w:val="none" w:sz="0" w:space="0" w:color="auto"/>
      </w:divBdr>
    </w:div>
    <w:div w:id="585455650">
      <w:bodyDiv w:val="1"/>
      <w:marLeft w:val="0"/>
      <w:marRight w:val="0"/>
      <w:marTop w:val="0"/>
      <w:marBottom w:val="0"/>
      <w:divBdr>
        <w:top w:val="none" w:sz="0" w:space="0" w:color="auto"/>
        <w:left w:val="none" w:sz="0" w:space="0" w:color="auto"/>
        <w:bottom w:val="none" w:sz="0" w:space="0" w:color="auto"/>
        <w:right w:val="none" w:sz="0" w:space="0" w:color="auto"/>
      </w:divBdr>
    </w:div>
    <w:div w:id="585652939">
      <w:bodyDiv w:val="1"/>
      <w:marLeft w:val="0"/>
      <w:marRight w:val="0"/>
      <w:marTop w:val="0"/>
      <w:marBottom w:val="0"/>
      <w:divBdr>
        <w:top w:val="none" w:sz="0" w:space="0" w:color="auto"/>
        <w:left w:val="none" w:sz="0" w:space="0" w:color="auto"/>
        <w:bottom w:val="none" w:sz="0" w:space="0" w:color="auto"/>
        <w:right w:val="none" w:sz="0" w:space="0" w:color="auto"/>
      </w:divBdr>
    </w:div>
    <w:div w:id="588739002">
      <w:bodyDiv w:val="1"/>
      <w:marLeft w:val="0"/>
      <w:marRight w:val="0"/>
      <w:marTop w:val="0"/>
      <w:marBottom w:val="0"/>
      <w:divBdr>
        <w:top w:val="none" w:sz="0" w:space="0" w:color="auto"/>
        <w:left w:val="none" w:sz="0" w:space="0" w:color="auto"/>
        <w:bottom w:val="none" w:sz="0" w:space="0" w:color="auto"/>
        <w:right w:val="none" w:sz="0" w:space="0" w:color="auto"/>
      </w:divBdr>
    </w:div>
    <w:div w:id="593973922">
      <w:bodyDiv w:val="1"/>
      <w:marLeft w:val="0"/>
      <w:marRight w:val="0"/>
      <w:marTop w:val="0"/>
      <w:marBottom w:val="0"/>
      <w:divBdr>
        <w:top w:val="none" w:sz="0" w:space="0" w:color="auto"/>
        <w:left w:val="none" w:sz="0" w:space="0" w:color="auto"/>
        <w:bottom w:val="none" w:sz="0" w:space="0" w:color="auto"/>
        <w:right w:val="none" w:sz="0" w:space="0" w:color="auto"/>
      </w:divBdr>
    </w:div>
    <w:div w:id="595017749">
      <w:bodyDiv w:val="1"/>
      <w:marLeft w:val="0"/>
      <w:marRight w:val="0"/>
      <w:marTop w:val="0"/>
      <w:marBottom w:val="0"/>
      <w:divBdr>
        <w:top w:val="none" w:sz="0" w:space="0" w:color="auto"/>
        <w:left w:val="none" w:sz="0" w:space="0" w:color="auto"/>
        <w:bottom w:val="none" w:sz="0" w:space="0" w:color="auto"/>
        <w:right w:val="none" w:sz="0" w:space="0" w:color="auto"/>
      </w:divBdr>
    </w:div>
    <w:div w:id="595098264">
      <w:bodyDiv w:val="1"/>
      <w:marLeft w:val="0"/>
      <w:marRight w:val="0"/>
      <w:marTop w:val="0"/>
      <w:marBottom w:val="0"/>
      <w:divBdr>
        <w:top w:val="none" w:sz="0" w:space="0" w:color="auto"/>
        <w:left w:val="none" w:sz="0" w:space="0" w:color="auto"/>
        <w:bottom w:val="none" w:sz="0" w:space="0" w:color="auto"/>
        <w:right w:val="none" w:sz="0" w:space="0" w:color="auto"/>
      </w:divBdr>
    </w:div>
    <w:div w:id="597910928">
      <w:bodyDiv w:val="1"/>
      <w:marLeft w:val="0"/>
      <w:marRight w:val="0"/>
      <w:marTop w:val="0"/>
      <w:marBottom w:val="0"/>
      <w:divBdr>
        <w:top w:val="none" w:sz="0" w:space="0" w:color="auto"/>
        <w:left w:val="none" w:sz="0" w:space="0" w:color="auto"/>
        <w:bottom w:val="none" w:sz="0" w:space="0" w:color="auto"/>
        <w:right w:val="none" w:sz="0" w:space="0" w:color="auto"/>
      </w:divBdr>
    </w:div>
    <w:div w:id="600528439">
      <w:bodyDiv w:val="1"/>
      <w:marLeft w:val="0"/>
      <w:marRight w:val="0"/>
      <w:marTop w:val="0"/>
      <w:marBottom w:val="0"/>
      <w:divBdr>
        <w:top w:val="none" w:sz="0" w:space="0" w:color="auto"/>
        <w:left w:val="none" w:sz="0" w:space="0" w:color="auto"/>
        <w:bottom w:val="none" w:sz="0" w:space="0" w:color="auto"/>
        <w:right w:val="none" w:sz="0" w:space="0" w:color="auto"/>
      </w:divBdr>
    </w:div>
    <w:div w:id="601492539">
      <w:bodyDiv w:val="1"/>
      <w:marLeft w:val="0"/>
      <w:marRight w:val="0"/>
      <w:marTop w:val="0"/>
      <w:marBottom w:val="0"/>
      <w:divBdr>
        <w:top w:val="none" w:sz="0" w:space="0" w:color="auto"/>
        <w:left w:val="none" w:sz="0" w:space="0" w:color="auto"/>
        <w:bottom w:val="none" w:sz="0" w:space="0" w:color="auto"/>
        <w:right w:val="none" w:sz="0" w:space="0" w:color="auto"/>
      </w:divBdr>
    </w:div>
    <w:div w:id="602802026">
      <w:bodyDiv w:val="1"/>
      <w:marLeft w:val="0"/>
      <w:marRight w:val="0"/>
      <w:marTop w:val="0"/>
      <w:marBottom w:val="0"/>
      <w:divBdr>
        <w:top w:val="none" w:sz="0" w:space="0" w:color="auto"/>
        <w:left w:val="none" w:sz="0" w:space="0" w:color="auto"/>
        <w:bottom w:val="none" w:sz="0" w:space="0" w:color="auto"/>
        <w:right w:val="none" w:sz="0" w:space="0" w:color="auto"/>
      </w:divBdr>
    </w:div>
    <w:div w:id="606353469">
      <w:bodyDiv w:val="1"/>
      <w:marLeft w:val="0"/>
      <w:marRight w:val="0"/>
      <w:marTop w:val="0"/>
      <w:marBottom w:val="0"/>
      <w:divBdr>
        <w:top w:val="none" w:sz="0" w:space="0" w:color="auto"/>
        <w:left w:val="none" w:sz="0" w:space="0" w:color="auto"/>
        <w:bottom w:val="none" w:sz="0" w:space="0" w:color="auto"/>
        <w:right w:val="none" w:sz="0" w:space="0" w:color="auto"/>
      </w:divBdr>
    </w:div>
    <w:div w:id="609699342">
      <w:bodyDiv w:val="1"/>
      <w:marLeft w:val="0"/>
      <w:marRight w:val="0"/>
      <w:marTop w:val="0"/>
      <w:marBottom w:val="0"/>
      <w:divBdr>
        <w:top w:val="none" w:sz="0" w:space="0" w:color="auto"/>
        <w:left w:val="none" w:sz="0" w:space="0" w:color="auto"/>
        <w:bottom w:val="none" w:sz="0" w:space="0" w:color="auto"/>
        <w:right w:val="none" w:sz="0" w:space="0" w:color="auto"/>
      </w:divBdr>
    </w:div>
    <w:div w:id="615604505">
      <w:bodyDiv w:val="1"/>
      <w:marLeft w:val="0"/>
      <w:marRight w:val="0"/>
      <w:marTop w:val="0"/>
      <w:marBottom w:val="0"/>
      <w:divBdr>
        <w:top w:val="none" w:sz="0" w:space="0" w:color="auto"/>
        <w:left w:val="none" w:sz="0" w:space="0" w:color="auto"/>
        <w:bottom w:val="none" w:sz="0" w:space="0" w:color="auto"/>
        <w:right w:val="none" w:sz="0" w:space="0" w:color="auto"/>
      </w:divBdr>
    </w:div>
    <w:div w:id="617372794">
      <w:bodyDiv w:val="1"/>
      <w:marLeft w:val="0"/>
      <w:marRight w:val="0"/>
      <w:marTop w:val="0"/>
      <w:marBottom w:val="0"/>
      <w:divBdr>
        <w:top w:val="none" w:sz="0" w:space="0" w:color="auto"/>
        <w:left w:val="none" w:sz="0" w:space="0" w:color="auto"/>
        <w:bottom w:val="none" w:sz="0" w:space="0" w:color="auto"/>
        <w:right w:val="none" w:sz="0" w:space="0" w:color="auto"/>
      </w:divBdr>
    </w:div>
    <w:div w:id="618682591">
      <w:bodyDiv w:val="1"/>
      <w:marLeft w:val="0"/>
      <w:marRight w:val="0"/>
      <w:marTop w:val="0"/>
      <w:marBottom w:val="0"/>
      <w:divBdr>
        <w:top w:val="none" w:sz="0" w:space="0" w:color="auto"/>
        <w:left w:val="none" w:sz="0" w:space="0" w:color="auto"/>
        <w:bottom w:val="none" w:sz="0" w:space="0" w:color="auto"/>
        <w:right w:val="none" w:sz="0" w:space="0" w:color="auto"/>
      </w:divBdr>
    </w:div>
    <w:div w:id="620572439">
      <w:bodyDiv w:val="1"/>
      <w:marLeft w:val="0"/>
      <w:marRight w:val="0"/>
      <w:marTop w:val="0"/>
      <w:marBottom w:val="0"/>
      <w:divBdr>
        <w:top w:val="none" w:sz="0" w:space="0" w:color="auto"/>
        <w:left w:val="none" w:sz="0" w:space="0" w:color="auto"/>
        <w:bottom w:val="none" w:sz="0" w:space="0" w:color="auto"/>
        <w:right w:val="none" w:sz="0" w:space="0" w:color="auto"/>
      </w:divBdr>
    </w:div>
    <w:div w:id="625085018">
      <w:bodyDiv w:val="1"/>
      <w:marLeft w:val="0"/>
      <w:marRight w:val="0"/>
      <w:marTop w:val="0"/>
      <w:marBottom w:val="0"/>
      <w:divBdr>
        <w:top w:val="none" w:sz="0" w:space="0" w:color="auto"/>
        <w:left w:val="none" w:sz="0" w:space="0" w:color="auto"/>
        <w:bottom w:val="none" w:sz="0" w:space="0" w:color="auto"/>
        <w:right w:val="none" w:sz="0" w:space="0" w:color="auto"/>
      </w:divBdr>
    </w:div>
    <w:div w:id="627199693">
      <w:bodyDiv w:val="1"/>
      <w:marLeft w:val="0"/>
      <w:marRight w:val="0"/>
      <w:marTop w:val="0"/>
      <w:marBottom w:val="0"/>
      <w:divBdr>
        <w:top w:val="none" w:sz="0" w:space="0" w:color="auto"/>
        <w:left w:val="none" w:sz="0" w:space="0" w:color="auto"/>
        <w:bottom w:val="none" w:sz="0" w:space="0" w:color="auto"/>
        <w:right w:val="none" w:sz="0" w:space="0" w:color="auto"/>
      </w:divBdr>
    </w:div>
    <w:div w:id="639916468">
      <w:bodyDiv w:val="1"/>
      <w:marLeft w:val="0"/>
      <w:marRight w:val="0"/>
      <w:marTop w:val="0"/>
      <w:marBottom w:val="0"/>
      <w:divBdr>
        <w:top w:val="none" w:sz="0" w:space="0" w:color="auto"/>
        <w:left w:val="none" w:sz="0" w:space="0" w:color="auto"/>
        <w:bottom w:val="none" w:sz="0" w:space="0" w:color="auto"/>
        <w:right w:val="none" w:sz="0" w:space="0" w:color="auto"/>
      </w:divBdr>
    </w:div>
    <w:div w:id="640116707">
      <w:bodyDiv w:val="1"/>
      <w:marLeft w:val="0"/>
      <w:marRight w:val="0"/>
      <w:marTop w:val="0"/>
      <w:marBottom w:val="0"/>
      <w:divBdr>
        <w:top w:val="none" w:sz="0" w:space="0" w:color="auto"/>
        <w:left w:val="none" w:sz="0" w:space="0" w:color="auto"/>
        <w:bottom w:val="none" w:sz="0" w:space="0" w:color="auto"/>
        <w:right w:val="none" w:sz="0" w:space="0" w:color="auto"/>
      </w:divBdr>
    </w:div>
    <w:div w:id="641689746">
      <w:bodyDiv w:val="1"/>
      <w:marLeft w:val="0"/>
      <w:marRight w:val="0"/>
      <w:marTop w:val="0"/>
      <w:marBottom w:val="0"/>
      <w:divBdr>
        <w:top w:val="none" w:sz="0" w:space="0" w:color="auto"/>
        <w:left w:val="none" w:sz="0" w:space="0" w:color="auto"/>
        <w:bottom w:val="none" w:sz="0" w:space="0" w:color="auto"/>
        <w:right w:val="none" w:sz="0" w:space="0" w:color="auto"/>
      </w:divBdr>
    </w:div>
    <w:div w:id="644550955">
      <w:bodyDiv w:val="1"/>
      <w:marLeft w:val="0"/>
      <w:marRight w:val="0"/>
      <w:marTop w:val="0"/>
      <w:marBottom w:val="0"/>
      <w:divBdr>
        <w:top w:val="none" w:sz="0" w:space="0" w:color="auto"/>
        <w:left w:val="none" w:sz="0" w:space="0" w:color="auto"/>
        <w:bottom w:val="none" w:sz="0" w:space="0" w:color="auto"/>
        <w:right w:val="none" w:sz="0" w:space="0" w:color="auto"/>
      </w:divBdr>
    </w:div>
    <w:div w:id="646475945">
      <w:bodyDiv w:val="1"/>
      <w:marLeft w:val="0"/>
      <w:marRight w:val="0"/>
      <w:marTop w:val="0"/>
      <w:marBottom w:val="0"/>
      <w:divBdr>
        <w:top w:val="none" w:sz="0" w:space="0" w:color="auto"/>
        <w:left w:val="none" w:sz="0" w:space="0" w:color="auto"/>
        <w:bottom w:val="none" w:sz="0" w:space="0" w:color="auto"/>
        <w:right w:val="none" w:sz="0" w:space="0" w:color="auto"/>
      </w:divBdr>
    </w:div>
    <w:div w:id="648901412">
      <w:bodyDiv w:val="1"/>
      <w:marLeft w:val="0"/>
      <w:marRight w:val="0"/>
      <w:marTop w:val="0"/>
      <w:marBottom w:val="0"/>
      <w:divBdr>
        <w:top w:val="none" w:sz="0" w:space="0" w:color="auto"/>
        <w:left w:val="none" w:sz="0" w:space="0" w:color="auto"/>
        <w:bottom w:val="none" w:sz="0" w:space="0" w:color="auto"/>
        <w:right w:val="none" w:sz="0" w:space="0" w:color="auto"/>
      </w:divBdr>
    </w:div>
    <w:div w:id="654340773">
      <w:bodyDiv w:val="1"/>
      <w:marLeft w:val="0"/>
      <w:marRight w:val="0"/>
      <w:marTop w:val="0"/>
      <w:marBottom w:val="0"/>
      <w:divBdr>
        <w:top w:val="none" w:sz="0" w:space="0" w:color="auto"/>
        <w:left w:val="none" w:sz="0" w:space="0" w:color="auto"/>
        <w:bottom w:val="none" w:sz="0" w:space="0" w:color="auto"/>
        <w:right w:val="none" w:sz="0" w:space="0" w:color="auto"/>
      </w:divBdr>
    </w:div>
    <w:div w:id="657273258">
      <w:bodyDiv w:val="1"/>
      <w:marLeft w:val="0"/>
      <w:marRight w:val="0"/>
      <w:marTop w:val="0"/>
      <w:marBottom w:val="0"/>
      <w:divBdr>
        <w:top w:val="none" w:sz="0" w:space="0" w:color="auto"/>
        <w:left w:val="none" w:sz="0" w:space="0" w:color="auto"/>
        <w:bottom w:val="none" w:sz="0" w:space="0" w:color="auto"/>
        <w:right w:val="none" w:sz="0" w:space="0" w:color="auto"/>
      </w:divBdr>
    </w:div>
    <w:div w:id="663971944">
      <w:bodyDiv w:val="1"/>
      <w:marLeft w:val="0"/>
      <w:marRight w:val="0"/>
      <w:marTop w:val="0"/>
      <w:marBottom w:val="0"/>
      <w:divBdr>
        <w:top w:val="none" w:sz="0" w:space="0" w:color="auto"/>
        <w:left w:val="none" w:sz="0" w:space="0" w:color="auto"/>
        <w:bottom w:val="none" w:sz="0" w:space="0" w:color="auto"/>
        <w:right w:val="none" w:sz="0" w:space="0" w:color="auto"/>
      </w:divBdr>
    </w:div>
    <w:div w:id="675229401">
      <w:bodyDiv w:val="1"/>
      <w:marLeft w:val="0"/>
      <w:marRight w:val="0"/>
      <w:marTop w:val="0"/>
      <w:marBottom w:val="0"/>
      <w:divBdr>
        <w:top w:val="none" w:sz="0" w:space="0" w:color="auto"/>
        <w:left w:val="none" w:sz="0" w:space="0" w:color="auto"/>
        <w:bottom w:val="none" w:sz="0" w:space="0" w:color="auto"/>
        <w:right w:val="none" w:sz="0" w:space="0" w:color="auto"/>
      </w:divBdr>
    </w:div>
    <w:div w:id="676270473">
      <w:bodyDiv w:val="1"/>
      <w:marLeft w:val="0"/>
      <w:marRight w:val="0"/>
      <w:marTop w:val="0"/>
      <w:marBottom w:val="0"/>
      <w:divBdr>
        <w:top w:val="none" w:sz="0" w:space="0" w:color="auto"/>
        <w:left w:val="none" w:sz="0" w:space="0" w:color="auto"/>
        <w:bottom w:val="none" w:sz="0" w:space="0" w:color="auto"/>
        <w:right w:val="none" w:sz="0" w:space="0" w:color="auto"/>
      </w:divBdr>
    </w:div>
    <w:div w:id="676342892">
      <w:bodyDiv w:val="1"/>
      <w:marLeft w:val="0"/>
      <w:marRight w:val="0"/>
      <w:marTop w:val="0"/>
      <w:marBottom w:val="0"/>
      <w:divBdr>
        <w:top w:val="none" w:sz="0" w:space="0" w:color="auto"/>
        <w:left w:val="none" w:sz="0" w:space="0" w:color="auto"/>
        <w:bottom w:val="none" w:sz="0" w:space="0" w:color="auto"/>
        <w:right w:val="none" w:sz="0" w:space="0" w:color="auto"/>
      </w:divBdr>
    </w:div>
    <w:div w:id="679045427">
      <w:bodyDiv w:val="1"/>
      <w:marLeft w:val="0"/>
      <w:marRight w:val="0"/>
      <w:marTop w:val="0"/>
      <w:marBottom w:val="0"/>
      <w:divBdr>
        <w:top w:val="none" w:sz="0" w:space="0" w:color="auto"/>
        <w:left w:val="none" w:sz="0" w:space="0" w:color="auto"/>
        <w:bottom w:val="none" w:sz="0" w:space="0" w:color="auto"/>
        <w:right w:val="none" w:sz="0" w:space="0" w:color="auto"/>
      </w:divBdr>
    </w:div>
    <w:div w:id="681511852">
      <w:bodyDiv w:val="1"/>
      <w:marLeft w:val="0"/>
      <w:marRight w:val="0"/>
      <w:marTop w:val="0"/>
      <w:marBottom w:val="0"/>
      <w:divBdr>
        <w:top w:val="none" w:sz="0" w:space="0" w:color="auto"/>
        <w:left w:val="none" w:sz="0" w:space="0" w:color="auto"/>
        <w:bottom w:val="none" w:sz="0" w:space="0" w:color="auto"/>
        <w:right w:val="none" w:sz="0" w:space="0" w:color="auto"/>
      </w:divBdr>
    </w:div>
    <w:div w:id="684596666">
      <w:bodyDiv w:val="1"/>
      <w:marLeft w:val="0"/>
      <w:marRight w:val="0"/>
      <w:marTop w:val="0"/>
      <w:marBottom w:val="0"/>
      <w:divBdr>
        <w:top w:val="none" w:sz="0" w:space="0" w:color="auto"/>
        <w:left w:val="none" w:sz="0" w:space="0" w:color="auto"/>
        <w:bottom w:val="none" w:sz="0" w:space="0" w:color="auto"/>
        <w:right w:val="none" w:sz="0" w:space="0" w:color="auto"/>
      </w:divBdr>
    </w:div>
    <w:div w:id="686103570">
      <w:bodyDiv w:val="1"/>
      <w:marLeft w:val="0"/>
      <w:marRight w:val="0"/>
      <w:marTop w:val="0"/>
      <w:marBottom w:val="0"/>
      <w:divBdr>
        <w:top w:val="none" w:sz="0" w:space="0" w:color="auto"/>
        <w:left w:val="none" w:sz="0" w:space="0" w:color="auto"/>
        <w:bottom w:val="none" w:sz="0" w:space="0" w:color="auto"/>
        <w:right w:val="none" w:sz="0" w:space="0" w:color="auto"/>
      </w:divBdr>
    </w:div>
    <w:div w:id="689721916">
      <w:bodyDiv w:val="1"/>
      <w:marLeft w:val="0"/>
      <w:marRight w:val="0"/>
      <w:marTop w:val="0"/>
      <w:marBottom w:val="0"/>
      <w:divBdr>
        <w:top w:val="none" w:sz="0" w:space="0" w:color="auto"/>
        <w:left w:val="none" w:sz="0" w:space="0" w:color="auto"/>
        <w:bottom w:val="none" w:sz="0" w:space="0" w:color="auto"/>
        <w:right w:val="none" w:sz="0" w:space="0" w:color="auto"/>
      </w:divBdr>
    </w:div>
    <w:div w:id="694501208">
      <w:bodyDiv w:val="1"/>
      <w:marLeft w:val="0"/>
      <w:marRight w:val="0"/>
      <w:marTop w:val="0"/>
      <w:marBottom w:val="0"/>
      <w:divBdr>
        <w:top w:val="none" w:sz="0" w:space="0" w:color="auto"/>
        <w:left w:val="none" w:sz="0" w:space="0" w:color="auto"/>
        <w:bottom w:val="none" w:sz="0" w:space="0" w:color="auto"/>
        <w:right w:val="none" w:sz="0" w:space="0" w:color="auto"/>
      </w:divBdr>
    </w:div>
    <w:div w:id="696010156">
      <w:bodyDiv w:val="1"/>
      <w:marLeft w:val="0"/>
      <w:marRight w:val="0"/>
      <w:marTop w:val="0"/>
      <w:marBottom w:val="0"/>
      <w:divBdr>
        <w:top w:val="none" w:sz="0" w:space="0" w:color="auto"/>
        <w:left w:val="none" w:sz="0" w:space="0" w:color="auto"/>
        <w:bottom w:val="none" w:sz="0" w:space="0" w:color="auto"/>
        <w:right w:val="none" w:sz="0" w:space="0" w:color="auto"/>
      </w:divBdr>
    </w:div>
    <w:div w:id="704333223">
      <w:bodyDiv w:val="1"/>
      <w:marLeft w:val="0"/>
      <w:marRight w:val="0"/>
      <w:marTop w:val="0"/>
      <w:marBottom w:val="0"/>
      <w:divBdr>
        <w:top w:val="none" w:sz="0" w:space="0" w:color="auto"/>
        <w:left w:val="none" w:sz="0" w:space="0" w:color="auto"/>
        <w:bottom w:val="none" w:sz="0" w:space="0" w:color="auto"/>
        <w:right w:val="none" w:sz="0" w:space="0" w:color="auto"/>
      </w:divBdr>
    </w:div>
    <w:div w:id="704796169">
      <w:bodyDiv w:val="1"/>
      <w:marLeft w:val="0"/>
      <w:marRight w:val="0"/>
      <w:marTop w:val="0"/>
      <w:marBottom w:val="0"/>
      <w:divBdr>
        <w:top w:val="none" w:sz="0" w:space="0" w:color="auto"/>
        <w:left w:val="none" w:sz="0" w:space="0" w:color="auto"/>
        <w:bottom w:val="none" w:sz="0" w:space="0" w:color="auto"/>
        <w:right w:val="none" w:sz="0" w:space="0" w:color="auto"/>
      </w:divBdr>
    </w:div>
    <w:div w:id="705451621">
      <w:bodyDiv w:val="1"/>
      <w:marLeft w:val="0"/>
      <w:marRight w:val="0"/>
      <w:marTop w:val="0"/>
      <w:marBottom w:val="0"/>
      <w:divBdr>
        <w:top w:val="none" w:sz="0" w:space="0" w:color="auto"/>
        <w:left w:val="none" w:sz="0" w:space="0" w:color="auto"/>
        <w:bottom w:val="none" w:sz="0" w:space="0" w:color="auto"/>
        <w:right w:val="none" w:sz="0" w:space="0" w:color="auto"/>
      </w:divBdr>
    </w:div>
    <w:div w:id="707877079">
      <w:bodyDiv w:val="1"/>
      <w:marLeft w:val="0"/>
      <w:marRight w:val="0"/>
      <w:marTop w:val="0"/>
      <w:marBottom w:val="0"/>
      <w:divBdr>
        <w:top w:val="none" w:sz="0" w:space="0" w:color="auto"/>
        <w:left w:val="none" w:sz="0" w:space="0" w:color="auto"/>
        <w:bottom w:val="none" w:sz="0" w:space="0" w:color="auto"/>
        <w:right w:val="none" w:sz="0" w:space="0" w:color="auto"/>
      </w:divBdr>
    </w:div>
    <w:div w:id="711073970">
      <w:bodyDiv w:val="1"/>
      <w:marLeft w:val="0"/>
      <w:marRight w:val="0"/>
      <w:marTop w:val="0"/>
      <w:marBottom w:val="0"/>
      <w:divBdr>
        <w:top w:val="none" w:sz="0" w:space="0" w:color="auto"/>
        <w:left w:val="none" w:sz="0" w:space="0" w:color="auto"/>
        <w:bottom w:val="none" w:sz="0" w:space="0" w:color="auto"/>
        <w:right w:val="none" w:sz="0" w:space="0" w:color="auto"/>
      </w:divBdr>
    </w:div>
    <w:div w:id="716204763">
      <w:bodyDiv w:val="1"/>
      <w:marLeft w:val="0"/>
      <w:marRight w:val="0"/>
      <w:marTop w:val="0"/>
      <w:marBottom w:val="0"/>
      <w:divBdr>
        <w:top w:val="none" w:sz="0" w:space="0" w:color="auto"/>
        <w:left w:val="none" w:sz="0" w:space="0" w:color="auto"/>
        <w:bottom w:val="none" w:sz="0" w:space="0" w:color="auto"/>
        <w:right w:val="none" w:sz="0" w:space="0" w:color="auto"/>
      </w:divBdr>
    </w:div>
    <w:div w:id="724915349">
      <w:bodyDiv w:val="1"/>
      <w:marLeft w:val="0"/>
      <w:marRight w:val="0"/>
      <w:marTop w:val="0"/>
      <w:marBottom w:val="0"/>
      <w:divBdr>
        <w:top w:val="none" w:sz="0" w:space="0" w:color="auto"/>
        <w:left w:val="none" w:sz="0" w:space="0" w:color="auto"/>
        <w:bottom w:val="none" w:sz="0" w:space="0" w:color="auto"/>
        <w:right w:val="none" w:sz="0" w:space="0" w:color="auto"/>
      </w:divBdr>
    </w:div>
    <w:div w:id="728378702">
      <w:bodyDiv w:val="1"/>
      <w:marLeft w:val="0"/>
      <w:marRight w:val="0"/>
      <w:marTop w:val="0"/>
      <w:marBottom w:val="0"/>
      <w:divBdr>
        <w:top w:val="none" w:sz="0" w:space="0" w:color="auto"/>
        <w:left w:val="none" w:sz="0" w:space="0" w:color="auto"/>
        <w:bottom w:val="none" w:sz="0" w:space="0" w:color="auto"/>
        <w:right w:val="none" w:sz="0" w:space="0" w:color="auto"/>
      </w:divBdr>
    </w:div>
    <w:div w:id="731660171">
      <w:bodyDiv w:val="1"/>
      <w:marLeft w:val="0"/>
      <w:marRight w:val="0"/>
      <w:marTop w:val="0"/>
      <w:marBottom w:val="0"/>
      <w:divBdr>
        <w:top w:val="none" w:sz="0" w:space="0" w:color="auto"/>
        <w:left w:val="none" w:sz="0" w:space="0" w:color="auto"/>
        <w:bottom w:val="none" w:sz="0" w:space="0" w:color="auto"/>
        <w:right w:val="none" w:sz="0" w:space="0" w:color="auto"/>
      </w:divBdr>
    </w:div>
    <w:div w:id="732047046">
      <w:bodyDiv w:val="1"/>
      <w:marLeft w:val="0"/>
      <w:marRight w:val="0"/>
      <w:marTop w:val="0"/>
      <w:marBottom w:val="0"/>
      <w:divBdr>
        <w:top w:val="none" w:sz="0" w:space="0" w:color="auto"/>
        <w:left w:val="none" w:sz="0" w:space="0" w:color="auto"/>
        <w:bottom w:val="none" w:sz="0" w:space="0" w:color="auto"/>
        <w:right w:val="none" w:sz="0" w:space="0" w:color="auto"/>
      </w:divBdr>
    </w:div>
    <w:div w:id="745372419">
      <w:bodyDiv w:val="1"/>
      <w:marLeft w:val="0"/>
      <w:marRight w:val="0"/>
      <w:marTop w:val="0"/>
      <w:marBottom w:val="0"/>
      <w:divBdr>
        <w:top w:val="none" w:sz="0" w:space="0" w:color="auto"/>
        <w:left w:val="none" w:sz="0" w:space="0" w:color="auto"/>
        <w:bottom w:val="none" w:sz="0" w:space="0" w:color="auto"/>
        <w:right w:val="none" w:sz="0" w:space="0" w:color="auto"/>
      </w:divBdr>
    </w:div>
    <w:div w:id="745806091">
      <w:bodyDiv w:val="1"/>
      <w:marLeft w:val="0"/>
      <w:marRight w:val="0"/>
      <w:marTop w:val="0"/>
      <w:marBottom w:val="0"/>
      <w:divBdr>
        <w:top w:val="none" w:sz="0" w:space="0" w:color="auto"/>
        <w:left w:val="none" w:sz="0" w:space="0" w:color="auto"/>
        <w:bottom w:val="none" w:sz="0" w:space="0" w:color="auto"/>
        <w:right w:val="none" w:sz="0" w:space="0" w:color="auto"/>
      </w:divBdr>
    </w:div>
    <w:div w:id="747308958">
      <w:bodyDiv w:val="1"/>
      <w:marLeft w:val="0"/>
      <w:marRight w:val="0"/>
      <w:marTop w:val="0"/>
      <w:marBottom w:val="0"/>
      <w:divBdr>
        <w:top w:val="none" w:sz="0" w:space="0" w:color="auto"/>
        <w:left w:val="none" w:sz="0" w:space="0" w:color="auto"/>
        <w:bottom w:val="none" w:sz="0" w:space="0" w:color="auto"/>
        <w:right w:val="none" w:sz="0" w:space="0" w:color="auto"/>
      </w:divBdr>
    </w:div>
    <w:div w:id="748388192">
      <w:bodyDiv w:val="1"/>
      <w:marLeft w:val="0"/>
      <w:marRight w:val="0"/>
      <w:marTop w:val="0"/>
      <w:marBottom w:val="0"/>
      <w:divBdr>
        <w:top w:val="none" w:sz="0" w:space="0" w:color="auto"/>
        <w:left w:val="none" w:sz="0" w:space="0" w:color="auto"/>
        <w:bottom w:val="none" w:sz="0" w:space="0" w:color="auto"/>
        <w:right w:val="none" w:sz="0" w:space="0" w:color="auto"/>
      </w:divBdr>
    </w:div>
    <w:div w:id="755975620">
      <w:bodyDiv w:val="1"/>
      <w:marLeft w:val="0"/>
      <w:marRight w:val="0"/>
      <w:marTop w:val="0"/>
      <w:marBottom w:val="0"/>
      <w:divBdr>
        <w:top w:val="none" w:sz="0" w:space="0" w:color="auto"/>
        <w:left w:val="none" w:sz="0" w:space="0" w:color="auto"/>
        <w:bottom w:val="none" w:sz="0" w:space="0" w:color="auto"/>
        <w:right w:val="none" w:sz="0" w:space="0" w:color="auto"/>
      </w:divBdr>
    </w:div>
    <w:div w:id="762259969">
      <w:bodyDiv w:val="1"/>
      <w:marLeft w:val="0"/>
      <w:marRight w:val="0"/>
      <w:marTop w:val="0"/>
      <w:marBottom w:val="0"/>
      <w:divBdr>
        <w:top w:val="none" w:sz="0" w:space="0" w:color="auto"/>
        <w:left w:val="none" w:sz="0" w:space="0" w:color="auto"/>
        <w:bottom w:val="none" w:sz="0" w:space="0" w:color="auto"/>
        <w:right w:val="none" w:sz="0" w:space="0" w:color="auto"/>
      </w:divBdr>
    </w:div>
    <w:div w:id="771316341">
      <w:bodyDiv w:val="1"/>
      <w:marLeft w:val="0"/>
      <w:marRight w:val="0"/>
      <w:marTop w:val="0"/>
      <w:marBottom w:val="0"/>
      <w:divBdr>
        <w:top w:val="none" w:sz="0" w:space="0" w:color="auto"/>
        <w:left w:val="none" w:sz="0" w:space="0" w:color="auto"/>
        <w:bottom w:val="none" w:sz="0" w:space="0" w:color="auto"/>
        <w:right w:val="none" w:sz="0" w:space="0" w:color="auto"/>
      </w:divBdr>
    </w:div>
    <w:div w:id="777410869">
      <w:bodyDiv w:val="1"/>
      <w:marLeft w:val="0"/>
      <w:marRight w:val="0"/>
      <w:marTop w:val="0"/>
      <w:marBottom w:val="0"/>
      <w:divBdr>
        <w:top w:val="none" w:sz="0" w:space="0" w:color="auto"/>
        <w:left w:val="none" w:sz="0" w:space="0" w:color="auto"/>
        <w:bottom w:val="none" w:sz="0" w:space="0" w:color="auto"/>
        <w:right w:val="none" w:sz="0" w:space="0" w:color="auto"/>
      </w:divBdr>
    </w:div>
    <w:div w:id="779495328">
      <w:bodyDiv w:val="1"/>
      <w:marLeft w:val="0"/>
      <w:marRight w:val="0"/>
      <w:marTop w:val="0"/>
      <w:marBottom w:val="0"/>
      <w:divBdr>
        <w:top w:val="none" w:sz="0" w:space="0" w:color="auto"/>
        <w:left w:val="none" w:sz="0" w:space="0" w:color="auto"/>
        <w:bottom w:val="none" w:sz="0" w:space="0" w:color="auto"/>
        <w:right w:val="none" w:sz="0" w:space="0" w:color="auto"/>
      </w:divBdr>
    </w:div>
    <w:div w:id="783185552">
      <w:bodyDiv w:val="1"/>
      <w:marLeft w:val="0"/>
      <w:marRight w:val="0"/>
      <w:marTop w:val="0"/>
      <w:marBottom w:val="0"/>
      <w:divBdr>
        <w:top w:val="none" w:sz="0" w:space="0" w:color="auto"/>
        <w:left w:val="none" w:sz="0" w:space="0" w:color="auto"/>
        <w:bottom w:val="none" w:sz="0" w:space="0" w:color="auto"/>
        <w:right w:val="none" w:sz="0" w:space="0" w:color="auto"/>
      </w:divBdr>
    </w:div>
    <w:div w:id="784345337">
      <w:bodyDiv w:val="1"/>
      <w:marLeft w:val="0"/>
      <w:marRight w:val="0"/>
      <w:marTop w:val="0"/>
      <w:marBottom w:val="0"/>
      <w:divBdr>
        <w:top w:val="none" w:sz="0" w:space="0" w:color="auto"/>
        <w:left w:val="none" w:sz="0" w:space="0" w:color="auto"/>
        <w:bottom w:val="none" w:sz="0" w:space="0" w:color="auto"/>
        <w:right w:val="none" w:sz="0" w:space="0" w:color="auto"/>
      </w:divBdr>
    </w:div>
    <w:div w:id="784539552">
      <w:bodyDiv w:val="1"/>
      <w:marLeft w:val="0"/>
      <w:marRight w:val="0"/>
      <w:marTop w:val="0"/>
      <w:marBottom w:val="0"/>
      <w:divBdr>
        <w:top w:val="none" w:sz="0" w:space="0" w:color="auto"/>
        <w:left w:val="none" w:sz="0" w:space="0" w:color="auto"/>
        <w:bottom w:val="none" w:sz="0" w:space="0" w:color="auto"/>
        <w:right w:val="none" w:sz="0" w:space="0" w:color="auto"/>
      </w:divBdr>
    </w:div>
    <w:div w:id="785463455">
      <w:bodyDiv w:val="1"/>
      <w:marLeft w:val="0"/>
      <w:marRight w:val="0"/>
      <w:marTop w:val="0"/>
      <w:marBottom w:val="0"/>
      <w:divBdr>
        <w:top w:val="none" w:sz="0" w:space="0" w:color="auto"/>
        <w:left w:val="none" w:sz="0" w:space="0" w:color="auto"/>
        <w:bottom w:val="none" w:sz="0" w:space="0" w:color="auto"/>
        <w:right w:val="none" w:sz="0" w:space="0" w:color="auto"/>
      </w:divBdr>
    </w:div>
    <w:div w:id="785999203">
      <w:bodyDiv w:val="1"/>
      <w:marLeft w:val="0"/>
      <w:marRight w:val="0"/>
      <w:marTop w:val="0"/>
      <w:marBottom w:val="0"/>
      <w:divBdr>
        <w:top w:val="none" w:sz="0" w:space="0" w:color="auto"/>
        <w:left w:val="none" w:sz="0" w:space="0" w:color="auto"/>
        <w:bottom w:val="none" w:sz="0" w:space="0" w:color="auto"/>
        <w:right w:val="none" w:sz="0" w:space="0" w:color="auto"/>
      </w:divBdr>
    </w:div>
    <w:div w:id="787116674">
      <w:bodyDiv w:val="1"/>
      <w:marLeft w:val="0"/>
      <w:marRight w:val="0"/>
      <w:marTop w:val="0"/>
      <w:marBottom w:val="0"/>
      <w:divBdr>
        <w:top w:val="none" w:sz="0" w:space="0" w:color="auto"/>
        <w:left w:val="none" w:sz="0" w:space="0" w:color="auto"/>
        <w:bottom w:val="none" w:sz="0" w:space="0" w:color="auto"/>
        <w:right w:val="none" w:sz="0" w:space="0" w:color="auto"/>
      </w:divBdr>
    </w:div>
    <w:div w:id="790128316">
      <w:bodyDiv w:val="1"/>
      <w:marLeft w:val="0"/>
      <w:marRight w:val="0"/>
      <w:marTop w:val="0"/>
      <w:marBottom w:val="0"/>
      <w:divBdr>
        <w:top w:val="none" w:sz="0" w:space="0" w:color="auto"/>
        <w:left w:val="none" w:sz="0" w:space="0" w:color="auto"/>
        <w:bottom w:val="none" w:sz="0" w:space="0" w:color="auto"/>
        <w:right w:val="none" w:sz="0" w:space="0" w:color="auto"/>
      </w:divBdr>
    </w:div>
    <w:div w:id="791479475">
      <w:bodyDiv w:val="1"/>
      <w:marLeft w:val="0"/>
      <w:marRight w:val="0"/>
      <w:marTop w:val="0"/>
      <w:marBottom w:val="0"/>
      <w:divBdr>
        <w:top w:val="none" w:sz="0" w:space="0" w:color="auto"/>
        <w:left w:val="none" w:sz="0" w:space="0" w:color="auto"/>
        <w:bottom w:val="none" w:sz="0" w:space="0" w:color="auto"/>
        <w:right w:val="none" w:sz="0" w:space="0" w:color="auto"/>
      </w:divBdr>
    </w:div>
    <w:div w:id="791703940">
      <w:bodyDiv w:val="1"/>
      <w:marLeft w:val="0"/>
      <w:marRight w:val="0"/>
      <w:marTop w:val="0"/>
      <w:marBottom w:val="0"/>
      <w:divBdr>
        <w:top w:val="none" w:sz="0" w:space="0" w:color="auto"/>
        <w:left w:val="none" w:sz="0" w:space="0" w:color="auto"/>
        <w:bottom w:val="none" w:sz="0" w:space="0" w:color="auto"/>
        <w:right w:val="none" w:sz="0" w:space="0" w:color="auto"/>
      </w:divBdr>
    </w:div>
    <w:div w:id="796996244">
      <w:bodyDiv w:val="1"/>
      <w:marLeft w:val="0"/>
      <w:marRight w:val="0"/>
      <w:marTop w:val="0"/>
      <w:marBottom w:val="0"/>
      <w:divBdr>
        <w:top w:val="none" w:sz="0" w:space="0" w:color="auto"/>
        <w:left w:val="none" w:sz="0" w:space="0" w:color="auto"/>
        <w:bottom w:val="none" w:sz="0" w:space="0" w:color="auto"/>
        <w:right w:val="none" w:sz="0" w:space="0" w:color="auto"/>
      </w:divBdr>
    </w:div>
    <w:div w:id="797838837">
      <w:bodyDiv w:val="1"/>
      <w:marLeft w:val="0"/>
      <w:marRight w:val="0"/>
      <w:marTop w:val="0"/>
      <w:marBottom w:val="0"/>
      <w:divBdr>
        <w:top w:val="none" w:sz="0" w:space="0" w:color="auto"/>
        <w:left w:val="none" w:sz="0" w:space="0" w:color="auto"/>
        <w:bottom w:val="none" w:sz="0" w:space="0" w:color="auto"/>
        <w:right w:val="none" w:sz="0" w:space="0" w:color="auto"/>
      </w:divBdr>
    </w:div>
    <w:div w:id="797843605">
      <w:bodyDiv w:val="1"/>
      <w:marLeft w:val="0"/>
      <w:marRight w:val="0"/>
      <w:marTop w:val="0"/>
      <w:marBottom w:val="0"/>
      <w:divBdr>
        <w:top w:val="none" w:sz="0" w:space="0" w:color="auto"/>
        <w:left w:val="none" w:sz="0" w:space="0" w:color="auto"/>
        <w:bottom w:val="none" w:sz="0" w:space="0" w:color="auto"/>
        <w:right w:val="none" w:sz="0" w:space="0" w:color="auto"/>
      </w:divBdr>
    </w:div>
    <w:div w:id="802423803">
      <w:bodyDiv w:val="1"/>
      <w:marLeft w:val="0"/>
      <w:marRight w:val="0"/>
      <w:marTop w:val="0"/>
      <w:marBottom w:val="0"/>
      <w:divBdr>
        <w:top w:val="none" w:sz="0" w:space="0" w:color="auto"/>
        <w:left w:val="none" w:sz="0" w:space="0" w:color="auto"/>
        <w:bottom w:val="none" w:sz="0" w:space="0" w:color="auto"/>
        <w:right w:val="none" w:sz="0" w:space="0" w:color="auto"/>
      </w:divBdr>
    </w:div>
    <w:div w:id="804856092">
      <w:bodyDiv w:val="1"/>
      <w:marLeft w:val="0"/>
      <w:marRight w:val="0"/>
      <w:marTop w:val="0"/>
      <w:marBottom w:val="0"/>
      <w:divBdr>
        <w:top w:val="none" w:sz="0" w:space="0" w:color="auto"/>
        <w:left w:val="none" w:sz="0" w:space="0" w:color="auto"/>
        <w:bottom w:val="none" w:sz="0" w:space="0" w:color="auto"/>
        <w:right w:val="none" w:sz="0" w:space="0" w:color="auto"/>
      </w:divBdr>
    </w:div>
    <w:div w:id="805314347">
      <w:bodyDiv w:val="1"/>
      <w:marLeft w:val="0"/>
      <w:marRight w:val="0"/>
      <w:marTop w:val="0"/>
      <w:marBottom w:val="0"/>
      <w:divBdr>
        <w:top w:val="none" w:sz="0" w:space="0" w:color="auto"/>
        <w:left w:val="none" w:sz="0" w:space="0" w:color="auto"/>
        <w:bottom w:val="none" w:sz="0" w:space="0" w:color="auto"/>
        <w:right w:val="none" w:sz="0" w:space="0" w:color="auto"/>
      </w:divBdr>
    </w:div>
    <w:div w:id="805315198">
      <w:bodyDiv w:val="1"/>
      <w:marLeft w:val="0"/>
      <w:marRight w:val="0"/>
      <w:marTop w:val="0"/>
      <w:marBottom w:val="0"/>
      <w:divBdr>
        <w:top w:val="none" w:sz="0" w:space="0" w:color="auto"/>
        <w:left w:val="none" w:sz="0" w:space="0" w:color="auto"/>
        <w:bottom w:val="none" w:sz="0" w:space="0" w:color="auto"/>
        <w:right w:val="none" w:sz="0" w:space="0" w:color="auto"/>
      </w:divBdr>
    </w:div>
    <w:div w:id="812913562">
      <w:bodyDiv w:val="1"/>
      <w:marLeft w:val="0"/>
      <w:marRight w:val="0"/>
      <w:marTop w:val="0"/>
      <w:marBottom w:val="0"/>
      <w:divBdr>
        <w:top w:val="none" w:sz="0" w:space="0" w:color="auto"/>
        <w:left w:val="none" w:sz="0" w:space="0" w:color="auto"/>
        <w:bottom w:val="none" w:sz="0" w:space="0" w:color="auto"/>
        <w:right w:val="none" w:sz="0" w:space="0" w:color="auto"/>
      </w:divBdr>
    </w:div>
    <w:div w:id="815948499">
      <w:bodyDiv w:val="1"/>
      <w:marLeft w:val="0"/>
      <w:marRight w:val="0"/>
      <w:marTop w:val="0"/>
      <w:marBottom w:val="0"/>
      <w:divBdr>
        <w:top w:val="none" w:sz="0" w:space="0" w:color="auto"/>
        <w:left w:val="none" w:sz="0" w:space="0" w:color="auto"/>
        <w:bottom w:val="none" w:sz="0" w:space="0" w:color="auto"/>
        <w:right w:val="none" w:sz="0" w:space="0" w:color="auto"/>
      </w:divBdr>
    </w:div>
    <w:div w:id="816068702">
      <w:bodyDiv w:val="1"/>
      <w:marLeft w:val="0"/>
      <w:marRight w:val="0"/>
      <w:marTop w:val="0"/>
      <w:marBottom w:val="0"/>
      <w:divBdr>
        <w:top w:val="none" w:sz="0" w:space="0" w:color="auto"/>
        <w:left w:val="none" w:sz="0" w:space="0" w:color="auto"/>
        <w:bottom w:val="none" w:sz="0" w:space="0" w:color="auto"/>
        <w:right w:val="none" w:sz="0" w:space="0" w:color="auto"/>
      </w:divBdr>
    </w:div>
    <w:div w:id="820580930">
      <w:bodyDiv w:val="1"/>
      <w:marLeft w:val="0"/>
      <w:marRight w:val="0"/>
      <w:marTop w:val="0"/>
      <w:marBottom w:val="0"/>
      <w:divBdr>
        <w:top w:val="none" w:sz="0" w:space="0" w:color="auto"/>
        <w:left w:val="none" w:sz="0" w:space="0" w:color="auto"/>
        <w:bottom w:val="none" w:sz="0" w:space="0" w:color="auto"/>
        <w:right w:val="none" w:sz="0" w:space="0" w:color="auto"/>
      </w:divBdr>
    </w:div>
    <w:div w:id="821580516">
      <w:bodyDiv w:val="1"/>
      <w:marLeft w:val="0"/>
      <w:marRight w:val="0"/>
      <w:marTop w:val="0"/>
      <w:marBottom w:val="0"/>
      <w:divBdr>
        <w:top w:val="none" w:sz="0" w:space="0" w:color="auto"/>
        <w:left w:val="none" w:sz="0" w:space="0" w:color="auto"/>
        <w:bottom w:val="none" w:sz="0" w:space="0" w:color="auto"/>
        <w:right w:val="none" w:sz="0" w:space="0" w:color="auto"/>
      </w:divBdr>
    </w:div>
    <w:div w:id="824323355">
      <w:bodyDiv w:val="1"/>
      <w:marLeft w:val="0"/>
      <w:marRight w:val="0"/>
      <w:marTop w:val="0"/>
      <w:marBottom w:val="0"/>
      <w:divBdr>
        <w:top w:val="none" w:sz="0" w:space="0" w:color="auto"/>
        <w:left w:val="none" w:sz="0" w:space="0" w:color="auto"/>
        <w:bottom w:val="none" w:sz="0" w:space="0" w:color="auto"/>
        <w:right w:val="none" w:sz="0" w:space="0" w:color="auto"/>
      </w:divBdr>
    </w:div>
    <w:div w:id="839009251">
      <w:bodyDiv w:val="1"/>
      <w:marLeft w:val="0"/>
      <w:marRight w:val="0"/>
      <w:marTop w:val="0"/>
      <w:marBottom w:val="0"/>
      <w:divBdr>
        <w:top w:val="none" w:sz="0" w:space="0" w:color="auto"/>
        <w:left w:val="none" w:sz="0" w:space="0" w:color="auto"/>
        <w:bottom w:val="none" w:sz="0" w:space="0" w:color="auto"/>
        <w:right w:val="none" w:sz="0" w:space="0" w:color="auto"/>
      </w:divBdr>
    </w:div>
    <w:div w:id="840388923">
      <w:bodyDiv w:val="1"/>
      <w:marLeft w:val="0"/>
      <w:marRight w:val="0"/>
      <w:marTop w:val="0"/>
      <w:marBottom w:val="0"/>
      <w:divBdr>
        <w:top w:val="none" w:sz="0" w:space="0" w:color="auto"/>
        <w:left w:val="none" w:sz="0" w:space="0" w:color="auto"/>
        <w:bottom w:val="none" w:sz="0" w:space="0" w:color="auto"/>
        <w:right w:val="none" w:sz="0" w:space="0" w:color="auto"/>
      </w:divBdr>
    </w:div>
    <w:div w:id="851799359">
      <w:bodyDiv w:val="1"/>
      <w:marLeft w:val="0"/>
      <w:marRight w:val="0"/>
      <w:marTop w:val="0"/>
      <w:marBottom w:val="0"/>
      <w:divBdr>
        <w:top w:val="none" w:sz="0" w:space="0" w:color="auto"/>
        <w:left w:val="none" w:sz="0" w:space="0" w:color="auto"/>
        <w:bottom w:val="none" w:sz="0" w:space="0" w:color="auto"/>
        <w:right w:val="none" w:sz="0" w:space="0" w:color="auto"/>
      </w:divBdr>
    </w:div>
    <w:div w:id="856892662">
      <w:bodyDiv w:val="1"/>
      <w:marLeft w:val="0"/>
      <w:marRight w:val="0"/>
      <w:marTop w:val="0"/>
      <w:marBottom w:val="0"/>
      <w:divBdr>
        <w:top w:val="none" w:sz="0" w:space="0" w:color="auto"/>
        <w:left w:val="none" w:sz="0" w:space="0" w:color="auto"/>
        <w:bottom w:val="none" w:sz="0" w:space="0" w:color="auto"/>
        <w:right w:val="none" w:sz="0" w:space="0" w:color="auto"/>
      </w:divBdr>
    </w:div>
    <w:div w:id="857350538">
      <w:bodyDiv w:val="1"/>
      <w:marLeft w:val="0"/>
      <w:marRight w:val="0"/>
      <w:marTop w:val="0"/>
      <w:marBottom w:val="0"/>
      <w:divBdr>
        <w:top w:val="none" w:sz="0" w:space="0" w:color="auto"/>
        <w:left w:val="none" w:sz="0" w:space="0" w:color="auto"/>
        <w:bottom w:val="none" w:sz="0" w:space="0" w:color="auto"/>
        <w:right w:val="none" w:sz="0" w:space="0" w:color="auto"/>
      </w:divBdr>
    </w:div>
    <w:div w:id="859395135">
      <w:bodyDiv w:val="1"/>
      <w:marLeft w:val="0"/>
      <w:marRight w:val="0"/>
      <w:marTop w:val="0"/>
      <w:marBottom w:val="0"/>
      <w:divBdr>
        <w:top w:val="none" w:sz="0" w:space="0" w:color="auto"/>
        <w:left w:val="none" w:sz="0" w:space="0" w:color="auto"/>
        <w:bottom w:val="none" w:sz="0" w:space="0" w:color="auto"/>
        <w:right w:val="none" w:sz="0" w:space="0" w:color="auto"/>
      </w:divBdr>
    </w:div>
    <w:div w:id="861012055">
      <w:bodyDiv w:val="1"/>
      <w:marLeft w:val="0"/>
      <w:marRight w:val="0"/>
      <w:marTop w:val="0"/>
      <w:marBottom w:val="0"/>
      <w:divBdr>
        <w:top w:val="none" w:sz="0" w:space="0" w:color="auto"/>
        <w:left w:val="none" w:sz="0" w:space="0" w:color="auto"/>
        <w:bottom w:val="none" w:sz="0" w:space="0" w:color="auto"/>
        <w:right w:val="none" w:sz="0" w:space="0" w:color="auto"/>
      </w:divBdr>
    </w:div>
    <w:div w:id="866451543">
      <w:bodyDiv w:val="1"/>
      <w:marLeft w:val="0"/>
      <w:marRight w:val="0"/>
      <w:marTop w:val="0"/>
      <w:marBottom w:val="0"/>
      <w:divBdr>
        <w:top w:val="none" w:sz="0" w:space="0" w:color="auto"/>
        <w:left w:val="none" w:sz="0" w:space="0" w:color="auto"/>
        <w:bottom w:val="none" w:sz="0" w:space="0" w:color="auto"/>
        <w:right w:val="none" w:sz="0" w:space="0" w:color="auto"/>
      </w:divBdr>
    </w:div>
    <w:div w:id="868877327">
      <w:bodyDiv w:val="1"/>
      <w:marLeft w:val="0"/>
      <w:marRight w:val="0"/>
      <w:marTop w:val="0"/>
      <w:marBottom w:val="0"/>
      <w:divBdr>
        <w:top w:val="none" w:sz="0" w:space="0" w:color="auto"/>
        <w:left w:val="none" w:sz="0" w:space="0" w:color="auto"/>
        <w:bottom w:val="none" w:sz="0" w:space="0" w:color="auto"/>
        <w:right w:val="none" w:sz="0" w:space="0" w:color="auto"/>
      </w:divBdr>
    </w:div>
    <w:div w:id="876547216">
      <w:bodyDiv w:val="1"/>
      <w:marLeft w:val="0"/>
      <w:marRight w:val="0"/>
      <w:marTop w:val="0"/>
      <w:marBottom w:val="0"/>
      <w:divBdr>
        <w:top w:val="none" w:sz="0" w:space="0" w:color="auto"/>
        <w:left w:val="none" w:sz="0" w:space="0" w:color="auto"/>
        <w:bottom w:val="none" w:sz="0" w:space="0" w:color="auto"/>
        <w:right w:val="none" w:sz="0" w:space="0" w:color="auto"/>
      </w:divBdr>
    </w:div>
    <w:div w:id="877157593">
      <w:bodyDiv w:val="1"/>
      <w:marLeft w:val="0"/>
      <w:marRight w:val="0"/>
      <w:marTop w:val="0"/>
      <w:marBottom w:val="0"/>
      <w:divBdr>
        <w:top w:val="none" w:sz="0" w:space="0" w:color="auto"/>
        <w:left w:val="none" w:sz="0" w:space="0" w:color="auto"/>
        <w:bottom w:val="none" w:sz="0" w:space="0" w:color="auto"/>
        <w:right w:val="none" w:sz="0" w:space="0" w:color="auto"/>
      </w:divBdr>
    </w:div>
    <w:div w:id="882182166">
      <w:bodyDiv w:val="1"/>
      <w:marLeft w:val="0"/>
      <w:marRight w:val="0"/>
      <w:marTop w:val="0"/>
      <w:marBottom w:val="0"/>
      <w:divBdr>
        <w:top w:val="none" w:sz="0" w:space="0" w:color="auto"/>
        <w:left w:val="none" w:sz="0" w:space="0" w:color="auto"/>
        <w:bottom w:val="none" w:sz="0" w:space="0" w:color="auto"/>
        <w:right w:val="none" w:sz="0" w:space="0" w:color="auto"/>
      </w:divBdr>
    </w:div>
    <w:div w:id="884756848">
      <w:bodyDiv w:val="1"/>
      <w:marLeft w:val="0"/>
      <w:marRight w:val="0"/>
      <w:marTop w:val="0"/>
      <w:marBottom w:val="0"/>
      <w:divBdr>
        <w:top w:val="none" w:sz="0" w:space="0" w:color="auto"/>
        <w:left w:val="none" w:sz="0" w:space="0" w:color="auto"/>
        <w:bottom w:val="none" w:sz="0" w:space="0" w:color="auto"/>
        <w:right w:val="none" w:sz="0" w:space="0" w:color="auto"/>
      </w:divBdr>
    </w:div>
    <w:div w:id="891499321">
      <w:bodyDiv w:val="1"/>
      <w:marLeft w:val="0"/>
      <w:marRight w:val="0"/>
      <w:marTop w:val="0"/>
      <w:marBottom w:val="0"/>
      <w:divBdr>
        <w:top w:val="none" w:sz="0" w:space="0" w:color="auto"/>
        <w:left w:val="none" w:sz="0" w:space="0" w:color="auto"/>
        <w:bottom w:val="none" w:sz="0" w:space="0" w:color="auto"/>
        <w:right w:val="none" w:sz="0" w:space="0" w:color="auto"/>
      </w:divBdr>
    </w:div>
    <w:div w:id="892741886">
      <w:bodyDiv w:val="1"/>
      <w:marLeft w:val="0"/>
      <w:marRight w:val="0"/>
      <w:marTop w:val="0"/>
      <w:marBottom w:val="0"/>
      <w:divBdr>
        <w:top w:val="none" w:sz="0" w:space="0" w:color="auto"/>
        <w:left w:val="none" w:sz="0" w:space="0" w:color="auto"/>
        <w:bottom w:val="none" w:sz="0" w:space="0" w:color="auto"/>
        <w:right w:val="none" w:sz="0" w:space="0" w:color="auto"/>
      </w:divBdr>
    </w:div>
    <w:div w:id="893273458">
      <w:bodyDiv w:val="1"/>
      <w:marLeft w:val="0"/>
      <w:marRight w:val="0"/>
      <w:marTop w:val="0"/>
      <w:marBottom w:val="0"/>
      <w:divBdr>
        <w:top w:val="none" w:sz="0" w:space="0" w:color="auto"/>
        <w:left w:val="none" w:sz="0" w:space="0" w:color="auto"/>
        <w:bottom w:val="none" w:sz="0" w:space="0" w:color="auto"/>
        <w:right w:val="none" w:sz="0" w:space="0" w:color="auto"/>
      </w:divBdr>
    </w:div>
    <w:div w:id="899024746">
      <w:bodyDiv w:val="1"/>
      <w:marLeft w:val="0"/>
      <w:marRight w:val="0"/>
      <w:marTop w:val="0"/>
      <w:marBottom w:val="0"/>
      <w:divBdr>
        <w:top w:val="none" w:sz="0" w:space="0" w:color="auto"/>
        <w:left w:val="none" w:sz="0" w:space="0" w:color="auto"/>
        <w:bottom w:val="none" w:sz="0" w:space="0" w:color="auto"/>
        <w:right w:val="none" w:sz="0" w:space="0" w:color="auto"/>
      </w:divBdr>
    </w:div>
    <w:div w:id="900143190">
      <w:bodyDiv w:val="1"/>
      <w:marLeft w:val="0"/>
      <w:marRight w:val="0"/>
      <w:marTop w:val="0"/>
      <w:marBottom w:val="0"/>
      <w:divBdr>
        <w:top w:val="none" w:sz="0" w:space="0" w:color="auto"/>
        <w:left w:val="none" w:sz="0" w:space="0" w:color="auto"/>
        <w:bottom w:val="none" w:sz="0" w:space="0" w:color="auto"/>
        <w:right w:val="none" w:sz="0" w:space="0" w:color="auto"/>
      </w:divBdr>
    </w:div>
    <w:div w:id="908271131">
      <w:bodyDiv w:val="1"/>
      <w:marLeft w:val="0"/>
      <w:marRight w:val="0"/>
      <w:marTop w:val="0"/>
      <w:marBottom w:val="0"/>
      <w:divBdr>
        <w:top w:val="none" w:sz="0" w:space="0" w:color="auto"/>
        <w:left w:val="none" w:sz="0" w:space="0" w:color="auto"/>
        <w:bottom w:val="none" w:sz="0" w:space="0" w:color="auto"/>
        <w:right w:val="none" w:sz="0" w:space="0" w:color="auto"/>
      </w:divBdr>
    </w:div>
    <w:div w:id="908810426">
      <w:bodyDiv w:val="1"/>
      <w:marLeft w:val="0"/>
      <w:marRight w:val="0"/>
      <w:marTop w:val="0"/>
      <w:marBottom w:val="0"/>
      <w:divBdr>
        <w:top w:val="none" w:sz="0" w:space="0" w:color="auto"/>
        <w:left w:val="none" w:sz="0" w:space="0" w:color="auto"/>
        <w:bottom w:val="none" w:sz="0" w:space="0" w:color="auto"/>
        <w:right w:val="none" w:sz="0" w:space="0" w:color="auto"/>
      </w:divBdr>
    </w:div>
    <w:div w:id="910963166">
      <w:bodyDiv w:val="1"/>
      <w:marLeft w:val="0"/>
      <w:marRight w:val="0"/>
      <w:marTop w:val="0"/>
      <w:marBottom w:val="0"/>
      <w:divBdr>
        <w:top w:val="none" w:sz="0" w:space="0" w:color="auto"/>
        <w:left w:val="none" w:sz="0" w:space="0" w:color="auto"/>
        <w:bottom w:val="none" w:sz="0" w:space="0" w:color="auto"/>
        <w:right w:val="none" w:sz="0" w:space="0" w:color="auto"/>
      </w:divBdr>
    </w:div>
    <w:div w:id="911742839">
      <w:bodyDiv w:val="1"/>
      <w:marLeft w:val="0"/>
      <w:marRight w:val="0"/>
      <w:marTop w:val="0"/>
      <w:marBottom w:val="0"/>
      <w:divBdr>
        <w:top w:val="none" w:sz="0" w:space="0" w:color="auto"/>
        <w:left w:val="none" w:sz="0" w:space="0" w:color="auto"/>
        <w:bottom w:val="none" w:sz="0" w:space="0" w:color="auto"/>
        <w:right w:val="none" w:sz="0" w:space="0" w:color="auto"/>
      </w:divBdr>
    </w:div>
    <w:div w:id="916406801">
      <w:bodyDiv w:val="1"/>
      <w:marLeft w:val="0"/>
      <w:marRight w:val="0"/>
      <w:marTop w:val="0"/>
      <w:marBottom w:val="0"/>
      <w:divBdr>
        <w:top w:val="none" w:sz="0" w:space="0" w:color="auto"/>
        <w:left w:val="none" w:sz="0" w:space="0" w:color="auto"/>
        <w:bottom w:val="none" w:sz="0" w:space="0" w:color="auto"/>
        <w:right w:val="none" w:sz="0" w:space="0" w:color="auto"/>
      </w:divBdr>
    </w:div>
    <w:div w:id="917904799">
      <w:bodyDiv w:val="1"/>
      <w:marLeft w:val="0"/>
      <w:marRight w:val="0"/>
      <w:marTop w:val="0"/>
      <w:marBottom w:val="0"/>
      <w:divBdr>
        <w:top w:val="none" w:sz="0" w:space="0" w:color="auto"/>
        <w:left w:val="none" w:sz="0" w:space="0" w:color="auto"/>
        <w:bottom w:val="none" w:sz="0" w:space="0" w:color="auto"/>
        <w:right w:val="none" w:sz="0" w:space="0" w:color="auto"/>
      </w:divBdr>
    </w:div>
    <w:div w:id="920605693">
      <w:bodyDiv w:val="1"/>
      <w:marLeft w:val="0"/>
      <w:marRight w:val="0"/>
      <w:marTop w:val="0"/>
      <w:marBottom w:val="0"/>
      <w:divBdr>
        <w:top w:val="none" w:sz="0" w:space="0" w:color="auto"/>
        <w:left w:val="none" w:sz="0" w:space="0" w:color="auto"/>
        <w:bottom w:val="none" w:sz="0" w:space="0" w:color="auto"/>
        <w:right w:val="none" w:sz="0" w:space="0" w:color="auto"/>
      </w:divBdr>
    </w:div>
    <w:div w:id="921141107">
      <w:bodyDiv w:val="1"/>
      <w:marLeft w:val="0"/>
      <w:marRight w:val="0"/>
      <w:marTop w:val="0"/>
      <w:marBottom w:val="0"/>
      <w:divBdr>
        <w:top w:val="none" w:sz="0" w:space="0" w:color="auto"/>
        <w:left w:val="none" w:sz="0" w:space="0" w:color="auto"/>
        <w:bottom w:val="none" w:sz="0" w:space="0" w:color="auto"/>
        <w:right w:val="none" w:sz="0" w:space="0" w:color="auto"/>
      </w:divBdr>
    </w:div>
    <w:div w:id="929046079">
      <w:bodyDiv w:val="1"/>
      <w:marLeft w:val="0"/>
      <w:marRight w:val="0"/>
      <w:marTop w:val="0"/>
      <w:marBottom w:val="0"/>
      <w:divBdr>
        <w:top w:val="none" w:sz="0" w:space="0" w:color="auto"/>
        <w:left w:val="none" w:sz="0" w:space="0" w:color="auto"/>
        <w:bottom w:val="none" w:sz="0" w:space="0" w:color="auto"/>
        <w:right w:val="none" w:sz="0" w:space="0" w:color="auto"/>
      </w:divBdr>
    </w:div>
    <w:div w:id="929436934">
      <w:bodyDiv w:val="1"/>
      <w:marLeft w:val="0"/>
      <w:marRight w:val="0"/>
      <w:marTop w:val="0"/>
      <w:marBottom w:val="0"/>
      <w:divBdr>
        <w:top w:val="none" w:sz="0" w:space="0" w:color="auto"/>
        <w:left w:val="none" w:sz="0" w:space="0" w:color="auto"/>
        <w:bottom w:val="none" w:sz="0" w:space="0" w:color="auto"/>
        <w:right w:val="none" w:sz="0" w:space="0" w:color="auto"/>
      </w:divBdr>
    </w:div>
    <w:div w:id="935484604">
      <w:bodyDiv w:val="1"/>
      <w:marLeft w:val="0"/>
      <w:marRight w:val="0"/>
      <w:marTop w:val="0"/>
      <w:marBottom w:val="0"/>
      <w:divBdr>
        <w:top w:val="none" w:sz="0" w:space="0" w:color="auto"/>
        <w:left w:val="none" w:sz="0" w:space="0" w:color="auto"/>
        <w:bottom w:val="none" w:sz="0" w:space="0" w:color="auto"/>
        <w:right w:val="none" w:sz="0" w:space="0" w:color="auto"/>
      </w:divBdr>
    </w:div>
    <w:div w:id="935751999">
      <w:bodyDiv w:val="1"/>
      <w:marLeft w:val="0"/>
      <w:marRight w:val="0"/>
      <w:marTop w:val="0"/>
      <w:marBottom w:val="0"/>
      <w:divBdr>
        <w:top w:val="none" w:sz="0" w:space="0" w:color="auto"/>
        <w:left w:val="none" w:sz="0" w:space="0" w:color="auto"/>
        <w:bottom w:val="none" w:sz="0" w:space="0" w:color="auto"/>
        <w:right w:val="none" w:sz="0" w:space="0" w:color="auto"/>
      </w:divBdr>
    </w:div>
    <w:div w:id="935863686">
      <w:bodyDiv w:val="1"/>
      <w:marLeft w:val="0"/>
      <w:marRight w:val="0"/>
      <w:marTop w:val="0"/>
      <w:marBottom w:val="0"/>
      <w:divBdr>
        <w:top w:val="none" w:sz="0" w:space="0" w:color="auto"/>
        <w:left w:val="none" w:sz="0" w:space="0" w:color="auto"/>
        <w:bottom w:val="none" w:sz="0" w:space="0" w:color="auto"/>
        <w:right w:val="none" w:sz="0" w:space="0" w:color="auto"/>
      </w:divBdr>
    </w:div>
    <w:div w:id="936868113">
      <w:bodyDiv w:val="1"/>
      <w:marLeft w:val="0"/>
      <w:marRight w:val="0"/>
      <w:marTop w:val="0"/>
      <w:marBottom w:val="0"/>
      <w:divBdr>
        <w:top w:val="none" w:sz="0" w:space="0" w:color="auto"/>
        <w:left w:val="none" w:sz="0" w:space="0" w:color="auto"/>
        <w:bottom w:val="none" w:sz="0" w:space="0" w:color="auto"/>
        <w:right w:val="none" w:sz="0" w:space="0" w:color="auto"/>
      </w:divBdr>
    </w:div>
    <w:div w:id="938492613">
      <w:bodyDiv w:val="1"/>
      <w:marLeft w:val="0"/>
      <w:marRight w:val="0"/>
      <w:marTop w:val="0"/>
      <w:marBottom w:val="0"/>
      <w:divBdr>
        <w:top w:val="none" w:sz="0" w:space="0" w:color="auto"/>
        <w:left w:val="none" w:sz="0" w:space="0" w:color="auto"/>
        <w:bottom w:val="none" w:sz="0" w:space="0" w:color="auto"/>
        <w:right w:val="none" w:sz="0" w:space="0" w:color="auto"/>
      </w:divBdr>
    </w:div>
    <w:div w:id="942766121">
      <w:bodyDiv w:val="1"/>
      <w:marLeft w:val="0"/>
      <w:marRight w:val="0"/>
      <w:marTop w:val="0"/>
      <w:marBottom w:val="0"/>
      <w:divBdr>
        <w:top w:val="none" w:sz="0" w:space="0" w:color="auto"/>
        <w:left w:val="none" w:sz="0" w:space="0" w:color="auto"/>
        <w:bottom w:val="none" w:sz="0" w:space="0" w:color="auto"/>
        <w:right w:val="none" w:sz="0" w:space="0" w:color="auto"/>
      </w:divBdr>
    </w:div>
    <w:div w:id="946960188">
      <w:bodyDiv w:val="1"/>
      <w:marLeft w:val="0"/>
      <w:marRight w:val="0"/>
      <w:marTop w:val="0"/>
      <w:marBottom w:val="0"/>
      <w:divBdr>
        <w:top w:val="none" w:sz="0" w:space="0" w:color="auto"/>
        <w:left w:val="none" w:sz="0" w:space="0" w:color="auto"/>
        <w:bottom w:val="none" w:sz="0" w:space="0" w:color="auto"/>
        <w:right w:val="none" w:sz="0" w:space="0" w:color="auto"/>
      </w:divBdr>
    </w:div>
    <w:div w:id="952899628">
      <w:bodyDiv w:val="1"/>
      <w:marLeft w:val="0"/>
      <w:marRight w:val="0"/>
      <w:marTop w:val="0"/>
      <w:marBottom w:val="0"/>
      <w:divBdr>
        <w:top w:val="none" w:sz="0" w:space="0" w:color="auto"/>
        <w:left w:val="none" w:sz="0" w:space="0" w:color="auto"/>
        <w:bottom w:val="none" w:sz="0" w:space="0" w:color="auto"/>
        <w:right w:val="none" w:sz="0" w:space="0" w:color="auto"/>
      </w:divBdr>
    </w:div>
    <w:div w:id="954871434">
      <w:bodyDiv w:val="1"/>
      <w:marLeft w:val="0"/>
      <w:marRight w:val="0"/>
      <w:marTop w:val="0"/>
      <w:marBottom w:val="0"/>
      <w:divBdr>
        <w:top w:val="none" w:sz="0" w:space="0" w:color="auto"/>
        <w:left w:val="none" w:sz="0" w:space="0" w:color="auto"/>
        <w:bottom w:val="none" w:sz="0" w:space="0" w:color="auto"/>
        <w:right w:val="none" w:sz="0" w:space="0" w:color="auto"/>
      </w:divBdr>
    </w:div>
    <w:div w:id="962733730">
      <w:bodyDiv w:val="1"/>
      <w:marLeft w:val="0"/>
      <w:marRight w:val="0"/>
      <w:marTop w:val="0"/>
      <w:marBottom w:val="0"/>
      <w:divBdr>
        <w:top w:val="none" w:sz="0" w:space="0" w:color="auto"/>
        <w:left w:val="none" w:sz="0" w:space="0" w:color="auto"/>
        <w:bottom w:val="none" w:sz="0" w:space="0" w:color="auto"/>
        <w:right w:val="none" w:sz="0" w:space="0" w:color="auto"/>
      </w:divBdr>
    </w:div>
    <w:div w:id="967051011">
      <w:bodyDiv w:val="1"/>
      <w:marLeft w:val="0"/>
      <w:marRight w:val="0"/>
      <w:marTop w:val="0"/>
      <w:marBottom w:val="0"/>
      <w:divBdr>
        <w:top w:val="none" w:sz="0" w:space="0" w:color="auto"/>
        <w:left w:val="none" w:sz="0" w:space="0" w:color="auto"/>
        <w:bottom w:val="none" w:sz="0" w:space="0" w:color="auto"/>
        <w:right w:val="none" w:sz="0" w:space="0" w:color="auto"/>
      </w:divBdr>
    </w:div>
    <w:div w:id="969481522">
      <w:bodyDiv w:val="1"/>
      <w:marLeft w:val="0"/>
      <w:marRight w:val="0"/>
      <w:marTop w:val="0"/>
      <w:marBottom w:val="0"/>
      <w:divBdr>
        <w:top w:val="none" w:sz="0" w:space="0" w:color="auto"/>
        <w:left w:val="none" w:sz="0" w:space="0" w:color="auto"/>
        <w:bottom w:val="none" w:sz="0" w:space="0" w:color="auto"/>
        <w:right w:val="none" w:sz="0" w:space="0" w:color="auto"/>
      </w:divBdr>
    </w:div>
    <w:div w:id="970550126">
      <w:bodyDiv w:val="1"/>
      <w:marLeft w:val="0"/>
      <w:marRight w:val="0"/>
      <w:marTop w:val="0"/>
      <w:marBottom w:val="0"/>
      <w:divBdr>
        <w:top w:val="none" w:sz="0" w:space="0" w:color="auto"/>
        <w:left w:val="none" w:sz="0" w:space="0" w:color="auto"/>
        <w:bottom w:val="none" w:sz="0" w:space="0" w:color="auto"/>
        <w:right w:val="none" w:sz="0" w:space="0" w:color="auto"/>
      </w:divBdr>
    </w:div>
    <w:div w:id="973951609">
      <w:bodyDiv w:val="1"/>
      <w:marLeft w:val="0"/>
      <w:marRight w:val="0"/>
      <w:marTop w:val="0"/>
      <w:marBottom w:val="0"/>
      <w:divBdr>
        <w:top w:val="none" w:sz="0" w:space="0" w:color="auto"/>
        <w:left w:val="none" w:sz="0" w:space="0" w:color="auto"/>
        <w:bottom w:val="none" w:sz="0" w:space="0" w:color="auto"/>
        <w:right w:val="none" w:sz="0" w:space="0" w:color="auto"/>
      </w:divBdr>
    </w:div>
    <w:div w:id="978539012">
      <w:bodyDiv w:val="1"/>
      <w:marLeft w:val="0"/>
      <w:marRight w:val="0"/>
      <w:marTop w:val="0"/>
      <w:marBottom w:val="0"/>
      <w:divBdr>
        <w:top w:val="none" w:sz="0" w:space="0" w:color="auto"/>
        <w:left w:val="none" w:sz="0" w:space="0" w:color="auto"/>
        <w:bottom w:val="none" w:sz="0" w:space="0" w:color="auto"/>
        <w:right w:val="none" w:sz="0" w:space="0" w:color="auto"/>
      </w:divBdr>
    </w:div>
    <w:div w:id="989095451">
      <w:bodyDiv w:val="1"/>
      <w:marLeft w:val="0"/>
      <w:marRight w:val="0"/>
      <w:marTop w:val="0"/>
      <w:marBottom w:val="0"/>
      <w:divBdr>
        <w:top w:val="none" w:sz="0" w:space="0" w:color="auto"/>
        <w:left w:val="none" w:sz="0" w:space="0" w:color="auto"/>
        <w:bottom w:val="none" w:sz="0" w:space="0" w:color="auto"/>
        <w:right w:val="none" w:sz="0" w:space="0" w:color="auto"/>
      </w:divBdr>
    </w:div>
    <w:div w:id="989358851">
      <w:bodyDiv w:val="1"/>
      <w:marLeft w:val="0"/>
      <w:marRight w:val="0"/>
      <w:marTop w:val="0"/>
      <w:marBottom w:val="0"/>
      <w:divBdr>
        <w:top w:val="none" w:sz="0" w:space="0" w:color="auto"/>
        <w:left w:val="none" w:sz="0" w:space="0" w:color="auto"/>
        <w:bottom w:val="none" w:sz="0" w:space="0" w:color="auto"/>
        <w:right w:val="none" w:sz="0" w:space="0" w:color="auto"/>
      </w:divBdr>
    </w:div>
    <w:div w:id="993340188">
      <w:bodyDiv w:val="1"/>
      <w:marLeft w:val="0"/>
      <w:marRight w:val="0"/>
      <w:marTop w:val="0"/>
      <w:marBottom w:val="0"/>
      <w:divBdr>
        <w:top w:val="none" w:sz="0" w:space="0" w:color="auto"/>
        <w:left w:val="none" w:sz="0" w:space="0" w:color="auto"/>
        <w:bottom w:val="none" w:sz="0" w:space="0" w:color="auto"/>
        <w:right w:val="none" w:sz="0" w:space="0" w:color="auto"/>
      </w:divBdr>
    </w:div>
    <w:div w:id="995844980">
      <w:bodyDiv w:val="1"/>
      <w:marLeft w:val="0"/>
      <w:marRight w:val="0"/>
      <w:marTop w:val="0"/>
      <w:marBottom w:val="0"/>
      <w:divBdr>
        <w:top w:val="none" w:sz="0" w:space="0" w:color="auto"/>
        <w:left w:val="none" w:sz="0" w:space="0" w:color="auto"/>
        <w:bottom w:val="none" w:sz="0" w:space="0" w:color="auto"/>
        <w:right w:val="none" w:sz="0" w:space="0" w:color="auto"/>
      </w:divBdr>
    </w:div>
    <w:div w:id="998189275">
      <w:bodyDiv w:val="1"/>
      <w:marLeft w:val="0"/>
      <w:marRight w:val="0"/>
      <w:marTop w:val="0"/>
      <w:marBottom w:val="0"/>
      <w:divBdr>
        <w:top w:val="none" w:sz="0" w:space="0" w:color="auto"/>
        <w:left w:val="none" w:sz="0" w:space="0" w:color="auto"/>
        <w:bottom w:val="none" w:sz="0" w:space="0" w:color="auto"/>
        <w:right w:val="none" w:sz="0" w:space="0" w:color="auto"/>
      </w:divBdr>
    </w:div>
    <w:div w:id="1002122456">
      <w:bodyDiv w:val="1"/>
      <w:marLeft w:val="0"/>
      <w:marRight w:val="0"/>
      <w:marTop w:val="0"/>
      <w:marBottom w:val="0"/>
      <w:divBdr>
        <w:top w:val="none" w:sz="0" w:space="0" w:color="auto"/>
        <w:left w:val="none" w:sz="0" w:space="0" w:color="auto"/>
        <w:bottom w:val="none" w:sz="0" w:space="0" w:color="auto"/>
        <w:right w:val="none" w:sz="0" w:space="0" w:color="auto"/>
      </w:divBdr>
    </w:div>
    <w:div w:id="1011107595">
      <w:bodyDiv w:val="1"/>
      <w:marLeft w:val="0"/>
      <w:marRight w:val="0"/>
      <w:marTop w:val="0"/>
      <w:marBottom w:val="0"/>
      <w:divBdr>
        <w:top w:val="none" w:sz="0" w:space="0" w:color="auto"/>
        <w:left w:val="none" w:sz="0" w:space="0" w:color="auto"/>
        <w:bottom w:val="none" w:sz="0" w:space="0" w:color="auto"/>
        <w:right w:val="none" w:sz="0" w:space="0" w:color="auto"/>
      </w:divBdr>
    </w:div>
    <w:div w:id="1011221113">
      <w:bodyDiv w:val="1"/>
      <w:marLeft w:val="0"/>
      <w:marRight w:val="0"/>
      <w:marTop w:val="0"/>
      <w:marBottom w:val="0"/>
      <w:divBdr>
        <w:top w:val="none" w:sz="0" w:space="0" w:color="auto"/>
        <w:left w:val="none" w:sz="0" w:space="0" w:color="auto"/>
        <w:bottom w:val="none" w:sz="0" w:space="0" w:color="auto"/>
        <w:right w:val="none" w:sz="0" w:space="0" w:color="auto"/>
      </w:divBdr>
    </w:div>
    <w:div w:id="1014890690">
      <w:bodyDiv w:val="1"/>
      <w:marLeft w:val="0"/>
      <w:marRight w:val="0"/>
      <w:marTop w:val="0"/>
      <w:marBottom w:val="0"/>
      <w:divBdr>
        <w:top w:val="none" w:sz="0" w:space="0" w:color="auto"/>
        <w:left w:val="none" w:sz="0" w:space="0" w:color="auto"/>
        <w:bottom w:val="none" w:sz="0" w:space="0" w:color="auto"/>
        <w:right w:val="none" w:sz="0" w:space="0" w:color="auto"/>
      </w:divBdr>
    </w:div>
    <w:div w:id="1020273939">
      <w:bodyDiv w:val="1"/>
      <w:marLeft w:val="0"/>
      <w:marRight w:val="0"/>
      <w:marTop w:val="0"/>
      <w:marBottom w:val="0"/>
      <w:divBdr>
        <w:top w:val="none" w:sz="0" w:space="0" w:color="auto"/>
        <w:left w:val="none" w:sz="0" w:space="0" w:color="auto"/>
        <w:bottom w:val="none" w:sz="0" w:space="0" w:color="auto"/>
        <w:right w:val="none" w:sz="0" w:space="0" w:color="auto"/>
      </w:divBdr>
    </w:div>
    <w:div w:id="1020351460">
      <w:bodyDiv w:val="1"/>
      <w:marLeft w:val="0"/>
      <w:marRight w:val="0"/>
      <w:marTop w:val="0"/>
      <w:marBottom w:val="0"/>
      <w:divBdr>
        <w:top w:val="none" w:sz="0" w:space="0" w:color="auto"/>
        <w:left w:val="none" w:sz="0" w:space="0" w:color="auto"/>
        <w:bottom w:val="none" w:sz="0" w:space="0" w:color="auto"/>
        <w:right w:val="none" w:sz="0" w:space="0" w:color="auto"/>
      </w:divBdr>
    </w:div>
    <w:div w:id="1021398169">
      <w:bodyDiv w:val="1"/>
      <w:marLeft w:val="0"/>
      <w:marRight w:val="0"/>
      <w:marTop w:val="0"/>
      <w:marBottom w:val="0"/>
      <w:divBdr>
        <w:top w:val="none" w:sz="0" w:space="0" w:color="auto"/>
        <w:left w:val="none" w:sz="0" w:space="0" w:color="auto"/>
        <w:bottom w:val="none" w:sz="0" w:space="0" w:color="auto"/>
        <w:right w:val="none" w:sz="0" w:space="0" w:color="auto"/>
      </w:divBdr>
    </w:div>
    <w:div w:id="1029333976">
      <w:bodyDiv w:val="1"/>
      <w:marLeft w:val="0"/>
      <w:marRight w:val="0"/>
      <w:marTop w:val="0"/>
      <w:marBottom w:val="0"/>
      <w:divBdr>
        <w:top w:val="none" w:sz="0" w:space="0" w:color="auto"/>
        <w:left w:val="none" w:sz="0" w:space="0" w:color="auto"/>
        <w:bottom w:val="none" w:sz="0" w:space="0" w:color="auto"/>
        <w:right w:val="none" w:sz="0" w:space="0" w:color="auto"/>
      </w:divBdr>
    </w:div>
    <w:div w:id="1029985305">
      <w:bodyDiv w:val="1"/>
      <w:marLeft w:val="0"/>
      <w:marRight w:val="0"/>
      <w:marTop w:val="0"/>
      <w:marBottom w:val="0"/>
      <w:divBdr>
        <w:top w:val="none" w:sz="0" w:space="0" w:color="auto"/>
        <w:left w:val="none" w:sz="0" w:space="0" w:color="auto"/>
        <w:bottom w:val="none" w:sz="0" w:space="0" w:color="auto"/>
        <w:right w:val="none" w:sz="0" w:space="0" w:color="auto"/>
      </w:divBdr>
    </w:div>
    <w:div w:id="1037394444">
      <w:bodyDiv w:val="1"/>
      <w:marLeft w:val="0"/>
      <w:marRight w:val="0"/>
      <w:marTop w:val="0"/>
      <w:marBottom w:val="0"/>
      <w:divBdr>
        <w:top w:val="none" w:sz="0" w:space="0" w:color="auto"/>
        <w:left w:val="none" w:sz="0" w:space="0" w:color="auto"/>
        <w:bottom w:val="none" w:sz="0" w:space="0" w:color="auto"/>
        <w:right w:val="none" w:sz="0" w:space="0" w:color="auto"/>
      </w:divBdr>
    </w:div>
    <w:div w:id="1039166712">
      <w:bodyDiv w:val="1"/>
      <w:marLeft w:val="0"/>
      <w:marRight w:val="0"/>
      <w:marTop w:val="0"/>
      <w:marBottom w:val="0"/>
      <w:divBdr>
        <w:top w:val="none" w:sz="0" w:space="0" w:color="auto"/>
        <w:left w:val="none" w:sz="0" w:space="0" w:color="auto"/>
        <w:bottom w:val="none" w:sz="0" w:space="0" w:color="auto"/>
        <w:right w:val="none" w:sz="0" w:space="0" w:color="auto"/>
      </w:divBdr>
    </w:div>
    <w:div w:id="1044868277">
      <w:bodyDiv w:val="1"/>
      <w:marLeft w:val="0"/>
      <w:marRight w:val="0"/>
      <w:marTop w:val="0"/>
      <w:marBottom w:val="0"/>
      <w:divBdr>
        <w:top w:val="none" w:sz="0" w:space="0" w:color="auto"/>
        <w:left w:val="none" w:sz="0" w:space="0" w:color="auto"/>
        <w:bottom w:val="none" w:sz="0" w:space="0" w:color="auto"/>
        <w:right w:val="none" w:sz="0" w:space="0" w:color="auto"/>
      </w:divBdr>
    </w:div>
    <w:div w:id="1047030512">
      <w:bodyDiv w:val="1"/>
      <w:marLeft w:val="0"/>
      <w:marRight w:val="0"/>
      <w:marTop w:val="0"/>
      <w:marBottom w:val="0"/>
      <w:divBdr>
        <w:top w:val="none" w:sz="0" w:space="0" w:color="auto"/>
        <w:left w:val="none" w:sz="0" w:space="0" w:color="auto"/>
        <w:bottom w:val="none" w:sz="0" w:space="0" w:color="auto"/>
        <w:right w:val="none" w:sz="0" w:space="0" w:color="auto"/>
      </w:divBdr>
    </w:div>
    <w:div w:id="1051150949">
      <w:bodyDiv w:val="1"/>
      <w:marLeft w:val="0"/>
      <w:marRight w:val="0"/>
      <w:marTop w:val="0"/>
      <w:marBottom w:val="0"/>
      <w:divBdr>
        <w:top w:val="none" w:sz="0" w:space="0" w:color="auto"/>
        <w:left w:val="none" w:sz="0" w:space="0" w:color="auto"/>
        <w:bottom w:val="none" w:sz="0" w:space="0" w:color="auto"/>
        <w:right w:val="none" w:sz="0" w:space="0" w:color="auto"/>
      </w:divBdr>
    </w:div>
    <w:div w:id="1053848593">
      <w:bodyDiv w:val="1"/>
      <w:marLeft w:val="0"/>
      <w:marRight w:val="0"/>
      <w:marTop w:val="0"/>
      <w:marBottom w:val="0"/>
      <w:divBdr>
        <w:top w:val="none" w:sz="0" w:space="0" w:color="auto"/>
        <w:left w:val="none" w:sz="0" w:space="0" w:color="auto"/>
        <w:bottom w:val="none" w:sz="0" w:space="0" w:color="auto"/>
        <w:right w:val="none" w:sz="0" w:space="0" w:color="auto"/>
      </w:divBdr>
    </w:div>
    <w:div w:id="1056658331">
      <w:bodyDiv w:val="1"/>
      <w:marLeft w:val="0"/>
      <w:marRight w:val="0"/>
      <w:marTop w:val="0"/>
      <w:marBottom w:val="0"/>
      <w:divBdr>
        <w:top w:val="none" w:sz="0" w:space="0" w:color="auto"/>
        <w:left w:val="none" w:sz="0" w:space="0" w:color="auto"/>
        <w:bottom w:val="none" w:sz="0" w:space="0" w:color="auto"/>
        <w:right w:val="none" w:sz="0" w:space="0" w:color="auto"/>
      </w:divBdr>
    </w:div>
    <w:div w:id="1057123862">
      <w:bodyDiv w:val="1"/>
      <w:marLeft w:val="0"/>
      <w:marRight w:val="0"/>
      <w:marTop w:val="0"/>
      <w:marBottom w:val="0"/>
      <w:divBdr>
        <w:top w:val="none" w:sz="0" w:space="0" w:color="auto"/>
        <w:left w:val="none" w:sz="0" w:space="0" w:color="auto"/>
        <w:bottom w:val="none" w:sz="0" w:space="0" w:color="auto"/>
        <w:right w:val="none" w:sz="0" w:space="0" w:color="auto"/>
      </w:divBdr>
    </w:div>
    <w:div w:id="1057819600">
      <w:bodyDiv w:val="1"/>
      <w:marLeft w:val="0"/>
      <w:marRight w:val="0"/>
      <w:marTop w:val="0"/>
      <w:marBottom w:val="0"/>
      <w:divBdr>
        <w:top w:val="none" w:sz="0" w:space="0" w:color="auto"/>
        <w:left w:val="none" w:sz="0" w:space="0" w:color="auto"/>
        <w:bottom w:val="none" w:sz="0" w:space="0" w:color="auto"/>
        <w:right w:val="none" w:sz="0" w:space="0" w:color="auto"/>
      </w:divBdr>
    </w:div>
    <w:div w:id="1061175766">
      <w:bodyDiv w:val="1"/>
      <w:marLeft w:val="0"/>
      <w:marRight w:val="0"/>
      <w:marTop w:val="0"/>
      <w:marBottom w:val="0"/>
      <w:divBdr>
        <w:top w:val="none" w:sz="0" w:space="0" w:color="auto"/>
        <w:left w:val="none" w:sz="0" w:space="0" w:color="auto"/>
        <w:bottom w:val="none" w:sz="0" w:space="0" w:color="auto"/>
        <w:right w:val="none" w:sz="0" w:space="0" w:color="auto"/>
      </w:divBdr>
    </w:div>
    <w:div w:id="1062757515">
      <w:bodyDiv w:val="1"/>
      <w:marLeft w:val="0"/>
      <w:marRight w:val="0"/>
      <w:marTop w:val="0"/>
      <w:marBottom w:val="0"/>
      <w:divBdr>
        <w:top w:val="none" w:sz="0" w:space="0" w:color="auto"/>
        <w:left w:val="none" w:sz="0" w:space="0" w:color="auto"/>
        <w:bottom w:val="none" w:sz="0" w:space="0" w:color="auto"/>
        <w:right w:val="none" w:sz="0" w:space="0" w:color="auto"/>
      </w:divBdr>
    </w:div>
    <w:div w:id="1063143268">
      <w:bodyDiv w:val="1"/>
      <w:marLeft w:val="0"/>
      <w:marRight w:val="0"/>
      <w:marTop w:val="0"/>
      <w:marBottom w:val="0"/>
      <w:divBdr>
        <w:top w:val="none" w:sz="0" w:space="0" w:color="auto"/>
        <w:left w:val="none" w:sz="0" w:space="0" w:color="auto"/>
        <w:bottom w:val="none" w:sz="0" w:space="0" w:color="auto"/>
        <w:right w:val="none" w:sz="0" w:space="0" w:color="auto"/>
      </w:divBdr>
    </w:div>
    <w:div w:id="1063524039">
      <w:bodyDiv w:val="1"/>
      <w:marLeft w:val="0"/>
      <w:marRight w:val="0"/>
      <w:marTop w:val="0"/>
      <w:marBottom w:val="0"/>
      <w:divBdr>
        <w:top w:val="none" w:sz="0" w:space="0" w:color="auto"/>
        <w:left w:val="none" w:sz="0" w:space="0" w:color="auto"/>
        <w:bottom w:val="none" w:sz="0" w:space="0" w:color="auto"/>
        <w:right w:val="none" w:sz="0" w:space="0" w:color="auto"/>
      </w:divBdr>
    </w:div>
    <w:div w:id="1065494148">
      <w:bodyDiv w:val="1"/>
      <w:marLeft w:val="0"/>
      <w:marRight w:val="0"/>
      <w:marTop w:val="0"/>
      <w:marBottom w:val="0"/>
      <w:divBdr>
        <w:top w:val="none" w:sz="0" w:space="0" w:color="auto"/>
        <w:left w:val="none" w:sz="0" w:space="0" w:color="auto"/>
        <w:bottom w:val="none" w:sz="0" w:space="0" w:color="auto"/>
        <w:right w:val="none" w:sz="0" w:space="0" w:color="auto"/>
      </w:divBdr>
    </w:div>
    <w:div w:id="1066227548">
      <w:bodyDiv w:val="1"/>
      <w:marLeft w:val="0"/>
      <w:marRight w:val="0"/>
      <w:marTop w:val="0"/>
      <w:marBottom w:val="0"/>
      <w:divBdr>
        <w:top w:val="none" w:sz="0" w:space="0" w:color="auto"/>
        <w:left w:val="none" w:sz="0" w:space="0" w:color="auto"/>
        <w:bottom w:val="none" w:sz="0" w:space="0" w:color="auto"/>
        <w:right w:val="none" w:sz="0" w:space="0" w:color="auto"/>
      </w:divBdr>
    </w:div>
    <w:div w:id="1070232751">
      <w:bodyDiv w:val="1"/>
      <w:marLeft w:val="0"/>
      <w:marRight w:val="0"/>
      <w:marTop w:val="0"/>
      <w:marBottom w:val="0"/>
      <w:divBdr>
        <w:top w:val="none" w:sz="0" w:space="0" w:color="auto"/>
        <w:left w:val="none" w:sz="0" w:space="0" w:color="auto"/>
        <w:bottom w:val="none" w:sz="0" w:space="0" w:color="auto"/>
        <w:right w:val="none" w:sz="0" w:space="0" w:color="auto"/>
      </w:divBdr>
    </w:div>
    <w:div w:id="1070924987">
      <w:bodyDiv w:val="1"/>
      <w:marLeft w:val="0"/>
      <w:marRight w:val="0"/>
      <w:marTop w:val="0"/>
      <w:marBottom w:val="0"/>
      <w:divBdr>
        <w:top w:val="none" w:sz="0" w:space="0" w:color="auto"/>
        <w:left w:val="none" w:sz="0" w:space="0" w:color="auto"/>
        <w:bottom w:val="none" w:sz="0" w:space="0" w:color="auto"/>
        <w:right w:val="none" w:sz="0" w:space="0" w:color="auto"/>
      </w:divBdr>
    </w:div>
    <w:div w:id="1079134471">
      <w:bodyDiv w:val="1"/>
      <w:marLeft w:val="0"/>
      <w:marRight w:val="0"/>
      <w:marTop w:val="0"/>
      <w:marBottom w:val="0"/>
      <w:divBdr>
        <w:top w:val="none" w:sz="0" w:space="0" w:color="auto"/>
        <w:left w:val="none" w:sz="0" w:space="0" w:color="auto"/>
        <w:bottom w:val="none" w:sz="0" w:space="0" w:color="auto"/>
        <w:right w:val="none" w:sz="0" w:space="0" w:color="auto"/>
      </w:divBdr>
    </w:div>
    <w:div w:id="1080954864">
      <w:bodyDiv w:val="1"/>
      <w:marLeft w:val="0"/>
      <w:marRight w:val="0"/>
      <w:marTop w:val="0"/>
      <w:marBottom w:val="0"/>
      <w:divBdr>
        <w:top w:val="none" w:sz="0" w:space="0" w:color="auto"/>
        <w:left w:val="none" w:sz="0" w:space="0" w:color="auto"/>
        <w:bottom w:val="none" w:sz="0" w:space="0" w:color="auto"/>
        <w:right w:val="none" w:sz="0" w:space="0" w:color="auto"/>
      </w:divBdr>
    </w:div>
    <w:div w:id="1081217168">
      <w:bodyDiv w:val="1"/>
      <w:marLeft w:val="0"/>
      <w:marRight w:val="0"/>
      <w:marTop w:val="0"/>
      <w:marBottom w:val="0"/>
      <w:divBdr>
        <w:top w:val="none" w:sz="0" w:space="0" w:color="auto"/>
        <w:left w:val="none" w:sz="0" w:space="0" w:color="auto"/>
        <w:bottom w:val="none" w:sz="0" w:space="0" w:color="auto"/>
        <w:right w:val="none" w:sz="0" w:space="0" w:color="auto"/>
      </w:divBdr>
    </w:div>
    <w:div w:id="1081563842">
      <w:bodyDiv w:val="1"/>
      <w:marLeft w:val="0"/>
      <w:marRight w:val="0"/>
      <w:marTop w:val="0"/>
      <w:marBottom w:val="0"/>
      <w:divBdr>
        <w:top w:val="none" w:sz="0" w:space="0" w:color="auto"/>
        <w:left w:val="none" w:sz="0" w:space="0" w:color="auto"/>
        <w:bottom w:val="none" w:sz="0" w:space="0" w:color="auto"/>
        <w:right w:val="none" w:sz="0" w:space="0" w:color="auto"/>
      </w:divBdr>
    </w:div>
    <w:div w:id="1082096716">
      <w:bodyDiv w:val="1"/>
      <w:marLeft w:val="0"/>
      <w:marRight w:val="0"/>
      <w:marTop w:val="0"/>
      <w:marBottom w:val="0"/>
      <w:divBdr>
        <w:top w:val="none" w:sz="0" w:space="0" w:color="auto"/>
        <w:left w:val="none" w:sz="0" w:space="0" w:color="auto"/>
        <w:bottom w:val="none" w:sz="0" w:space="0" w:color="auto"/>
        <w:right w:val="none" w:sz="0" w:space="0" w:color="auto"/>
      </w:divBdr>
    </w:div>
    <w:div w:id="1083453507">
      <w:bodyDiv w:val="1"/>
      <w:marLeft w:val="0"/>
      <w:marRight w:val="0"/>
      <w:marTop w:val="0"/>
      <w:marBottom w:val="0"/>
      <w:divBdr>
        <w:top w:val="none" w:sz="0" w:space="0" w:color="auto"/>
        <w:left w:val="none" w:sz="0" w:space="0" w:color="auto"/>
        <w:bottom w:val="none" w:sz="0" w:space="0" w:color="auto"/>
        <w:right w:val="none" w:sz="0" w:space="0" w:color="auto"/>
      </w:divBdr>
    </w:div>
    <w:div w:id="1092238078">
      <w:bodyDiv w:val="1"/>
      <w:marLeft w:val="0"/>
      <w:marRight w:val="0"/>
      <w:marTop w:val="0"/>
      <w:marBottom w:val="0"/>
      <w:divBdr>
        <w:top w:val="none" w:sz="0" w:space="0" w:color="auto"/>
        <w:left w:val="none" w:sz="0" w:space="0" w:color="auto"/>
        <w:bottom w:val="none" w:sz="0" w:space="0" w:color="auto"/>
        <w:right w:val="none" w:sz="0" w:space="0" w:color="auto"/>
      </w:divBdr>
    </w:div>
    <w:div w:id="1092508815">
      <w:bodyDiv w:val="1"/>
      <w:marLeft w:val="0"/>
      <w:marRight w:val="0"/>
      <w:marTop w:val="0"/>
      <w:marBottom w:val="0"/>
      <w:divBdr>
        <w:top w:val="none" w:sz="0" w:space="0" w:color="auto"/>
        <w:left w:val="none" w:sz="0" w:space="0" w:color="auto"/>
        <w:bottom w:val="none" w:sz="0" w:space="0" w:color="auto"/>
        <w:right w:val="none" w:sz="0" w:space="0" w:color="auto"/>
      </w:divBdr>
    </w:div>
    <w:div w:id="1092509744">
      <w:bodyDiv w:val="1"/>
      <w:marLeft w:val="0"/>
      <w:marRight w:val="0"/>
      <w:marTop w:val="0"/>
      <w:marBottom w:val="0"/>
      <w:divBdr>
        <w:top w:val="none" w:sz="0" w:space="0" w:color="auto"/>
        <w:left w:val="none" w:sz="0" w:space="0" w:color="auto"/>
        <w:bottom w:val="none" w:sz="0" w:space="0" w:color="auto"/>
        <w:right w:val="none" w:sz="0" w:space="0" w:color="auto"/>
      </w:divBdr>
    </w:div>
    <w:div w:id="1092705965">
      <w:bodyDiv w:val="1"/>
      <w:marLeft w:val="0"/>
      <w:marRight w:val="0"/>
      <w:marTop w:val="0"/>
      <w:marBottom w:val="0"/>
      <w:divBdr>
        <w:top w:val="none" w:sz="0" w:space="0" w:color="auto"/>
        <w:left w:val="none" w:sz="0" w:space="0" w:color="auto"/>
        <w:bottom w:val="none" w:sz="0" w:space="0" w:color="auto"/>
        <w:right w:val="none" w:sz="0" w:space="0" w:color="auto"/>
      </w:divBdr>
    </w:div>
    <w:div w:id="1112943036">
      <w:bodyDiv w:val="1"/>
      <w:marLeft w:val="0"/>
      <w:marRight w:val="0"/>
      <w:marTop w:val="0"/>
      <w:marBottom w:val="0"/>
      <w:divBdr>
        <w:top w:val="none" w:sz="0" w:space="0" w:color="auto"/>
        <w:left w:val="none" w:sz="0" w:space="0" w:color="auto"/>
        <w:bottom w:val="none" w:sz="0" w:space="0" w:color="auto"/>
        <w:right w:val="none" w:sz="0" w:space="0" w:color="auto"/>
      </w:divBdr>
    </w:div>
    <w:div w:id="1116093990">
      <w:bodyDiv w:val="1"/>
      <w:marLeft w:val="0"/>
      <w:marRight w:val="0"/>
      <w:marTop w:val="0"/>
      <w:marBottom w:val="0"/>
      <w:divBdr>
        <w:top w:val="none" w:sz="0" w:space="0" w:color="auto"/>
        <w:left w:val="none" w:sz="0" w:space="0" w:color="auto"/>
        <w:bottom w:val="none" w:sz="0" w:space="0" w:color="auto"/>
        <w:right w:val="none" w:sz="0" w:space="0" w:color="auto"/>
      </w:divBdr>
    </w:div>
    <w:div w:id="1116407192">
      <w:bodyDiv w:val="1"/>
      <w:marLeft w:val="0"/>
      <w:marRight w:val="0"/>
      <w:marTop w:val="0"/>
      <w:marBottom w:val="0"/>
      <w:divBdr>
        <w:top w:val="none" w:sz="0" w:space="0" w:color="auto"/>
        <w:left w:val="none" w:sz="0" w:space="0" w:color="auto"/>
        <w:bottom w:val="none" w:sz="0" w:space="0" w:color="auto"/>
        <w:right w:val="none" w:sz="0" w:space="0" w:color="auto"/>
      </w:divBdr>
    </w:div>
    <w:div w:id="1121194023">
      <w:bodyDiv w:val="1"/>
      <w:marLeft w:val="0"/>
      <w:marRight w:val="0"/>
      <w:marTop w:val="0"/>
      <w:marBottom w:val="0"/>
      <w:divBdr>
        <w:top w:val="none" w:sz="0" w:space="0" w:color="auto"/>
        <w:left w:val="none" w:sz="0" w:space="0" w:color="auto"/>
        <w:bottom w:val="none" w:sz="0" w:space="0" w:color="auto"/>
        <w:right w:val="none" w:sz="0" w:space="0" w:color="auto"/>
      </w:divBdr>
    </w:div>
    <w:div w:id="1121268237">
      <w:bodyDiv w:val="1"/>
      <w:marLeft w:val="0"/>
      <w:marRight w:val="0"/>
      <w:marTop w:val="0"/>
      <w:marBottom w:val="0"/>
      <w:divBdr>
        <w:top w:val="none" w:sz="0" w:space="0" w:color="auto"/>
        <w:left w:val="none" w:sz="0" w:space="0" w:color="auto"/>
        <w:bottom w:val="none" w:sz="0" w:space="0" w:color="auto"/>
        <w:right w:val="none" w:sz="0" w:space="0" w:color="auto"/>
      </w:divBdr>
    </w:div>
    <w:div w:id="1124688866">
      <w:bodyDiv w:val="1"/>
      <w:marLeft w:val="0"/>
      <w:marRight w:val="0"/>
      <w:marTop w:val="0"/>
      <w:marBottom w:val="0"/>
      <w:divBdr>
        <w:top w:val="none" w:sz="0" w:space="0" w:color="auto"/>
        <w:left w:val="none" w:sz="0" w:space="0" w:color="auto"/>
        <w:bottom w:val="none" w:sz="0" w:space="0" w:color="auto"/>
        <w:right w:val="none" w:sz="0" w:space="0" w:color="auto"/>
      </w:divBdr>
    </w:div>
    <w:div w:id="1125392924">
      <w:bodyDiv w:val="1"/>
      <w:marLeft w:val="0"/>
      <w:marRight w:val="0"/>
      <w:marTop w:val="0"/>
      <w:marBottom w:val="0"/>
      <w:divBdr>
        <w:top w:val="none" w:sz="0" w:space="0" w:color="auto"/>
        <w:left w:val="none" w:sz="0" w:space="0" w:color="auto"/>
        <w:bottom w:val="none" w:sz="0" w:space="0" w:color="auto"/>
        <w:right w:val="none" w:sz="0" w:space="0" w:color="auto"/>
      </w:divBdr>
    </w:div>
    <w:div w:id="1126434436">
      <w:bodyDiv w:val="1"/>
      <w:marLeft w:val="0"/>
      <w:marRight w:val="0"/>
      <w:marTop w:val="0"/>
      <w:marBottom w:val="0"/>
      <w:divBdr>
        <w:top w:val="none" w:sz="0" w:space="0" w:color="auto"/>
        <w:left w:val="none" w:sz="0" w:space="0" w:color="auto"/>
        <w:bottom w:val="none" w:sz="0" w:space="0" w:color="auto"/>
        <w:right w:val="none" w:sz="0" w:space="0" w:color="auto"/>
      </w:divBdr>
    </w:div>
    <w:div w:id="1127361189">
      <w:bodyDiv w:val="1"/>
      <w:marLeft w:val="0"/>
      <w:marRight w:val="0"/>
      <w:marTop w:val="0"/>
      <w:marBottom w:val="0"/>
      <w:divBdr>
        <w:top w:val="none" w:sz="0" w:space="0" w:color="auto"/>
        <w:left w:val="none" w:sz="0" w:space="0" w:color="auto"/>
        <w:bottom w:val="none" w:sz="0" w:space="0" w:color="auto"/>
        <w:right w:val="none" w:sz="0" w:space="0" w:color="auto"/>
      </w:divBdr>
    </w:div>
    <w:div w:id="1129932537">
      <w:bodyDiv w:val="1"/>
      <w:marLeft w:val="0"/>
      <w:marRight w:val="0"/>
      <w:marTop w:val="0"/>
      <w:marBottom w:val="0"/>
      <w:divBdr>
        <w:top w:val="none" w:sz="0" w:space="0" w:color="auto"/>
        <w:left w:val="none" w:sz="0" w:space="0" w:color="auto"/>
        <w:bottom w:val="none" w:sz="0" w:space="0" w:color="auto"/>
        <w:right w:val="none" w:sz="0" w:space="0" w:color="auto"/>
      </w:divBdr>
    </w:div>
    <w:div w:id="1131942490">
      <w:bodyDiv w:val="1"/>
      <w:marLeft w:val="0"/>
      <w:marRight w:val="0"/>
      <w:marTop w:val="0"/>
      <w:marBottom w:val="0"/>
      <w:divBdr>
        <w:top w:val="none" w:sz="0" w:space="0" w:color="auto"/>
        <w:left w:val="none" w:sz="0" w:space="0" w:color="auto"/>
        <w:bottom w:val="none" w:sz="0" w:space="0" w:color="auto"/>
        <w:right w:val="none" w:sz="0" w:space="0" w:color="auto"/>
      </w:divBdr>
    </w:div>
    <w:div w:id="1133524184">
      <w:bodyDiv w:val="1"/>
      <w:marLeft w:val="0"/>
      <w:marRight w:val="0"/>
      <w:marTop w:val="0"/>
      <w:marBottom w:val="0"/>
      <w:divBdr>
        <w:top w:val="none" w:sz="0" w:space="0" w:color="auto"/>
        <w:left w:val="none" w:sz="0" w:space="0" w:color="auto"/>
        <w:bottom w:val="none" w:sz="0" w:space="0" w:color="auto"/>
        <w:right w:val="none" w:sz="0" w:space="0" w:color="auto"/>
      </w:divBdr>
    </w:div>
    <w:div w:id="1138835805">
      <w:bodyDiv w:val="1"/>
      <w:marLeft w:val="0"/>
      <w:marRight w:val="0"/>
      <w:marTop w:val="0"/>
      <w:marBottom w:val="0"/>
      <w:divBdr>
        <w:top w:val="none" w:sz="0" w:space="0" w:color="auto"/>
        <w:left w:val="none" w:sz="0" w:space="0" w:color="auto"/>
        <w:bottom w:val="none" w:sz="0" w:space="0" w:color="auto"/>
        <w:right w:val="none" w:sz="0" w:space="0" w:color="auto"/>
      </w:divBdr>
    </w:div>
    <w:div w:id="1143157627">
      <w:bodyDiv w:val="1"/>
      <w:marLeft w:val="0"/>
      <w:marRight w:val="0"/>
      <w:marTop w:val="0"/>
      <w:marBottom w:val="0"/>
      <w:divBdr>
        <w:top w:val="none" w:sz="0" w:space="0" w:color="auto"/>
        <w:left w:val="none" w:sz="0" w:space="0" w:color="auto"/>
        <w:bottom w:val="none" w:sz="0" w:space="0" w:color="auto"/>
        <w:right w:val="none" w:sz="0" w:space="0" w:color="auto"/>
      </w:divBdr>
    </w:div>
    <w:div w:id="1146629313">
      <w:bodyDiv w:val="1"/>
      <w:marLeft w:val="0"/>
      <w:marRight w:val="0"/>
      <w:marTop w:val="0"/>
      <w:marBottom w:val="0"/>
      <w:divBdr>
        <w:top w:val="none" w:sz="0" w:space="0" w:color="auto"/>
        <w:left w:val="none" w:sz="0" w:space="0" w:color="auto"/>
        <w:bottom w:val="none" w:sz="0" w:space="0" w:color="auto"/>
        <w:right w:val="none" w:sz="0" w:space="0" w:color="auto"/>
      </w:divBdr>
    </w:div>
    <w:div w:id="1152987758">
      <w:bodyDiv w:val="1"/>
      <w:marLeft w:val="0"/>
      <w:marRight w:val="0"/>
      <w:marTop w:val="0"/>
      <w:marBottom w:val="0"/>
      <w:divBdr>
        <w:top w:val="none" w:sz="0" w:space="0" w:color="auto"/>
        <w:left w:val="none" w:sz="0" w:space="0" w:color="auto"/>
        <w:bottom w:val="none" w:sz="0" w:space="0" w:color="auto"/>
        <w:right w:val="none" w:sz="0" w:space="0" w:color="auto"/>
      </w:divBdr>
    </w:div>
    <w:div w:id="1154223741">
      <w:bodyDiv w:val="1"/>
      <w:marLeft w:val="0"/>
      <w:marRight w:val="0"/>
      <w:marTop w:val="0"/>
      <w:marBottom w:val="0"/>
      <w:divBdr>
        <w:top w:val="none" w:sz="0" w:space="0" w:color="auto"/>
        <w:left w:val="none" w:sz="0" w:space="0" w:color="auto"/>
        <w:bottom w:val="none" w:sz="0" w:space="0" w:color="auto"/>
        <w:right w:val="none" w:sz="0" w:space="0" w:color="auto"/>
      </w:divBdr>
    </w:div>
    <w:div w:id="1157693543">
      <w:bodyDiv w:val="1"/>
      <w:marLeft w:val="0"/>
      <w:marRight w:val="0"/>
      <w:marTop w:val="0"/>
      <w:marBottom w:val="0"/>
      <w:divBdr>
        <w:top w:val="none" w:sz="0" w:space="0" w:color="auto"/>
        <w:left w:val="none" w:sz="0" w:space="0" w:color="auto"/>
        <w:bottom w:val="none" w:sz="0" w:space="0" w:color="auto"/>
        <w:right w:val="none" w:sz="0" w:space="0" w:color="auto"/>
      </w:divBdr>
    </w:div>
    <w:div w:id="1159541088">
      <w:bodyDiv w:val="1"/>
      <w:marLeft w:val="0"/>
      <w:marRight w:val="0"/>
      <w:marTop w:val="0"/>
      <w:marBottom w:val="0"/>
      <w:divBdr>
        <w:top w:val="none" w:sz="0" w:space="0" w:color="auto"/>
        <w:left w:val="none" w:sz="0" w:space="0" w:color="auto"/>
        <w:bottom w:val="none" w:sz="0" w:space="0" w:color="auto"/>
        <w:right w:val="none" w:sz="0" w:space="0" w:color="auto"/>
      </w:divBdr>
    </w:div>
    <w:div w:id="1162769653">
      <w:bodyDiv w:val="1"/>
      <w:marLeft w:val="0"/>
      <w:marRight w:val="0"/>
      <w:marTop w:val="0"/>
      <w:marBottom w:val="0"/>
      <w:divBdr>
        <w:top w:val="none" w:sz="0" w:space="0" w:color="auto"/>
        <w:left w:val="none" w:sz="0" w:space="0" w:color="auto"/>
        <w:bottom w:val="none" w:sz="0" w:space="0" w:color="auto"/>
        <w:right w:val="none" w:sz="0" w:space="0" w:color="auto"/>
      </w:divBdr>
    </w:div>
    <w:div w:id="1167209035">
      <w:bodyDiv w:val="1"/>
      <w:marLeft w:val="0"/>
      <w:marRight w:val="0"/>
      <w:marTop w:val="0"/>
      <w:marBottom w:val="0"/>
      <w:divBdr>
        <w:top w:val="none" w:sz="0" w:space="0" w:color="auto"/>
        <w:left w:val="none" w:sz="0" w:space="0" w:color="auto"/>
        <w:bottom w:val="none" w:sz="0" w:space="0" w:color="auto"/>
        <w:right w:val="none" w:sz="0" w:space="0" w:color="auto"/>
      </w:divBdr>
    </w:div>
    <w:div w:id="1168669488">
      <w:bodyDiv w:val="1"/>
      <w:marLeft w:val="0"/>
      <w:marRight w:val="0"/>
      <w:marTop w:val="0"/>
      <w:marBottom w:val="0"/>
      <w:divBdr>
        <w:top w:val="none" w:sz="0" w:space="0" w:color="auto"/>
        <w:left w:val="none" w:sz="0" w:space="0" w:color="auto"/>
        <w:bottom w:val="none" w:sz="0" w:space="0" w:color="auto"/>
        <w:right w:val="none" w:sz="0" w:space="0" w:color="auto"/>
      </w:divBdr>
    </w:div>
    <w:div w:id="1176072027">
      <w:bodyDiv w:val="1"/>
      <w:marLeft w:val="0"/>
      <w:marRight w:val="0"/>
      <w:marTop w:val="0"/>
      <w:marBottom w:val="0"/>
      <w:divBdr>
        <w:top w:val="none" w:sz="0" w:space="0" w:color="auto"/>
        <w:left w:val="none" w:sz="0" w:space="0" w:color="auto"/>
        <w:bottom w:val="none" w:sz="0" w:space="0" w:color="auto"/>
        <w:right w:val="none" w:sz="0" w:space="0" w:color="auto"/>
      </w:divBdr>
    </w:div>
    <w:div w:id="1178959666">
      <w:bodyDiv w:val="1"/>
      <w:marLeft w:val="0"/>
      <w:marRight w:val="0"/>
      <w:marTop w:val="0"/>
      <w:marBottom w:val="0"/>
      <w:divBdr>
        <w:top w:val="none" w:sz="0" w:space="0" w:color="auto"/>
        <w:left w:val="none" w:sz="0" w:space="0" w:color="auto"/>
        <w:bottom w:val="none" w:sz="0" w:space="0" w:color="auto"/>
        <w:right w:val="none" w:sz="0" w:space="0" w:color="auto"/>
      </w:divBdr>
    </w:div>
    <w:div w:id="1181748193">
      <w:bodyDiv w:val="1"/>
      <w:marLeft w:val="0"/>
      <w:marRight w:val="0"/>
      <w:marTop w:val="0"/>
      <w:marBottom w:val="0"/>
      <w:divBdr>
        <w:top w:val="none" w:sz="0" w:space="0" w:color="auto"/>
        <w:left w:val="none" w:sz="0" w:space="0" w:color="auto"/>
        <w:bottom w:val="none" w:sz="0" w:space="0" w:color="auto"/>
        <w:right w:val="none" w:sz="0" w:space="0" w:color="auto"/>
      </w:divBdr>
    </w:div>
    <w:div w:id="1189222846">
      <w:bodyDiv w:val="1"/>
      <w:marLeft w:val="0"/>
      <w:marRight w:val="0"/>
      <w:marTop w:val="0"/>
      <w:marBottom w:val="0"/>
      <w:divBdr>
        <w:top w:val="none" w:sz="0" w:space="0" w:color="auto"/>
        <w:left w:val="none" w:sz="0" w:space="0" w:color="auto"/>
        <w:bottom w:val="none" w:sz="0" w:space="0" w:color="auto"/>
        <w:right w:val="none" w:sz="0" w:space="0" w:color="auto"/>
      </w:divBdr>
    </w:div>
    <w:div w:id="1189951716">
      <w:bodyDiv w:val="1"/>
      <w:marLeft w:val="0"/>
      <w:marRight w:val="0"/>
      <w:marTop w:val="0"/>
      <w:marBottom w:val="0"/>
      <w:divBdr>
        <w:top w:val="none" w:sz="0" w:space="0" w:color="auto"/>
        <w:left w:val="none" w:sz="0" w:space="0" w:color="auto"/>
        <w:bottom w:val="none" w:sz="0" w:space="0" w:color="auto"/>
        <w:right w:val="none" w:sz="0" w:space="0" w:color="auto"/>
      </w:divBdr>
    </w:div>
    <w:div w:id="1190221053">
      <w:bodyDiv w:val="1"/>
      <w:marLeft w:val="0"/>
      <w:marRight w:val="0"/>
      <w:marTop w:val="0"/>
      <w:marBottom w:val="0"/>
      <w:divBdr>
        <w:top w:val="none" w:sz="0" w:space="0" w:color="auto"/>
        <w:left w:val="none" w:sz="0" w:space="0" w:color="auto"/>
        <w:bottom w:val="none" w:sz="0" w:space="0" w:color="auto"/>
        <w:right w:val="none" w:sz="0" w:space="0" w:color="auto"/>
      </w:divBdr>
    </w:div>
    <w:div w:id="1190415049">
      <w:bodyDiv w:val="1"/>
      <w:marLeft w:val="0"/>
      <w:marRight w:val="0"/>
      <w:marTop w:val="0"/>
      <w:marBottom w:val="0"/>
      <w:divBdr>
        <w:top w:val="none" w:sz="0" w:space="0" w:color="auto"/>
        <w:left w:val="none" w:sz="0" w:space="0" w:color="auto"/>
        <w:bottom w:val="none" w:sz="0" w:space="0" w:color="auto"/>
        <w:right w:val="none" w:sz="0" w:space="0" w:color="auto"/>
      </w:divBdr>
    </w:div>
    <w:div w:id="1195925935">
      <w:bodyDiv w:val="1"/>
      <w:marLeft w:val="0"/>
      <w:marRight w:val="0"/>
      <w:marTop w:val="0"/>
      <w:marBottom w:val="0"/>
      <w:divBdr>
        <w:top w:val="none" w:sz="0" w:space="0" w:color="auto"/>
        <w:left w:val="none" w:sz="0" w:space="0" w:color="auto"/>
        <w:bottom w:val="none" w:sz="0" w:space="0" w:color="auto"/>
        <w:right w:val="none" w:sz="0" w:space="0" w:color="auto"/>
      </w:divBdr>
    </w:div>
    <w:div w:id="1198738414">
      <w:bodyDiv w:val="1"/>
      <w:marLeft w:val="0"/>
      <w:marRight w:val="0"/>
      <w:marTop w:val="0"/>
      <w:marBottom w:val="0"/>
      <w:divBdr>
        <w:top w:val="none" w:sz="0" w:space="0" w:color="auto"/>
        <w:left w:val="none" w:sz="0" w:space="0" w:color="auto"/>
        <w:bottom w:val="none" w:sz="0" w:space="0" w:color="auto"/>
        <w:right w:val="none" w:sz="0" w:space="0" w:color="auto"/>
      </w:divBdr>
    </w:div>
    <w:div w:id="1199468183">
      <w:bodyDiv w:val="1"/>
      <w:marLeft w:val="0"/>
      <w:marRight w:val="0"/>
      <w:marTop w:val="0"/>
      <w:marBottom w:val="0"/>
      <w:divBdr>
        <w:top w:val="none" w:sz="0" w:space="0" w:color="auto"/>
        <w:left w:val="none" w:sz="0" w:space="0" w:color="auto"/>
        <w:bottom w:val="none" w:sz="0" w:space="0" w:color="auto"/>
        <w:right w:val="none" w:sz="0" w:space="0" w:color="auto"/>
      </w:divBdr>
    </w:div>
    <w:div w:id="1200817101">
      <w:bodyDiv w:val="1"/>
      <w:marLeft w:val="0"/>
      <w:marRight w:val="0"/>
      <w:marTop w:val="0"/>
      <w:marBottom w:val="0"/>
      <w:divBdr>
        <w:top w:val="none" w:sz="0" w:space="0" w:color="auto"/>
        <w:left w:val="none" w:sz="0" w:space="0" w:color="auto"/>
        <w:bottom w:val="none" w:sz="0" w:space="0" w:color="auto"/>
        <w:right w:val="none" w:sz="0" w:space="0" w:color="auto"/>
      </w:divBdr>
    </w:div>
    <w:div w:id="1203785806">
      <w:bodyDiv w:val="1"/>
      <w:marLeft w:val="0"/>
      <w:marRight w:val="0"/>
      <w:marTop w:val="0"/>
      <w:marBottom w:val="0"/>
      <w:divBdr>
        <w:top w:val="none" w:sz="0" w:space="0" w:color="auto"/>
        <w:left w:val="none" w:sz="0" w:space="0" w:color="auto"/>
        <w:bottom w:val="none" w:sz="0" w:space="0" w:color="auto"/>
        <w:right w:val="none" w:sz="0" w:space="0" w:color="auto"/>
      </w:divBdr>
    </w:div>
    <w:div w:id="1206797258">
      <w:bodyDiv w:val="1"/>
      <w:marLeft w:val="0"/>
      <w:marRight w:val="0"/>
      <w:marTop w:val="0"/>
      <w:marBottom w:val="0"/>
      <w:divBdr>
        <w:top w:val="none" w:sz="0" w:space="0" w:color="auto"/>
        <w:left w:val="none" w:sz="0" w:space="0" w:color="auto"/>
        <w:bottom w:val="none" w:sz="0" w:space="0" w:color="auto"/>
        <w:right w:val="none" w:sz="0" w:space="0" w:color="auto"/>
      </w:divBdr>
    </w:div>
    <w:div w:id="1212110468">
      <w:bodyDiv w:val="1"/>
      <w:marLeft w:val="0"/>
      <w:marRight w:val="0"/>
      <w:marTop w:val="0"/>
      <w:marBottom w:val="0"/>
      <w:divBdr>
        <w:top w:val="none" w:sz="0" w:space="0" w:color="auto"/>
        <w:left w:val="none" w:sz="0" w:space="0" w:color="auto"/>
        <w:bottom w:val="none" w:sz="0" w:space="0" w:color="auto"/>
        <w:right w:val="none" w:sz="0" w:space="0" w:color="auto"/>
      </w:divBdr>
    </w:div>
    <w:div w:id="1213300364">
      <w:bodyDiv w:val="1"/>
      <w:marLeft w:val="0"/>
      <w:marRight w:val="0"/>
      <w:marTop w:val="0"/>
      <w:marBottom w:val="0"/>
      <w:divBdr>
        <w:top w:val="none" w:sz="0" w:space="0" w:color="auto"/>
        <w:left w:val="none" w:sz="0" w:space="0" w:color="auto"/>
        <w:bottom w:val="none" w:sz="0" w:space="0" w:color="auto"/>
        <w:right w:val="none" w:sz="0" w:space="0" w:color="auto"/>
      </w:divBdr>
    </w:div>
    <w:div w:id="1214121319">
      <w:bodyDiv w:val="1"/>
      <w:marLeft w:val="0"/>
      <w:marRight w:val="0"/>
      <w:marTop w:val="0"/>
      <w:marBottom w:val="0"/>
      <w:divBdr>
        <w:top w:val="none" w:sz="0" w:space="0" w:color="auto"/>
        <w:left w:val="none" w:sz="0" w:space="0" w:color="auto"/>
        <w:bottom w:val="none" w:sz="0" w:space="0" w:color="auto"/>
        <w:right w:val="none" w:sz="0" w:space="0" w:color="auto"/>
      </w:divBdr>
    </w:div>
    <w:div w:id="1219781358">
      <w:bodyDiv w:val="1"/>
      <w:marLeft w:val="0"/>
      <w:marRight w:val="0"/>
      <w:marTop w:val="0"/>
      <w:marBottom w:val="0"/>
      <w:divBdr>
        <w:top w:val="none" w:sz="0" w:space="0" w:color="auto"/>
        <w:left w:val="none" w:sz="0" w:space="0" w:color="auto"/>
        <w:bottom w:val="none" w:sz="0" w:space="0" w:color="auto"/>
        <w:right w:val="none" w:sz="0" w:space="0" w:color="auto"/>
      </w:divBdr>
    </w:div>
    <w:div w:id="1220020799">
      <w:bodyDiv w:val="1"/>
      <w:marLeft w:val="0"/>
      <w:marRight w:val="0"/>
      <w:marTop w:val="0"/>
      <w:marBottom w:val="0"/>
      <w:divBdr>
        <w:top w:val="none" w:sz="0" w:space="0" w:color="auto"/>
        <w:left w:val="none" w:sz="0" w:space="0" w:color="auto"/>
        <w:bottom w:val="none" w:sz="0" w:space="0" w:color="auto"/>
        <w:right w:val="none" w:sz="0" w:space="0" w:color="auto"/>
      </w:divBdr>
    </w:div>
    <w:div w:id="1221674319">
      <w:bodyDiv w:val="1"/>
      <w:marLeft w:val="0"/>
      <w:marRight w:val="0"/>
      <w:marTop w:val="0"/>
      <w:marBottom w:val="0"/>
      <w:divBdr>
        <w:top w:val="none" w:sz="0" w:space="0" w:color="auto"/>
        <w:left w:val="none" w:sz="0" w:space="0" w:color="auto"/>
        <w:bottom w:val="none" w:sz="0" w:space="0" w:color="auto"/>
        <w:right w:val="none" w:sz="0" w:space="0" w:color="auto"/>
      </w:divBdr>
    </w:div>
    <w:div w:id="1229997730">
      <w:bodyDiv w:val="1"/>
      <w:marLeft w:val="0"/>
      <w:marRight w:val="0"/>
      <w:marTop w:val="0"/>
      <w:marBottom w:val="0"/>
      <w:divBdr>
        <w:top w:val="none" w:sz="0" w:space="0" w:color="auto"/>
        <w:left w:val="none" w:sz="0" w:space="0" w:color="auto"/>
        <w:bottom w:val="none" w:sz="0" w:space="0" w:color="auto"/>
        <w:right w:val="none" w:sz="0" w:space="0" w:color="auto"/>
      </w:divBdr>
    </w:div>
    <w:div w:id="1234774310">
      <w:bodyDiv w:val="1"/>
      <w:marLeft w:val="0"/>
      <w:marRight w:val="0"/>
      <w:marTop w:val="0"/>
      <w:marBottom w:val="0"/>
      <w:divBdr>
        <w:top w:val="none" w:sz="0" w:space="0" w:color="auto"/>
        <w:left w:val="none" w:sz="0" w:space="0" w:color="auto"/>
        <w:bottom w:val="none" w:sz="0" w:space="0" w:color="auto"/>
        <w:right w:val="none" w:sz="0" w:space="0" w:color="auto"/>
      </w:divBdr>
    </w:div>
    <w:div w:id="1242135332">
      <w:bodyDiv w:val="1"/>
      <w:marLeft w:val="0"/>
      <w:marRight w:val="0"/>
      <w:marTop w:val="0"/>
      <w:marBottom w:val="0"/>
      <w:divBdr>
        <w:top w:val="none" w:sz="0" w:space="0" w:color="auto"/>
        <w:left w:val="none" w:sz="0" w:space="0" w:color="auto"/>
        <w:bottom w:val="none" w:sz="0" w:space="0" w:color="auto"/>
        <w:right w:val="none" w:sz="0" w:space="0" w:color="auto"/>
      </w:divBdr>
    </w:div>
    <w:div w:id="1245601365">
      <w:bodyDiv w:val="1"/>
      <w:marLeft w:val="0"/>
      <w:marRight w:val="0"/>
      <w:marTop w:val="0"/>
      <w:marBottom w:val="0"/>
      <w:divBdr>
        <w:top w:val="none" w:sz="0" w:space="0" w:color="auto"/>
        <w:left w:val="none" w:sz="0" w:space="0" w:color="auto"/>
        <w:bottom w:val="none" w:sz="0" w:space="0" w:color="auto"/>
        <w:right w:val="none" w:sz="0" w:space="0" w:color="auto"/>
      </w:divBdr>
    </w:div>
    <w:div w:id="1247883364">
      <w:bodyDiv w:val="1"/>
      <w:marLeft w:val="0"/>
      <w:marRight w:val="0"/>
      <w:marTop w:val="0"/>
      <w:marBottom w:val="0"/>
      <w:divBdr>
        <w:top w:val="none" w:sz="0" w:space="0" w:color="auto"/>
        <w:left w:val="none" w:sz="0" w:space="0" w:color="auto"/>
        <w:bottom w:val="none" w:sz="0" w:space="0" w:color="auto"/>
        <w:right w:val="none" w:sz="0" w:space="0" w:color="auto"/>
      </w:divBdr>
    </w:div>
    <w:div w:id="1249851828">
      <w:bodyDiv w:val="1"/>
      <w:marLeft w:val="0"/>
      <w:marRight w:val="0"/>
      <w:marTop w:val="0"/>
      <w:marBottom w:val="0"/>
      <w:divBdr>
        <w:top w:val="none" w:sz="0" w:space="0" w:color="auto"/>
        <w:left w:val="none" w:sz="0" w:space="0" w:color="auto"/>
        <w:bottom w:val="none" w:sz="0" w:space="0" w:color="auto"/>
        <w:right w:val="none" w:sz="0" w:space="0" w:color="auto"/>
      </w:divBdr>
    </w:div>
    <w:div w:id="1251037544">
      <w:bodyDiv w:val="1"/>
      <w:marLeft w:val="0"/>
      <w:marRight w:val="0"/>
      <w:marTop w:val="0"/>
      <w:marBottom w:val="0"/>
      <w:divBdr>
        <w:top w:val="none" w:sz="0" w:space="0" w:color="auto"/>
        <w:left w:val="none" w:sz="0" w:space="0" w:color="auto"/>
        <w:bottom w:val="none" w:sz="0" w:space="0" w:color="auto"/>
        <w:right w:val="none" w:sz="0" w:space="0" w:color="auto"/>
      </w:divBdr>
    </w:div>
    <w:div w:id="1253970268">
      <w:bodyDiv w:val="1"/>
      <w:marLeft w:val="0"/>
      <w:marRight w:val="0"/>
      <w:marTop w:val="0"/>
      <w:marBottom w:val="0"/>
      <w:divBdr>
        <w:top w:val="none" w:sz="0" w:space="0" w:color="auto"/>
        <w:left w:val="none" w:sz="0" w:space="0" w:color="auto"/>
        <w:bottom w:val="none" w:sz="0" w:space="0" w:color="auto"/>
        <w:right w:val="none" w:sz="0" w:space="0" w:color="auto"/>
      </w:divBdr>
    </w:div>
    <w:div w:id="1256018164">
      <w:bodyDiv w:val="1"/>
      <w:marLeft w:val="0"/>
      <w:marRight w:val="0"/>
      <w:marTop w:val="0"/>
      <w:marBottom w:val="0"/>
      <w:divBdr>
        <w:top w:val="none" w:sz="0" w:space="0" w:color="auto"/>
        <w:left w:val="none" w:sz="0" w:space="0" w:color="auto"/>
        <w:bottom w:val="none" w:sz="0" w:space="0" w:color="auto"/>
        <w:right w:val="none" w:sz="0" w:space="0" w:color="auto"/>
      </w:divBdr>
    </w:div>
    <w:div w:id="1257397417">
      <w:bodyDiv w:val="1"/>
      <w:marLeft w:val="0"/>
      <w:marRight w:val="0"/>
      <w:marTop w:val="0"/>
      <w:marBottom w:val="0"/>
      <w:divBdr>
        <w:top w:val="none" w:sz="0" w:space="0" w:color="auto"/>
        <w:left w:val="none" w:sz="0" w:space="0" w:color="auto"/>
        <w:bottom w:val="none" w:sz="0" w:space="0" w:color="auto"/>
        <w:right w:val="none" w:sz="0" w:space="0" w:color="auto"/>
      </w:divBdr>
    </w:div>
    <w:div w:id="1259291996">
      <w:bodyDiv w:val="1"/>
      <w:marLeft w:val="0"/>
      <w:marRight w:val="0"/>
      <w:marTop w:val="0"/>
      <w:marBottom w:val="0"/>
      <w:divBdr>
        <w:top w:val="none" w:sz="0" w:space="0" w:color="auto"/>
        <w:left w:val="none" w:sz="0" w:space="0" w:color="auto"/>
        <w:bottom w:val="none" w:sz="0" w:space="0" w:color="auto"/>
        <w:right w:val="none" w:sz="0" w:space="0" w:color="auto"/>
      </w:divBdr>
    </w:div>
    <w:div w:id="1259948052">
      <w:bodyDiv w:val="1"/>
      <w:marLeft w:val="0"/>
      <w:marRight w:val="0"/>
      <w:marTop w:val="0"/>
      <w:marBottom w:val="0"/>
      <w:divBdr>
        <w:top w:val="none" w:sz="0" w:space="0" w:color="auto"/>
        <w:left w:val="none" w:sz="0" w:space="0" w:color="auto"/>
        <w:bottom w:val="none" w:sz="0" w:space="0" w:color="auto"/>
        <w:right w:val="none" w:sz="0" w:space="0" w:color="auto"/>
      </w:divBdr>
    </w:div>
    <w:div w:id="1260992980">
      <w:bodyDiv w:val="1"/>
      <w:marLeft w:val="0"/>
      <w:marRight w:val="0"/>
      <w:marTop w:val="0"/>
      <w:marBottom w:val="0"/>
      <w:divBdr>
        <w:top w:val="none" w:sz="0" w:space="0" w:color="auto"/>
        <w:left w:val="none" w:sz="0" w:space="0" w:color="auto"/>
        <w:bottom w:val="none" w:sz="0" w:space="0" w:color="auto"/>
        <w:right w:val="none" w:sz="0" w:space="0" w:color="auto"/>
      </w:divBdr>
    </w:div>
    <w:div w:id="1262492497">
      <w:bodyDiv w:val="1"/>
      <w:marLeft w:val="0"/>
      <w:marRight w:val="0"/>
      <w:marTop w:val="0"/>
      <w:marBottom w:val="0"/>
      <w:divBdr>
        <w:top w:val="none" w:sz="0" w:space="0" w:color="auto"/>
        <w:left w:val="none" w:sz="0" w:space="0" w:color="auto"/>
        <w:bottom w:val="none" w:sz="0" w:space="0" w:color="auto"/>
        <w:right w:val="none" w:sz="0" w:space="0" w:color="auto"/>
      </w:divBdr>
    </w:div>
    <w:div w:id="1270628373">
      <w:bodyDiv w:val="1"/>
      <w:marLeft w:val="0"/>
      <w:marRight w:val="0"/>
      <w:marTop w:val="0"/>
      <w:marBottom w:val="0"/>
      <w:divBdr>
        <w:top w:val="none" w:sz="0" w:space="0" w:color="auto"/>
        <w:left w:val="none" w:sz="0" w:space="0" w:color="auto"/>
        <w:bottom w:val="none" w:sz="0" w:space="0" w:color="auto"/>
        <w:right w:val="none" w:sz="0" w:space="0" w:color="auto"/>
      </w:divBdr>
    </w:div>
    <w:div w:id="1271015066">
      <w:bodyDiv w:val="1"/>
      <w:marLeft w:val="0"/>
      <w:marRight w:val="0"/>
      <w:marTop w:val="0"/>
      <w:marBottom w:val="0"/>
      <w:divBdr>
        <w:top w:val="none" w:sz="0" w:space="0" w:color="auto"/>
        <w:left w:val="none" w:sz="0" w:space="0" w:color="auto"/>
        <w:bottom w:val="none" w:sz="0" w:space="0" w:color="auto"/>
        <w:right w:val="none" w:sz="0" w:space="0" w:color="auto"/>
      </w:divBdr>
    </w:div>
    <w:div w:id="1274358538">
      <w:bodyDiv w:val="1"/>
      <w:marLeft w:val="0"/>
      <w:marRight w:val="0"/>
      <w:marTop w:val="0"/>
      <w:marBottom w:val="0"/>
      <w:divBdr>
        <w:top w:val="none" w:sz="0" w:space="0" w:color="auto"/>
        <w:left w:val="none" w:sz="0" w:space="0" w:color="auto"/>
        <w:bottom w:val="none" w:sz="0" w:space="0" w:color="auto"/>
        <w:right w:val="none" w:sz="0" w:space="0" w:color="auto"/>
      </w:divBdr>
    </w:div>
    <w:div w:id="1283922970">
      <w:bodyDiv w:val="1"/>
      <w:marLeft w:val="0"/>
      <w:marRight w:val="0"/>
      <w:marTop w:val="0"/>
      <w:marBottom w:val="0"/>
      <w:divBdr>
        <w:top w:val="none" w:sz="0" w:space="0" w:color="auto"/>
        <w:left w:val="none" w:sz="0" w:space="0" w:color="auto"/>
        <w:bottom w:val="none" w:sz="0" w:space="0" w:color="auto"/>
        <w:right w:val="none" w:sz="0" w:space="0" w:color="auto"/>
      </w:divBdr>
    </w:div>
    <w:div w:id="1292401189">
      <w:bodyDiv w:val="1"/>
      <w:marLeft w:val="0"/>
      <w:marRight w:val="0"/>
      <w:marTop w:val="0"/>
      <w:marBottom w:val="0"/>
      <w:divBdr>
        <w:top w:val="none" w:sz="0" w:space="0" w:color="auto"/>
        <w:left w:val="none" w:sz="0" w:space="0" w:color="auto"/>
        <w:bottom w:val="none" w:sz="0" w:space="0" w:color="auto"/>
        <w:right w:val="none" w:sz="0" w:space="0" w:color="auto"/>
      </w:divBdr>
    </w:div>
    <w:div w:id="1293057908">
      <w:bodyDiv w:val="1"/>
      <w:marLeft w:val="0"/>
      <w:marRight w:val="0"/>
      <w:marTop w:val="0"/>
      <w:marBottom w:val="0"/>
      <w:divBdr>
        <w:top w:val="none" w:sz="0" w:space="0" w:color="auto"/>
        <w:left w:val="none" w:sz="0" w:space="0" w:color="auto"/>
        <w:bottom w:val="none" w:sz="0" w:space="0" w:color="auto"/>
        <w:right w:val="none" w:sz="0" w:space="0" w:color="auto"/>
      </w:divBdr>
    </w:div>
    <w:div w:id="1305163250">
      <w:bodyDiv w:val="1"/>
      <w:marLeft w:val="0"/>
      <w:marRight w:val="0"/>
      <w:marTop w:val="0"/>
      <w:marBottom w:val="0"/>
      <w:divBdr>
        <w:top w:val="none" w:sz="0" w:space="0" w:color="auto"/>
        <w:left w:val="none" w:sz="0" w:space="0" w:color="auto"/>
        <w:bottom w:val="none" w:sz="0" w:space="0" w:color="auto"/>
        <w:right w:val="none" w:sz="0" w:space="0" w:color="auto"/>
      </w:divBdr>
    </w:div>
    <w:div w:id="1307317171">
      <w:bodyDiv w:val="1"/>
      <w:marLeft w:val="0"/>
      <w:marRight w:val="0"/>
      <w:marTop w:val="0"/>
      <w:marBottom w:val="0"/>
      <w:divBdr>
        <w:top w:val="none" w:sz="0" w:space="0" w:color="auto"/>
        <w:left w:val="none" w:sz="0" w:space="0" w:color="auto"/>
        <w:bottom w:val="none" w:sz="0" w:space="0" w:color="auto"/>
        <w:right w:val="none" w:sz="0" w:space="0" w:color="auto"/>
      </w:divBdr>
    </w:div>
    <w:div w:id="1310475195">
      <w:bodyDiv w:val="1"/>
      <w:marLeft w:val="0"/>
      <w:marRight w:val="0"/>
      <w:marTop w:val="0"/>
      <w:marBottom w:val="0"/>
      <w:divBdr>
        <w:top w:val="none" w:sz="0" w:space="0" w:color="auto"/>
        <w:left w:val="none" w:sz="0" w:space="0" w:color="auto"/>
        <w:bottom w:val="none" w:sz="0" w:space="0" w:color="auto"/>
        <w:right w:val="none" w:sz="0" w:space="0" w:color="auto"/>
      </w:divBdr>
    </w:div>
    <w:div w:id="1311054221">
      <w:bodyDiv w:val="1"/>
      <w:marLeft w:val="0"/>
      <w:marRight w:val="0"/>
      <w:marTop w:val="0"/>
      <w:marBottom w:val="0"/>
      <w:divBdr>
        <w:top w:val="none" w:sz="0" w:space="0" w:color="auto"/>
        <w:left w:val="none" w:sz="0" w:space="0" w:color="auto"/>
        <w:bottom w:val="none" w:sz="0" w:space="0" w:color="auto"/>
        <w:right w:val="none" w:sz="0" w:space="0" w:color="auto"/>
      </w:divBdr>
    </w:div>
    <w:div w:id="1317490046">
      <w:bodyDiv w:val="1"/>
      <w:marLeft w:val="0"/>
      <w:marRight w:val="0"/>
      <w:marTop w:val="0"/>
      <w:marBottom w:val="0"/>
      <w:divBdr>
        <w:top w:val="none" w:sz="0" w:space="0" w:color="auto"/>
        <w:left w:val="none" w:sz="0" w:space="0" w:color="auto"/>
        <w:bottom w:val="none" w:sz="0" w:space="0" w:color="auto"/>
        <w:right w:val="none" w:sz="0" w:space="0" w:color="auto"/>
      </w:divBdr>
    </w:div>
    <w:div w:id="1317954804">
      <w:bodyDiv w:val="1"/>
      <w:marLeft w:val="0"/>
      <w:marRight w:val="0"/>
      <w:marTop w:val="0"/>
      <w:marBottom w:val="0"/>
      <w:divBdr>
        <w:top w:val="none" w:sz="0" w:space="0" w:color="auto"/>
        <w:left w:val="none" w:sz="0" w:space="0" w:color="auto"/>
        <w:bottom w:val="none" w:sz="0" w:space="0" w:color="auto"/>
        <w:right w:val="none" w:sz="0" w:space="0" w:color="auto"/>
      </w:divBdr>
    </w:div>
    <w:div w:id="1320189805">
      <w:bodyDiv w:val="1"/>
      <w:marLeft w:val="0"/>
      <w:marRight w:val="0"/>
      <w:marTop w:val="0"/>
      <w:marBottom w:val="0"/>
      <w:divBdr>
        <w:top w:val="none" w:sz="0" w:space="0" w:color="auto"/>
        <w:left w:val="none" w:sz="0" w:space="0" w:color="auto"/>
        <w:bottom w:val="none" w:sz="0" w:space="0" w:color="auto"/>
        <w:right w:val="none" w:sz="0" w:space="0" w:color="auto"/>
      </w:divBdr>
    </w:div>
    <w:div w:id="1323893721">
      <w:bodyDiv w:val="1"/>
      <w:marLeft w:val="0"/>
      <w:marRight w:val="0"/>
      <w:marTop w:val="0"/>
      <w:marBottom w:val="0"/>
      <w:divBdr>
        <w:top w:val="none" w:sz="0" w:space="0" w:color="auto"/>
        <w:left w:val="none" w:sz="0" w:space="0" w:color="auto"/>
        <w:bottom w:val="none" w:sz="0" w:space="0" w:color="auto"/>
        <w:right w:val="none" w:sz="0" w:space="0" w:color="auto"/>
      </w:divBdr>
    </w:div>
    <w:div w:id="1328174017">
      <w:bodyDiv w:val="1"/>
      <w:marLeft w:val="0"/>
      <w:marRight w:val="0"/>
      <w:marTop w:val="0"/>
      <w:marBottom w:val="0"/>
      <w:divBdr>
        <w:top w:val="none" w:sz="0" w:space="0" w:color="auto"/>
        <w:left w:val="none" w:sz="0" w:space="0" w:color="auto"/>
        <w:bottom w:val="none" w:sz="0" w:space="0" w:color="auto"/>
        <w:right w:val="none" w:sz="0" w:space="0" w:color="auto"/>
      </w:divBdr>
    </w:div>
    <w:div w:id="1328358902">
      <w:bodyDiv w:val="1"/>
      <w:marLeft w:val="0"/>
      <w:marRight w:val="0"/>
      <w:marTop w:val="0"/>
      <w:marBottom w:val="0"/>
      <w:divBdr>
        <w:top w:val="none" w:sz="0" w:space="0" w:color="auto"/>
        <w:left w:val="none" w:sz="0" w:space="0" w:color="auto"/>
        <w:bottom w:val="none" w:sz="0" w:space="0" w:color="auto"/>
        <w:right w:val="none" w:sz="0" w:space="0" w:color="auto"/>
      </w:divBdr>
    </w:div>
    <w:div w:id="1331526267">
      <w:bodyDiv w:val="1"/>
      <w:marLeft w:val="0"/>
      <w:marRight w:val="0"/>
      <w:marTop w:val="0"/>
      <w:marBottom w:val="0"/>
      <w:divBdr>
        <w:top w:val="none" w:sz="0" w:space="0" w:color="auto"/>
        <w:left w:val="none" w:sz="0" w:space="0" w:color="auto"/>
        <w:bottom w:val="none" w:sz="0" w:space="0" w:color="auto"/>
        <w:right w:val="none" w:sz="0" w:space="0" w:color="auto"/>
      </w:divBdr>
    </w:div>
    <w:div w:id="1333947667">
      <w:bodyDiv w:val="1"/>
      <w:marLeft w:val="0"/>
      <w:marRight w:val="0"/>
      <w:marTop w:val="0"/>
      <w:marBottom w:val="0"/>
      <w:divBdr>
        <w:top w:val="none" w:sz="0" w:space="0" w:color="auto"/>
        <w:left w:val="none" w:sz="0" w:space="0" w:color="auto"/>
        <w:bottom w:val="none" w:sz="0" w:space="0" w:color="auto"/>
        <w:right w:val="none" w:sz="0" w:space="0" w:color="auto"/>
      </w:divBdr>
    </w:div>
    <w:div w:id="1335305980">
      <w:bodyDiv w:val="1"/>
      <w:marLeft w:val="0"/>
      <w:marRight w:val="0"/>
      <w:marTop w:val="0"/>
      <w:marBottom w:val="0"/>
      <w:divBdr>
        <w:top w:val="none" w:sz="0" w:space="0" w:color="auto"/>
        <w:left w:val="none" w:sz="0" w:space="0" w:color="auto"/>
        <w:bottom w:val="none" w:sz="0" w:space="0" w:color="auto"/>
        <w:right w:val="none" w:sz="0" w:space="0" w:color="auto"/>
      </w:divBdr>
    </w:div>
    <w:div w:id="1335453955">
      <w:bodyDiv w:val="1"/>
      <w:marLeft w:val="0"/>
      <w:marRight w:val="0"/>
      <w:marTop w:val="0"/>
      <w:marBottom w:val="0"/>
      <w:divBdr>
        <w:top w:val="none" w:sz="0" w:space="0" w:color="auto"/>
        <w:left w:val="none" w:sz="0" w:space="0" w:color="auto"/>
        <w:bottom w:val="none" w:sz="0" w:space="0" w:color="auto"/>
        <w:right w:val="none" w:sz="0" w:space="0" w:color="auto"/>
      </w:divBdr>
    </w:div>
    <w:div w:id="1349137804">
      <w:bodyDiv w:val="1"/>
      <w:marLeft w:val="0"/>
      <w:marRight w:val="0"/>
      <w:marTop w:val="0"/>
      <w:marBottom w:val="0"/>
      <w:divBdr>
        <w:top w:val="none" w:sz="0" w:space="0" w:color="auto"/>
        <w:left w:val="none" w:sz="0" w:space="0" w:color="auto"/>
        <w:bottom w:val="none" w:sz="0" w:space="0" w:color="auto"/>
        <w:right w:val="none" w:sz="0" w:space="0" w:color="auto"/>
      </w:divBdr>
    </w:div>
    <w:div w:id="1351637042">
      <w:bodyDiv w:val="1"/>
      <w:marLeft w:val="0"/>
      <w:marRight w:val="0"/>
      <w:marTop w:val="0"/>
      <w:marBottom w:val="0"/>
      <w:divBdr>
        <w:top w:val="none" w:sz="0" w:space="0" w:color="auto"/>
        <w:left w:val="none" w:sz="0" w:space="0" w:color="auto"/>
        <w:bottom w:val="none" w:sz="0" w:space="0" w:color="auto"/>
        <w:right w:val="none" w:sz="0" w:space="0" w:color="auto"/>
      </w:divBdr>
    </w:div>
    <w:div w:id="1351950027">
      <w:bodyDiv w:val="1"/>
      <w:marLeft w:val="0"/>
      <w:marRight w:val="0"/>
      <w:marTop w:val="0"/>
      <w:marBottom w:val="0"/>
      <w:divBdr>
        <w:top w:val="none" w:sz="0" w:space="0" w:color="auto"/>
        <w:left w:val="none" w:sz="0" w:space="0" w:color="auto"/>
        <w:bottom w:val="none" w:sz="0" w:space="0" w:color="auto"/>
        <w:right w:val="none" w:sz="0" w:space="0" w:color="auto"/>
      </w:divBdr>
    </w:div>
    <w:div w:id="1352533020">
      <w:bodyDiv w:val="1"/>
      <w:marLeft w:val="0"/>
      <w:marRight w:val="0"/>
      <w:marTop w:val="0"/>
      <w:marBottom w:val="0"/>
      <w:divBdr>
        <w:top w:val="none" w:sz="0" w:space="0" w:color="auto"/>
        <w:left w:val="none" w:sz="0" w:space="0" w:color="auto"/>
        <w:bottom w:val="none" w:sz="0" w:space="0" w:color="auto"/>
        <w:right w:val="none" w:sz="0" w:space="0" w:color="auto"/>
      </w:divBdr>
    </w:div>
    <w:div w:id="1355225579">
      <w:bodyDiv w:val="1"/>
      <w:marLeft w:val="0"/>
      <w:marRight w:val="0"/>
      <w:marTop w:val="0"/>
      <w:marBottom w:val="0"/>
      <w:divBdr>
        <w:top w:val="none" w:sz="0" w:space="0" w:color="auto"/>
        <w:left w:val="none" w:sz="0" w:space="0" w:color="auto"/>
        <w:bottom w:val="none" w:sz="0" w:space="0" w:color="auto"/>
        <w:right w:val="none" w:sz="0" w:space="0" w:color="auto"/>
      </w:divBdr>
    </w:div>
    <w:div w:id="1360396932">
      <w:bodyDiv w:val="1"/>
      <w:marLeft w:val="0"/>
      <w:marRight w:val="0"/>
      <w:marTop w:val="0"/>
      <w:marBottom w:val="0"/>
      <w:divBdr>
        <w:top w:val="none" w:sz="0" w:space="0" w:color="auto"/>
        <w:left w:val="none" w:sz="0" w:space="0" w:color="auto"/>
        <w:bottom w:val="none" w:sz="0" w:space="0" w:color="auto"/>
        <w:right w:val="none" w:sz="0" w:space="0" w:color="auto"/>
      </w:divBdr>
    </w:div>
    <w:div w:id="1361859507">
      <w:bodyDiv w:val="1"/>
      <w:marLeft w:val="0"/>
      <w:marRight w:val="0"/>
      <w:marTop w:val="0"/>
      <w:marBottom w:val="0"/>
      <w:divBdr>
        <w:top w:val="none" w:sz="0" w:space="0" w:color="auto"/>
        <w:left w:val="none" w:sz="0" w:space="0" w:color="auto"/>
        <w:bottom w:val="none" w:sz="0" w:space="0" w:color="auto"/>
        <w:right w:val="none" w:sz="0" w:space="0" w:color="auto"/>
      </w:divBdr>
    </w:div>
    <w:div w:id="1366565685">
      <w:bodyDiv w:val="1"/>
      <w:marLeft w:val="0"/>
      <w:marRight w:val="0"/>
      <w:marTop w:val="0"/>
      <w:marBottom w:val="0"/>
      <w:divBdr>
        <w:top w:val="none" w:sz="0" w:space="0" w:color="auto"/>
        <w:left w:val="none" w:sz="0" w:space="0" w:color="auto"/>
        <w:bottom w:val="none" w:sz="0" w:space="0" w:color="auto"/>
        <w:right w:val="none" w:sz="0" w:space="0" w:color="auto"/>
      </w:divBdr>
    </w:div>
    <w:div w:id="1367606052">
      <w:bodyDiv w:val="1"/>
      <w:marLeft w:val="0"/>
      <w:marRight w:val="0"/>
      <w:marTop w:val="0"/>
      <w:marBottom w:val="0"/>
      <w:divBdr>
        <w:top w:val="none" w:sz="0" w:space="0" w:color="auto"/>
        <w:left w:val="none" w:sz="0" w:space="0" w:color="auto"/>
        <w:bottom w:val="none" w:sz="0" w:space="0" w:color="auto"/>
        <w:right w:val="none" w:sz="0" w:space="0" w:color="auto"/>
      </w:divBdr>
    </w:div>
    <w:div w:id="1369794389">
      <w:bodyDiv w:val="1"/>
      <w:marLeft w:val="0"/>
      <w:marRight w:val="0"/>
      <w:marTop w:val="0"/>
      <w:marBottom w:val="0"/>
      <w:divBdr>
        <w:top w:val="none" w:sz="0" w:space="0" w:color="auto"/>
        <w:left w:val="none" w:sz="0" w:space="0" w:color="auto"/>
        <w:bottom w:val="none" w:sz="0" w:space="0" w:color="auto"/>
        <w:right w:val="none" w:sz="0" w:space="0" w:color="auto"/>
      </w:divBdr>
    </w:div>
    <w:div w:id="1373767212">
      <w:bodyDiv w:val="1"/>
      <w:marLeft w:val="0"/>
      <w:marRight w:val="0"/>
      <w:marTop w:val="0"/>
      <w:marBottom w:val="0"/>
      <w:divBdr>
        <w:top w:val="none" w:sz="0" w:space="0" w:color="auto"/>
        <w:left w:val="none" w:sz="0" w:space="0" w:color="auto"/>
        <w:bottom w:val="none" w:sz="0" w:space="0" w:color="auto"/>
        <w:right w:val="none" w:sz="0" w:space="0" w:color="auto"/>
      </w:divBdr>
    </w:div>
    <w:div w:id="1375274241">
      <w:bodyDiv w:val="1"/>
      <w:marLeft w:val="0"/>
      <w:marRight w:val="0"/>
      <w:marTop w:val="0"/>
      <w:marBottom w:val="0"/>
      <w:divBdr>
        <w:top w:val="none" w:sz="0" w:space="0" w:color="auto"/>
        <w:left w:val="none" w:sz="0" w:space="0" w:color="auto"/>
        <w:bottom w:val="none" w:sz="0" w:space="0" w:color="auto"/>
        <w:right w:val="none" w:sz="0" w:space="0" w:color="auto"/>
      </w:divBdr>
    </w:div>
    <w:div w:id="1377894806">
      <w:bodyDiv w:val="1"/>
      <w:marLeft w:val="0"/>
      <w:marRight w:val="0"/>
      <w:marTop w:val="0"/>
      <w:marBottom w:val="0"/>
      <w:divBdr>
        <w:top w:val="none" w:sz="0" w:space="0" w:color="auto"/>
        <w:left w:val="none" w:sz="0" w:space="0" w:color="auto"/>
        <w:bottom w:val="none" w:sz="0" w:space="0" w:color="auto"/>
        <w:right w:val="none" w:sz="0" w:space="0" w:color="auto"/>
      </w:divBdr>
    </w:div>
    <w:div w:id="1379283785">
      <w:bodyDiv w:val="1"/>
      <w:marLeft w:val="0"/>
      <w:marRight w:val="0"/>
      <w:marTop w:val="0"/>
      <w:marBottom w:val="0"/>
      <w:divBdr>
        <w:top w:val="none" w:sz="0" w:space="0" w:color="auto"/>
        <w:left w:val="none" w:sz="0" w:space="0" w:color="auto"/>
        <w:bottom w:val="none" w:sz="0" w:space="0" w:color="auto"/>
        <w:right w:val="none" w:sz="0" w:space="0" w:color="auto"/>
      </w:divBdr>
    </w:div>
    <w:div w:id="1386175839">
      <w:bodyDiv w:val="1"/>
      <w:marLeft w:val="0"/>
      <w:marRight w:val="0"/>
      <w:marTop w:val="0"/>
      <w:marBottom w:val="0"/>
      <w:divBdr>
        <w:top w:val="none" w:sz="0" w:space="0" w:color="auto"/>
        <w:left w:val="none" w:sz="0" w:space="0" w:color="auto"/>
        <w:bottom w:val="none" w:sz="0" w:space="0" w:color="auto"/>
        <w:right w:val="none" w:sz="0" w:space="0" w:color="auto"/>
      </w:divBdr>
    </w:div>
    <w:div w:id="1391344650">
      <w:bodyDiv w:val="1"/>
      <w:marLeft w:val="0"/>
      <w:marRight w:val="0"/>
      <w:marTop w:val="0"/>
      <w:marBottom w:val="0"/>
      <w:divBdr>
        <w:top w:val="none" w:sz="0" w:space="0" w:color="auto"/>
        <w:left w:val="none" w:sz="0" w:space="0" w:color="auto"/>
        <w:bottom w:val="none" w:sz="0" w:space="0" w:color="auto"/>
        <w:right w:val="none" w:sz="0" w:space="0" w:color="auto"/>
      </w:divBdr>
    </w:div>
    <w:div w:id="1393968629">
      <w:bodyDiv w:val="1"/>
      <w:marLeft w:val="0"/>
      <w:marRight w:val="0"/>
      <w:marTop w:val="0"/>
      <w:marBottom w:val="0"/>
      <w:divBdr>
        <w:top w:val="none" w:sz="0" w:space="0" w:color="auto"/>
        <w:left w:val="none" w:sz="0" w:space="0" w:color="auto"/>
        <w:bottom w:val="none" w:sz="0" w:space="0" w:color="auto"/>
        <w:right w:val="none" w:sz="0" w:space="0" w:color="auto"/>
      </w:divBdr>
    </w:div>
    <w:div w:id="1396314594">
      <w:bodyDiv w:val="1"/>
      <w:marLeft w:val="0"/>
      <w:marRight w:val="0"/>
      <w:marTop w:val="0"/>
      <w:marBottom w:val="0"/>
      <w:divBdr>
        <w:top w:val="none" w:sz="0" w:space="0" w:color="auto"/>
        <w:left w:val="none" w:sz="0" w:space="0" w:color="auto"/>
        <w:bottom w:val="none" w:sz="0" w:space="0" w:color="auto"/>
        <w:right w:val="none" w:sz="0" w:space="0" w:color="auto"/>
      </w:divBdr>
    </w:div>
    <w:div w:id="1398437393">
      <w:bodyDiv w:val="1"/>
      <w:marLeft w:val="0"/>
      <w:marRight w:val="0"/>
      <w:marTop w:val="0"/>
      <w:marBottom w:val="0"/>
      <w:divBdr>
        <w:top w:val="none" w:sz="0" w:space="0" w:color="auto"/>
        <w:left w:val="none" w:sz="0" w:space="0" w:color="auto"/>
        <w:bottom w:val="none" w:sz="0" w:space="0" w:color="auto"/>
        <w:right w:val="none" w:sz="0" w:space="0" w:color="auto"/>
      </w:divBdr>
    </w:div>
    <w:div w:id="1399982659">
      <w:bodyDiv w:val="1"/>
      <w:marLeft w:val="0"/>
      <w:marRight w:val="0"/>
      <w:marTop w:val="0"/>
      <w:marBottom w:val="0"/>
      <w:divBdr>
        <w:top w:val="none" w:sz="0" w:space="0" w:color="auto"/>
        <w:left w:val="none" w:sz="0" w:space="0" w:color="auto"/>
        <w:bottom w:val="none" w:sz="0" w:space="0" w:color="auto"/>
        <w:right w:val="none" w:sz="0" w:space="0" w:color="auto"/>
      </w:divBdr>
    </w:div>
    <w:div w:id="1401319467">
      <w:bodyDiv w:val="1"/>
      <w:marLeft w:val="0"/>
      <w:marRight w:val="0"/>
      <w:marTop w:val="0"/>
      <w:marBottom w:val="0"/>
      <w:divBdr>
        <w:top w:val="none" w:sz="0" w:space="0" w:color="auto"/>
        <w:left w:val="none" w:sz="0" w:space="0" w:color="auto"/>
        <w:bottom w:val="none" w:sz="0" w:space="0" w:color="auto"/>
        <w:right w:val="none" w:sz="0" w:space="0" w:color="auto"/>
      </w:divBdr>
    </w:div>
    <w:div w:id="1402212912">
      <w:bodyDiv w:val="1"/>
      <w:marLeft w:val="0"/>
      <w:marRight w:val="0"/>
      <w:marTop w:val="0"/>
      <w:marBottom w:val="0"/>
      <w:divBdr>
        <w:top w:val="none" w:sz="0" w:space="0" w:color="auto"/>
        <w:left w:val="none" w:sz="0" w:space="0" w:color="auto"/>
        <w:bottom w:val="none" w:sz="0" w:space="0" w:color="auto"/>
        <w:right w:val="none" w:sz="0" w:space="0" w:color="auto"/>
      </w:divBdr>
    </w:div>
    <w:div w:id="1402214502">
      <w:bodyDiv w:val="1"/>
      <w:marLeft w:val="0"/>
      <w:marRight w:val="0"/>
      <w:marTop w:val="0"/>
      <w:marBottom w:val="0"/>
      <w:divBdr>
        <w:top w:val="none" w:sz="0" w:space="0" w:color="auto"/>
        <w:left w:val="none" w:sz="0" w:space="0" w:color="auto"/>
        <w:bottom w:val="none" w:sz="0" w:space="0" w:color="auto"/>
        <w:right w:val="none" w:sz="0" w:space="0" w:color="auto"/>
      </w:divBdr>
    </w:div>
    <w:div w:id="1402602250">
      <w:bodyDiv w:val="1"/>
      <w:marLeft w:val="0"/>
      <w:marRight w:val="0"/>
      <w:marTop w:val="0"/>
      <w:marBottom w:val="0"/>
      <w:divBdr>
        <w:top w:val="none" w:sz="0" w:space="0" w:color="auto"/>
        <w:left w:val="none" w:sz="0" w:space="0" w:color="auto"/>
        <w:bottom w:val="none" w:sz="0" w:space="0" w:color="auto"/>
        <w:right w:val="none" w:sz="0" w:space="0" w:color="auto"/>
      </w:divBdr>
    </w:div>
    <w:div w:id="1402750062">
      <w:bodyDiv w:val="1"/>
      <w:marLeft w:val="0"/>
      <w:marRight w:val="0"/>
      <w:marTop w:val="0"/>
      <w:marBottom w:val="0"/>
      <w:divBdr>
        <w:top w:val="none" w:sz="0" w:space="0" w:color="auto"/>
        <w:left w:val="none" w:sz="0" w:space="0" w:color="auto"/>
        <w:bottom w:val="none" w:sz="0" w:space="0" w:color="auto"/>
        <w:right w:val="none" w:sz="0" w:space="0" w:color="auto"/>
      </w:divBdr>
    </w:div>
    <w:div w:id="1403874450">
      <w:bodyDiv w:val="1"/>
      <w:marLeft w:val="0"/>
      <w:marRight w:val="0"/>
      <w:marTop w:val="0"/>
      <w:marBottom w:val="0"/>
      <w:divBdr>
        <w:top w:val="none" w:sz="0" w:space="0" w:color="auto"/>
        <w:left w:val="none" w:sz="0" w:space="0" w:color="auto"/>
        <w:bottom w:val="none" w:sz="0" w:space="0" w:color="auto"/>
        <w:right w:val="none" w:sz="0" w:space="0" w:color="auto"/>
      </w:divBdr>
    </w:div>
    <w:div w:id="1406225584">
      <w:bodyDiv w:val="1"/>
      <w:marLeft w:val="0"/>
      <w:marRight w:val="0"/>
      <w:marTop w:val="0"/>
      <w:marBottom w:val="0"/>
      <w:divBdr>
        <w:top w:val="none" w:sz="0" w:space="0" w:color="auto"/>
        <w:left w:val="none" w:sz="0" w:space="0" w:color="auto"/>
        <w:bottom w:val="none" w:sz="0" w:space="0" w:color="auto"/>
        <w:right w:val="none" w:sz="0" w:space="0" w:color="auto"/>
      </w:divBdr>
    </w:div>
    <w:div w:id="1406800966">
      <w:bodyDiv w:val="1"/>
      <w:marLeft w:val="0"/>
      <w:marRight w:val="0"/>
      <w:marTop w:val="0"/>
      <w:marBottom w:val="0"/>
      <w:divBdr>
        <w:top w:val="none" w:sz="0" w:space="0" w:color="auto"/>
        <w:left w:val="none" w:sz="0" w:space="0" w:color="auto"/>
        <w:bottom w:val="none" w:sz="0" w:space="0" w:color="auto"/>
        <w:right w:val="none" w:sz="0" w:space="0" w:color="auto"/>
      </w:divBdr>
    </w:div>
    <w:div w:id="1411735523">
      <w:bodyDiv w:val="1"/>
      <w:marLeft w:val="0"/>
      <w:marRight w:val="0"/>
      <w:marTop w:val="0"/>
      <w:marBottom w:val="0"/>
      <w:divBdr>
        <w:top w:val="none" w:sz="0" w:space="0" w:color="auto"/>
        <w:left w:val="none" w:sz="0" w:space="0" w:color="auto"/>
        <w:bottom w:val="none" w:sz="0" w:space="0" w:color="auto"/>
        <w:right w:val="none" w:sz="0" w:space="0" w:color="auto"/>
      </w:divBdr>
    </w:div>
    <w:div w:id="1414665165">
      <w:bodyDiv w:val="1"/>
      <w:marLeft w:val="0"/>
      <w:marRight w:val="0"/>
      <w:marTop w:val="0"/>
      <w:marBottom w:val="0"/>
      <w:divBdr>
        <w:top w:val="none" w:sz="0" w:space="0" w:color="auto"/>
        <w:left w:val="none" w:sz="0" w:space="0" w:color="auto"/>
        <w:bottom w:val="none" w:sz="0" w:space="0" w:color="auto"/>
        <w:right w:val="none" w:sz="0" w:space="0" w:color="auto"/>
      </w:divBdr>
    </w:div>
    <w:div w:id="1415979750">
      <w:bodyDiv w:val="1"/>
      <w:marLeft w:val="0"/>
      <w:marRight w:val="0"/>
      <w:marTop w:val="0"/>
      <w:marBottom w:val="0"/>
      <w:divBdr>
        <w:top w:val="none" w:sz="0" w:space="0" w:color="auto"/>
        <w:left w:val="none" w:sz="0" w:space="0" w:color="auto"/>
        <w:bottom w:val="none" w:sz="0" w:space="0" w:color="auto"/>
        <w:right w:val="none" w:sz="0" w:space="0" w:color="auto"/>
      </w:divBdr>
    </w:div>
    <w:div w:id="1416248533">
      <w:bodyDiv w:val="1"/>
      <w:marLeft w:val="0"/>
      <w:marRight w:val="0"/>
      <w:marTop w:val="0"/>
      <w:marBottom w:val="0"/>
      <w:divBdr>
        <w:top w:val="none" w:sz="0" w:space="0" w:color="auto"/>
        <w:left w:val="none" w:sz="0" w:space="0" w:color="auto"/>
        <w:bottom w:val="none" w:sz="0" w:space="0" w:color="auto"/>
        <w:right w:val="none" w:sz="0" w:space="0" w:color="auto"/>
      </w:divBdr>
    </w:div>
    <w:div w:id="1420297521">
      <w:bodyDiv w:val="1"/>
      <w:marLeft w:val="0"/>
      <w:marRight w:val="0"/>
      <w:marTop w:val="0"/>
      <w:marBottom w:val="0"/>
      <w:divBdr>
        <w:top w:val="none" w:sz="0" w:space="0" w:color="auto"/>
        <w:left w:val="none" w:sz="0" w:space="0" w:color="auto"/>
        <w:bottom w:val="none" w:sz="0" w:space="0" w:color="auto"/>
        <w:right w:val="none" w:sz="0" w:space="0" w:color="auto"/>
      </w:divBdr>
    </w:div>
    <w:div w:id="1425417966">
      <w:bodyDiv w:val="1"/>
      <w:marLeft w:val="0"/>
      <w:marRight w:val="0"/>
      <w:marTop w:val="0"/>
      <w:marBottom w:val="0"/>
      <w:divBdr>
        <w:top w:val="none" w:sz="0" w:space="0" w:color="auto"/>
        <w:left w:val="none" w:sz="0" w:space="0" w:color="auto"/>
        <w:bottom w:val="none" w:sz="0" w:space="0" w:color="auto"/>
        <w:right w:val="none" w:sz="0" w:space="0" w:color="auto"/>
      </w:divBdr>
    </w:div>
    <w:div w:id="1428847107">
      <w:bodyDiv w:val="1"/>
      <w:marLeft w:val="0"/>
      <w:marRight w:val="0"/>
      <w:marTop w:val="0"/>
      <w:marBottom w:val="0"/>
      <w:divBdr>
        <w:top w:val="none" w:sz="0" w:space="0" w:color="auto"/>
        <w:left w:val="none" w:sz="0" w:space="0" w:color="auto"/>
        <w:bottom w:val="none" w:sz="0" w:space="0" w:color="auto"/>
        <w:right w:val="none" w:sz="0" w:space="0" w:color="auto"/>
      </w:divBdr>
    </w:div>
    <w:div w:id="1430127860">
      <w:bodyDiv w:val="1"/>
      <w:marLeft w:val="0"/>
      <w:marRight w:val="0"/>
      <w:marTop w:val="0"/>
      <w:marBottom w:val="0"/>
      <w:divBdr>
        <w:top w:val="none" w:sz="0" w:space="0" w:color="auto"/>
        <w:left w:val="none" w:sz="0" w:space="0" w:color="auto"/>
        <w:bottom w:val="none" w:sz="0" w:space="0" w:color="auto"/>
        <w:right w:val="none" w:sz="0" w:space="0" w:color="auto"/>
      </w:divBdr>
    </w:div>
    <w:div w:id="1430351767">
      <w:bodyDiv w:val="1"/>
      <w:marLeft w:val="0"/>
      <w:marRight w:val="0"/>
      <w:marTop w:val="0"/>
      <w:marBottom w:val="0"/>
      <w:divBdr>
        <w:top w:val="none" w:sz="0" w:space="0" w:color="auto"/>
        <w:left w:val="none" w:sz="0" w:space="0" w:color="auto"/>
        <w:bottom w:val="none" w:sz="0" w:space="0" w:color="auto"/>
        <w:right w:val="none" w:sz="0" w:space="0" w:color="auto"/>
      </w:divBdr>
    </w:div>
    <w:div w:id="1431967776">
      <w:bodyDiv w:val="1"/>
      <w:marLeft w:val="0"/>
      <w:marRight w:val="0"/>
      <w:marTop w:val="0"/>
      <w:marBottom w:val="0"/>
      <w:divBdr>
        <w:top w:val="none" w:sz="0" w:space="0" w:color="auto"/>
        <w:left w:val="none" w:sz="0" w:space="0" w:color="auto"/>
        <w:bottom w:val="none" w:sz="0" w:space="0" w:color="auto"/>
        <w:right w:val="none" w:sz="0" w:space="0" w:color="auto"/>
      </w:divBdr>
    </w:div>
    <w:div w:id="1432119786">
      <w:bodyDiv w:val="1"/>
      <w:marLeft w:val="0"/>
      <w:marRight w:val="0"/>
      <w:marTop w:val="0"/>
      <w:marBottom w:val="0"/>
      <w:divBdr>
        <w:top w:val="none" w:sz="0" w:space="0" w:color="auto"/>
        <w:left w:val="none" w:sz="0" w:space="0" w:color="auto"/>
        <w:bottom w:val="none" w:sz="0" w:space="0" w:color="auto"/>
        <w:right w:val="none" w:sz="0" w:space="0" w:color="auto"/>
      </w:divBdr>
    </w:div>
    <w:div w:id="1435057014">
      <w:bodyDiv w:val="1"/>
      <w:marLeft w:val="0"/>
      <w:marRight w:val="0"/>
      <w:marTop w:val="0"/>
      <w:marBottom w:val="0"/>
      <w:divBdr>
        <w:top w:val="none" w:sz="0" w:space="0" w:color="auto"/>
        <w:left w:val="none" w:sz="0" w:space="0" w:color="auto"/>
        <w:bottom w:val="none" w:sz="0" w:space="0" w:color="auto"/>
        <w:right w:val="none" w:sz="0" w:space="0" w:color="auto"/>
      </w:divBdr>
    </w:div>
    <w:div w:id="1438137130">
      <w:bodyDiv w:val="1"/>
      <w:marLeft w:val="0"/>
      <w:marRight w:val="0"/>
      <w:marTop w:val="0"/>
      <w:marBottom w:val="0"/>
      <w:divBdr>
        <w:top w:val="none" w:sz="0" w:space="0" w:color="auto"/>
        <w:left w:val="none" w:sz="0" w:space="0" w:color="auto"/>
        <w:bottom w:val="none" w:sz="0" w:space="0" w:color="auto"/>
        <w:right w:val="none" w:sz="0" w:space="0" w:color="auto"/>
      </w:divBdr>
    </w:div>
    <w:div w:id="1441342438">
      <w:bodyDiv w:val="1"/>
      <w:marLeft w:val="0"/>
      <w:marRight w:val="0"/>
      <w:marTop w:val="0"/>
      <w:marBottom w:val="0"/>
      <w:divBdr>
        <w:top w:val="none" w:sz="0" w:space="0" w:color="auto"/>
        <w:left w:val="none" w:sz="0" w:space="0" w:color="auto"/>
        <w:bottom w:val="none" w:sz="0" w:space="0" w:color="auto"/>
        <w:right w:val="none" w:sz="0" w:space="0" w:color="auto"/>
      </w:divBdr>
    </w:div>
    <w:div w:id="1442383507">
      <w:bodyDiv w:val="1"/>
      <w:marLeft w:val="0"/>
      <w:marRight w:val="0"/>
      <w:marTop w:val="0"/>
      <w:marBottom w:val="0"/>
      <w:divBdr>
        <w:top w:val="none" w:sz="0" w:space="0" w:color="auto"/>
        <w:left w:val="none" w:sz="0" w:space="0" w:color="auto"/>
        <w:bottom w:val="none" w:sz="0" w:space="0" w:color="auto"/>
        <w:right w:val="none" w:sz="0" w:space="0" w:color="auto"/>
      </w:divBdr>
    </w:div>
    <w:div w:id="1448044706">
      <w:bodyDiv w:val="1"/>
      <w:marLeft w:val="0"/>
      <w:marRight w:val="0"/>
      <w:marTop w:val="0"/>
      <w:marBottom w:val="0"/>
      <w:divBdr>
        <w:top w:val="none" w:sz="0" w:space="0" w:color="auto"/>
        <w:left w:val="none" w:sz="0" w:space="0" w:color="auto"/>
        <w:bottom w:val="none" w:sz="0" w:space="0" w:color="auto"/>
        <w:right w:val="none" w:sz="0" w:space="0" w:color="auto"/>
      </w:divBdr>
    </w:div>
    <w:div w:id="1452555983">
      <w:bodyDiv w:val="1"/>
      <w:marLeft w:val="0"/>
      <w:marRight w:val="0"/>
      <w:marTop w:val="0"/>
      <w:marBottom w:val="0"/>
      <w:divBdr>
        <w:top w:val="none" w:sz="0" w:space="0" w:color="auto"/>
        <w:left w:val="none" w:sz="0" w:space="0" w:color="auto"/>
        <w:bottom w:val="none" w:sz="0" w:space="0" w:color="auto"/>
        <w:right w:val="none" w:sz="0" w:space="0" w:color="auto"/>
      </w:divBdr>
    </w:div>
    <w:div w:id="1453162203">
      <w:bodyDiv w:val="1"/>
      <w:marLeft w:val="0"/>
      <w:marRight w:val="0"/>
      <w:marTop w:val="0"/>
      <w:marBottom w:val="0"/>
      <w:divBdr>
        <w:top w:val="none" w:sz="0" w:space="0" w:color="auto"/>
        <w:left w:val="none" w:sz="0" w:space="0" w:color="auto"/>
        <w:bottom w:val="none" w:sz="0" w:space="0" w:color="auto"/>
        <w:right w:val="none" w:sz="0" w:space="0" w:color="auto"/>
      </w:divBdr>
    </w:div>
    <w:div w:id="1454203725">
      <w:bodyDiv w:val="1"/>
      <w:marLeft w:val="0"/>
      <w:marRight w:val="0"/>
      <w:marTop w:val="0"/>
      <w:marBottom w:val="0"/>
      <w:divBdr>
        <w:top w:val="none" w:sz="0" w:space="0" w:color="auto"/>
        <w:left w:val="none" w:sz="0" w:space="0" w:color="auto"/>
        <w:bottom w:val="none" w:sz="0" w:space="0" w:color="auto"/>
        <w:right w:val="none" w:sz="0" w:space="0" w:color="auto"/>
      </w:divBdr>
    </w:div>
    <w:div w:id="1457335928">
      <w:bodyDiv w:val="1"/>
      <w:marLeft w:val="0"/>
      <w:marRight w:val="0"/>
      <w:marTop w:val="0"/>
      <w:marBottom w:val="0"/>
      <w:divBdr>
        <w:top w:val="none" w:sz="0" w:space="0" w:color="auto"/>
        <w:left w:val="none" w:sz="0" w:space="0" w:color="auto"/>
        <w:bottom w:val="none" w:sz="0" w:space="0" w:color="auto"/>
        <w:right w:val="none" w:sz="0" w:space="0" w:color="auto"/>
      </w:divBdr>
    </w:div>
    <w:div w:id="1458832385">
      <w:bodyDiv w:val="1"/>
      <w:marLeft w:val="0"/>
      <w:marRight w:val="0"/>
      <w:marTop w:val="0"/>
      <w:marBottom w:val="0"/>
      <w:divBdr>
        <w:top w:val="none" w:sz="0" w:space="0" w:color="auto"/>
        <w:left w:val="none" w:sz="0" w:space="0" w:color="auto"/>
        <w:bottom w:val="none" w:sz="0" w:space="0" w:color="auto"/>
        <w:right w:val="none" w:sz="0" w:space="0" w:color="auto"/>
      </w:divBdr>
    </w:div>
    <w:div w:id="1459178939">
      <w:bodyDiv w:val="1"/>
      <w:marLeft w:val="0"/>
      <w:marRight w:val="0"/>
      <w:marTop w:val="0"/>
      <w:marBottom w:val="0"/>
      <w:divBdr>
        <w:top w:val="none" w:sz="0" w:space="0" w:color="auto"/>
        <w:left w:val="none" w:sz="0" w:space="0" w:color="auto"/>
        <w:bottom w:val="none" w:sz="0" w:space="0" w:color="auto"/>
        <w:right w:val="none" w:sz="0" w:space="0" w:color="auto"/>
      </w:divBdr>
    </w:div>
    <w:div w:id="1459640740">
      <w:bodyDiv w:val="1"/>
      <w:marLeft w:val="0"/>
      <w:marRight w:val="0"/>
      <w:marTop w:val="0"/>
      <w:marBottom w:val="0"/>
      <w:divBdr>
        <w:top w:val="none" w:sz="0" w:space="0" w:color="auto"/>
        <w:left w:val="none" w:sz="0" w:space="0" w:color="auto"/>
        <w:bottom w:val="none" w:sz="0" w:space="0" w:color="auto"/>
        <w:right w:val="none" w:sz="0" w:space="0" w:color="auto"/>
      </w:divBdr>
    </w:div>
    <w:div w:id="1462185669">
      <w:bodyDiv w:val="1"/>
      <w:marLeft w:val="0"/>
      <w:marRight w:val="0"/>
      <w:marTop w:val="0"/>
      <w:marBottom w:val="0"/>
      <w:divBdr>
        <w:top w:val="none" w:sz="0" w:space="0" w:color="auto"/>
        <w:left w:val="none" w:sz="0" w:space="0" w:color="auto"/>
        <w:bottom w:val="none" w:sz="0" w:space="0" w:color="auto"/>
        <w:right w:val="none" w:sz="0" w:space="0" w:color="auto"/>
      </w:divBdr>
    </w:div>
    <w:div w:id="1468359132">
      <w:bodyDiv w:val="1"/>
      <w:marLeft w:val="0"/>
      <w:marRight w:val="0"/>
      <w:marTop w:val="0"/>
      <w:marBottom w:val="0"/>
      <w:divBdr>
        <w:top w:val="none" w:sz="0" w:space="0" w:color="auto"/>
        <w:left w:val="none" w:sz="0" w:space="0" w:color="auto"/>
        <w:bottom w:val="none" w:sz="0" w:space="0" w:color="auto"/>
        <w:right w:val="none" w:sz="0" w:space="0" w:color="auto"/>
      </w:divBdr>
    </w:div>
    <w:div w:id="1473207911">
      <w:bodyDiv w:val="1"/>
      <w:marLeft w:val="0"/>
      <w:marRight w:val="0"/>
      <w:marTop w:val="0"/>
      <w:marBottom w:val="0"/>
      <w:divBdr>
        <w:top w:val="none" w:sz="0" w:space="0" w:color="auto"/>
        <w:left w:val="none" w:sz="0" w:space="0" w:color="auto"/>
        <w:bottom w:val="none" w:sz="0" w:space="0" w:color="auto"/>
        <w:right w:val="none" w:sz="0" w:space="0" w:color="auto"/>
      </w:divBdr>
    </w:div>
    <w:div w:id="1481969192">
      <w:bodyDiv w:val="1"/>
      <w:marLeft w:val="0"/>
      <w:marRight w:val="0"/>
      <w:marTop w:val="0"/>
      <w:marBottom w:val="0"/>
      <w:divBdr>
        <w:top w:val="none" w:sz="0" w:space="0" w:color="auto"/>
        <w:left w:val="none" w:sz="0" w:space="0" w:color="auto"/>
        <w:bottom w:val="none" w:sz="0" w:space="0" w:color="auto"/>
        <w:right w:val="none" w:sz="0" w:space="0" w:color="auto"/>
      </w:divBdr>
    </w:div>
    <w:div w:id="1483959131">
      <w:bodyDiv w:val="1"/>
      <w:marLeft w:val="0"/>
      <w:marRight w:val="0"/>
      <w:marTop w:val="0"/>
      <w:marBottom w:val="0"/>
      <w:divBdr>
        <w:top w:val="none" w:sz="0" w:space="0" w:color="auto"/>
        <w:left w:val="none" w:sz="0" w:space="0" w:color="auto"/>
        <w:bottom w:val="none" w:sz="0" w:space="0" w:color="auto"/>
        <w:right w:val="none" w:sz="0" w:space="0" w:color="auto"/>
      </w:divBdr>
    </w:div>
    <w:div w:id="1484271471">
      <w:bodyDiv w:val="1"/>
      <w:marLeft w:val="0"/>
      <w:marRight w:val="0"/>
      <w:marTop w:val="0"/>
      <w:marBottom w:val="0"/>
      <w:divBdr>
        <w:top w:val="none" w:sz="0" w:space="0" w:color="auto"/>
        <w:left w:val="none" w:sz="0" w:space="0" w:color="auto"/>
        <w:bottom w:val="none" w:sz="0" w:space="0" w:color="auto"/>
        <w:right w:val="none" w:sz="0" w:space="0" w:color="auto"/>
      </w:divBdr>
    </w:div>
    <w:div w:id="1487287150">
      <w:bodyDiv w:val="1"/>
      <w:marLeft w:val="0"/>
      <w:marRight w:val="0"/>
      <w:marTop w:val="0"/>
      <w:marBottom w:val="0"/>
      <w:divBdr>
        <w:top w:val="none" w:sz="0" w:space="0" w:color="auto"/>
        <w:left w:val="none" w:sz="0" w:space="0" w:color="auto"/>
        <w:bottom w:val="none" w:sz="0" w:space="0" w:color="auto"/>
        <w:right w:val="none" w:sz="0" w:space="0" w:color="auto"/>
      </w:divBdr>
    </w:div>
    <w:div w:id="1496528964">
      <w:bodyDiv w:val="1"/>
      <w:marLeft w:val="0"/>
      <w:marRight w:val="0"/>
      <w:marTop w:val="0"/>
      <w:marBottom w:val="0"/>
      <w:divBdr>
        <w:top w:val="none" w:sz="0" w:space="0" w:color="auto"/>
        <w:left w:val="none" w:sz="0" w:space="0" w:color="auto"/>
        <w:bottom w:val="none" w:sz="0" w:space="0" w:color="auto"/>
        <w:right w:val="none" w:sz="0" w:space="0" w:color="auto"/>
      </w:divBdr>
    </w:div>
    <w:div w:id="1500660107">
      <w:bodyDiv w:val="1"/>
      <w:marLeft w:val="0"/>
      <w:marRight w:val="0"/>
      <w:marTop w:val="0"/>
      <w:marBottom w:val="0"/>
      <w:divBdr>
        <w:top w:val="none" w:sz="0" w:space="0" w:color="auto"/>
        <w:left w:val="none" w:sz="0" w:space="0" w:color="auto"/>
        <w:bottom w:val="none" w:sz="0" w:space="0" w:color="auto"/>
        <w:right w:val="none" w:sz="0" w:space="0" w:color="auto"/>
      </w:divBdr>
    </w:div>
    <w:div w:id="1507398314">
      <w:bodyDiv w:val="1"/>
      <w:marLeft w:val="0"/>
      <w:marRight w:val="0"/>
      <w:marTop w:val="0"/>
      <w:marBottom w:val="0"/>
      <w:divBdr>
        <w:top w:val="none" w:sz="0" w:space="0" w:color="auto"/>
        <w:left w:val="none" w:sz="0" w:space="0" w:color="auto"/>
        <w:bottom w:val="none" w:sz="0" w:space="0" w:color="auto"/>
        <w:right w:val="none" w:sz="0" w:space="0" w:color="auto"/>
      </w:divBdr>
    </w:div>
    <w:div w:id="1508133906">
      <w:bodyDiv w:val="1"/>
      <w:marLeft w:val="0"/>
      <w:marRight w:val="0"/>
      <w:marTop w:val="0"/>
      <w:marBottom w:val="0"/>
      <w:divBdr>
        <w:top w:val="none" w:sz="0" w:space="0" w:color="auto"/>
        <w:left w:val="none" w:sz="0" w:space="0" w:color="auto"/>
        <w:bottom w:val="none" w:sz="0" w:space="0" w:color="auto"/>
        <w:right w:val="none" w:sz="0" w:space="0" w:color="auto"/>
      </w:divBdr>
    </w:div>
    <w:div w:id="1510556120">
      <w:bodyDiv w:val="1"/>
      <w:marLeft w:val="0"/>
      <w:marRight w:val="0"/>
      <w:marTop w:val="0"/>
      <w:marBottom w:val="0"/>
      <w:divBdr>
        <w:top w:val="none" w:sz="0" w:space="0" w:color="auto"/>
        <w:left w:val="none" w:sz="0" w:space="0" w:color="auto"/>
        <w:bottom w:val="none" w:sz="0" w:space="0" w:color="auto"/>
        <w:right w:val="none" w:sz="0" w:space="0" w:color="auto"/>
      </w:divBdr>
    </w:div>
    <w:div w:id="1510564711">
      <w:bodyDiv w:val="1"/>
      <w:marLeft w:val="0"/>
      <w:marRight w:val="0"/>
      <w:marTop w:val="0"/>
      <w:marBottom w:val="0"/>
      <w:divBdr>
        <w:top w:val="none" w:sz="0" w:space="0" w:color="auto"/>
        <w:left w:val="none" w:sz="0" w:space="0" w:color="auto"/>
        <w:bottom w:val="none" w:sz="0" w:space="0" w:color="auto"/>
        <w:right w:val="none" w:sz="0" w:space="0" w:color="auto"/>
      </w:divBdr>
    </w:div>
    <w:div w:id="1522209379">
      <w:bodyDiv w:val="1"/>
      <w:marLeft w:val="0"/>
      <w:marRight w:val="0"/>
      <w:marTop w:val="0"/>
      <w:marBottom w:val="0"/>
      <w:divBdr>
        <w:top w:val="none" w:sz="0" w:space="0" w:color="auto"/>
        <w:left w:val="none" w:sz="0" w:space="0" w:color="auto"/>
        <w:bottom w:val="none" w:sz="0" w:space="0" w:color="auto"/>
        <w:right w:val="none" w:sz="0" w:space="0" w:color="auto"/>
      </w:divBdr>
    </w:div>
    <w:div w:id="1526865504">
      <w:bodyDiv w:val="1"/>
      <w:marLeft w:val="0"/>
      <w:marRight w:val="0"/>
      <w:marTop w:val="0"/>
      <w:marBottom w:val="0"/>
      <w:divBdr>
        <w:top w:val="none" w:sz="0" w:space="0" w:color="auto"/>
        <w:left w:val="none" w:sz="0" w:space="0" w:color="auto"/>
        <w:bottom w:val="none" w:sz="0" w:space="0" w:color="auto"/>
        <w:right w:val="none" w:sz="0" w:space="0" w:color="auto"/>
      </w:divBdr>
    </w:div>
    <w:div w:id="1528107136">
      <w:bodyDiv w:val="1"/>
      <w:marLeft w:val="0"/>
      <w:marRight w:val="0"/>
      <w:marTop w:val="0"/>
      <w:marBottom w:val="0"/>
      <w:divBdr>
        <w:top w:val="none" w:sz="0" w:space="0" w:color="auto"/>
        <w:left w:val="none" w:sz="0" w:space="0" w:color="auto"/>
        <w:bottom w:val="none" w:sz="0" w:space="0" w:color="auto"/>
        <w:right w:val="none" w:sz="0" w:space="0" w:color="auto"/>
      </w:divBdr>
    </w:div>
    <w:div w:id="1530754231">
      <w:bodyDiv w:val="1"/>
      <w:marLeft w:val="0"/>
      <w:marRight w:val="0"/>
      <w:marTop w:val="0"/>
      <w:marBottom w:val="0"/>
      <w:divBdr>
        <w:top w:val="none" w:sz="0" w:space="0" w:color="auto"/>
        <w:left w:val="none" w:sz="0" w:space="0" w:color="auto"/>
        <w:bottom w:val="none" w:sz="0" w:space="0" w:color="auto"/>
        <w:right w:val="none" w:sz="0" w:space="0" w:color="auto"/>
      </w:divBdr>
    </w:div>
    <w:div w:id="1535269918">
      <w:bodyDiv w:val="1"/>
      <w:marLeft w:val="0"/>
      <w:marRight w:val="0"/>
      <w:marTop w:val="0"/>
      <w:marBottom w:val="0"/>
      <w:divBdr>
        <w:top w:val="none" w:sz="0" w:space="0" w:color="auto"/>
        <w:left w:val="none" w:sz="0" w:space="0" w:color="auto"/>
        <w:bottom w:val="none" w:sz="0" w:space="0" w:color="auto"/>
        <w:right w:val="none" w:sz="0" w:space="0" w:color="auto"/>
      </w:divBdr>
    </w:div>
    <w:div w:id="1541092236">
      <w:bodyDiv w:val="1"/>
      <w:marLeft w:val="0"/>
      <w:marRight w:val="0"/>
      <w:marTop w:val="0"/>
      <w:marBottom w:val="0"/>
      <w:divBdr>
        <w:top w:val="none" w:sz="0" w:space="0" w:color="auto"/>
        <w:left w:val="none" w:sz="0" w:space="0" w:color="auto"/>
        <w:bottom w:val="none" w:sz="0" w:space="0" w:color="auto"/>
        <w:right w:val="none" w:sz="0" w:space="0" w:color="auto"/>
      </w:divBdr>
    </w:div>
    <w:div w:id="1546260899">
      <w:bodyDiv w:val="1"/>
      <w:marLeft w:val="0"/>
      <w:marRight w:val="0"/>
      <w:marTop w:val="0"/>
      <w:marBottom w:val="0"/>
      <w:divBdr>
        <w:top w:val="none" w:sz="0" w:space="0" w:color="auto"/>
        <w:left w:val="none" w:sz="0" w:space="0" w:color="auto"/>
        <w:bottom w:val="none" w:sz="0" w:space="0" w:color="auto"/>
        <w:right w:val="none" w:sz="0" w:space="0" w:color="auto"/>
      </w:divBdr>
    </w:div>
    <w:div w:id="1550653059">
      <w:bodyDiv w:val="1"/>
      <w:marLeft w:val="0"/>
      <w:marRight w:val="0"/>
      <w:marTop w:val="0"/>
      <w:marBottom w:val="0"/>
      <w:divBdr>
        <w:top w:val="none" w:sz="0" w:space="0" w:color="auto"/>
        <w:left w:val="none" w:sz="0" w:space="0" w:color="auto"/>
        <w:bottom w:val="none" w:sz="0" w:space="0" w:color="auto"/>
        <w:right w:val="none" w:sz="0" w:space="0" w:color="auto"/>
      </w:divBdr>
    </w:div>
    <w:div w:id="1551923039">
      <w:bodyDiv w:val="1"/>
      <w:marLeft w:val="0"/>
      <w:marRight w:val="0"/>
      <w:marTop w:val="0"/>
      <w:marBottom w:val="0"/>
      <w:divBdr>
        <w:top w:val="none" w:sz="0" w:space="0" w:color="auto"/>
        <w:left w:val="none" w:sz="0" w:space="0" w:color="auto"/>
        <w:bottom w:val="none" w:sz="0" w:space="0" w:color="auto"/>
        <w:right w:val="none" w:sz="0" w:space="0" w:color="auto"/>
      </w:divBdr>
    </w:div>
    <w:div w:id="1553808495">
      <w:bodyDiv w:val="1"/>
      <w:marLeft w:val="0"/>
      <w:marRight w:val="0"/>
      <w:marTop w:val="0"/>
      <w:marBottom w:val="0"/>
      <w:divBdr>
        <w:top w:val="none" w:sz="0" w:space="0" w:color="auto"/>
        <w:left w:val="none" w:sz="0" w:space="0" w:color="auto"/>
        <w:bottom w:val="none" w:sz="0" w:space="0" w:color="auto"/>
        <w:right w:val="none" w:sz="0" w:space="0" w:color="auto"/>
      </w:divBdr>
    </w:div>
    <w:div w:id="1556893766">
      <w:bodyDiv w:val="1"/>
      <w:marLeft w:val="0"/>
      <w:marRight w:val="0"/>
      <w:marTop w:val="0"/>
      <w:marBottom w:val="0"/>
      <w:divBdr>
        <w:top w:val="none" w:sz="0" w:space="0" w:color="auto"/>
        <w:left w:val="none" w:sz="0" w:space="0" w:color="auto"/>
        <w:bottom w:val="none" w:sz="0" w:space="0" w:color="auto"/>
        <w:right w:val="none" w:sz="0" w:space="0" w:color="auto"/>
      </w:divBdr>
    </w:div>
    <w:div w:id="1559125256">
      <w:bodyDiv w:val="1"/>
      <w:marLeft w:val="0"/>
      <w:marRight w:val="0"/>
      <w:marTop w:val="0"/>
      <w:marBottom w:val="0"/>
      <w:divBdr>
        <w:top w:val="none" w:sz="0" w:space="0" w:color="auto"/>
        <w:left w:val="none" w:sz="0" w:space="0" w:color="auto"/>
        <w:bottom w:val="none" w:sz="0" w:space="0" w:color="auto"/>
        <w:right w:val="none" w:sz="0" w:space="0" w:color="auto"/>
      </w:divBdr>
    </w:div>
    <w:div w:id="1564638972">
      <w:bodyDiv w:val="1"/>
      <w:marLeft w:val="0"/>
      <w:marRight w:val="0"/>
      <w:marTop w:val="0"/>
      <w:marBottom w:val="0"/>
      <w:divBdr>
        <w:top w:val="none" w:sz="0" w:space="0" w:color="auto"/>
        <w:left w:val="none" w:sz="0" w:space="0" w:color="auto"/>
        <w:bottom w:val="none" w:sz="0" w:space="0" w:color="auto"/>
        <w:right w:val="none" w:sz="0" w:space="0" w:color="auto"/>
      </w:divBdr>
    </w:div>
    <w:div w:id="1569225661">
      <w:bodyDiv w:val="1"/>
      <w:marLeft w:val="0"/>
      <w:marRight w:val="0"/>
      <w:marTop w:val="0"/>
      <w:marBottom w:val="0"/>
      <w:divBdr>
        <w:top w:val="none" w:sz="0" w:space="0" w:color="auto"/>
        <w:left w:val="none" w:sz="0" w:space="0" w:color="auto"/>
        <w:bottom w:val="none" w:sz="0" w:space="0" w:color="auto"/>
        <w:right w:val="none" w:sz="0" w:space="0" w:color="auto"/>
      </w:divBdr>
    </w:div>
    <w:div w:id="1571844555">
      <w:bodyDiv w:val="1"/>
      <w:marLeft w:val="0"/>
      <w:marRight w:val="0"/>
      <w:marTop w:val="0"/>
      <w:marBottom w:val="0"/>
      <w:divBdr>
        <w:top w:val="none" w:sz="0" w:space="0" w:color="auto"/>
        <w:left w:val="none" w:sz="0" w:space="0" w:color="auto"/>
        <w:bottom w:val="none" w:sz="0" w:space="0" w:color="auto"/>
        <w:right w:val="none" w:sz="0" w:space="0" w:color="auto"/>
      </w:divBdr>
    </w:div>
    <w:div w:id="1574968379">
      <w:bodyDiv w:val="1"/>
      <w:marLeft w:val="0"/>
      <w:marRight w:val="0"/>
      <w:marTop w:val="0"/>
      <w:marBottom w:val="0"/>
      <w:divBdr>
        <w:top w:val="none" w:sz="0" w:space="0" w:color="auto"/>
        <w:left w:val="none" w:sz="0" w:space="0" w:color="auto"/>
        <w:bottom w:val="none" w:sz="0" w:space="0" w:color="auto"/>
        <w:right w:val="none" w:sz="0" w:space="0" w:color="auto"/>
      </w:divBdr>
    </w:div>
    <w:div w:id="1579441264">
      <w:bodyDiv w:val="1"/>
      <w:marLeft w:val="0"/>
      <w:marRight w:val="0"/>
      <w:marTop w:val="0"/>
      <w:marBottom w:val="0"/>
      <w:divBdr>
        <w:top w:val="none" w:sz="0" w:space="0" w:color="auto"/>
        <w:left w:val="none" w:sz="0" w:space="0" w:color="auto"/>
        <w:bottom w:val="none" w:sz="0" w:space="0" w:color="auto"/>
        <w:right w:val="none" w:sz="0" w:space="0" w:color="auto"/>
      </w:divBdr>
    </w:div>
    <w:div w:id="1580092733">
      <w:bodyDiv w:val="1"/>
      <w:marLeft w:val="0"/>
      <w:marRight w:val="0"/>
      <w:marTop w:val="0"/>
      <w:marBottom w:val="0"/>
      <w:divBdr>
        <w:top w:val="none" w:sz="0" w:space="0" w:color="auto"/>
        <w:left w:val="none" w:sz="0" w:space="0" w:color="auto"/>
        <w:bottom w:val="none" w:sz="0" w:space="0" w:color="auto"/>
        <w:right w:val="none" w:sz="0" w:space="0" w:color="auto"/>
      </w:divBdr>
    </w:div>
    <w:div w:id="1580821122">
      <w:bodyDiv w:val="1"/>
      <w:marLeft w:val="0"/>
      <w:marRight w:val="0"/>
      <w:marTop w:val="0"/>
      <w:marBottom w:val="0"/>
      <w:divBdr>
        <w:top w:val="none" w:sz="0" w:space="0" w:color="auto"/>
        <w:left w:val="none" w:sz="0" w:space="0" w:color="auto"/>
        <w:bottom w:val="none" w:sz="0" w:space="0" w:color="auto"/>
        <w:right w:val="none" w:sz="0" w:space="0" w:color="auto"/>
      </w:divBdr>
    </w:div>
    <w:div w:id="1598833512">
      <w:bodyDiv w:val="1"/>
      <w:marLeft w:val="0"/>
      <w:marRight w:val="0"/>
      <w:marTop w:val="0"/>
      <w:marBottom w:val="0"/>
      <w:divBdr>
        <w:top w:val="none" w:sz="0" w:space="0" w:color="auto"/>
        <w:left w:val="none" w:sz="0" w:space="0" w:color="auto"/>
        <w:bottom w:val="none" w:sz="0" w:space="0" w:color="auto"/>
        <w:right w:val="none" w:sz="0" w:space="0" w:color="auto"/>
      </w:divBdr>
    </w:div>
    <w:div w:id="1600522187">
      <w:bodyDiv w:val="1"/>
      <w:marLeft w:val="0"/>
      <w:marRight w:val="0"/>
      <w:marTop w:val="0"/>
      <w:marBottom w:val="0"/>
      <w:divBdr>
        <w:top w:val="none" w:sz="0" w:space="0" w:color="auto"/>
        <w:left w:val="none" w:sz="0" w:space="0" w:color="auto"/>
        <w:bottom w:val="none" w:sz="0" w:space="0" w:color="auto"/>
        <w:right w:val="none" w:sz="0" w:space="0" w:color="auto"/>
      </w:divBdr>
    </w:div>
    <w:div w:id="1606499712">
      <w:bodyDiv w:val="1"/>
      <w:marLeft w:val="0"/>
      <w:marRight w:val="0"/>
      <w:marTop w:val="0"/>
      <w:marBottom w:val="0"/>
      <w:divBdr>
        <w:top w:val="none" w:sz="0" w:space="0" w:color="auto"/>
        <w:left w:val="none" w:sz="0" w:space="0" w:color="auto"/>
        <w:bottom w:val="none" w:sz="0" w:space="0" w:color="auto"/>
        <w:right w:val="none" w:sz="0" w:space="0" w:color="auto"/>
      </w:divBdr>
    </w:div>
    <w:div w:id="1610090379">
      <w:bodyDiv w:val="1"/>
      <w:marLeft w:val="0"/>
      <w:marRight w:val="0"/>
      <w:marTop w:val="0"/>
      <w:marBottom w:val="0"/>
      <w:divBdr>
        <w:top w:val="none" w:sz="0" w:space="0" w:color="auto"/>
        <w:left w:val="none" w:sz="0" w:space="0" w:color="auto"/>
        <w:bottom w:val="none" w:sz="0" w:space="0" w:color="auto"/>
        <w:right w:val="none" w:sz="0" w:space="0" w:color="auto"/>
      </w:divBdr>
    </w:div>
    <w:div w:id="1615863158">
      <w:bodyDiv w:val="1"/>
      <w:marLeft w:val="0"/>
      <w:marRight w:val="0"/>
      <w:marTop w:val="0"/>
      <w:marBottom w:val="0"/>
      <w:divBdr>
        <w:top w:val="none" w:sz="0" w:space="0" w:color="auto"/>
        <w:left w:val="none" w:sz="0" w:space="0" w:color="auto"/>
        <w:bottom w:val="none" w:sz="0" w:space="0" w:color="auto"/>
        <w:right w:val="none" w:sz="0" w:space="0" w:color="auto"/>
      </w:divBdr>
    </w:div>
    <w:div w:id="1615867996">
      <w:bodyDiv w:val="1"/>
      <w:marLeft w:val="0"/>
      <w:marRight w:val="0"/>
      <w:marTop w:val="0"/>
      <w:marBottom w:val="0"/>
      <w:divBdr>
        <w:top w:val="none" w:sz="0" w:space="0" w:color="auto"/>
        <w:left w:val="none" w:sz="0" w:space="0" w:color="auto"/>
        <w:bottom w:val="none" w:sz="0" w:space="0" w:color="auto"/>
        <w:right w:val="none" w:sz="0" w:space="0" w:color="auto"/>
      </w:divBdr>
    </w:div>
    <w:div w:id="1616785851">
      <w:bodyDiv w:val="1"/>
      <w:marLeft w:val="0"/>
      <w:marRight w:val="0"/>
      <w:marTop w:val="0"/>
      <w:marBottom w:val="0"/>
      <w:divBdr>
        <w:top w:val="none" w:sz="0" w:space="0" w:color="auto"/>
        <w:left w:val="none" w:sz="0" w:space="0" w:color="auto"/>
        <w:bottom w:val="none" w:sz="0" w:space="0" w:color="auto"/>
        <w:right w:val="none" w:sz="0" w:space="0" w:color="auto"/>
      </w:divBdr>
    </w:div>
    <w:div w:id="1618177446">
      <w:bodyDiv w:val="1"/>
      <w:marLeft w:val="0"/>
      <w:marRight w:val="0"/>
      <w:marTop w:val="0"/>
      <w:marBottom w:val="0"/>
      <w:divBdr>
        <w:top w:val="none" w:sz="0" w:space="0" w:color="auto"/>
        <w:left w:val="none" w:sz="0" w:space="0" w:color="auto"/>
        <w:bottom w:val="none" w:sz="0" w:space="0" w:color="auto"/>
        <w:right w:val="none" w:sz="0" w:space="0" w:color="auto"/>
      </w:divBdr>
    </w:div>
    <w:div w:id="1626693858">
      <w:bodyDiv w:val="1"/>
      <w:marLeft w:val="0"/>
      <w:marRight w:val="0"/>
      <w:marTop w:val="0"/>
      <w:marBottom w:val="0"/>
      <w:divBdr>
        <w:top w:val="none" w:sz="0" w:space="0" w:color="auto"/>
        <w:left w:val="none" w:sz="0" w:space="0" w:color="auto"/>
        <w:bottom w:val="none" w:sz="0" w:space="0" w:color="auto"/>
        <w:right w:val="none" w:sz="0" w:space="0" w:color="auto"/>
      </w:divBdr>
    </w:div>
    <w:div w:id="1630935382">
      <w:bodyDiv w:val="1"/>
      <w:marLeft w:val="0"/>
      <w:marRight w:val="0"/>
      <w:marTop w:val="0"/>
      <w:marBottom w:val="0"/>
      <w:divBdr>
        <w:top w:val="none" w:sz="0" w:space="0" w:color="auto"/>
        <w:left w:val="none" w:sz="0" w:space="0" w:color="auto"/>
        <w:bottom w:val="none" w:sz="0" w:space="0" w:color="auto"/>
        <w:right w:val="none" w:sz="0" w:space="0" w:color="auto"/>
      </w:divBdr>
    </w:div>
    <w:div w:id="1632134307">
      <w:bodyDiv w:val="1"/>
      <w:marLeft w:val="0"/>
      <w:marRight w:val="0"/>
      <w:marTop w:val="0"/>
      <w:marBottom w:val="0"/>
      <w:divBdr>
        <w:top w:val="none" w:sz="0" w:space="0" w:color="auto"/>
        <w:left w:val="none" w:sz="0" w:space="0" w:color="auto"/>
        <w:bottom w:val="none" w:sz="0" w:space="0" w:color="auto"/>
        <w:right w:val="none" w:sz="0" w:space="0" w:color="auto"/>
      </w:divBdr>
    </w:div>
    <w:div w:id="1633822060">
      <w:bodyDiv w:val="1"/>
      <w:marLeft w:val="0"/>
      <w:marRight w:val="0"/>
      <w:marTop w:val="0"/>
      <w:marBottom w:val="0"/>
      <w:divBdr>
        <w:top w:val="none" w:sz="0" w:space="0" w:color="auto"/>
        <w:left w:val="none" w:sz="0" w:space="0" w:color="auto"/>
        <w:bottom w:val="none" w:sz="0" w:space="0" w:color="auto"/>
        <w:right w:val="none" w:sz="0" w:space="0" w:color="auto"/>
      </w:divBdr>
    </w:div>
    <w:div w:id="1634672490">
      <w:bodyDiv w:val="1"/>
      <w:marLeft w:val="0"/>
      <w:marRight w:val="0"/>
      <w:marTop w:val="0"/>
      <w:marBottom w:val="0"/>
      <w:divBdr>
        <w:top w:val="none" w:sz="0" w:space="0" w:color="auto"/>
        <w:left w:val="none" w:sz="0" w:space="0" w:color="auto"/>
        <w:bottom w:val="none" w:sz="0" w:space="0" w:color="auto"/>
        <w:right w:val="none" w:sz="0" w:space="0" w:color="auto"/>
      </w:divBdr>
    </w:div>
    <w:div w:id="1643193449">
      <w:bodyDiv w:val="1"/>
      <w:marLeft w:val="0"/>
      <w:marRight w:val="0"/>
      <w:marTop w:val="0"/>
      <w:marBottom w:val="0"/>
      <w:divBdr>
        <w:top w:val="none" w:sz="0" w:space="0" w:color="auto"/>
        <w:left w:val="none" w:sz="0" w:space="0" w:color="auto"/>
        <w:bottom w:val="none" w:sz="0" w:space="0" w:color="auto"/>
        <w:right w:val="none" w:sz="0" w:space="0" w:color="auto"/>
      </w:divBdr>
    </w:div>
    <w:div w:id="1643342048">
      <w:bodyDiv w:val="1"/>
      <w:marLeft w:val="0"/>
      <w:marRight w:val="0"/>
      <w:marTop w:val="0"/>
      <w:marBottom w:val="0"/>
      <w:divBdr>
        <w:top w:val="none" w:sz="0" w:space="0" w:color="auto"/>
        <w:left w:val="none" w:sz="0" w:space="0" w:color="auto"/>
        <w:bottom w:val="none" w:sz="0" w:space="0" w:color="auto"/>
        <w:right w:val="none" w:sz="0" w:space="0" w:color="auto"/>
      </w:divBdr>
    </w:div>
    <w:div w:id="1646087329">
      <w:bodyDiv w:val="1"/>
      <w:marLeft w:val="0"/>
      <w:marRight w:val="0"/>
      <w:marTop w:val="0"/>
      <w:marBottom w:val="0"/>
      <w:divBdr>
        <w:top w:val="none" w:sz="0" w:space="0" w:color="auto"/>
        <w:left w:val="none" w:sz="0" w:space="0" w:color="auto"/>
        <w:bottom w:val="none" w:sz="0" w:space="0" w:color="auto"/>
        <w:right w:val="none" w:sz="0" w:space="0" w:color="auto"/>
      </w:divBdr>
    </w:div>
    <w:div w:id="1648242274">
      <w:bodyDiv w:val="1"/>
      <w:marLeft w:val="0"/>
      <w:marRight w:val="0"/>
      <w:marTop w:val="0"/>
      <w:marBottom w:val="0"/>
      <w:divBdr>
        <w:top w:val="none" w:sz="0" w:space="0" w:color="auto"/>
        <w:left w:val="none" w:sz="0" w:space="0" w:color="auto"/>
        <w:bottom w:val="none" w:sz="0" w:space="0" w:color="auto"/>
        <w:right w:val="none" w:sz="0" w:space="0" w:color="auto"/>
      </w:divBdr>
    </w:div>
    <w:div w:id="1655454423">
      <w:bodyDiv w:val="1"/>
      <w:marLeft w:val="0"/>
      <w:marRight w:val="0"/>
      <w:marTop w:val="0"/>
      <w:marBottom w:val="0"/>
      <w:divBdr>
        <w:top w:val="none" w:sz="0" w:space="0" w:color="auto"/>
        <w:left w:val="none" w:sz="0" w:space="0" w:color="auto"/>
        <w:bottom w:val="none" w:sz="0" w:space="0" w:color="auto"/>
        <w:right w:val="none" w:sz="0" w:space="0" w:color="auto"/>
      </w:divBdr>
    </w:div>
    <w:div w:id="1658534944">
      <w:bodyDiv w:val="1"/>
      <w:marLeft w:val="0"/>
      <w:marRight w:val="0"/>
      <w:marTop w:val="0"/>
      <w:marBottom w:val="0"/>
      <w:divBdr>
        <w:top w:val="none" w:sz="0" w:space="0" w:color="auto"/>
        <w:left w:val="none" w:sz="0" w:space="0" w:color="auto"/>
        <w:bottom w:val="none" w:sz="0" w:space="0" w:color="auto"/>
        <w:right w:val="none" w:sz="0" w:space="0" w:color="auto"/>
      </w:divBdr>
    </w:div>
    <w:div w:id="1659766210">
      <w:bodyDiv w:val="1"/>
      <w:marLeft w:val="0"/>
      <w:marRight w:val="0"/>
      <w:marTop w:val="0"/>
      <w:marBottom w:val="0"/>
      <w:divBdr>
        <w:top w:val="none" w:sz="0" w:space="0" w:color="auto"/>
        <w:left w:val="none" w:sz="0" w:space="0" w:color="auto"/>
        <w:bottom w:val="none" w:sz="0" w:space="0" w:color="auto"/>
        <w:right w:val="none" w:sz="0" w:space="0" w:color="auto"/>
      </w:divBdr>
    </w:div>
    <w:div w:id="1662078874">
      <w:bodyDiv w:val="1"/>
      <w:marLeft w:val="0"/>
      <w:marRight w:val="0"/>
      <w:marTop w:val="0"/>
      <w:marBottom w:val="0"/>
      <w:divBdr>
        <w:top w:val="none" w:sz="0" w:space="0" w:color="auto"/>
        <w:left w:val="none" w:sz="0" w:space="0" w:color="auto"/>
        <w:bottom w:val="none" w:sz="0" w:space="0" w:color="auto"/>
        <w:right w:val="none" w:sz="0" w:space="0" w:color="auto"/>
      </w:divBdr>
    </w:div>
    <w:div w:id="1665358798">
      <w:bodyDiv w:val="1"/>
      <w:marLeft w:val="0"/>
      <w:marRight w:val="0"/>
      <w:marTop w:val="0"/>
      <w:marBottom w:val="0"/>
      <w:divBdr>
        <w:top w:val="none" w:sz="0" w:space="0" w:color="auto"/>
        <w:left w:val="none" w:sz="0" w:space="0" w:color="auto"/>
        <w:bottom w:val="none" w:sz="0" w:space="0" w:color="auto"/>
        <w:right w:val="none" w:sz="0" w:space="0" w:color="auto"/>
      </w:divBdr>
    </w:div>
    <w:div w:id="1666207433">
      <w:bodyDiv w:val="1"/>
      <w:marLeft w:val="0"/>
      <w:marRight w:val="0"/>
      <w:marTop w:val="0"/>
      <w:marBottom w:val="0"/>
      <w:divBdr>
        <w:top w:val="none" w:sz="0" w:space="0" w:color="auto"/>
        <w:left w:val="none" w:sz="0" w:space="0" w:color="auto"/>
        <w:bottom w:val="none" w:sz="0" w:space="0" w:color="auto"/>
        <w:right w:val="none" w:sz="0" w:space="0" w:color="auto"/>
      </w:divBdr>
    </w:div>
    <w:div w:id="1666470533">
      <w:bodyDiv w:val="1"/>
      <w:marLeft w:val="0"/>
      <w:marRight w:val="0"/>
      <w:marTop w:val="0"/>
      <w:marBottom w:val="0"/>
      <w:divBdr>
        <w:top w:val="none" w:sz="0" w:space="0" w:color="auto"/>
        <w:left w:val="none" w:sz="0" w:space="0" w:color="auto"/>
        <w:bottom w:val="none" w:sz="0" w:space="0" w:color="auto"/>
        <w:right w:val="none" w:sz="0" w:space="0" w:color="auto"/>
      </w:divBdr>
    </w:div>
    <w:div w:id="1697347074">
      <w:bodyDiv w:val="1"/>
      <w:marLeft w:val="0"/>
      <w:marRight w:val="0"/>
      <w:marTop w:val="0"/>
      <w:marBottom w:val="0"/>
      <w:divBdr>
        <w:top w:val="none" w:sz="0" w:space="0" w:color="auto"/>
        <w:left w:val="none" w:sz="0" w:space="0" w:color="auto"/>
        <w:bottom w:val="none" w:sz="0" w:space="0" w:color="auto"/>
        <w:right w:val="none" w:sz="0" w:space="0" w:color="auto"/>
      </w:divBdr>
    </w:div>
    <w:div w:id="1701081638">
      <w:bodyDiv w:val="1"/>
      <w:marLeft w:val="0"/>
      <w:marRight w:val="0"/>
      <w:marTop w:val="0"/>
      <w:marBottom w:val="0"/>
      <w:divBdr>
        <w:top w:val="none" w:sz="0" w:space="0" w:color="auto"/>
        <w:left w:val="none" w:sz="0" w:space="0" w:color="auto"/>
        <w:bottom w:val="none" w:sz="0" w:space="0" w:color="auto"/>
        <w:right w:val="none" w:sz="0" w:space="0" w:color="auto"/>
      </w:divBdr>
    </w:div>
    <w:div w:id="1702314029">
      <w:bodyDiv w:val="1"/>
      <w:marLeft w:val="0"/>
      <w:marRight w:val="0"/>
      <w:marTop w:val="0"/>
      <w:marBottom w:val="0"/>
      <w:divBdr>
        <w:top w:val="none" w:sz="0" w:space="0" w:color="auto"/>
        <w:left w:val="none" w:sz="0" w:space="0" w:color="auto"/>
        <w:bottom w:val="none" w:sz="0" w:space="0" w:color="auto"/>
        <w:right w:val="none" w:sz="0" w:space="0" w:color="auto"/>
      </w:divBdr>
    </w:div>
    <w:div w:id="1703940788">
      <w:bodyDiv w:val="1"/>
      <w:marLeft w:val="0"/>
      <w:marRight w:val="0"/>
      <w:marTop w:val="0"/>
      <w:marBottom w:val="0"/>
      <w:divBdr>
        <w:top w:val="none" w:sz="0" w:space="0" w:color="auto"/>
        <w:left w:val="none" w:sz="0" w:space="0" w:color="auto"/>
        <w:bottom w:val="none" w:sz="0" w:space="0" w:color="auto"/>
        <w:right w:val="none" w:sz="0" w:space="0" w:color="auto"/>
      </w:divBdr>
    </w:div>
    <w:div w:id="1705133415">
      <w:bodyDiv w:val="1"/>
      <w:marLeft w:val="0"/>
      <w:marRight w:val="0"/>
      <w:marTop w:val="0"/>
      <w:marBottom w:val="0"/>
      <w:divBdr>
        <w:top w:val="none" w:sz="0" w:space="0" w:color="auto"/>
        <w:left w:val="none" w:sz="0" w:space="0" w:color="auto"/>
        <w:bottom w:val="none" w:sz="0" w:space="0" w:color="auto"/>
        <w:right w:val="none" w:sz="0" w:space="0" w:color="auto"/>
      </w:divBdr>
    </w:div>
    <w:div w:id="1709335456">
      <w:bodyDiv w:val="1"/>
      <w:marLeft w:val="0"/>
      <w:marRight w:val="0"/>
      <w:marTop w:val="0"/>
      <w:marBottom w:val="0"/>
      <w:divBdr>
        <w:top w:val="none" w:sz="0" w:space="0" w:color="auto"/>
        <w:left w:val="none" w:sz="0" w:space="0" w:color="auto"/>
        <w:bottom w:val="none" w:sz="0" w:space="0" w:color="auto"/>
        <w:right w:val="none" w:sz="0" w:space="0" w:color="auto"/>
      </w:divBdr>
    </w:div>
    <w:div w:id="1718624099">
      <w:bodyDiv w:val="1"/>
      <w:marLeft w:val="0"/>
      <w:marRight w:val="0"/>
      <w:marTop w:val="0"/>
      <w:marBottom w:val="0"/>
      <w:divBdr>
        <w:top w:val="none" w:sz="0" w:space="0" w:color="auto"/>
        <w:left w:val="none" w:sz="0" w:space="0" w:color="auto"/>
        <w:bottom w:val="none" w:sz="0" w:space="0" w:color="auto"/>
        <w:right w:val="none" w:sz="0" w:space="0" w:color="auto"/>
      </w:divBdr>
    </w:div>
    <w:div w:id="1720934789">
      <w:bodyDiv w:val="1"/>
      <w:marLeft w:val="0"/>
      <w:marRight w:val="0"/>
      <w:marTop w:val="0"/>
      <w:marBottom w:val="0"/>
      <w:divBdr>
        <w:top w:val="none" w:sz="0" w:space="0" w:color="auto"/>
        <w:left w:val="none" w:sz="0" w:space="0" w:color="auto"/>
        <w:bottom w:val="none" w:sz="0" w:space="0" w:color="auto"/>
        <w:right w:val="none" w:sz="0" w:space="0" w:color="auto"/>
      </w:divBdr>
    </w:div>
    <w:div w:id="1730349236">
      <w:bodyDiv w:val="1"/>
      <w:marLeft w:val="0"/>
      <w:marRight w:val="0"/>
      <w:marTop w:val="0"/>
      <w:marBottom w:val="0"/>
      <w:divBdr>
        <w:top w:val="none" w:sz="0" w:space="0" w:color="auto"/>
        <w:left w:val="none" w:sz="0" w:space="0" w:color="auto"/>
        <w:bottom w:val="none" w:sz="0" w:space="0" w:color="auto"/>
        <w:right w:val="none" w:sz="0" w:space="0" w:color="auto"/>
      </w:divBdr>
    </w:div>
    <w:div w:id="1730415913">
      <w:bodyDiv w:val="1"/>
      <w:marLeft w:val="0"/>
      <w:marRight w:val="0"/>
      <w:marTop w:val="0"/>
      <w:marBottom w:val="0"/>
      <w:divBdr>
        <w:top w:val="none" w:sz="0" w:space="0" w:color="auto"/>
        <w:left w:val="none" w:sz="0" w:space="0" w:color="auto"/>
        <w:bottom w:val="none" w:sz="0" w:space="0" w:color="auto"/>
        <w:right w:val="none" w:sz="0" w:space="0" w:color="auto"/>
      </w:divBdr>
    </w:div>
    <w:div w:id="1735274301">
      <w:bodyDiv w:val="1"/>
      <w:marLeft w:val="0"/>
      <w:marRight w:val="0"/>
      <w:marTop w:val="0"/>
      <w:marBottom w:val="0"/>
      <w:divBdr>
        <w:top w:val="none" w:sz="0" w:space="0" w:color="auto"/>
        <w:left w:val="none" w:sz="0" w:space="0" w:color="auto"/>
        <w:bottom w:val="none" w:sz="0" w:space="0" w:color="auto"/>
        <w:right w:val="none" w:sz="0" w:space="0" w:color="auto"/>
      </w:divBdr>
    </w:div>
    <w:div w:id="1742174723">
      <w:bodyDiv w:val="1"/>
      <w:marLeft w:val="0"/>
      <w:marRight w:val="0"/>
      <w:marTop w:val="0"/>
      <w:marBottom w:val="0"/>
      <w:divBdr>
        <w:top w:val="none" w:sz="0" w:space="0" w:color="auto"/>
        <w:left w:val="none" w:sz="0" w:space="0" w:color="auto"/>
        <w:bottom w:val="none" w:sz="0" w:space="0" w:color="auto"/>
        <w:right w:val="none" w:sz="0" w:space="0" w:color="auto"/>
      </w:divBdr>
    </w:div>
    <w:div w:id="1742634841">
      <w:bodyDiv w:val="1"/>
      <w:marLeft w:val="0"/>
      <w:marRight w:val="0"/>
      <w:marTop w:val="0"/>
      <w:marBottom w:val="0"/>
      <w:divBdr>
        <w:top w:val="none" w:sz="0" w:space="0" w:color="auto"/>
        <w:left w:val="none" w:sz="0" w:space="0" w:color="auto"/>
        <w:bottom w:val="none" w:sz="0" w:space="0" w:color="auto"/>
        <w:right w:val="none" w:sz="0" w:space="0" w:color="auto"/>
      </w:divBdr>
    </w:div>
    <w:div w:id="1754811397">
      <w:bodyDiv w:val="1"/>
      <w:marLeft w:val="0"/>
      <w:marRight w:val="0"/>
      <w:marTop w:val="0"/>
      <w:marBottom w:val="0"/>
      <w:divBdr>
        <w:top w:val="none" w:sz="0" w:space="0" w:color="auto"/>
        <w:left w:val="none" w:sz="0" w:space="0" w:color="auto"/>
        <w:bottom w:val="none" w:sz="0" w:space="0" w:color="auto"/>
        <w:right w:val="none" w:sz="0" w:space="0" w:color="auto"/>
      </w:divBdr>
    </w:div>
    <w:div w:id="1759518521">
      <w:bodyDiv w:val="1"/>
      <w:marLeft w:val="0"/>
      <w:marRight w:val="0"/>
      <w:marTop w:val="0"/>
      <w:marBottom w:val="0"/>
      <w:divBdr>
        <w:top w:val="none" w:sz="0" w:space="0" w:color="auto"/>
        <w:left w:val="none" w:sz="0" w:space="0" w:color="auto"/>
        <w:bottom w:val="none" w:sz="0" w:space="0" w:color="auto"/>
        <w:right w:val="none" w:sz="0" w:space="0" w:color="auto"/>
      </w:divBdr>
    </w:div>
    <w:div w:id="1759712491">
      <w:bodyDiv w:val="1"/>
      <w:marLeft w:val="0"/>
      <w:marRight w:val="0"/>
      <w:marTop w:val="0"/>
      <w:marBottom w:val="0"/>
      <w:divBdr>
        <w:top w:val="none" w:sz="0" w:space="0" w:color="auto"/>
        <w:left w:val="none" w:sz="0" w:space="0" w:color="auto"/>
        <w:bottom w:val="none" w:sz="0" w:space="0" w:color="auto"/>
        <w:right w:val="none" w:sz="0" w:space="0" w:color="auto"/>
      </w:divBdr>
    </w:div>
    <w:div w:id="1766614885">
      <w:bodyDiv w:val="1"/>
      <w:marLeft w:val="0"/>
      <w:marRight w:val="0"/>
      <w:marTop w:val="0"/>
      <w:marBottom w:val="0"/>
      <w:divBdr>
        <w:top w:val="none" w:sz="0" w:space="0" w:color="auto"/>
        <w:left w:val="none" w:sz="0" w:space="0" w:color="auto"/>
        <w:bottom w:val="none" w:sz="0" w:space="0" w:color="auto"/>
        <w:right w:val="none" w:sz="0" w:space="0" w:color="auto"/>
      </w:divBdr>
    </w:div>
    <w:div w:id="1768229701">
      <w:bodyDiv w:val="1"/>
      <w:marLeft w:val="0"/>
      <w:marRight w:val="0"/>
      <w:marTop w:val="0"/>
      <w:marBottom w:val="0"/>
      <w:divBdr>
        <w:top w:val="none" w:sz="0" w:space="0" w:color="auto"/>
        <w:left w:val="none" w:sz="0" w:space="0" w:color="auto"/>
        <w:bottom w:val="none" w:sz="0" w:space="0" w:color="auto"/>
        <w:right w:val="none" w:sz="0" w:space="0" w:color="auto"/>
      </w:divBdr>
    </w:div>
    <w:div w:id="1769498551">
      <w:bodyDiv w:val="1"/>
      <w:marLeft w:val="0"/>
      <w:marRight w:val="0"/>
      <w:marTop w:val="0"/>
      <w:marBottom w:val="0"/>
      <w:divBdr>
        <w:top w:val="none" w:sz="0" w:space="0" w:color="auto"/>
        <w:left w:val="none" w:sz="0" w:space="0" w:color="auto"/>
        <w:bottom w:val="none" w:sz="0" w:space="0" w:color="auto"/>
        <w:right w:val="none" w:sz="0" w:space="0" w:color="auto"/>
      </w:divBdr>
    </w:div>
    <w:div w:id="1770543832">
      <w:bodyDiv w:val="1"/>
      <w:marLeft w:val="0"/>
      <w:marRight w:val="0"/>
      <w:marTop w:val="0"/>
      <w:marBottom w:val="0"/>
      <w:divBdr>
        <w:top w:val="none" w:sz="0" w:space="0" w:color="auto"/>
        <w:left w:val="none" w:sz="0" w:space="0" w:color="auto"/>
        <w:bottom w:val="none" w:sz="0" w:space="0" w:color="auto"/>
        <w:right w:val="none" w:sz="0" w:space="0" w:color="auto"/>
      </w:divBdr>
    </w:div>
    <w:div w:id="1774083168">
      <w:bodyDiv w:val="1"/>
      <w:marLeft w:val="0"/>
      <w:marRight w:val="0"/>
      <w:marTop w:val="0"/>
      <w:marBottom w:val="0"/>
      <w:divBdr>
        <w:top w:val="none" w:sz="0" w:space="0" w:color="auto"/>
        <w:left w:val="none" w:sz="0" w:space="0" w:color="auto"/>
        <w:bottom w:val="none" w:sz="0" w:space="0" w:color="auto"/>
        <w:right w:val="none" w:sz="0" w:space="0" w:color="auto"/>
      </w:divBdr>
    </w:div>
    <w:div w:id="1776512335">
      <w:bodyDiv w:val="1"/>
      <w:marLeft w:val="0"/>
      <w:marRight w:val="0"/>
      <w:marTop w:val="0"/>
      <w:marBottom w:val="0"/>
      <w:divBdr>
        <w:top w:val="none" w:sz="0" w:space="0" w:color="auto"/>
        <w:left w:val="none" w:sz="0" w:space="0" w:color="auto"/>
        <w:bottom w:val="none" w:sz="0" w:space="0" w:color="auto"/>
        <w:right w:val="none" w:sz="0" w:space="0" w:color="auto"/>
      </w:divBdr>
    </w:div>
    <w:div w:id="1777554357">
      <w:bodyDiv w:val="1"/>
      <w:marLeft w:val="0"/>
      <w:marRight w:val="0"/>
      <w:marTop w:val="0"/>
      <w:marBottom w:val="0"/>
      <w:divBdr>
        <w:top w:val="none" w:sz="0" w:space="0" w:color="auto"/>
        <w:left w:val="none" w:sz="0" w:space="0" w:color="auto"/>
        <w:bottom w:val="none" w:sz="0" w:space="0" w:color="auto"/>
        <w:right w:val="none" w:sz="0" w:space="0" w:color="auto"/>
      </w:divBdr>
    </w:div>
    <w:div w:id="1778518496">
      <w:bodyDiv w:val="1"/>
      <w:marLeft w:val="0"/>
      <w:marRight w:val="0"/>
      <w:marTop w:val="0"/>
      <w:marBottom w:val="0"/>
      <w:divBdr>
        <w:top w:val="none" w:sz="0" w:space="0" w:color="auto"/>
        <w:left w:val="none" w:sz="0" w:space="0" w:color="auto"/>
        <w:bottom w:val="none" w:sz="0" w:space="0" w:color="auto"/>
        <w:right w:val="none" w:sz="0" w:space="0" w:color="auto"/>
      </w:divBdr>
    </w:div>
    <w:div w:id="1780638961">
      <w:bodyDiv w:val="1"/>
      <w:marLeft w:val="0"/>
      <w:marRight w:val="0"/>
      <w:marTop w:val="0"/>
      <w:marBottom w:val="0"/>
      <w:divBdr>
        <w:top w:val="none" w:sz="0" w:space="0" w:color="auto"/>
        <w:left w:val="none" w:sz="0" w:space="0" w:color="auto"/>
        <w:bottom w:val="none" w:sz="0" w:space="0" w:color="auto"/>
        <w:right w:val="none" w:sz="0" w:space="0" w:color="auto"/>
      </w:divBdr>
    </w:div>
    <w:div w:id="1780905166">
      <w:bodyDiv w:val="1"/>
      <w:marLeft w:val="0"/>
      <w:marRight w:val="0"/>
      <w:marTop w:val="0"/>
      <w:marBottom w:val="0"/>
      <w:divBdr>
        <w:top w:val="none" w:sz="0" w:space="0" w:color="auto"/>
        <w:left w:val="none" w:sz="0" w:space="0" w:color="auto"/>
        <w:bottom w:val="none" w:sz="0" w:space="0" w:color="auto"/>
        <w:right w:val="none" w:sz="0" w:space="0" w:color="auto"/>
      </w:divBdr>
    </w:div>
    <w:div w:id="1781224662">
      <w:bodyDiv w:val="1"/>
      <w:marLeft w:val="0"/>
      <w:marRight w:val="0"/>
      <w:marTop w:val="0"/>
      <w:marBottom w:val="0"/>
      <w:divBdr>
        <w:top w:val="none" w:sz="0" w:space="0" w:color="auto"/>
        <w:left w:val="none" w:sz="0" w:space="0" w:color="auto"/>
        <w:bottom w:val="none" w:sz="0" w:space="0" w:color="auto"/>
        <w:right w:val="none" w:sz="0" w:space="0" w:color="auto"/>
      </w:divBdr>
    </w:div>
    <w:div w:id="1781339699">
      <w:bodyDiv w:val="1"/>
      <w:marLeft w:val="0"/>
      <w:marRight w:val="0"/>
      <w:marTop w:val="0"/>
      <w:marBottom w:val="0"/>
      <w:divBdr>
        <w:top w:val="none" w:sz="0" w:space="0" w:color="auto"/>
        <w:left w:val="none" w:sz="0" w:space="0" w:color="auto"/>
        <w:bottom w:val="none" w:sz="0" w:space="0" w:color="auto"/>
        <w:right w:val="none" w:sz="0" w:space="0" w:color="auto"/>
      </w:divBdr>
    </w:div>
    <w:div w:id="1782993827">
      <w:bodyDiv w:val="1"/>
      <w:marLeft w:val="0"/>
      <w:marRight w:val="0"/>
      <w:marTop w:val="0"/>
      <w:marBottom w:val="0"/>
      <w:divBdr>
        <w:top w:val="none" w:sz="0" w:space="0" w:color="auto"/>
        <w:left w:val="none" w:sz="0" w:space="0" w:color="auto"/>
        <w:bottom w:val="none" w:sz="0" w:space="0" w:color="auto"/>
        <w:right w:val="none" w:sz="0" w:space="0" w:color="auto"/>
      </w:divBdr>
    </w:div>
    <w:div w:id="1786383618">
      <w:bodyDiv w:val="1"/>
      <w:marLeft w:val="0"/>
      <w:marRight w:val="0"/>
      <w:marTop w:val="0"/>
      <w:marBottom w:val="0"/>
      <w:divBdr>
        <w:top w:val="none" w:sz="0" w:space="0" w:color="auto"/>
        <w:left w:val="none" w:sz="0" w:space="0" w:color="auto"/>
        <w:bottom w:val="none" w:sz="0" w:space="0" w:color="auto"/>
        <w:right w:val="none" w:sz="0" w:space="0" w:color="auto"/>
      </w:divBdr>
    </w:div>
    <w:div w:id="1787195022">
      <w:bodyDiv w:val="1"/>
      <w:marLeft w:val="0"/>
      <w:marRight w:val="0"/>
      <w:marTop w:val="0"/>
      <w:marBottom w:val="0"/>
      <w:divBdr>
        <w:top w:val="none" w:sz="0" w:space="0" w:color="auto"/>
        <w:left w:val="none" w:sz="0" w:space="0" w:color="auto"/>
        <w:bottom w:val="none" w:sz="0" w:space="0" w:color="auto"/>
        <w:right w:val="none" w:sz="0" w:space="0" w:color="auto"/>
      </w:divBdr>
    </w:div>
    <w:div w:id="1790665520">
      <w:bodyDiv w:val="1"/>
      <w:marLeft w:val="0"/>
      <w:marRight w:val="0"/>
      <w:marTop w:val="0"/>
      <w:marBottom w:val="0"/>
      <w:divBdr>
        <w:top w:val="none" w:sz="0" w:space="0" w:color="auto"/>
        <w:left w:val="none" w:sz="0" w:space="0" w:color="auto"/>
        <w:bottom w:val="none" w:sz="0" w:space="0" w:color="auto"/>
        <w:right w:val="none" w:sz="0" w:space="0" w:color="auto"/>
      </w:divBdr>
    </w:div>
    <w:div w:id="1802921048">
      <w:bodyDiv w:val="1"/>
      <w:marLeft w:val="0"/>
      <w:marRight w:val="0"/>
      <w:marTop w:val="0"/>
      <w:marBottom w:val="0"/>
      <w:divBdr>
        <w:top w:val="none" w:sz="0" w:space="0" w:color="auto"/>
        <w:left w:val="none" w:sz="0" w:space="0" w:color="auto"/>
        <w:bottom w:val="none" w:sz="0" w:space="0" w:color="auto"/>
        <w:right w:val="none" w:sz="0" w:space="0" w:color="auto"/>
      </w:divBdr>
    </w:div>
    <w:div w:id="1803763460">
      <w:bodyDiv w:val="1"/>
      <w:marLeft w:val="0"/>
      <w:marRight w:val="0"/>
      <w:marTop w:val="0"/>
      <w:marBottom w:val="0"/>
      <w:divBdr>
        <w:top w:val="none" w:sz="0" w:space="0" w:color="auto"/>
        <w:left w:val="none" w:sz="0" w:space="0" w:color="auto"/>
        <w:bottom w:val="none" w:sz="0" w:space="0" w:color="auto"/>
        <w:right w:val="none" w:sz="0" w:space="0" w:color="auto"/>
      </w:divBdr>
    </w:div>
    <w:div w:id="1812868281">
      <w:bodyDiv w:val="1"/>
      <w:marLeft w:val="0"/>
      <w:marRight w:val="0"/>
      <w:marTop w:val="0"/>
      <w:marBottom w:val="0"/>
      <w:divBdr>
        <w:top w:val="none" w:sz="0" w:space="0" w:color="auto"/>
        <w:left w:val="none" w:sz="0" w:space="0" w:color="auto"/>
        <w:bottom w:val="none" w:sz="0" w:space="0" w:color="auto"/>
        <w:right w:val="none" w:sz="0" w:space="0" w:color="auto"/>
      </w:divBdr>
    </w:div>
    <w:div w:id="1815440871">
      <w:bodyDiv w:val="1"/>
      <w:marLeft w:val="0"/>
      <w:marRight w:val="0"/>
      <w:marTop w:val="0"/>
      <w:marBottom w:val="0"/>
      <w:divBdr>
        <w:top w:val="none" w:sz="0" w:space="0" w:color="auto"/>
        <w:left w:val="none" w:sz="0" w:space="0" w:color="auto"/>
        <w:bottom w:val="none" w:sz="0" w:space="0" w:color="auto"/>
        <w:right w:val="none" w:sz="0" w:space="0" w:color="auto"/>
      </w:divBdr>
    </w:div>
    <w:div w:id="1819178105">
      <w:bodyDiv w:val="1"/>
      <w:marLeft w:val="0"/>
      <w:marRight w:val="0"/>
      <w:marTop w:val="0"/>
      <w:marBottom w:val="0"/>
      <w:divBdr>
        <w:top w:val="none" w:sz="0" w:space="0" w:color="auto"/>
        <w:left w:val="none" w:sz="0" w:space="0" w:color="auto"/>
        <w:bottom w:val="none" w:sz="0" w:space="0" w:color="auto"/>
        <w:right w:val="none" w:sz="0" w:space="0" w:color="auto"/>
      </w:divBdr>
    </w:div>
    <w:div w:id="1824469105">
      <w:bodyDiv w:val="1"/>
      <w:marLeft w:val="0"/>
      <w:marRight w:val="0"/>
      <w:marTop w:val="0"/>
      <w:marBottom w:val="0"/>
      <w:divBdr>
        <w:top w:val="none" w:sz="0" w:space="0" w:color="auto"/>
        <w:left w:val="none" w:sz="0" w:space="0" w:color="auto"/>
        <w:bottom w:val="none" w:sz="0" w:space="0" w:color="auto"/>
        <w:right w:val="none" w:sz="0" w:space="0" w:color="auto"/>
      </w:divBdr>
    </w:div>
    <w:div w:id="1839878709">
      <w:bodyDiv w:val="1"/>
      <w:marLeft w:val="0"/>
      <w:marRight w:val="0"/>
      <w:marTop w:val="0"/>
      <w:marBottom w:val="0"/>
      <w:divBdr>
        <w:top w:val="none" w:sz="0" w:space="0" w:color="auto"/>
        <w:left w:val="none" w:sz="0" w:space="0" w:color="auto"/>
        <w:bottom w:val="none" w:sz="0" w:space="0" w:color="auto"/>
        <w:right w:val="none" w:sz="0" w:space="0" w:color="auto"/>
      </w:divBdr>
    </w:div>
    <w:div w:id="1840580404">
      <w:bodyDiv w:val="1"/>
      <w:marLeft w:val="0"/>
      <w:marRight w:val="0"/>
      <w:marTop w:val="0"/>
      <w:marBottom w:val="0"/>
      <w:divBdr>
        <w:top w:val="none" w:sz="0" w:space="0" w:color="auto"/>
        <w:left w:val="none" w:sz="0" w:space="0" w:color="auto"/>
        <w:bottom w:val="none" w:sz="0" w:space="0" w:color="auto"/>
        <w:right w:val="none" w:sz="0" w:space="0" w:color="auto"/>
      </w:divBdr>
    </w:div>
    <w:div w:id="1843548687">
      <w:bodyDiv w:val="1"/>
      <w:marLeft w:val="0"/>
      <w:marRight w:val="0"/>
      <w:marTop w:val="0"/>
      <w:marBottom w:val="0"/>
      <w:divBdr>
        <w:top w:val="none" w:sz="0" w:space="0" w:color="auto"/>
        <w:left w:val="none" w:sz="0" w:space="0" w:color="auto"/>
        <w:bottom w:val="none" w:sz="0" w:space="0" w:color="auto"/>
        <w:right w:val="none" w:sz="0" w:space="0" w:color="auto"/>
      </w:divBdr>
    </w:div>
    <w:div w:id="1844513348">
      <w:bodyDiv w:val="1"/>
      <w:marLeft w:val="0"/>
      <w:marRight w:val="0"/>
      <w:marTop w:val="0"/>
      <w:marBottom w:val="0"/>
      <w:divBdr>
        <w:top w:val="none" w:sz="0" w:space="0" w:color="auto"/>
        <w:left w:val="none" w:sz="0" w:space="0" w:color="auto"/>
        <w:bottom w:val="none" w:sz="0" w:space="0" w:color="auto"/>
        <w:right w:val="none" w:sz="0" w:space="0" w:color="auto"/>
      </w:divBdr>
    </w:div>
    <w:div w:id="1847938958">
      <w:bodyDiv w:val="1"/>
      <w:marLeft w:val="0"/>
      <w:marRight w:val="0"/>
      <w:marTop w:val="0"/>
      <w:marBottom w:val="0"/>
      <w:divBdr>
        <w:top w:val="none" w:sz="0" w:space="0" w:color="auto"/>
        <w:left w:val="none" w:sz="0" w:space="0" w:color="auto"/>
        <w:bottom w:val="none" w:sz="0" w:space="0" w:color="auto"/>
        <w:right w:val="none" w:sz="0" w:space="0" w:color="auto"/>
      </w:divBdr>
    </w:div>
    <w:div w:id="1851674266">
      <w:bodyDiv w:val="1"/>
      <w:marLeft w:val="0"/>
      <w:marRight w:val="0"/>
      <w:marTop w:val="0"/>
      <w:marBottom w:val="0"/>
      <w:divBdr>
        <w:top w:val="none" w:sz="0" w:space="0" w:color="auto"/>
        <w:left w:val="none" w:sz="0" w:space="0" w:color="auto"/>
        <w:bottom w:val="none" w:sz="0" w:space="0" w:color="auto"/>
        <w:right w:val="none" w:sz="0" w:space="0" w:color="auto"/>
      </w:divBdr>
    </w:div>
    <w:div w:id="1852647117">
      <w:bodyDiv w:val="1"/>
      <w:marLeft w:val="0"/>
      <w:marRight w:val="0"/>
      <w:marTop w:val="0"/>
      <w:marBottom w:val="0"/>
      <w:divBdr>
        <w:top w:val="none" w:sz="0" w:space="0" w:color="auto"/>
        <w:left w:val="none" w:sz="0" w:space="0" w:color="auto"/>
        <w:bottom w:val="none" w:sz="0" w:space="0" w:color="auto"/>
        <w:right w:val="none" w:sz="0" w:space="0" w:color="auto"/>
      </w:divBdr>
    </w:div>
    <w:div w:id="1853496479">
      <w:bodyDiv w:val="1"/>
      <w:marLeft w:val="0"/>
      <w:marRight w:val="0"/>
      <w:marTop w:val="0"/>
      <w:marBottom w:val="0"/>
      <w:divBdr>
        <w:top w:val="none" w:sz="0" w:space="0" w:color="auto"/>
        <w:left w:val="none" w:sz="0" w:space="0" w:color="auto"/>
        <w:bottom w:val="none" w:sz="0" w:space="0" w:color="auto"/>
        <w:right w:val="none" w:sz="0" w:space="0" w:color="auto"/>
      </w:divBdr>
    </w:div>
    <w:div w:id="1854487415">
      <w:bodyDiv w:val="1"/>
      <w:marLeft w:val="0"/>
      <w:marRight w:val="0"/>
      <w:marTop w:val="0"/>
      <w:marBottom w:val="0"/>
      <w:divBdr>
        <w:top w:val="none" w:sz="0" w:space="0" w:color="auto"/>
        <w:left w:val="none" w:sz="0" w:space="0" w:color="auto"/>
        <w:bottom w:val="none" w:sz="0" w:space="0" w:color="auto"/>
        <w:right w:val="none" w:sz="0" w:space="0" w:color="auto"/>
      </w:divBdr>
    </w:div>
    <w:div w:id="1855998668">
      <w:bodyDiv w:val="1"/>
      <w:marLeft w:val="0"/>
      <w:marRight w:val="0"/>
      <w:marTop w:val="0"/>
      <w:marBottom w:val="0"/>
      <w:divBdr>
        <w:top w:val="none" w:sz="0" w:space="0" w:color="auto"/>
        <w:left w:val="none" w:sz="0" w:space="0" w:color="auto"/>
        <w:bottom w:val="none" w:sz="0" w:space="0" w:color="auto"/>
        <w:right w:val="none" w:sz="0" w:space="0" w:color="auto"/>
      </w:divBdr>
    </w:div>
    <w:div w:id="1857767917">
      <w:bodyDiv w:val="1"/>
      <w:marLeft w:val="0"/>
      <w:marRight w:val="0"/>
      <w:marTop w:val="0"/>
      <w:marBottom w:val="0"/>
      <w:divBdr>
        <w:top w:val="none" w:sz="0" w:space="0" w:color="auto"/>
        <w:left w:val="none" w:sz="0" w:space="0" w:color="auto"/>
        <w:bottom w:val="none" w:sz="0" w:space="0" w:color="auto"/>
        <w:right w:val="none" w:sz="0" w:space="0" w:color="auto"/>
      </w:divBdr>
    </w:div>
    <w:div w:id="1858498075">
      <w:bodyDiv w:val="1"/>
      <w:marLeft w:val="0"/>
      <w:marRight w:val="0"/>
      <w:marTop w:val="0"/>
      <w:marBottom w:val="0"/>
      <w:divBdr>
        <w:top w:val="none" w:sz="0" w:space="0" w:color="auto"/>
        <w:left w:val="none" w:sz="0" w:space="0" w:color="auto"/>
        <w:bottom w:val="none" w:sz="0" w:space="0" w:color="auto"/>
        <w:right w:val="none" w:sz="0" w:space="0" w:color="auto"/>
      </w:divBdr>
    </w:div>
    <w:div w:id="1860004709">
      <w:bodyDiv w:val="1"/>
      <w:marLeft w:val="0"/>
      <w:marRight w:val="0"/>
      <w:marTop w:val="0"/>
      <w:marBottom w:val="0"/>
      <w:divBdr>
        <w:top w:val="none" w:sz="0" w:space="0" w:color="auto"/>
        <w:left w:val="none" w:sz="0" w:space="0" w:color="auto"/>
        <w:bottom w:val="none" w:sz="0" w:space="0" w:color="auto"/>
        <w:right w:val="none" w:sz="0" w:space="0" w:color="auto"/>
      </w:divBdr>
    </w:div>
    <w:div w:id="1865361314">
      <w:bodyDiv w:val="1"/>
      <w:marLeft w:val="0"/>
      <w:marRight w:val="0"/>
      <w:marTop w:val="0"/>
      <w:marBottom w:val="0"/>
      <w:divBdr>
        <w:top w:val="none" w:sz="0" w:space="0" w:color="auto"/>
        <w:left w:val="none" w:sz="0" w:space="0" w:color="auto"/>
        <w:bottom w:val="none" w:sz="0" w:space="0" w:color="auto"/>
        <w:right w:val="none" w:sz="0" w:space="0" w:color="auto"/>
      </w:divBdr>
    </w:div>
    <w:div w:id="1872187228">
      <w:bodyDiv w:val="1"/>
      <w:marLeft w:val="0"/>
      <w:marRight w:val="0"/>
      <w:marTop w:val="0"/>
      <w:marBottom w:val="0"/>
      <w:divBdr>
        <w:top w:val="none" w:sz="0" w:space="0" w:color="auto"/>
        <w:left w:val="none" w:sz="0" w:space="0" w:color="auto"/>
        <w:bottom w:val="none" w:sz="0" w:space="0" w:color="auto"/>
        <w:right w:val="none" w:sz="0" w:space="0" w:color="auto"/>
      </w:divBdr>
    </w:div>
    <w:div w:id="1878083288">
      <w:bodyDiv w:val="1"/>
      <w:marLeft w:val="0"/>
      <w:marRight w:val="0"/>
      <w:marTop w:val="0"/>
      <w:marBottom w:val="0"/>
      <w:divBdr>
        <w:top w:val="none" w:sz="0" w:space="0" w:color="auto"/>
        <w:left w:val="none" w:sz="0" w:space="0" w:color="auto"/>
        <w:bottom w:val="none" w:sz="0" w:space="0" w:color="auto"/>
        <w:right w:val="none" w:sz="0" w:space="0" w:color="auto"/>
      </w:divBdr>
    </w:div>
    <w:div w:id="1887063238">
      <w:bodyDiv w:val="1"/>
      <w:marLeft w:val="0"/>
      <w:marRight w:val="0"/>
      <w:marTop w:val="0"/>
      <w:marBottom w:val="0"/>
      <w:divBdr>
        <w:top w:val="none" w:sz="0" w:space="0" w:color="auto"/>
        <w:left w:val="none" w:sz="0" w:space="0" w:color="auto"/>
        <w:bottom w:val="none" w:sz="0" w:space="0" w:color="auto"/>
        <w:right w:val="none" w:sz="0" w:space="0" w:color="auto"/>
      </w:divBdr>
    </w:div>
    <w:div w:id="1890259625">
      <w:bodyDiv w:val="1"/>
      <w:marLeft w:val="0"/>
      <w:marRight w:val="0"/>
      <w:marTop w:val="0"/>
      <w:marBottom w:val="0"/>
      <w:divBdr>
        <w:top w:val="none" w:sz="0" w:space="0" w:color="auto"/>
        <w:left w:val="none" w:sz="0" w:space="0" w:color="auto"/>
        <w:bottom w:val="none" w:sz="0" w:space="0" w:color="auto"/>
        <w:right w:val="none" w:sz="0" w:space="0" w:color="auto"/>
      </w:divBdr>
    </w:div>
    <w:div w:id="1891648502">
      <w:bodyDiv w:val="1"/>
      <w:marLeft w:val="0"/>
      <w:marRight w:val="0"/>
      <w:marTop w:val="0"/>
      <w:marBottom w:val="0"/>
      <w:divBdr>
        <w:top w:val="none" w:sz="0" w:space="0" w:color="auto"/>
        <w:left w:val="none" w:sz="0" w:space="0" w:color="auto"/>
        <w:bottom w:val="none" w:sz="0" w:space="0" w:color="auto"/>
        <w:right w:val="none" w:sz="0" w:space="0" w:color="auto"/>
      </w:divBdr>
    </w:div>
    <w:div w:id="1897203535">
      <w:bodyDiv w:val="1"/>
      <w:marLeft w:val="0"/>
      <w:marRight w:val="0"/>
      <w:marTop w:val="0"/>
      <w:marBottom w:val="0"/>
      <w:divBdr>
        <w:top w:val="none" w:sz="0" w:space="0" w:color="auto"/>
        <w:left w:val="none" w:sz="0" w:space="0" w:color="auto"/>
        <w:bottom w:val="none" w:sz="0" w:space="0" w:color="auto"/>
        <w:right w:val="none" w:sz="0" w:space="0" w:color="auto"/>
      </w:divBdr>
    </w:div>
    <w:div w:id="1898083679">
      <w:bodyDiv w:val="1"/>
      <w:marLeft w:val="0"/>
      <w:marRight w:val="0"/>
      <w:marTop w:val="0"/>
      <w:marBottom w:val="0"/>
      <w:divBdr>
        <w:top w:val="none" w:sz="0" w:space="0" w:color="auto"/>
        <w:left w:val="none" w:sz="0" w:space="0" w:color="auto"/>
        <w:bottom w:val="none" w:sz="0" w:space="0" w:color="auto"/>
        <w:right w:val="none" w:sz="0" w:space="0" w:color="auto"/>
      </w:divBdr>
    </w:div>
    <w:div w:id="1901087138">
      <w:bodyDiv w:val="1"/>
      <w:marLeft w:val="0"/>
      <w:marRight w:val="0"/>
      <w:marTop w:val="0"/>
      <w:marBottom w:val="0"/>
      <w:divBdr>
        <w:top w:val="none" w:sz="0" w:space="0" w:color="auto"/>
        <w:left w:val="none" w:sz="0" w:space="0" w:color="auto"/>
        <w:bottom w:val="none" w:sz="0" w:space="0" w:color="auto"/>
        <w:right w:val="none" w:sz="0" w:space="0" w:color="auto"/>
      </w:divBdr>
    </w:div>
    <w:div w:id="1910655023">
      <w:bodyDiv w:val="1"/>
      <w:marLeft w:val="0"/>
      <w:marRight w:val="0"/>
      <w:marTop w:val="0"/>
      <w:marBottom w:val="0"/>
      <w:divBdr>
        <w:top w:val="none" w:sz="0" w:space="0" w:color="auto"/>
        <w:left w:val="none" w:sz="0" w:space="0" w:color="auto"/>
        <w:bottom w:val="none" w:sz="0" w:space="0" w:color="auto"/>
        <w:right w:val="none" w:sz="0" w:space="0" w:color="auto"/>
      </w:divBdr>
    </w:div>
    <w:div w:id="1914853013">
      <w:bodyDiv w:val="1"/>
      <w:marLeft w:val="0"/>
      <w:marRight w:val="0"/>
      <w:marTop w:val="0"/>
      <w:marBottom w:val="0"/>
      <w:divBdr>
        <w:top w:val="none" w:sz="0" w:space="0" w:color="auto"/>
        <w:left w:val="none" w:sz="0" w:space="0" w:color="auto"/>
        <w:bottom w:val="none" w:sz="0" w:space="0" w:color="auto"/>
        <w:right w:val="none" w:sz="0" w:space="0" w:color="auto"/>
      </w:divBdr>
    </w:div>
    <w:div w:id="1919317169">
      <w:bodyDiv w:val="1"/>
      <w:marLeft w:val="0"/>
      <w:marRight w:val="0"/>
      <w:marTop w:val="0"/>
      <w:marBottom w:val="0"/>
      <w:divBdr>
        <w:top w:val="none" w:sz="0" w:space="0" w:color="auto"/>
        <w:left w:val="none" w:sz="0" w:space="0" w:color="auto"/>
        <w:bottom w:val="none" w:sz="0" w:space="0" w:color="auto"/>
        <w:right w:val="none" w:sz="0" w:space="0" w:color="auto"/>
      </w:divBdr>
    </w:div>
    <w:div w:id="1920093425">
      <w:bodyDiv w:val="1"/>
      <w:marLeft w:val="0"/>
      <w:marRight w:val="0"/>
      <w:marTop w:val="0"/>
      <w:marBottom w:val="0"/>
      <w:divBdr>
        <w:top w:val="none" w:sz="0" w:space="0" w:color="auto"/>
        <w:left w:val="none" w:sz="0" w:space="0" w:color="auto"/>
        <w:bottom w:val="none" w:sz="0" w:space="0" w:color="auto"/>
        <w:right w:val="none" w:sz="0" w:space="0" w:color="auto"/>
      </w:divBdr>
    </w:div>
    <w:div w:id="1920554358">
      <w:bodyDiv w:val="1"/>
      <w:marLeft w:val="0"/>
      <w:marRight w:val="0"/>
      <w:marTop w:val="0"/>
      <w:marBottom w:val="0"/>
      <w:divBdr>
        <w:top w:val="none" w:sz="0" w:space="0" w:color="auto"/>
        <w:left w:val="none" w:sz="0" w:space="0" w:color="auto"/>
        <w:bottom w:val="none" w:sz="0" w:space="0" w:color="auto"/>
        <w:right w:val="none" w:sz="0" w:space="0" w:color="auto"/>
      </w:divBdr>
    </w:div>
    <w:div w:id="1921210886">
      <w:bodyDiv w:val="1"/>
      <w:marLeft w:val="0"/>
      <w:marRight w:val="0"/>
      <w:marTop w:val="0"/>
      <w:marBottom w:val="0"/>
      <w:divBdr>
        <w:top w:val="none" w:sz="0" w:space="0" w:color="auto"/>
        <w:left w:val="none" w:sz="0" w:space="0" w:color="auto"/>
        <w:bottom w:val="none" w:sz="0" w:space="0" w:color="auto"/>
        <w:right w:val="none" w:sz="0" w:space="0" w:color="auto"/>
      </w:divBdr>
    </w:div>
    <w:div w:id="1921743919">
      <w:bodyDiv w:val="1"/>
      <w:marLeft w:val="0"/>
      <w:marRight w:val="0"/>
      <w:marTop w:val="0"/>
      <w:marBottom w:val="0"/>
      <w:divBdr>
        <w:top w:val="none" w:sz="0" w:space="0" w:color="auto"/>
        <w:left w:val="none" w:sz="0" w:space="0" w:color="auto"/>
        <w:bottom w:val="none" w:sz="0" w:space="0" w:color="auto"/>
        <w:right w:val="none" w:sz="0" w:space="0" w:color="auto"/>
      </w:divBdr>
    </w:div>
    <w:div w:id="1921987228">
      <w:bodyDiv w:val="1"/>
      <w:marLeft w:val="0"/>
      <w:marRight w:val="0"/>
      <w:marTop w:val="0"/>
      <w:marBottom w:val="0"/>
      <w:divBdr>
        <w:top w:val="none" w:sz="0" w:space="0" w:color="auto"/>
        <w:left w:val="none" w:sz="0" w:space="0" w:color="auto"/>
        <w:bottom w:val="none" w:sz="0" w:space="0" w:color="auto"/>
        <w:right w:val="none" w:sz="0" w:space="0" w:color="auto"/>
      </w:divBdr>
    </w:div>
    <w:div w:id="1923100545">
      <w:bodyDiv w:val="1"/>
      <w:marLeft w:val="0"/>
      <w:marRight w:val="0"/>
      <w:marTop w:val="0"/>
      <w:marBottom w:val="0"/>
      <w:divBdr>
        <w:top w:val="none" w:sz="0" w:space="0" w:color="auto"/>
        <w:left w:val="none" w:sz="0" w:space="0" w:color="auto"/>
        <w:bottom w:val="none" w:sz="0" w:space="0" w:color="auto"/>
        <w:right w:val="none" w:sz="0" w:space="0" w:color="auto"/>
      </w:divBdr>
    </w:div>
    <w:div w:id="1923685817">
      <w:bodyDiv w:val="1"/>
      <w:marLeft w:val="0"/>
      <w:marRight w:val="0"/>
      <w:marTop w:val="0"/>
      <w:marBottom w:val="0"/>
      <w:divBdr>
        <w:top w:val="none" w:sz="0" w:space="0" w:color="auto"/>
        <w:left w:val="none" w:sz="0" w:space="0" w:color="auto"/>
        <w:bottom w:val="none" w:sz="0" w:space="0" w:color="auto"/>
        <w:right w:val="none" w:sz="0" w:space="0" w:color="auto"/>
      </w:divBdr>
    </w:div>
    <w:div w:id="1925258259">
      <w:bodyDiv w:val="1"/>
      <w:marLeft w:val="0"/>
      <w:marRight w:val="0"/>
      <w:marTop w:val="0"/>
      <w:marBottom w:val="0"/>
      <w:divBdr>
        <w:top w:val="none" w:sz="0" w:space="0" w:color="auto"/>
        <w:left w:val="none" w:sz="0" w:space="0" w:color="auto"/>
        <w:bottom w:val="none" w:sz="0" w:space="0" w:color="auto"/>
        <w:right w:val="none" w:sz="0" w:space="0" w:color="auto"/>
      </w:divBdr>
    </w:div>
    <w:div w:id="1934434826">
      <w:bodyDiv w:val="1"/>
      <w:marLeft w:val="0"/>
      <w:marRight w:val="0"/>
      <w:marTop w:val="0"/>
      <w:marBottom w:val="0"/>
      <w:divBdr>
        <w:top w:val="none" w:sz="0" w:space="0" w:color="auto"/>
        <w:left w:val="none" w:sz="0" w:space="0" w:color="auto"/>
        <w:bottom w:val="none" w:sz="0" w:space="0" w:color="auto"/>
        <w:right w:val="none" w:sz="0" w:space="0" w:color="auto"/>
      </w:divBdr>
    </w:div>
    <w:div w:id="1936748236">
      <w:bodyDiv w:val="1"/>
      <w:marLeft w:val="0"/>
      <w:marRight w:val="0"/>
      <w:marTop w:val="0"/>
      <w:marBottom w:val="0"/>
      <w:divBdr>
        <w:top w:val="none" w:sz="0" w:space="0" w:color="auto"/>
        <w:left w:val="none" w:sz="0" w:space="0" w:color="auto"/>
        <w:bottom w:val="none" w:sz="0" w:space="0" w:color="auto"/>
        <w:right w:val="none" w:sz="0" w:space="0" w:color="auto"/>
      </w:divBdr>
    </w:div>
    <w:div w:id="1940717939">
      <w:bodyDiv w:val="1"/>
      <w:marLeft w:val="0"/>
      <w:marRight w:val="0"/>
      <w:marTop w:val="0"/>
      <w:marBottom w:val="0"/>
      <w:divBdr>
        <w:top w:val="none" w:sz="0" w:space="0" w:color="auto"/>
        <w:left w:val="none" w:sz="0" w:space="0" w:color="auto"/>
        <w:bottom w:val="none" w:sz="0" w:space="0" w:color="auto"/>
        <w:right w:val="none" w:sz="0" w:space="0" w:color="auto"/>
      </w:divBdr>
    </w:div>
    <w:div w:id="1948462988">
      <w:bodyDiv w:val="1"/>
      <w:marLeft w:val="0"/>
      <w:marRight w:val="0"/>
      <w:marTop w:val="0"/>
      <w:marBottom w:val="0"/>
      <w:divBdr>
        <w:top w:val="none" w:sz="0" w:space="0" w:color="auto"/>
        <w:left w:val="none" w:sz="0" w:space="0" w:color="auto"/>
        <w:bottom w:val="none" w:sz="0" w:space="0" w:color="auto"/>
        <w:right w:val="none" w:sz="0" w:space="0" w:color="auto"/>
      </w:divBdr>
    </w:div>
    <w:div w:id="1949314299">
      <w:bodyDiv w:val="1"/>
      <w:marLeft w:val="0"/>
      <w:marRight w:val="0"/>
      <w:marTop w:val="0"/>
      <w:marBottom w:val="0"/>
      <w:divBdr>
        <w:top w:val="none" w:sz="0" w:space="0" w:color="auto"/>
        <w:left w:val="none" w:sz="0" w:space="0" w:color="auto"/>
        <w:bottom w:val="none" w:sz="0" w:space="0" w:color="auto"/>
        <w:right w:val="none" w:sz="0" w:space="0" w:color="auto"/>
      </w:divBdr>
    </w:div>
    <w:div w:id="1950501800">
      <w:bodyDiv w:val="1"/>
      <w:marLeft w:val="0"/>
      <w:marRight w:val="0"/>
      <w:marTop w:val="0"/>
      <w:marBottom w:val="0"/>
      <w:divBdr>
        <w:top w:val="none" w:sz="0" w:space="0" w:color="auto"/>
        <w:left w:val="none" w:sz="0" w:space="0" w:color="auto"/>
        <w:bottom w:val="none" w:sz="0" w:space="0" w:color="auto"/>
        <w:right w:val="none" w:sz="0" w:space="0" w:color="auto"/>
      </w:divBdr>
    </w:div>
    <w:div w:id="1951811684">
      <w:bodyDiv w:val="1"/>
      <w:marLeft w:val="0"/>
      <w:marRight w:val="0"/>
      <w:marTop w:val="0"/>
      <w:marBottom w:val="0"/>
      <w:divBdr>
        <w:top w:val="none" w:sz="0" w:space="0" w:color="auto"/>
        <w:left w:val="none" w:sz="0" w:space="0" w:color="auto"/>
        <w:bottom w:val="none" w:sz="0" w:space="0" w:color="auto"/>
        <w:right w:val="none" w:sz="0" w:space="0" w:color="auto"/>
      </w:divBdr>
    </w:div>
    <w:div w:id="1953052996">
      <w:bodyDiv w:val="1"/>
      <w:marLeft w:val="0"/>
      <w:marRight w:val="0"/>
      <w:marTop w:val="0"/>
      <w:marBottom w:val="0"/>
      <w:divBdr>
        <w:top w:val="none" w:sz="0" w:space="0" w:color="auto"/>
        <w:left w:val="none" w:sz="0" w:space="0" w:color="auto"/>
        <w:bottom w:val="none" w:sz="0" w:space="0" w:color="auto"/>
        <w:right w:val="none" w:sz="0" w:space="0" w:color="auto"/>
      </w:divBdr>
    </w:div>
    <w:div w:id="1957789598">
      <w:bodyDiv w:val="1"/>
      <w:marLeft w:val="0"/>
      <w:marRight w:val="0"/>
      <w:marTop w:val="0"/>
      <w:marBottom w:val="0"/>
      <w:divBdr>
        <w:top w:val="none" w:sz="0" w:space="0" w:color="auto"/>
        <w:left w:val="none" w:sz="0" w:space="0" w:color="auto"/>
        <w:bottom w:val="none" w:sz="0" w:space="0" w:color="auto"/>
        <w:right w:val="none" w:sz="0" w:space="0" w:color="auto"/>
      </w:divBdr>
    </w:div>
    <w:div w:id="1959141292">
      <w:bodyDiv w:val="1"/>
      <w:marLeft w:val="0"/>
      <w:marRight w:val="0"/>
      <w:marTop w:val="0"/>
      <w:marBottom w:val="0"/>
      <w:divBdr>
        <w:top w:val="none" w:sz="0" w:space="0" w:color="auto"/>
        <w:left w:val="none" w:sz="0" w:space="0" w:color="auto"/>
        <w:bottom w:val="none" w:sz="0" w:space="0" w:color="auto"/>
        <w:right w:val="none" w:sz="0" w:space="0" w:color="auto"/>
      </w:divBdr>
    </w:div>
    <w:div w:id="1961299560">
      <w:bodyDiv w:val="1"/>
      <w:marLeft w:val="0"/>
      <w:marRight w:val="0"/>
      <w:marTop w:val="0"/>
      <w:marBottom w:val="0"/>
      <w:divBdr>
        <w:top w:val="none" w:sz="0" w:space="0" w:color="auto"/>
        <w:left w:val="none" w:sz="0" w:space="0" w:color="auto"/>
        <w:bottom w:val="none" w:sz="0" w:space="0" w:color="auto"/>
        <w:right w:val="none" w:sz="0" w:space="0" w:color="auto"/>
      </w:divBdr>
    </w:div>
    <w:div w:id="1961765338">
      <w:bodyDiv w:val="1"/>
      <w:marLeft w:val="0"/>
      <w:marRight w:val="0"/>
      <w:marTop w:val="0"/>
      <w:marBottom w:val="0"/>
      <w:divBdr>
        <w:top w:val="none" w:sz="0" w:space="0" w:color="auto"/>
        <w:left w:val="none" w:sz="0" w:space="0" w:color="auto"/>
        <w:bottom w:val="none" w:sz="0" w:space="0" w:color="auto"/>
        <w:right w:val="none" w:sz="0" w:space="0" w:color="auto"/>
      </w:divBdr>
    </w:div>
    <w:div w:id="1962681823">
      <w:bodyDiv w:val="1"/>
      <w:marLeft w:val="0"/>
      <w:marRight w:val="0"/>
      <w:marTop w:val="0"/>
      <w:marBottom w:val="0"/>
      <w:divBdr>
        <w:top w:val="none" w:sz="0" w:space="0" w:color="auto"/>
        <w:left w:val="none" w:sz="0" w:space="0" w:color="auto"/>
        <w:bottom w:val="none" w:sz="0" w:space="0" w:color="auto"/>
        <w:right w:val="none" w:sz="0" w:space="0" w:color="auto"/>
      </w:divBdr>
    </w:div>
    <w:div w:id="1970629066">
      <w:bodyDiv w:val="1"/>
      <w:marLeft w:val="0"/>
      <w:marRight w:val="0"/>
      <w:marTop w:val="0"/>
      <w:marBottom w:val="0"/>
      <w:divBdr>
        <w:top w:val="none" w:sz="0" w:space="0" w:color="auto"/>
        <w:left w:val="none" w:sz="0" w:space="0" w:color="auto"/>
        <w:bottom w:val="none" w:sz="0" w:space="0" w:color="auto"/>
        <w:right w:val="none" w:sz="0" w:space="0" w:color="auto"/>
      </w:divBdr>
    </w:div>
    <w:div w:id="1976332610">
      <w:bodyDiv w:val="1"/>
      <w:marLeft w:val="0"/>
      <w:marRight w:val="0"/>
      <w:marTop w:val="0"/>
      <w:marBottom w:val="0"/>
      <w:divBdr>
        <w:top w:val="none" w:sz="0" w:space="0" w:color="auto"/>
        <w:left w:val="none" w:sz="0" w:space="0" w:color="auto"/>
        <w:bottom w:val="none" w:sz="0" w:space="0" w:color="auto"/>
        <w:right w:val="none" w:sz="0" w:space="0" w:color="auto"/>
      </w:divBdr>
    </w:div>
    <w:div w:id="1979218809">
      <w:bodyDiv w:val="1"/>
      <w:marLeft w:val="0"/>
      <w:marRight w:val="0"/>
      <w:marTop w:val="0"/>
      <w:marBottom w:val="0"/>
      <w:divBdr>
        <w:top w:val="none" w:sz="0" w:space="0" w:color="auto"/>
        <w:left w:val="none" w:sz="0" w:space="0" w:color="auto"/>
        <w:bottom w:val="none" w:sz="0" w:space="0" w:color="auto"/>
        <w:right w:val="none" w:sz="0" w:space="0" w:color="auto"/>
      </w:divBdr>
    </w:div>
    <w:div w:id="1982032730">
      <w:bodyDiv w:val="1"/>
      <w:marLeft w:val="0"/>
      <w:marRight w:val="0"/>
      <w:marTop w:val="0"/>
      <w:marBottom w:val="0"/>
      <w:divBdr>
        <w:top w:val="none" w:sz="0" w:space="0" w:color="auto"/>
        <w:left w:val="none" w:sz="0" w:space="0" w:color="auto"/>
        <w:bottom w:val="none" w:sz="0" w:space="0" w:color="auto"/>
        <w:right w:val="none" w:sz="0" w:space="0" w:color="auto"/>
      </w:divBdr>
    </w:div>
    <w:div w:id="1984578843">
      <w:bodyDiv w:val="1"/>
      <w:marLeft w:val="0"/>
      <w:marRight w:val="0"/>
      <w:marTop w:val="0"/>
      <w:marBottom w:val="0"/>
      <w:divBdr>
        <w:top w:val="none" w:sz="0" w:space="0" w:color="auto"/>
        <w:left w:val="none" w:sz="0" w:space="0" w:color="auto"/>
        <w:bottom w:val="none" w:sz="0" w:space="0" w:color="auto"/>
        <w:right w:val="none" w:sz="0" w:space="0" w:color="auto"/>
      </w:divBdr>
    </w:div>
    <w:div w:id="1989701659">
      <w:bodyDiv w:val="1"/>
      <w:marLeft w:val="0"/>
      <w:marRight w:val="0"/>
      <w:marTop w:val="0"/>
      <w:marBottom w:val="0"/>
      <w:divBdr>
        <w:top w:val="none" w:sz="0" w:space="0" w:color="auto"/>
        <w:left w:val="none" w:sz="0" w:space="0" w:color="auto"/>
        <w:bottom w:val="none" w:sz="0" w:space="0" w:color="auto"/>
        <w:right w:val="none" w:sz="0" w:space="0" w:color="auto"/>
      </w:divBdr>
    </w:div>
    <w:div w:id="1994068029">
      <w:bodyDiv w:val="1"/>
      <w:marLeft w:val="0"/>
      <w:marRight w:val="0"/>
      <w:marTop w:val="0"/>
      <w:marBottom w:val="0"/>
      <w:divBdr>
        <w:top w:val="none" w:sz="0" w:space="0" w:color="auto"/>
        <w:left w:val="none" w:sz="0" w:space="0" w:color="auto"/>
        <w:bottom w:val="none" w:sz="0" w:space="0" w:color="auto"/>
        <w:right w:val="none" w:sz="0" w:space="0" w:color="auto"/>
      </w:divBdr>
    </w:div>
    <w:div w:id="1996253949">
      <w:bodyDiv w:val="1"/>
      <w:marLeft w:val="0"/>
      <w:marRight w:val="0"/>
      <w:marTop w:val="0"/>
      <w:marBottom w:val="0"/>
      <w:divBdr>
        <w:top w:val="none" w:sz="0" w:space="0" w:color="auto"/>
        <w:left w:val="none" w:sz="0" w:space="0" w:color="auto"/>
        <w:bottom w:val="none" w:sz="0" w:space="0" w:color="auto"/>
        <w:right w:val="none" w:sz="0" w:space="0" w:color="auto"/>
      </w:divBdr>
    </w:div>
    <w:div w:id="1996713691">
      <w:bodyDiv w:val="1"/>
      <w:marLeft w:val="0"/>
      <w:marRight w:val="0"/>
      <w:marTop w:val="0"/>
      <w:marBottom w:val="0"/>
      <w:divBdr>
        <w:top w:val="none" w:sz="0" w:space="0" w:color="auto"/>
        <w:left w:val="none" w:sz="0" w:space="0" w:color="auto"/>
        <w:bottom w:val="none" w:sz="0" w:space="0" w:color="auto"/>
        <w:right w:val="none" w:sz="0" w:space="0" w:color="auto"/>
      </w:divBdr>
    </w:div>
    <w:div w:id="1997685862">
      <w:bodyDiv w:val="1"/>
      <w:marLeft w:val="0"/>
      <w:marRight w:val="0"/>
      <w:marTop w:val="0"/>
      <w:marBottom w:val="0"/>
      <w:divBdr>
        <w:top w:val="none" w:sz="0" w:space="0" w:color="auto"/>
        <w:left w:val="none" w:sz="0" w:space="0" w:color="auto"/>
        <w:bottom w:val="none" w:sz="0" w:space="0" w:color="auto"/>
        <w:right w:val="none" w:sz="0" w:space="0" w:color="auto"/>
      </w:divBdr>
    </w:div>
    <w:div w:id="2002151100">
      <w:bodyDiv w:val="1"/>
      <w:marLeft w:val="0"/>
      <w:marRight w:val="0"/>
      <w:marTop w:val="0"/>
      <w:marBottom w:val="0"/>
      <w:divBdr>
        <w:top w:val="none" w:sz="0" w:space="0" w:color="auto"/>
        <w:left w:val="none" w:sz="0" w:space="0" w:color="auto"/>
        <w:bottom w:val="none" w:sz="0" w:space="0" w:color="auto"/>
        <w:right w:val="none" w:sz="0" w:space="0" w:color="auto"/>
      </w:divBdr>
    </w:div>
    <w:div w:id="2005040183">
      <w:bodyDiv w:val="1"/>
      <w:marLeft w:val="0"/>
      <w:marRight w:val="0"/>
      <w:marTop w:val="0"/>
      <w:marBottom w:val="0"/>
      <w:divBdr>
        <w:top w:val="none" w:sz="0" w:space="0" w:color="auto"/>
        <w:left w:val="none" w:sz="0" w:space="0" w:color="auto"/>
        <w:bottom w:val="none" w:sz="0" w:space="0" w:color="auto"/>
        <w:right w:val="none" w:sz="0" w:space="0" w:color="auto"/>
      </w:divBdr>
    </w:div>
    <w:div w:id="2005739767">
      <w:bodyDiv w:val="1"/>
      <w:marLeft w:val="0"/>
      <w:marRight w:val="0"/>
      <w:marTop w:val="0"/>
      <w:marBottom w:val="0"/>
      <w:divBdr>
        <w:top w:val="none" w:sz="0" w:space="0" w:color="auto"/>
        <w:left w:val="none" w:sz="0" w:space="0" w:color="auto"/>
        <w:bottom w:val="none" w:sz="0" w:space="0" w:color="auto"/>
        <w:right w:val="none" w:sz="0" w:space="0" w:color="auto"/>
      </w:divBdr>
    </w:div>
    <w:div w:id="2006395579">
      <w:bodyDiv w:val="1"/>
      <w:marLeft w:val="0"/>
      <w:marRight w:val="0"/>
      <w:marTop w:val="0"/>
      <w:marBottom w:val="0"/>
      <w:divBdr>
        <w:top w:val="none" w:sz="0" w:space="0" w:color="auto"/>
        <w:left w:val="none" w:sz="0" w:space="0" w:color="auto"/>
        <w:bottom w:val="none" w:sz="0" w:space="0" w:color="auto"/>
        <w:right w:val="none" w:sz="0" w:space="0" w:color="auto"/>
      </w:divBdr>
    </w:div>
    <w:div w:id="2006860656">
      <w:bodyDiv w:val="1"/>
      <w:marLeft w:val="0"/>
      <w:marRight w:val="0"/>
      <w:marTop w:val="0"/>
      <w:marBottom w:val="0"/>
      <w:divBdr>
        <w:top w:val="none" w:sz="0" w:space="0" w:color="auto"/>
        <w:left w:val="none" w:sz="0" w:space="0" w:color="auto"/>
        <w:bottom w:val="none" w:sz="0" w:space="0" w:color="auto"/>
        <w:right w:val="none" w:sz="0" w:space="0" w:color="auto"/>
      </w:divBdr>
    </w:div>
    <w:div w:id="2008246874">
      <w:bodyDiv w:val="1"/>
      <w:marLeft w:val="0"/>
      <w:marRight w:val="0"/>
      <w:marTop w:val="0"/>
      <w:marBottom w:val="0"/>
      <w:divBdr>
        <w:top w:val="none" w:sz="0" w:space="0" w:color="auto"/>
        <w:left w:val="none" w:sz="0" w:space="0" w:color="auto"/>
        <w:bottom w:val="none" w:sz="0" w:space="0" w:color="auto"/>
        <w:right w:val="none" w:sz="0" w:space="0" w:color="auto"/>
      </w:divBdr>
    </w:div>
    <w:div w:id="2011325391">
      <w:bodyDiv w:val="1"/>
      <w:marLeft w:val="0"/>
      <w:marRight w:val="0"/>
      <w:marTop w:val="0"/>
      <w:marBottom w:val="0"/>
      <w:divBdr>
        <w:top w:val="none" w:sz="0" w:space="0" w:color="auto"/>
        <w:left w:val="none" w:sz="0" w:space="0" w:color="auto"/>
        <w:bottom w:val="none" w:sz="0" w:space="0" w:color="auto"/>
        <w:right w:val="none" w:sz="0" w:space="0" w:color="auto"/>
      </w:divBdr>
    </w:div>
    <w:div w:id="2011331781">
      <w:bodyDiv w:val="1"/>
      <w:marLeft w:val="0"/>
      <w:marRight w:val="0"/>
      <w:marTop w:val="0"/>
      <w:marBottom w:val="0"/>
      <w:divBdr>
        <w:top w:val="none" w:sz="0" w:space="0" w:color="auto"/>
        <w:left w:val="none" w:sz="0" w:space="0" w:color="auto"/>
        <w:bottom w:val="none" w:sz="0" w:space="0" w:color="auto"/>
        <w:right w:val="none" w:sz="0" w:space="0" w:color="auto"/>
      </w:divBdr>
    </w:div>
    <w:div w:id="2014330619">
      <w:bodyDiv w:val="1"/>
      <w:marLeft w:val="0"/>
      <w:marRight w:val="0"/>
      <w:marTop w:val="0"/>
      <w:marBottom w:val="0"/>
      <w:divBdr>
        <w:top w:val="none" w:sz="0" w:space="0" w:color="auto"/>
        <w:left w:val="none" w:sz="0" w:space="0" w:color="auto"/>
        <w:bottom w:val="none" w:sz="0" w:space="0" w:color="auto"/>
        <w:right w:val="none" w:sz="0" w:space="0" w:color="auto"/>
      </w:divBdr>
    </w:div>
    <w:div w:id="2014605209">
      <w:bodyDiv w:val="1"/>
      <w:marLeft w:val="0"/>
      <w:marRight w:val="0"/>
      <w:marTop w:val="0"/>
      <w:marBottom w:val="0"/>
      <w:divBdr>
        <w:top w:val="none" w:sz="0" w:space="0" w:color="auto"/>
        <w:left w:val="none" w:sz="0" w:space="0" w:color="auto"/>
        <w:bottom w:val="none" w:sz="0" w:space="0" w:color="auto"/>
        <w:right w:val="none" w:sz="0" w:space="0" w:color="auto"/>
      </w:divBdr>
    </w:div>
    <w:div w:id="2016373933">
      <w:bodyDiv w:val="1"/>
      <w:marLeft w:val="0"/>
      <w:marRight w:val="0"/>
      <w:marTop w:val="0"/>
      <w:marBottom w:val="0"/>
      <w:divBdr>
        <w:top w:val="none" w:sz="0" w:space="0" w:color="auto"/>
        <w:left w:val="none" w:sz="0" w:space="0" w:color="auto"/>
        <w:bottom w:val="none" w:sz="0" w:space="0" w:color="auto"/>
        <w:right w:val="none" w:sz="0" w:space="0" w:color="auto"/>
      </w:divBdr>
    </w:div>
    <w:div w:id="2017533364">
      <w:bodyDiv w:val="1"/>
      <w:marLeft w:val="0"/>
      <w:marRight w:val="0"/>
      <w:marTop w:val="0"/>
      <w:marBottom w:val="0"/>
      <w:divBdr>
        <w:top w:val="none" w:sz="0" w:space="0" w:color="auto"/>
        <w:left w:val="none" w:sz="0" w:space="0" w:color="auto"/>
        <w:bottom w:val="none" w:sz="0" w:space="0" w:color="auto"/>
        <w:right w:val="none" w:sz="0" w:space="0" w:color="auto"/>
      </w:divBdr>
    </w:div>
    <w:div w:id="2019773266">
      <w:bodyDiv w:val="1"/>
      <w:marLeft w:val="0"/>
      <w:marRight w:val="0"/>
      <w:marTop w:val="0"/>
      <w:marBottom w:val="0"/>
      <w:divBdr>
        <w:top w:val="none" w:sz="0" w:space="0" w:color="auto"/>
        <w:left w:val="none" w:sz="0" w:space="0" w:color="auto"/>
        <w:bottom w:val="none" w:sz="0" w:space="0" w:color="auto"/>
        <w:right w:val="none" w:sz="0" w:space="0" w:color="auto"/>
      </w:divBdr>
    </w:div>
    <w:div w:id="2023704276">
      <w:bodyDiv w:val="1"/>
      <w:marLeft w:val="0"/>
      <w:marRight w:val="0"/>
      <w:marTop w:val="0"/>
      <w:marBottom w:val="0"/>
      <w:divBdr>
        <w:top w:val="none" w:sz="0" w:space="0" w:color="auto"/>
        <w:left w:val="none" w:sz="0" w:space="0" w:color="auto"/>
        <w:bottom w:val="none" w:sz="0" w:space="0" w:color="auto"/>
        <w:right w:val="none" w:sz="0" w:space="0" w:color="auto"/>
      </w:divBdr>
    </w:div>
    <w:div w:id="2038656466">
      <w:bodyDiv w:val="1"/>
      <w:marLeft w:val="0"/>
      <w:marRight w:val="0"/>
      <w:marTop w:val="0"/>
      <w:marBottom w:val="0"/>
      <w:divBdr>
        <w:top w:val="none" w:sz="0" w:space="0" w:color="auto"/>
        <w:left w:val="none" w:sz="0" w:space="0" w:color="auto"/>
        <w:bottom w:val="none" w:sz="0" w:space="0" w:color="auto"/>
        <w:right w:val="none" w:sz="0" w:space="0" w:color="auto"/>
      </w:divBdr>
    </w:div>
    <w:div w:id="2038659188">
      <w:bodyDiv w:val="1"/>
      <w:marLeft w:val="0"/>
      <w:marRight w:val="0"/>
      <w:marTop w:val="0"/>
      <w:marBottom w:val="0"/>
      <w:divBdr>
        <w:top w:val="none" w:sz="0" w:space="0" w:color="auto"/>
        <w:left w:val="none" w:sz="0" w:space="0" w:color="auto"/>
        <w:bottom w:val="none" w:sz="0" w:space="0" w:color="auto"/>
        <w:right w:val="none" w:sz="0" w:space="0" w:color="auto"/>
      </w:divBdr>
    </w:div>
    <w:div w:id="2039044737">
      <w:bodyDiv w:val="1"/>
      <w:marLeft w:val="0"/>
      <w:marRight w:val="0"/>
      <w:marTop w:val="0"/>
      <w:marBottom w:val="0"/>
      <w:divBdr>
        <w:top w:val="none" w:sz="0" w:space="0" w:color="auto"/>
        <w:left w:val="none" w:sz="0" w:space="0" w:color="auto"/>
        <w:bottom w:val="none" w:sz="0" w:space="0" w:color="auto"/>
        <w:right w:val="none" w:sz="0" w:space="0" w:color="auto"/>
      </w:divBdr>
    </w:div>
    <w:div w:id="2040154247">
      <w:bodyDiv w:val="1"/>
      <w:marLeft w:val="0"/>
      <w:marRight w:val="0"/>
      <w:marTop w:val="0"/>
      <w:marBottom w:val="0"/>
      <w:divBdr>
        <w:top w:val="none" w:sz="0" w:space="0" w:color="auto"/>
        <w:left w:val="none" w:sz="0" w:space="0" w:color="auto"/>
        <w:bottom w:val="none" w:sz="0" w:space="0" w:color="auto"/>
        <w:right w:val="none" w:sz="0" w:space="0" w:color="auto"/>
      </w:divBdr>
    </w:div>
    <w:div w:id="2044279272">
      <w:bodyDiv w:val="1"/>
      <w:marLeft w:val="0"/>
      <w:marRight w:val="0"/>
      <w:marTop w:val="0"/>
      <w:marBottom w:val="0"/>
      <w:divBdr>
        <w:top w:val="none" w:sz="0" w:space="0" w:color="auto"/>
        <w:left w:val="none" w:sz="0" w:space="0" w:color="auto"/>
        <w:bottom w:val="none" w:sz="0" w:space="0" w:color="auto"/>
        <w:right w:val="none" w:sz="0" w:space="0" w:color="auto"/>
      </w:divBdr>
    </w:div>
    <w:div w:id="2048750791">
      <w:bodyDiv w:val="1"/>
      <w:marLeft w:val="0"/>
      <w:marRight w:val="0"/>
      <w:marTop w:val="0"/>
      <w:marBottom w:val="0"/>
      <w:divBdr>
        <w:top w:val="none" w:sz="0" w:space="0" w:color="auto"/>
        <w:left w:val="none" w:sz="0" w:space="0" w:color="auto"/>
        <w:bottom w:val="none" w:sz="0" w:space="0" w:color="auto"/>
        <w:right w:val="none" w:sz="0" w:space="0" w:color="auto"/>
      </w:divBdr>
    </w:div>
    <w:div w:id="2051493904">
      <w:bodyDiv w:val="1"/>
      <w:marLeft w:val="0"/>
      <w:marRight w:val="0"/>
      <w:marTop w:val="0"/>
      <w:marBottom w:val="0"/>
      <w:divBdr>
        <w:top w:val="none" w:sz="0" w:space="0" w:color="auto"/>
        <w:left w:val="none" w:sz="0" w:space="0" w:color="auto"/>
        <w:bottom w:val="none" w:sz="0" w:space="0" w:color="auto"/>
        <w:right w:val="none" w:sz="0" w:space="0" w:color="auto"/>
      </w:divBdr>
    </w:div>
    <w:div w:id="2052143244">
      <w:bodyDiv w:val="1"/>
      <w:marLeft w:val="0"/>
      <w:marRight w:val="0"/>
      <w:marTop w:val="0"/>
      <w:marBottom w:val="0"/>
      <w:divBdr>
        <w:top w:val="none" w:sz="0" w:space="0" w:color="auto"/>
        <w:left w:val="none" w:sz="0" w:space="0" w:color="auto"/>
        <w:bottom w:val="none" w:sz="0" w:space="0" w:color="auto"/>
        <w:right w:val="none" w:sz="0" w:space="0" w:color="auto"/>
      </w:divBdr>
    </w:div>
    <w:div w:id="2055809653">
      <w:bodyDiv w:val="1"/>
      <w:marLeft w:val="0"/>
      <w:marRight w:val="0"/>
      <w:marTop w:val="0"/>
      <w:marBottom w:val="0"/>
      <w:divBdr>
        <w:top w:val="none" w:sz="0" w:space="0" w:color="auto"/>
        <w:left w:val="none" w:sz="0" w:space="0" w:color="auto"/>
        <w:bottom w:val="none" w:sz="0" w:space="0" w:color="auto"/>
        <w:right w:val="none" w:sz="0" w:space="0" w:color="auto"/>
      </w:divBdr>
    </w:div>
    <w:div w:id="2059433619">
      <w:bodyDiv w:val="1"/>
      <w:marLeft w:val="0"/>
      <w:marRight w:val="0"/>
      <w:marTop w:val="0"/>
      <w:marBottom w:val="0"/>
      <w:divBdr>
        <w:top w:val="none" w:sz="0" w:space="0" w:color="auto"/>
        <w:left w:val="none" w:sz="0" w:space="0" w:color="auto"/>
        <w:bottom w:val="none" w:sz="0" w:space="0" w:color="auto"/>
        <w:right w:val="none" w:sz="0" w:space="0" w:color="auto"/>
      </w:divBdr>
    </w:div>
    <w:div w:id="2060661681">
      <w:bodyDiv w:val="1"/>
      <w:marLeft w:val="0"/>
      <w:marRight w:val="0"/>
      <w:marTop w:val="0"/>
      <w:marBottom w:val="0"/>
      <w:divBdr>
        <w:top w:val="none" w:sz="0" w:space="0" w:color="auto"/>
        <w:left w:val="none" w:sz="0" w:space="0" w:color="auto"/>
        <w:bottom w:val="none" w:sz="0" w:space="0" w:color="auto"/>
        <w:right w:val="none" w:sz="0" w:space="0" w:color="auto"/>
      </w:divBdr>
    </w:div>
    <w:div w:id="2063361428">
      <w:bodyDiv w:val="1"/>
      <w:marLeft w:val="0"/>
      <w:marRight w:val="0"/>
      <w:marTop w:val="0"/>
      <w:marBottom w:val="0"/>
      <w:divBdr>
        <w:top w:val="none" w:sz="0" w:space="0" w:color="auto"/>
        <w:left w:val="none" w:sz="0" w:space="0" w:color="auto"/>
        <w:bottom w:val="none" w:sz="0" w:space="0" w:color="auto"/>
        <w:right w:val="none" w:sz="0" w:space="0" w:color="auto"/>
      </w:divBdr>
    </w:div>
    <w:div w:id="2064325269">
      <w:bodyDiv w:val="1"/>
      <w:marLeft w:val="0"/>
      <w:marRight w:val="0"/>
      <w:marTop w:val="0"/>
      <w:marBottom w:val="0"/>
      <w:divBdr>
        <w:top w:val="none" w:sz="0" w:space="0" w:color="auto"/>
        <w:left w:val="none" w:sz="0" w:space="0" w:color="auto"/>
        <w:bottom w:val="none" w:sz="0" w:space="0" w:color="auto"/>
        <w:right w:val="none" w:sz="0" w:space="0" w:color="auto"/>
      </w:divBdr>
    </w:div>
    <w:div w:id="2066754452">
      <w:bodyDiv w:val="1"/>
      <w:marLeft w:val="0"/>
      <w:marRight w:val="0"/>
      <w:marTop w:val="0"/>
      <w:marBottom w:val="0"/>
      <w:divBdr>
        <w:top w:val="none" w:sz="0" w:space="0" w:color="auto"/>
        <w:left w:val="none" w:sz="0" w:space="0" w:color="auto"/>
        <w:bottom w:val="none" w:sz="0" w:space="0" w:color="auto"/>
        <w:right w:val="none" w:sz="0" w:space="0" w:color="auto"/>
      </w:divBdr>
    </w:div>
    <w:div w:id="2070565558">
      <w:bodyDiv w:val="1"/>
      <w:marLeft w:val="0"/>
      <w:marRight w:val="0"/>
      <w:marTop w:val="0"/>
      <w:marBottom w:val="0"/>
      <w:divBdr>
        <w:top w:val="none" w:sz="0" w:space="0" w:color="auto"/>
        <w:left w:val="none" w:sz="0" w:space="0" w:color="auto"/>
        <w:bottom w:val="none" w:sz="0" w:space="0" w:color="auto"/>
        <w:right w:val="none" w:sz="0" w:space="0" w:color="auto"/>
      </w:divBdr>
    </w:div>
    <w:div w:id="2071222121">
      <w:bodyDiv w:val="1"/>
      <w:marLeft w:val="0"/>
      <w:marRight w:val="0"/>
      <w:marTop w:val="0"/>
      <w:marBottom w:val="0"/>
      <w:divBdr>
        <w:top w:val="none" w:sz="0" w:space="0" w:color="auto"/>
        <w:left w:val="none" w:sz="0" w:space="0" w:color="auto"/>
        <w:bottom w:val="none" w:sz="0" w:space="0" w:color="auto"/>
        <w:right w:val="none" w:sz="0" w:space="0" w:color="auto"/>
      </w:divBdr>
    </w:div>
    <w:div w:id="2071224593">
      <w:bodyDiv w:val="1"/>
      <w:marLeft w:val="0"/>
      <w:marRight w:val="0"/>
      <w:marTop w:val="0"/>
      <w:marBottom w:val="0"/>
      <w:divBdr>
        <w:top w:val="none" w:sz="0" w:space="0" w:color="auto"/>
        <w:left w:val="none" w:sz="0" w:space="0" w:color="auto"/>
        <w:bottom w:val="none" w:sz="0" w:space="0" w:color="auto"/>
        <w:right w:val="none" w:sz="0" w:space="0" w:color="auto"/>
      </w:divBdr>
    </w:div>
    <w:div w:id="2074694550">
      <w:bodyDiv w:val="1"/>
      <w:marLeft w:val="0"/>
      <w:marRight w:val="0"/>
      <w:marTop w:val="0"/>
      <w:marBottom w:val="0"/>
      <w:divBdr>
        <w:top w:val="none" w:sz="0" w:space="0" w:color="auto"/>
        <w:left w:val="none" w:sz="0" w:space="0" w:color="auto"/>
        <w:bottom w:val="none" w:sz="0" w:space="0" w:color="auto"/>
        <w:right w:val="none" w:sz="0" w:space="0" w:color="auto"/>
      </w:divBdr>
    </w:div>
    <w:div w:id="2075425959">
      <w:bodyDiv w:val="1"/>
      <w:marLeft w:val="0"/>
      <w:marRight w:val="0"/>
      <w:marTop w:val="0"/>
      <w:marBottom w:val="0"/>
      <w:divBdr>
        <w:top w:val="none" w:sz="0" w:space="0" w:color="auto"/>
        <w:left w:val="none" w:sz="0" w:space="0" w:color="auto"/>
        <w:bottom w:val="none" w:sz="0" w:space="0" w:color="auto"/>
        <w:right w:val="none" w:sz="0" w:space="0" w:color="auto"/>
      </w:divBdr>
    </w:div>
    <w:div w:id="2076200745">
      <w:bodyDiv w:val="1"/>
      <w:marLeft w:val="0"/>
      <w:marRight w:val="0"/>
      <w:marTop w:val="0"/>
      <w:marBottom w:val="0"/>
      <w:divBdr>
        <w:top w:val="none" w:sz="0" w:space="0" w:color="auto"/>
        <w:left w:val="none" w:sz="0" w:space="0" w:color="auto"/>
        <w:bottom w:val="none" w:sz="0" w:space="0" w:color="auto"/>
        <w:right w:val="none" w:sz="0" w:space="0" w:color="auto"/>
      </w:divBdr>
    </w:div>
    <w:div w:id="2076583278">
      <w:bodyDiv w:val="1"/>
      <w:marLeft w:val="0"/>
      <w:marRight w:val="0"/>
      <w:marTop w:val="0"/>
      <w:marBottom w:val="0"/>
      <w:divBdr>
        <w:top w:val="none" w:sz="0" w:space="0" w:color="auto"/>
        <w:left w:val="none" w:sz="0" w:space="0" w:color="auto"/>
        <w:bottom w:val="none" w:sz="0" w:space="0" w:color="auto"/>
        <w:right w:val="none" w:sz="0" w:space="0" w:color="auto"/>
      </w:divBdr>
    </w:div>
    <w:div w:id="2078820656">
      <w:bodyDiv w:val="1"/>
      <w:marLeft w:val="0"/>
      <w:marRight w:val="0"/>
      <w:marTop w:val="0"/>
      <w:marBottom w:val="0"/>
      <w:divBdr>
        <w:top w:val="none" w:sz="0" w:space="0" w:color="auto"/>
        <w:left w:val="none" w:sz="0" w:space="0" w:color="auto"/>
        <w:bottom w:val="none" w:sz="0" w:space="0" w:color="auto"/>
        <w:right w:val="none" w:sz="0" w:space="0" w:color="auto"/>
      </w:divBdr>
    </w:div>
    <w:div w:id="2082362050">
      <w:bodyDiv w:val="1"/>
      <w:marLeft w:val="0"/>
      <w:marRight w:val="0"/>
      <w:marTop w:val="0"/>
      <w:marBottom w:val="0"/>
      <w:divBdr>
        <w:top w:val="none" w:sz="0" w:space="0" w:color="auto"/>
        <w:left w:val="none" w:sz="0" w:space="0" w:color="auto"/>
        <w:bottom w:val="none" w:sz="0" w:space="0" w:color="auto"/>
        <w:right w:val="none" w:sz="0" w:space="0" w:color="auto"/>
      </w:divBdr>
    </w:div>
    <w:div w:id="2083333842">
      <w:bodyDiv w:val="1"/>
      <w:marLeft w:val="0"/>
      <w:marRight w:val="0"/>
      <w:marTop w:val="0"/>
      <w:marBottom w:val="0"/>
      <w:divBdr>
        <w:top w:val="none" w:sz="0" w:space="0" w:color="auto"/>
        <w:left w:val="none" w:sz="0" w:space="0" w:color="auto"/>
        <w:bottom w:val="none" w:sz="0" w:space="0" w:color="auto"/>
        <w:right w:val="none" w:sz="0" w:space="0" w:color="auto"/>
      </w:divBdr>
    </w:div>
    <w:div w:id="2087996322">
      <w:bodyDiv w:val="1"/>
      <w:marLeft w:val="0"/>
      <w:marRight w:val="0"/>
      <w:marTop w:val="0"/>
      <w:marBottom w:val="0"/>
      <w:divBdr>
        <w:top w:val="none" w:sz="0" w:space="0" w:color="auto"/>
        <w:left w:val="none" w:sz="0" w:space="0" w:color="auto"/>
        <w:bottom w:val="none" w:sz="0" w:space="0" w:color="auto"/>
        <w:right w:val="none" w:sz="0" w:space="0" w:color="auto"/>
      </w:divBdr>
    </w:div>
    <w:div w:id="2090887602">
      <w:bodyDiv w:val="1"/>
      <w:marLeft w:val="0"/>
      <w:marRight w:val="0"/>
      <w:marTop w:val="0"/>
      <w:marBottom w:val="0"/>
      <w:divBdr>
        <w:top w:val="none" w:sz="0" w:space="0" w:color="auto"/>
        <w:left w:val="none" w:sz="0" w:space="0" w:color="auto"/>
        <w:bottom w:val="none" w:sz="0" w:space="0" w:color="auto"/>
        <w:right w:val="none" w:sz="0" w:space="0" w:color="auto"/>
      </w:divBdr>
    </w:div>
    <w:div w:id="2100910191">
      <w:bodyDiv w:val="1"/>
      <w:marLeft w:val="0"/>
      <w:marRight w:val="0"/>
      <w:marTop w:val="0"/>
      <w:marBottom w:val="0"/>
      <w:divBdr>
        <w:top w:val="none" w:sz="0" w:space="0" w:color="auto"/>
        <w:left w:val="none" w:sz="0" w:space="0" w:color="auto"/>
        <w:bottom w:val="none" w:sz="0" w:space="0" w:color="auto"/>
        <w:right w:val="none" w:sz="0" w:space="0" w:color="auto"/>
      </w:divBdr>
    </w:div>
    <w:div w:id="2102793586">
      <w:bodyDiv w:val="1"/>
      <w:marLeft w:val="0"/>
      <w:marRight w:val="0"/>
      <w:marTop w:val="0"/>
      <w:marBottom w:val="0"/>
      <w:divBdr>
        <w:top w:val="none" w:sz="0" w:space="0" w:color="auto"/>
        <w:left w:val="none" w:sz="0" w:space="0" w:color="auto"/>
        <w:bottom w:val="none" w:sz="0" w:space="0" w:color="auto"/>
        <w:right w:val="none" w:sz="0" w:space="0" w:color="auto"/>
      </w:divBdr>
    </w:div>
    <w:div w:id="2102872691">
      <w:bodyDiv w:val="1"/>
      <w:marLeft w:val="0"/>
      <w:marRight w:val="0"/>
      <w:marTop w:val="0"/>
      <w:marBottom w:val="0"/>
      <w:divBdr>
        <w:top w:val="none" w:sz="0" w:space="0" w:color="auto"/>
        <w:left w:val="none" w:sz="0" w:space="0" w:color="auto"/>
        <w:bottom w:val="none" w:sz="0" w:space="0" w:color="auto"/>
        <w:right w:val="none" w:sz="0" w:space="0" w:color="auto"/>
      </w:divBdr>
    </w:div>
    <w:div w:id="2107530251">
      <w:bodyDiv w:val="1"/>
      <w:marLeft w:val="0"/>
      <w:marRight w:val="0"/>
      <w:marTop w:val="0"/>
      <w:marBottom w:val="0"/>
      <w:divBdr>
        <w:top w:val="none" w:sz="0" w:space="0" w:color="auto"/>
        <w:left w:val="none" w:sz="0" w:space="0" w:color="auto"/>
        <w:bottom w:val="none" w:sz="0" w:space="0" w:color="auto"/>
        <w:right w:val="none" w:sz="0" w:space="0" w:color="auto"/>
      </w:divBdr>
    </w:div>
    <w:div w:id="2110545646">
      <w:bodyDiv w:val="1"/>
      <w:marLeft w:val="0"/>
      <w:marRight w:val="0"/>
      <w:marTop w:val="0"/>
      <w:marBottom w:val="0"/>
      <w:divBdr>
        <w:top w:val="none" w:sz="0" w:space="0" w:color="auto"/>
        <w:left w:val="none" w:sz="0" w:space="0" w:color="auto"/>
        <w:bottom w:val="none" w:sz="0" w:space="0" w:color="auto"/>
        <w:right w:val="none" w:sz="0" w:space="0" w:color="auto"/>
      </w:divBdr>
    </w:div>
    <w:div w:id="2112895286">
      <w:bodyDiv w:val="1"/>
      <w:marLeft w:val="0"/>
      <w:marRight w:val="0"/>
      <w:marTop w:val="0"/>
      <w:marBottom w:val="0"/>
      <w:divBdr>
        <w:top w:val="none" w:sz="0" w:space="0" w:color="auto"/>
        <w:left w:val="none" w:sz="0" w:space="0" w:color="auto"/>
        <w:bottom w:val="none" w:sz="0" w:space="0" w:color="auto"/>
        <w:right w:val="none" w:sz="0" w:space="0" w:color="auto"/>
      </w:divBdr>
    </w:div>
    <w:div w:id="2113088482">
      <w:bodyDiv w:val="1"/>
      <w:marLeft w:val="0"/>
      <w:marRight w:val="0"/>
      <w:marTop w:val="0"/>
      <w:marBottom w:val="0"/>
      <w:divBdr>
        <w:top w:val="none" w:sz="0" w:space="0" w:color="auto"/>
        <w:left w:val="none" w:sz="0" w:space="0" w:color="auto"/>
        <w:bottom w:val="none" w:sz="0" w:space="0" w:color="auto"/>
        <w:right w:val="none" w:sz="0" w:space="0" w:color="auto"/>
      </w:divBdr>
    </w:div>
    <w:div w:id="2115589870">
      <w:bodyDiv w:val="1"/>
      <w:marLeft w:val="0"/>
      <w:marRight w:val="0"/>
      <w:marTop w:val="0"/>
      <w:marBottom w:val="0"/>
      <w:divBdr>
        <w:top w:val="none" w:sz="0" w:space="0" w:color="auto"/>
        <w:left w:val="none" w:sz="0" w:space="0" w:color="auto"/>
        <w:bottom w:val="none" w:sz="0" w:space="0" w:color="auto"/>
        <w:right w:val="none" w:sz="0" w:space="0" w:color="auto"/>
      </w:divBdr>
    </w:div>
    <w:div w:id="2116173361">
      <w:bodyDiv w:val="1"/>
      <w:marLeft w:val="0"/>
      <w:marRight w:val="0"/>
      <w:marTop w:val="0"/>
      <w:marBottom w:val="0"/>
      <w:divBdr>
        <w:top w:val="none" w:sz="0" w:space="0" w:color="auto"/>
        <w:left w:val="none" w:sz="0" w:space="0" w:color="auto"/>
        <w:bottom w:val="none" w:sz="0" w:space="0" w:color="auto"/>
        <w:right w:val="none" w:sz="0" w:space="0" w:color="auto"/>
      </w:divBdr>
    </w:div>
    <w:div w:id="2120181586">
      <w:bodyDiv w:val="1"/>
      <w:marLeft w:val="0"/>
      <w:marRight w:val="0"/>
      <w:marTop w:val="0"/>
      <w:marBottom w:val="0"/>
      <w:divBdr>
        <w:top w:val="none" w:sz="0" w:space="0" w:color="auto"/>
        <w:left w:val="none" w:sz="0" w:space="0" w:color="auto"/>
        <w:bottom w:val="none" w:sz="0" w:space="0" w:color="auto"/>
        <w:right w:val="none" w:sz="0" w:space="0" w:color="auto"/>
      </w:divBdr>
    </w:div>
    <w:div w:id="2121602131">
      <w:bodyDiv w:val="1"/>
      <w:marLeft w:val="0"/>
      <w:marRight w:val="0"/>
      <w:marTop w:val="0"/>
      <w:marBottom w:val="0"/>
      <w:divBdr>
        <w:top w:val="none" w:sz="0" w:space="0" w:color="auto"/>
        <w:left w:val="none" w:sz="0" w:space="0" w:color="auto"/>
        <w:bottom w:val="none" w:sz="0" w:space="0" w:color="auto"/>
        <w:right w:val="none" w:sz="0" w:space="0" w:color="auto"/>
      </w:divBdr>
    </w:div>
    <w:div w:id="2125151295">
      <w:bodyDiv w:val="1"/>
      <w:marLeft w:val="0"/>
      <w:marRight w:val="0"/>
      <w:marTop w:val="0"/>
      <w:marBottom w:val="0"/>
      <w:divBdr>
        <w:top w:val="none" w:sz="0" w:space="0" w:color="auto"/>
        <w:left w:val="none" w:sz="0" w:space="0" w:color="auto"/>
        <w:bottom w:val="none" w:sz="0" w:space="0" w:color="auto"/>
        <w:right w:val="none" w:sz="0" w:space="0" w:color="auto"/>
      </w:divBdr>
    </w:div>
    <w:div w:id="2126389933">
      <w:bodyDiv w:val="1"/>
      <w:marLeft w:val="0"/>
      <w:marRight w:val="0"/>
      <w:marTop w:val="0"/>
      <w:marBottom w:val="0"/>
      <w:divBdr>
        <w:top w:val="none" w:sz="0" w:space="0" w:color="auto"/>
        <w:left w:val="none" w:sz="0" w:space="0" w:color="auto"/>
        <w:bottom w:val="none" w:sz="0" w:space="0" w:color="auto"/>
        <w:right w:val="none" w:sz="0" w:space="0" w:color="auto"/>
      </w:divBdr>
    </w:div>
    <w:div w:id="2127238306">
      <w:bodyDiv w:val="1"/>
      <w:marLeft w:val="0"/>
      <w:marRight w:val="0"/>
      <w:marTop w:val="0"/>
      <w:marBottom w:val="0"/>
      <w:divBdr>
        <w:top w:val="none" w:sz="0" w:space="0" w:color="auto"/>
        <w:left w:val="none" w:sz="0" w:space="0" w:color="auto"/>
        <w:bottom w:val="none" w:sz="0" w:space="0" w:color="auto"/>
        <w:right w:val="none" w:sz="0" w:space="0" w:color="auto"/>
      </w:divBdr>
    </w:div>
    <w:div w:id="2130540094">
      <w:bodyDiv w:val="1"/>
      <w:marLeft w:val="0"/>
      <w:marRight w:val="0"/>
      <w:marTop w:val="0"/>
      <w:marBottom w:val="0"/>
      <w:divBdr>
        <w:top w:val="none" w:sz="0" w:space="0" w:color="auto"/>
        <w:left w:val="none" w:sz="0" w:space="0" w:color="auto"/>
        <w:bottom w:val="none" w:sz="0" w:space="0" w:color="auto"/>
        <w:right w:val="none" w:sz="0" w:space="0" w:color="auto"/>
      </w:divBdr>
    </w:div>
    <w:div w:id="2132822541">
      <w:bodyDiv w:val="1"/>
      <w:marLeft w:val="0"/>
      <w:marRight w:val="0"/>
      <w:marTop w:val="0"/>
      <w:marBottom w:val="0"/>
      <w:divBdr>
        <w:top w:val="none" w:sz="0" w:space="0" w:color="auto"/>
        <w:left w:val="none" w:sz="0" w:space="0" w:color="auto"/>
        <w:bottom w:val="none" w:sz="0" w:space="0" w:color="auto"/>
        <w:right w:val="none" w:sz="0" w:space="0" w:color="auto"/>
      </w:divBdr>
    </w:div>
    <w:div w:id="2141679716">
      <w:bodyDiv w:val="1"/>
      <w:marLeft w:val="0"/>
      <w:marRight w:val="0"/>
      <w:marTop w:val="0"/>
      <w:marBottom w:val="0"/>
      <w:divBdr>
        <w:top w:val="none" w:sz="0" w:space="0" w:color="auto"/>
        <w:left w:val="none" w:sz="0" w:space="0" w:color="auto"/>
        <w:bottom w:val="none" w:sz="0" w:space="0" w:color="auto"/>
        <w:right w:val="none" w:sz="0" w:space="0" w:color="auto"/>
      </w:divBdr>
    </w:div>
    <w:div w:id="2142378061">
      <w:bodyDiv w:val="1"/>
      <w:marLeft w:val="0"/>
      <w:marRight w:val="0"/>
      <w:marTop w:val="0"/>
      <w:marBottom w:val="0"/>
      <w:divBdr>
        <w:top w:val="none" w:sz="0" w:space="0" w:color="auto"/>
        <w:left w:val="none" w:sz="0" w:space="0" w:color="auto"/>
        <w:bottom w:val="none" w:sz="0" w:space="0" w:color="auto"/>
        <w:right w:val="none" w:sz="0" w:space="0" w:color="auto"/>
      </w:divBdr>
    </w:div>
    <w:div w:id="21428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colpensiones.gov.co/down.aspx?f=docs_informacion/F_Ing_gas_Agosto_2014_Web_05_09_2014.pdf" TargetMode="External"/><Relationship Id="rId26" Type="http://schemas.openxmlformats.org/officeDocument/2006/relationships/image" Target="media/image3.emf"/><Relationship Id="rId39" Type="http://schemas.microsoft.com/office/2011/relationships/commentsExtended" Target="commentsExtended.xml"/><Relationship Id="rId21" Type="http://schemas.openxmlformats.org/officeDocument/2006/relationships/hyperlink" Target="http://www.ultimasnoticias.com.do/enfermeras-paralizan-labores-hospitales-publicos-en-reclamo-aumento-salarial/" TargetMode="External"/><Relationship Id="rId34" Type="http://schemas.openxmlformats.org/officeDocument/2006/relationships/chart" Target="charts/chart11.xml"/><Relationship Id="rId42" Type="http://schemas.openxmlformats.org/officeDocument/2006/relationships/customXml" Target="../customXml/item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ilo.org/wcmsp5/groups/public/---americas/---ro-lima/---sro-santiago/documents/publication/wcms_179457.pdf" TargetMode="External"/><Relationship Id="rId20" Type="http://schemas.openxmlformats.org/officeDocument/2006/relationships/hyperlink" Target="http://www.listin.com.do/la-republica/2010/5/20/142691/print" TargetMode="External"/><Relationship Id="rId29" Type="http://schemas.openxmlformats.org/officeDocument/2006/relationships/chart" Target="charts/chart6.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hart" Target="charts/chart9.xml"/><Relationship Id="rId37" Type="http://schemas.openxmlformats.org/officeDocument/2006/relationships/theme" Target="theme/theme1.xml"/><Relationship Id="rId40" Type="http://schemas.openxmlformats.org/officeDocument/2006/relationships/customXml" Target="../customXml/item3.xml"/><Relationship Id="rId5" Type="http://schemas.microsoft.com/office/2007/relationships/stylesWithEffects" Target="stylesWithEffects.xml"/><Relationship Id="rId15" Type="http://schemas.openxmlformats.org/officeDocument/2006/relationships/hyperlink" Target="http://www.colpensiones.gov.co/informacion_financiera.aspx" TargetMode="External"/><Relationship Id="rId23" Type="http://schemas.openxmlformats.org/officeDocument/2006/relationships/chart" Target="charts/chart3.xml"/><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idbdocs.iadb.org/wsdocs/getdocument.aspx?docnum=1118122" TargetMode="External"/><Relationship Id="rId31" Type="http://schemas.openxmlformats.org/officeDocument/2006/relationships/chart" Target="charts/chart8.xml"/><Relationship Id="rId44"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chart" Target="charts/chart2.xml"/><Relationship Id="rId27" Type="http://schemas.openxmlformats.org/officeDocument/2006/relationships/hyperlink" Target="http://reformaonline.cerss.gov.do/sites/?p=96" TargetMode="Externa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customXml" Target="../customXml/item6.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chart" Target="charts/chart1.xml"/><Relationship Id="rId17" Type="http://schemas.openxmlformats.org/officeDocument/2006/relationships/hyperlink" Target="http://www.colpensiones.gov.co/down.aspx?f=docs_informacion/F_Ing_gas_Agosto_2014_Web_05_09_2014.pdf" TargetMode="External"/><Relationship Id="rId25" Type="http://schemas.openxmlformats.org/officeDocument/2006/relationships/image" Target="media/image2.emf"/><Relationship Id="rId33" Type="http://schemas.openxmlformats.org/officeDocument/2006/relationships/chart" Target="charts/chart10.xml"/><Relationship Id="rId38" Type="http://schemas.microsoft.com/office/2011/relationships/people" Target="people.xml"/></Relationships>
</file>

<file path=word/charts/_rels/chart1.xml.rels><?xml version="1.0" encoding="UTF-8" standalone="yes"?>
<Relationships xmlns="http://schemas.openxmlformats.org/package/2006/relationships"><Relationship Id="rId2" Type="http://schemas.openxmlformats.org/officeDocument/2006/relationships/oleObject" Target="file:///C:\Dropbox\proyectos\BID\PBL\Trabajo\Graficos%20y%20Tabla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Dropbox\proyectos\BID\PBL\Trabajo\RDOM%20CBA%20DR-L1073%20V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ropbox\proyectos\BID\PBL\Trabajo\RDOM%20CBA%20DR-L1073%20V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ropbox\proyectos\BID\PBL\Trabajo\RDOM%20CBA%20DR-L1073%20V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ropbox\proyectos\BID\PBL\Trabajo\RDOM%20CBA%20DR-L1073%20V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l\Dropbox\proyectos\BID\PBL\Trabajo\RDOM%20CBA%20DR-L1073%20V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l\Dropbox\proyectos\BID\PBL\Trabajo\RDOM%20CBA%20DR-L1073%20V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ropbox\proyectos\BID\PBL\Trabajo\RDOM%20CBA%20DR-L1073%20V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ropbox\proyectos\BID\PBL\Trabajo\RDOM%20CBA%20DR-L1073%20V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ropbox\proyectos\BID\PBL\Trabajo\RDOM%20CBA%20DR-L1073%20V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ropbox\proyectos\BID\PBL\Trabajo\RDOM%20CBA%20DR-L1073%20V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ropbox\proyectos\BID\PBL\Trabajo\RDOM%20CBA%20DR-L1073%20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20135231440442"/>
          <c:y val="9.9303972331908963E-2"/>
          <c:w val="0.815907471134383"/>
          <c:h val="0.88602445456260404"/>
        </c:manualLayout>
      </c:layout>
      <c:scatterChart>
        <c:scatterStyle val="smoothMarker"/>
        <c:varyColors val="0"/>
        <c:ser>
          <c:idx val="2"/>
          <c:order val="2"/>
          <c:tx>
            <c:strRef>
              <c:f>'GRXXX Frontera Eficiencia'!$E$2</c:f>
              <c:strCache>
                <c:ptCount val="1"/>
                <c:pt idx="0">
                  <c:v>Frontera</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power"/>
            <c:forward val="2000"/>
            <c:dispRSqr val="0"/>
            <c:dispEq val="0"/>
          </c:trendline>
          <c:xVal>
            <c:numRef>
              <c:f>'GRXXX Frontera Eficiencia'!$I$3:$I$7</c:f>
              <c:numCache>
                <c:formatCode>_-"$"* #.##0_-;\-"$"* #.##0_-;_-"$"* "-"??_-;_-@_-</c:formatCode>
                <c:ptCount val="5"/>
                <c:pt idx="0">
                  <c:v>3.61</c:v>
                </c:pt>
                <c:pt idx="1">
                  <c:v>24.61</c:v>
                </c:pt>
                <c:pt idx="2">
                  <c:v>85.44</c:v>
                </c:pt>
                <c:pt idx="3">
                  <c:v>235.61</c:v>
                </c:pt>
                <c:pt idx="4">
                  <c:v>864.51</c:v>
                </c:pt>
              </c:numCache>
            </c:numRef>
          </c:xVal>
          <c:yVal>
            <c:numRef>
              <c:f>'GRXXX Frontera Eficiencia'!$J$3:$J$7</c:f>
              <c:numCache>
                <c:formatCode>General</c:formatCode>
                <c:ptCount val="5"/>
                <c:pt idx="0">
                  <c:v>48792.988280000012</c:v>
                </c:pt>
                <c:pt idx="1">
                  <c:v>38814.179689999997</c:v>
                </c:pt>
                <c:pt idx="2">
                  <c:v>28526.519529999969</c:v>
                </c:pt>
                <c:pt idx="3">
                  <c:v>20827.769530000001</c:v>
                </c:pt>
                <c:pt idx="4">
                  <c:v>14354.410159999999</c:v>
                </c:pt>
              </c:numCache>
            </c:numRef>
          </c:yVal>
          <c:smooth val="1"/>
        </c:ser>
        <c:dLbls>
          <c:showLegendKey val="0"/>
          <c:showVal val="0"/>
          <c:showCatName val="0"/>
          <c:showSerName val="0"/>
          <c:showPercent val="0"/>
          <c:showBubbleSize val="0"/>
        </c:dLbls>
        <c:axId val="202131328"/>
        <c:axId val="202162176"/>
      </c:scatterChart>
      <c:scatterChart>
        <c:scatterStyle val="lineMarker"/>
        <c:varyColors val="0"/>
        <c:ser>
          <c:idx val="0"/>
          <c:order val="0"/>
          <c:tx>
            <c:strRef>
              <c:f>'GRXXX Frontera Eficiencia'!$D$2</c:f>
              <c:strCache>
                <c:ptCount val="1"/>
                <c:pt idx="0">
                  <c:v>Age-standardized DALYs (per 100,000)</c:v>
                </c:pt>
              </c:strCache>
            </c:strRef>
          </c:tx>
          <c:spPr>
            <a:ln w="19050" cap="rnd">
              <a:noFill/>
              <a:round/>
            </a:ln>
            <a:effectLst/>
          </c:spPr>
          <c:marker>
            <c:symbol val="circle"/>
            <c:size val="5"/>
            <c:spPr>
              <a:solidFill>
                <a:schemeClr val="accent1"/>
              </a:solidFill>
              <a:ln w="9525">
                <a:solidFill>
                  <a:schemeClr val="accent1"/>
                </a:solidFill>
              </a:ln>
              <a:effectLst/>
            </c:spPr>
          </c:marker>
          <c:dPt>
            <c:idx val="0"/>
            <c:marker>
              <c:spPr>
                <a:solidFill>
                  <a:srgbClr val="FF0000"/>
                </a:solidFill>
                <a:ln w="9525">
                  <a:solidFill>
                    <a:schemeClr val="accent1"/>
                  </a:solidFill>
                </a:ln>
                <a:effectLst/>
              </c:spPr>
            </c:marker>
            <c:bubble3D val="0"/>
          </c:dPt>
          <c:dPt>
            <c:idx val="11"/>
            <c:marker>
              <c:spPr>
                <a:solidFill>
                  <a:srgbClr val="FF0000"/>
                </a:solidFill>
                <a:ln w="9525">
                  <a:solidFill>
                    <a:schemeClr val="accent1"/>
                  </a:solidFill>
                </a:ln>
                <a:effectLst/>
              </c:spPr>
            </c:marker>
            <c:bubble3D val="0"/>
          </c:dPt>
          <c:dPt>
            <c:idx val="15"/>
            <c:marker>
              <c:spPr>
                <a:solidFill>
                  <a:srgbClr val="FFC000"/>
                </a:solidFill>
                <a:ln w="9525">
                  <a:solidFill>
                    <a:schemeClr val="accent1"/>
                  </a:solidFill>
                </a:ln>
                <a:effectLst/>
              </c:spPr>
            </c:marker>
            <c:bubble3D val="0"/>
          </c:dPt>
          <c:dPt>
            <c:idx val="47"/>
            <c:marker>
              <c:spPr>
                <a:solidFill>
                  <a:srgbClr val="FF0000"/>
                </a:solidFill>
                <a:ln w="9525">
                  <a:solidFill>
                    <a:schemeClr val="accent1"/>
                  </a:solidFill>
                </a:ln>
                <a:effectLst/>
              </c:spPr>
            </c:marker>
            <c:bubble3D val="0"/>
          </c:dPt>
          <c:dPt>
            <c:idx val="66"/>
            <c:marker>
              <c:spPr>
                <a:solidFill>
                  <a:srgbClr val="FFC000"/>
                </a:solidFill>
                <a:ln w="9525">
                  <a:solidFill>
                    <a:schemeClr val="accent1"/>
                  </a:solidFill>
                </a:ln>
                <a:effectLst/>
              </c:spPr>
            </c:marker>
            <c:bubble3D val="0"/>
          </c:dPt>
          <c:dPt>
            <c:idx val="76"/>
            <c:marker>
              <c:spPr>
                <a:solidFill>
                  <a:srgbClr val="FF0000"/>
                </a:solidFill>
                <a:ln w="9525">
                  <a:solidFill>
                    <a:schemeClr val="accent1"/>
                  </a:solidFill>
                </a:ln>
                <a:effectLst/>
              </c:spPr>
            </c:marker>
            <c:bubble3D val="0"/>
          </c:dPt>
          <c:dPt>
            <c:idx val="103"/>
            <c:marker>
              <c:spPr>
                <a:solidFill>
                  <a:srgbClr val="FFC000"/>
                </a:solidFill>
                <a:ln w="9525">
                  <a:solidFill>
                    <a:schemeClr val="accent1"/>
                  </a:solidFill>
                </a:ln>
                <a:effectLst/>
              </c:spPr>
            </c:marker>
            <c:bubble3D val="0"/>
          </c:dPt>
          <c:dPt>
            <c:idx val="121"/>
            <c:marker>
              <c:spPr>
                <a:solidFill>
                  <a:srgbClr val="FF0000"/>
                </a:solidFill>
                <a:ln w="9525">
                  <a:solidFill>
                    <a:schemeClr val="accent1"/>
                  </a:solidFill>
                </a:ln>
                <a:effectLst/>
              </c:spPr>
            </c:marker>
            <c:bubble3D val="0"/>
          </c:dPt>
          <c:dPt>
            <c:idx val="133"/>
            <c:marker>
              <c:spPr>
                <a:solidFill>
                  <a:srgbClr val="FFC000"/>
                </a:solidFill>
                <a:ln w="9525">
                  <a:solidFill>
                    <a:schemeClr val="accent1"/>
                  </a:solidFill>
                </a:ln>
                <a:effectLst/>
              </c:spPr>
            </c:marker>
            <c:bubble3D val="0"/>
          </c:dPt>
          <c:dPt>
            <c:idx val="152"/>
            <c:marker>
              <c:spPr>
                <a:solidFill>
                  <a:srgbClr val="FF0000"/>
                </a:solidFill>
                <a:ln w="9525">
                  <a:solidFill>
                    <a:schemeClr val="accent1"/>
                  </a:solidFill>
                </a:ln>
                <a:effectLst/>
              </c:spPr>
            </c:marker>
            <c:bubble3D val="0"/>
          </c:dPt>
          <c:dPt>
            <c:idx val="164"/>
            <c:marker>
              <c:spPr>
                <a:solidFill>
                  <a:srgbClr val="FFC000"/>
                </a:solidFill>
                <a:ln w="9525">
                  <a:solidFill>
                    <a:schemeClr val="accent1"/>
                  </a:solidFill>
                </a:ln>
                <a:effectLst/>
              </c:spPr>
            </c:marker>
            <c:bubble3D val="0"/>
          </c:dPt>
          <c:dPt>
            <c:idx val="167"/>
            <c:marker>
              <c:spPr>
                <a:solidFill>
                  <a:srgbClr val="00B050"/>
                </a:solidFill>
                <a:ln w="9525">
                  <a:solidFill>
                    <a:schemeClr val="accent1"/>
                  </a:solidFill>
                </a:ln>
                <a:effectLst/>
              </c:spPr>
            </c:marker>
            <c:bubble3D val="0"/>
          </c:dPt>
          <c:dLbls>
            <c:dLbl>
              <c:idx val="0"/>
              <c:tx>
                <c:rich>
                  <a:bodyPr/>
                  <a:lstStyle/>
                  <a:p>
                    <a:r>
                      <a:rPr lang="en-US"/>
                      <a:t>Myanmar</a:t>
                    </a:r>
                  </a:p>
                </c:rich>
              </c:tx>
              <c:showLegendKey val="0"/>
              <c:showVal val="1"/>
              <c:showCatName val="0"/>
              <c:showSerName val="0"/>
              <c:showPercent val="0"/>
              <c:showBubbleSize val="0"/>
              <c:extLst>
                <c:ext xmlns:c15="http://schemas.microsoft.com/office/drawing/2012/chart" uri="{CE6537A1-D6FC-4f65-9D91-7224C49458BB}"/>
              </c:extLst>
            </c:dLbl>
            <c:dLbl>
              <c:idx val="11"/>
              <c:tx>
                <c:rich>
                  <a:bodyPr rot="0" spcFirstLastPara="1" vertOverflow="clip" horzOverflow="clip" vert="horz" wrap="square" lIns="36576" tIns="18288" rIns="36576" bIns="18288" anchor="ctr" anchorCtr="1">
                    <a:spAutoFit/>
                  </a:bodyPr>
                  <a:lstStyle/>
                  <a:p>
                    <a:pPr>
                      <a:defRPr sz="1050" b="0" i="0" u="none" strike="noStrike" kern="1200" baseline="0">
                        <a:solidFill>
                          <a:schemeClr val="dk1">
                            <a:lumMod val="65000"/>
                            <a:lumOff val="35000"/>
                          </a:schemeClr>
                        </a:solidFill>
                        <a:latin typeface="+mn-lt"/>
                        <a:ea typeface="+mn-ea"/>
                        <a:cs typeface="+mn-cs"/>
                      </a:defRPr>
                    </a:pPr>
                    <a:r>
                      <a:rPr lang="en-US"/>
                      <a:t>Bangladesh</a:t>
                    </a:r>
                  </a:p>
                </c:rich>
              </c:tx>
              <c:spPr>
                <a:solidFill>
                  <a:sysClr val="window" lastClr="FFFFFF"/>
                </a:solidFill>
                <a:ln>
                  <a:solidFill>
                    <a:sysClr val="windowText" lastClr="000000">
                      <a:lumMod val="25000"/>
                      <a:lumOff val="75000"/>
                    </a:sysClr>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Lst>
            </c:dLbl>
            <c:dLbl>
              <c:idx val="15"/>
              <c:tx>
                <c:rich>
                  <a:bodyPr rot="0" spcFirstLastPara="1" vertOverflow="clip" horzOverflow="clip" vert="horz" wrap="square" lIns="36576" tIns="18288" rIns="36576" bIns="18288" anchor="ctr" anchorCtr="1">
                    <a:spAutoFit/>
                  </a:bodyPr>
                  <a:lstStyle/>
                  <a:p>
                    <a:pPr>
                      <a:defRPr sz="1050" b="0" i="0" u="none" strike="noStrike" kern="1200" baseline="0">
                        <a:solidFill>
                          <a:schemeClr val="dk1">
                            <a:lumMod val="65000"/>
                            <a:lumOff val="35000"/>
                          </a:schemeClr>
                        </a:solidFill>
                        <a:latin typeface="+mn-lt"/>
                        <a:ea typeface="+mn-ea"/>
                        <a:cs typeface="+mn-cs"/>
                      </a:defRPr>
                    </a:pPr>
                    <a:r>
                      <a:rPr lang="en-US"/>
                      <a:t>Sierra Leone</a:t>
                    </a:r>
                  </a:p>
                </c:rich>
              </c:tx>
              <c:spPr>
                <a:solidFill>
                  <a:sysClr val="window" lastClr="FFFFFF"/>
                </a:solidFill>
                <a:ln>
                  <a:solidFill>
                    <a:sysClr val="windowText" lastClr="000000">
                      <a:lumMod val="25000"/>
                      <a:lumOff val="75000"/>
                    </a:sysClr>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Lst>
            </c:dLbl>
            <c:dLbl>
              <c:idx val="47"/>
              <c:layout>
                <c:manualLayout>
                  <c:x val="-3.7408613996123698E-2"/>
                  <c:y val="-3.0337399659647799E-2"/>
                </c:manualLayout>
              </c:layout>
              <c:tx>
                <c:rich>
                  <a:bodyPr/>
                  <a:lstStyle/>
                  <a:p>
                    <a:r>
                      <a:rPr lang="en-US"/>
                      <a:t>Sri Lanka</a:t>
                    </a:r>
                  </a:p>
                </c:rich>
              </c:tx>
              <c:showLegendKey val="0"/>
              <c:showVal val="1"/>
              <c:showCatName val="0"/>
              <c:showSerName val="0"/>
              <c:showPercent val="0"/>
              <c:showBubbleSize val="0"/>
              <c:extLst>
                <c:ext xmlns:c15="http://schemas.microsoft.com/office/drawing/2012/chart" uri="{CE6537A1-D6FC-4f65-9D91-7224C49458BB}"/>
              </c:extLst>
            </c:dLbl>
            <c:dLbl>
              <c:idx val="66"/>
              <c:tx>
                <c:rich>
                  <a:bodyPr/>
                  <a:lstStyle/>
                  <a:p>
                    <a:r>
                      <a:rPr lang="en-US"/>
                      <a:t>Lesotho</a:t>
                    </a:r>
                  </a:p>
                </c:rich>
              </c:tx>
              <c:showLegendKey val="0"/>
              <c:showVal val="1"/>
              <c:showCatName val="0"/>
              <c:showSerName val="0"/>
              <c:showPercent val="0"/>
              <c:showBubbleSize val="0"/>
              <c:extLst>
                <c:ext xmlns:c15="http://schemas.microsoft.com/office/drawing/2012/chart" uri="{CE6537A1-D6FC-4f65-9D91-7224C49458BB}"/>
              </c:extLst>
            </c:dLbl>
            <c:dLbl>
              <c:idx val="76"/>
              <c:layout>
                <c:manualLayout>
                  <c:x val="-3.9377488416971499E-3"/>
                  <c:y val="-4.0449866212863797E-2"/>
                </c:manualLayout>
              </c:layout>
              <c:tx>
                <c:rich>
                  <a:bodyPr/>
                  <a:lstStyle/>
                  <a:p>
                    <a:r>
                      <a:rPr lang="en-US"/>
                      <a:t>Libano</a:t>
                    </a:r>
                  </a:p>
                </c:rich>
              </c:tx>
              <c:showLegendKey val="0"/>
              <c:showVal val="1"/>
              <c:showCatName val="0"/>
              <c:showSerName val="0"/>
              <c:showPercent val="0"/>
              <c:showBubbleSize val="0"/>
              <c:extLst>
                <c:ext xmlns:c15="http://schemas.microsoft.com/office/drawing/2012/chart" uri="{CE6537A1-D6FC-4f65-9D91-7224C49458BB}"/>
              </c:extLst>
            </c:dLbl>
            <c:dLbl>
              <c:idx val="103"/>
              <c:tx>
                <c:rich>
                  <a:bodyPr rot="0" spcFirstLastPara="1" vertOverflow="clip" horzOverflow="clip" vert="horz" wrap="square" lIns="36576" tIns="18288" rIns="36576" bIns="18288" anchor="ctr" anchorCtr="1">
                    <a:spAutoFit/>
                  </a:bodyPr>
                  <a:lstStyle/>
                  <a:p>
                    <a:pPr>
                      <a:defRPr sz="1050" b="0" i="0" u="none" strike="noStrike" kern="1200" baseline="0">
                        <a:solidFill>
                          <a:schemeClr val="dk1">
                            <a:lumMod val="65000"/>
                            <a:lumOff val="35000"/>
                          </a:schemeClr>
                        </a:solidFill>
                        <a:latin typeface="+mn-lt"/>
                        <a:ea typeface="+mn-ea"/>
                        <a:cs typeface="+mn-cs"/>
                      </a:defRPr>
                    </a:pPr>
                    <a:r>
                      <a:rPr lang="en-US"/>
                      <a:t>Colombia</a:t>
                    </a:r>
                  </a:p>
                </c:rich>
              </c:tx>
              <c:spPr>
                <a:solidFill>
                  <a:sysClr val="window" lastClr="FFFFFF"/>
                </a:solidFill>
                <a:ln>
                  <a:solidFill>
                    <a:sysClr val="windowText" lastClr="000000">
                      <a:lumMod val="25000"/>
                      <a:lumOff val="75000"/>
                    </a:sysClr>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Lst>
            </c:dLbl>
            <c:dLbl>
              <c:idx val="121"/>
              <c:layout>
                <c:manualLayout>
                  <c:x val="4.9221860521215296E-3"/>
                  <c:y val="-3.0337399659647799E-2"/>
                </c:manualLayout>
              </c:layout>
              <c:tx>
                <c:rich>
                  <a:bodyPr rot="0" spcFirstLastPara="1" vertOverflow="clip" horzOverflow="clip" vert="horz" wrap="square" lIns="36576" tIns="18288" rIns="36576" bIns="18288" anchor="ctr" anchorCtr="1">
                    <a:spAutoFit/>
                  </a:bodyPr>
                  <a:lstStyle/>
                  <a:p>
                    <a:pPr>
                      <a:defRPr sz="1050" b="0" i="0" u="none" strike="noStrike" kern="1200" baseline="0">
                        <a:solidFill>
                          <a:schemeClr val="dk1">
                            <a:lumMod val="65000"/>
                            <a:lumOff val="35000"/>
                          </a:schemeClr>
                        </a:solidFill>
                        <a:latin typeface="+mn-lt"/>
                        <a:ea typeface="+mn-ea"/>
                        <a:cs typeface="+mn-cs"/>
                      </a:defRPr>
                    </a:pPr>
                    <a:r>
                      <a:rPr lang="en-US"/>
                      <a:t>Singapure</a:t>
                    </a:r>
                  </a:p>
                </c:rich>
              </c:tx>
              <c:spPr>
                <a:solidFill>
                  <a:sysClr val="window" lastClr="FFFFFF"/>
                </a:solidFill>
                <a:ln>
                  <a:solidFill>
                    <a:sysClr val="windowText" lastClr="000000">
                      <a:lumMod val="25000"/>
                      <a:lumOff val="75000"/>
                    </a:sysClr>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Lst>
            </c:dLbl>
            <c:dLbl>
              <c:idx val="133"/>
              <c:tx>
                <c:rich>
                  <a:bodyPr rot="0" spcFirstLastPara="1" vertOverflow="clip" horzOverflow="clip" vert="horz" wrap="square" lIns="36576" tIns="18288" rIns="36576" bIns="18288" anchor="ctr" anchorCtr="1">
                    <a:spAutoFit/>
                  </a:bodyPr>
                  <a:lstStyle/>
                  <a:p>
                    <a:pPr>
                      <a:defRPr sz="1050" b="0" i="0" u="none" strike="noStrike" kern="1200" baseline="0">
                        <a:solidFill>
                          <a:schemeClr val="dk1">
                            <a:lumMod val="65000"/>
                            <a:lumOff val="35000"/>
                          </a:schemeClr>
                        </a:solidFill>
                        <a:latin typeface="+mn-lt"/>
                        <a:ea typeface="+mn-ea"/>
                        <a:cs typeface="+mn-cs"/>
                      </a:defRPr>
                    </a:pPr>
                    <a:r>
                      <a:rPr lang="en-US"/>
                      <a:t>Equatorial Guinea</a:t>
                    </a:r>
                  </a:p>
                </c:rich>
              </c:tx>
              <c:spPr>
                <a:solidFill>
                  <a:sysClr val="window" lastClr="FFFFFF"/>
                </a:solidFill>
                <a:ln>
                  <a:solidFill>
                    <a:sysClr val="windowText" lastClr="000000">
                      <a:lumMod val="25000"/>
                      <a:lumOff val="75000"/>
                    </a:sysClr>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Lst>
            </c:dLbl>
            <c:dLbl>
              <c:idx val="152"/>
              <c:tx>
                <c:rich>
                  <a:bodyPr rot="0" spcFirstLastPara="1" vertOverflow="clip" horzOverflow="clip" vert="horz" wrap="square" lIns="36576" tIns="18288" rIns="36576" bIns="18288" anchor="ctr" anchorCtr="1">
                    <a:spAutoFit/>
                  </a:bodyPr>
                  <a:lstStyle/>
                  <a:p>
                    <a:pPr>
                      <a:defRPr sz="1050" b="0" i="0" u="none" strike="noStrike" kern="1200" baseline="0">
                        <a:solidFill>
                          <a:schemeClr val="dk1">
                            <a:lumMod val="65000"/>
                            <a:lumOff val="35000"/>
                          </a:schemeClr>
                        </a:solidFill>
                        <a:latin typeface="+mn-lt"/>
                        <a:ea typeface="+mn-ea"/>
                        <a:cs typeface="+mn-cs"/>
                      </a:defRPr>
                    </a:pPr>
                    <a:r>
                      <a:rPr lang="en-US"/>
                      <a:t>Japan</a:t>
                    </a:r>
                  </a:p>
                </c:rich>
              </c:tx>
              <c:spPr>
                <a:solidFill>
                  <a:sysClr val="window" lastClr="FFFFFF"/>
                </a:solidFill>
                <a:ln>
                  <a:solidFill>
                    <a:sysClr val="windowText" lastClr="000000">
                      <a:lumMod val="25000"/>
                      <a:lumOff val="75000"/>
                    </a:sysClr>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Lst>
            </c:dLbl>
            <c:dLbl>
              <c:idx val="164"/>
              <c:tx>
                <c:rich>
                  <a:bodyPr rot="0" spcFirstLastPara="1" vertOverflow="clip" horzOverflow="clip" vert="horz" wrap="square" lIns="36576" tIns="18288" rIns="36576" bIns="18288" anchor="ctr" anchorCtr="1">
                    <a:spAutoFit/>
                  </a:bodyPr>
                  <a:lstStyle/>
                  <a:p>
                    <a:pPr>
                      <a:defRPr sz="1050" b="0" i="0" u="none" strike="noStrike" kern="1200" baseline="0">
                        <a:solidFill>
                          <a:schemeClr val="dk1">
                            <a:lumMod val="65000"/>
                            <a:lumOff val="35000"/>
                          </a:schemeClr>
                        </a:solidFill>
                        <a:latin typeface="+mn-lt"/>
                        <a:ea typeface="+mn-ea"/>
                        <a:cs typeface="+mn-cs"/>
                      </a:defRPr>
                    </a:pPr>
                    <a:r>
                      <a:rPr lang="en-US"/>
                      <a:t>USA</a:t>
                    </a:r>
                  </a:p>
                </c:rich>
              </c:tx>
              <c:spPr>
                <a:solidFill>
                  <a:sysClr val="window" lastClr="FFFFFF"/>
                </a:solidFill>
                <a:ln>
                  <a:solidFill>
                    <a:sysClr val="windowText" lastClr="000000">
                      <a:lumMod val="25000"/>
                      <a:lumOff val="75000"/>
                    </a:sysClr>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Lst>
            </c:dLbl>
            <c:dLbl>
              <c:idx val="167"/>
              <c:tx>
                <c:rich>
                  <a:bodyPr/>
                  <a:lstStyle/>
                  <a:p>
                    <a:r>
                      <a:rPr lang="en-US"/>
                      <a:t>Luxembourg</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'GRXXX Frontera Eficiencia'!$C$3:$C$174</c:f>
              <c:numCache>
                <c:formatCode>_-"$"* #.##0_-;\-"$"* #.##0_-;_-"$"* "-"??_-;_-@_-</c:formatCode>
                <c:ptCount val="172"/>
                <c:pt idx="0">
                  <c:v>3.61</c:v>
                </c:pt>
                <c:pt idx="1">
                  <c:v>7.87</c:v>
                </c:pt>
                <c:pt idx="2">
                  <c:v>8.2900000000000009</c:v>
                </c:pt>
                <c:pt idx="3">
                  <c:v>10.83</c:v>
                </c:pt>
                <c:pt idx="4">
                  <c:v>16.05</c:v>
                </c:pt>
                <c:pt idx="5">
                  <c:v>17.100000000000001</c:v>
                </c:pt>
                <c:pt idx="6">
                  <c:v>17.760000000000002</c:v>
                </c:pt>
                <c:pt idx="7">
                  <c:v>18.38</c:v>
                </c:pt>
                <c:pt idx="8">
                  <c:v>18.739999999999991</c:v>
                </c:pt>
                <c:pt idx="9">
                  <c:v>19.84</c:v>
                </c:pt>
                <c:pt idx="10">
                  <c:v>21.68</c:v>
                </c:pt>
                <c:pt idx="11">
                  <c:v>24.61</c:v>
                </c:pt>
                <c:pt idx="12">
                  <c:v>24.96</c:v>
                </c:pt>
                <c:pt idx="13">
                  <c:v>26.86</c:v>
                </c:pt>
                <c:pt idx="14">
                  <c:v>26.98</c:v>
                </c:pt>
                <c:pt idx="15">
                  <c:v>29.74</c:v>
                </c:pt>
                <c:pt idx="16">
                  <c:v>30</c:v>
                </c:pt>
                <c:pt idx="17">
                  <c:v>30.29</c:v>
                </c:pt>
                <c:pt idx="18">
                  <c:v>30.49</c:v>
                </c:pt>
                <c:pt idx="19">
                  <c:v>31.85</c:v>
                </c:pt>
                <c:pt idx="20">
                  <c:v>31.91</c:v>
                </c:pt>
                <c:pt idx="21">
                  <c:v>33.270000000000003</c:v>
                </c:pt>
                <c:pt idx="22">
                  <c:v>33.659999999999997</c:v>
                </c:pt>
                <c:pt idx="23">
                  <c:v>33.979999999999997</c:v>
                </c:pt>
                <c:pt idx="24">
                  <c:v>35.520000000000003</c:v>
                </c:pt>
                <c:pt idx="25">
                  <c:v>38.42</c:v>
                </c:pt>
                <c:pt idx="26">
                  <c:v>39.69</c:v>
                </c:pt>
                <c:pt idx="27">
                  <c:v>39.79</c:v>
                </c:pt>
                <c:pt idx="28">
                  <c:v>40.03</c:v>
                </c:pt>
                <c:pt idx="29">
                  <c:v>40.79</c:v>
                </c:pt>
                <c:pt idx="30">
                  <c:v>40.96</c:v>
                </c:pt>
                <c:pt idx="31">
                  <c:v>41.84</c:v>
                </c:pt>
                <c:pt idx="32">
                  <c:v>42.45</c:v>
                </c:pt>
                <c:pt idx="33">
                  <c:v>43.32</c:v>
                </c:pt>
                <c:pt idx="34">
                  <c:v>43.75</c:v>
                </c:pt>
                <c:pt idx="35">
                  <c:v>50.49</c:v>
                </c:pt>
                <c:pt idx="36">
                  <c:v>50.65</c:v>
                </c:pt>
                <c:pt idx="37">
                  <c:v>50.98</c:v>
                </c:pt>
                <c:pt idx="38">
                  <c:v>51.17</c:v>
                </c:pt>
                <c:pt idx="39">
                  <c:v>56.2</c:v>
                </c:pt>
                <c:pt idx="40">
                  <c:v>56.53</c:v>
                </c:pt>
                <c:pt idx="41">
                  <c:v>58.67</c:v>
                </c:pt>
                <c:pt idx="42">
                  <c:v>59.38</c:v>
                </c:pt>
                <c:pt idx="43">
                  <c:v>69.099999999999994</c:v>
                </c:pt>
                <c:pt idx="44">
                  <c:v>72.989999999999995</c:v>
                </c:pt>
                <c:pt idx="45">
                  <c:v>76.38</c:v>
                </c:pt>
                <c:pt idx="46">
                  <c:v>78.08</c:v>
                </c:pt>
                <c:pt idx="47">
                  <c:v>85.44</c:v>
                </c:pt>
                <c:pt idx="48">
                  <c:v>89.44</c:v>
                </c:pt>
                <c:pt idx="49">
                  <c:v>91.05</c:v>
                </c:pt>
                <c:pt idx="50">
                  <c:v>92.86</c:v>
                </c:pt>
                <c:pt idx="51">
                  <c:v>93.39</c:v>
                </c:pt>
                <c:pt idx="52">
                  <c:v>95.9</c:v>
                </c:pt>
                <c:pt idx="53">
                  <c:v>97.36</c:v>
                </c:pt>
                <c:pt idx="54">
                  <c:v>104.27</c:v>
                </c:pt>
                <c:pt idx="55">
                  <c:v>112.28</c:v>
                </c:pt>
                <c:pt idx="56">
                  <c:v>118.43</c:v>
                </c:pt>
                <c:pt idx="57">
                  <c:v>124.72</c:v>
                </c:pt>
                <c:pt idx="58">
                  <c:v>124.73</c:v>
                </c:pt>
                <c:pt idx="59">
                  <c:v>125.32</c:v>
                </c:pt>
                <c:pt idx="60">
                  <c:v>128.9</c:v>
                </c:pt>
                <c:pt idx="61">
                  <c:v>131.63</c:v>
                </c:pt>
                <c:pt idx="62">
                  <c:v>132.04</c:v>
                </c:pt>
                <c:pt idx="63">
                  <c:v>143.58000000000001</c:v>
                </c:pt>
                <c:pt idx="64">
                  <c:v>152.54</c:v>
                </c:pt>
                <c:pt idx="65">
                  <c:v>160.47999999999999</c:v>
                </c:pt>
                <c:pt idx="66">
                  <c:v>162.06</c:v>
                </c:pt>
                <c:pt idx="67">
                  <c:v>168.77</c:v>
                </c:pt>
                <c:pt idx="68">
                  <c:v>175.75</c:v>
                </c:pt>
                <c:pt idx="69">
                  <c:v>177.12</c:v>
                </c:pt>
                <c:pt idx="70">
                  <c:v>182.27</c:v>
                </c:pt>
                <c:pt idx="71">
                  <c:v>198.13</c:v>
                </c:pt>
                <c:pt idx="72">
                  <c:v>203.02</c:v>
                </c:pt>
                <c:pt idx="73">
                  <c:v>208.18</c:v>
                </c:pt>
                <c:pt idx="74">
                  <c:v>211.97</c:v>
                </c:pt>
                <c:pt idx="75">
                  <c:v>234.46</c:v>
                </c:pt>
                <c:pt idx="76">
                  <c:v>235.61</c:v>
                </c:pt>
                <c:pt idx="77">
                  <c:v>241.6</c:v>
                </c:pt>
                <c:pt idx="78">
                  <c:v>241.89</c:v>
                </c:pt>
                <c:pt idx="79">
                  <c:v>246.33</c:v>
                </c:pt>
                <c:pt idx="80">
                  <c:v>252.53</c:v>
                </c:pt>
                <c:pt idx="81">
                  <c:v>253.49</c:v>
                </c:pt>
                <c:pt idx="82">
                  <c:v>260.99</c:v>
                </c:pt>
                <c:pt idx="83">
                  <c:v>266.60000000000002</c:v>
                </c:pt>
                <c:pt idx="84">
                  <c:v>272.70999999999992</c:v>
                </c:pt>
                <c:pt idx="85">
                  <c:v>275.01</c:v>
                </c:pt>
                <c:pt idx="86">
                  <c:v>278.48</c:v>
                </c:pt>
                <c:pt idx="87">
                  <c:v>283.39</c:v>
                </c:pt>
                <c:pt idx="88">
                  <c:v>287.62</c:v>
                </c:pt>
                <c:pt idx="89">
                  <c:v>295.36</c:v>
                </c:pt>
                <c:pt idx="90">
                  <c:v>297.33999999999992</c:v>
                </c:pt>
                <c:pt idx="91">
                  <c:v>300.94</c:v>
                </c:pt>
                <c:pt idx="92">
                  <c:v>301.70999999999992</c:v>
                </c:pt>
                <c:pt idx="93">
                  <c:v>309.14</c:v>
                </c:pt>
                <c:pt idx="94">
                  <c:v>321.74</c:v>
                </c:pt>
                <c:pt idx="95">
                  <c:v>337.46</c:v>
                </c:pt>
                <c:pt idx="96">
                  <c:v>338.97</c:v>
                </c:pt>
                <c:pt idx="97">
                  <c:v>340.12659000000002</c:v>
                </c:pt>
                <c:pt idx="98">
                  <c:v>341.97</c:v>
                </c:pt>
                <c:pt idx="99">
                  <c:v>369.18</c:v>
                </c:pt>
                <c:pt idx="100">
                  <c:v>406.98</c:v>
                </c:pt>
                <c:pt idx="101">
                  <c:v>446.37</c:v>
                </c:pt>
                <c:pt idx="102">
                  <c:v>449.54</c:v>
                </c:pt>
                <c:pt idx="103">
                  <c:v>462.48</c:v>
                </c:pt>
                <c:pt idx="104">
                  <c:v>464.86</c:v>
                </c:pt>
                <c:pt idx="105">
                  <c:v>476.98</c:v>
                </c:pt>
                <c:pt idx="106">
                  <c:v>484.72</c:v>
                </c:pt>
                <c:pt idx="107">
                  <c:v>553.54</c:v>
                </c:pt>
                <c:pt idx="108">
                  <c:v>560.73</c:v>
                </c:pt>
                <c:pt idx="109">
                  <c:v>586.43999999999971</c:v>
                </c:pt>
                <c:pt idx="110">
                  <c:v>588.51</c:v>
                </c:pt>
                <c:pt idx="111">
                  <c:v>606.74</c:v>
                </c:pt>
                <c:pt idx="112">
                  <c:v>621.31999999999971</c:v>
                </c:pt>
                <c:pt idx="113">
                  <c:v>631.98</c:v>
                </c:pt>
                <c:pt idx="114">
                  <c:v>689</c:v>
                </c:pt>
                <c:pt idx="115">
                  <c:v>723.24</c:v>
                </c:pt>
                <c:pt idx="116">
                  <c:v>742.87</c:v>
                </c:pt>
                <c:pt idx="117">
                  <c:v>786.12</c:v>
                </c:pt>
                <c:pt idx="118">
                  <c:v>787.17</c:v>
                </c:pt>
                <c:pt idx="119">
                  <c:v>817.8</c:v>
                </c:pt>
                <c:pt idx="120">
                  <c:v>839.68</c:v>
                </c:pt>
                <c:pt idx="121">
                  <c:v>864.51</c:v>
                </c:pt>
                <c:pt idx="122">
                  <c:v>866.4</c:v>
                </c:pt>
                <c:pt idx="123">
                  <c:v>869.43999999999971</c:v>
                </c:pt>
                <c:pt idx="124">
                  <c:v>869.75</c:v>
                </c:pt>
                <c:pt idx="125">
                  <c:v>932.11</c:v>
                </c:pt>
                <c:pt idx="126">
                  <c:v>953.88</c:v>
                </c:pt>
                <c:pt idx="127">
                  <c:v>960.97</c:v>
                </c:pt>
                <c:pt idx="128">
                  <c:v>1013.32</c:v>
                </c:pt>
                <c:pt idx="129">
                  <c:v>1024.5999999999999</c:v>
                </c:pt>
                <c:pt idx="130">
                  <c:v>1052.6500000000001</c:v>
                </c:pt>
                <c:pt idx="131">
                  <c:v>1075.3499999999999</c:v>
                </c:pt>
                <c:pt idx="132">
                  <c:v>1081.0899999999999</c:v>
                </c:pt>
                <c:pt idx="133">
                  <c:v>1088.17</c:v>
                </c:pt>
                <c:pt idx="134">
                  <c:v>1101.79</c:v>
                </c:pt>
                <c:pt idx="135">
                  <c:v>1157.01</c:v>
                </c:pt>
                <c:pt idx="136">
                  <c:v>1250.0999999999999</c:v>
                </c:pt>
                <c:pt idx="137">
                  <c:v>1288.52</c:v>
                </c:pt>
                <c:pt idx="138">
                  <c:v>1331.24</c:v>
                </c:pt>
                <c:pt idx="139">
                  <c:v>1333.1</c:v>
                </c:pt>
                <c:pt idx="140">
                  <c:v>1335.83</c:v>
                </c:pt>
                <c:pt idx="141">
                  <c:v>1342.01</c:v>
                </c:pt>
                <c:pt idx="142">
                  <c:v>1563.3</c:v>
                </c:pt>
                <c:pt idx="143">
                  <c:v>1605.69</c:v>
                </c:pt>
                <c:pt idx="144">
                  <c:v>1681.02</c:v>
                </c:pt>
                <c:pt idx="145">
                  <c:v>1785.66</c:v>
                </c:pt>
                <c:pt idx="146">
                  <c:v>1833.62</c:v>
                </c:pt>
                <c:pt idx="147">
                  <c:v>2237.85</c:v>
                </c:pt>
                <c:pt idx="148">
                  <c:v>2417.4299999999998</c:v>
                </c:pt>
                <c:pt idx="149">
                  <c:v>2492.02</c:v>
                </c:pt>
                <c:pt idx="150">
                  <c:v>2523.81</c:v>
                </c:pt>
                <c:pt idx="151">
                  <c:v>2529.2399999999998</c:v>
                </c:pt>
                <c:pt idx="152">
                  <c:v>2539.6</c:v>
                </c:pt>
                <c:pt idx="153">
                  <c:v>2623.37</c:v>
                </c:pt>
                <c:pt idx="154">
                  <c:v>2741.81</c:v>
                </c:pt>
                <c:pt idx="155">
                  <c:v>2746.99</c:v>
                </c:pt>
                <c:pt idx="156">
                  <c:v>3128.16</c:v>
                </c:pt>
                <c:pt idx="157">
                  <c:v>3131.8</c:v>
                </c:pt>
                <c:pt idx="158">
                  <c:v>3135.22</c:v>
                </c:pt>
                <c:pt idx="159">
                  <c:v>3182.64</c:v>
                </c:pt>
                <c:pt idx="160">
                  <c:v>3315.91</c:v>
                </c:pt>
                <c:pt idx="161">
                  <c:v>3387.76</c:v>
                </c:pt>
                <c:pt idx="162">
                  <c:v>3639.92</c:v>
                </c:pt>
                <c:pt idx="163">
                  <c:v>3886.42</c:v>
                </c:pt>
                <c:pt idx="164">
                  <c:v>3954.19</c:v>
                </c:pt>
                <c:pt idx="165">
                  <c:v>4388.22</c:v>
                </c:pt>
                <c:pt idx="166">
                  <c:v>4859.16</c:v>
                </c:pt>
                <c:pt idx="167">
                  <c:v>5794.45</c:v>
                </c:pt>
                <c:pt idx="168">
                  <c:v>#N/A</c:v>
                </c:pt>
                <c:pt idx="169">
                  <c:v>#N/A</c:v>
                </c:pt>
                <c:pt idx="170">
                  <c:v>#N/A</c:v>
                </c:pt>
                <c:pt idx="171">
                  <c:v>#N/A</c:v>
                </c:pt>
              </c:numCache>
            </c:numRef>
          </c:xVal>
          <c:yVal>
            <c:numRef>
              <c:f>'GRXXX Frontera Eficiencia'!$D$3:$D$174</c:f>
              <c:numCache>
                <c:formatCode>_-* #.##0_-;\-* #.##0_-;_-* "-"??_-;_-@_-</c:formatCode>
                <c:ptCount val="172"/>
                <c:pt idx="0">
                  <c:v>48792.988280000012</c:v>
                </c:pt>
                <c:pt idx="1">
                  <c:v>68969.617190000004</c:v>
                </c:pt>
                <c:pt idx="2">
                  <c:v>57089.300780000012</c:v>
                </c:pt>
                <c:pt idx="3">
                  <c:v>92830.562499999985</c:v>
                </c:pt>
                <c:pt idx="4">
                  <c:v>97115.46875</c:v>
                </c:pt>
                <c:pt idx="5">
                  <c:v>80026.65625</c:v>
                </c:pt>
                <c:pt idx="6">
                  <c:v>94562.710939999961</c:v>
                </c:pt>
                <c:pt idx="7">
                  <c:v>72517.867190000004</c:v>
                </c:pt>
                <c:pt idx="8">
                  <c:v>50534.480470000002</c:v>
                </c:pt>
                <c:pt idx="9">
                  <c:v>83440.6875</c:v>
                </c:pt>
                <c:pt idx="10">
                  <c:v>70093.21875</c:v>
                </c:pt>
                <c:pt idx="11">
                  <c:v>38814.179689999997</c:v>
                </c:pt>
                <c:pt idx="12">
                  <c:v>54971.25</c:v>
                </c:pt>
                <c:pt idx="13">
                  <c:v>43324.191409999978</c:v>
                </c:pt>
                <c:pt idx="14">
                  <c:v>88491.132809999966</c:v>
                </c:pt>
                <c:pt idx="15">
                  <c:v>117683</c:v>
                </c:pt>
                <c:pt idx="16">
                  <c:v>54964.390630000002</c:v>
                </c:pt>
                <c:pt idx="17">
                  <c:v>40007.03125</c:v>
                </c:pt>
                <c:pt idx="18">
                  <c:v>62577.71875</c:v>
                </c:pt>
                <c:pt idx="19">
                  <c:v>55241.460939999997</c:v>
                </c:pt>
                <c:pt idx="20">
                  <c:v>88855.679690000004</c:v>
                </c:pt>
                <c:pt idx="21">
                  <c:v>75910.1875</c:v>
                </c:pt>
                <c:pt idx="22">
                  <c:v>74115.703129999994</c:v>
                </c:pt>
                <c:pt idx="23">
                  <c:v>59673.378909999999</c:v>
                </c:pt>
                <c:pt idx="24">
                  <c:v>62372.609380000002</c:v>
                </c:pt>
                <c:pt idx="25">
                  <c:v>49556.191409999978</c:v>
                </c:pt>
                <c:pt idx="26">
                  <c:v>65706.296879999922</c:v>
                </c:pt>
                <c:pt idx="27">
                  <c:v>77368.507809999966</c:v>
                </c:pt>
                <c:pt idx="28">
                  <c:v>42751.601560000003</c:v>
                </c:pt>
                <c:pt idx="29">
                  <c:v>70890.773440000004</c:v>
                </c:pt>
                <c:pt idx="30">
                  <c:v>61716.558590000001</c:v>
                </c:pt>
                <c:pt idx="31">
                  <c:v>71807.703129999994</c:v>
                </c:pt>
                <c:pt idx="32">
                  <c:v>63042.628909999999</c:v>
                </c:pt>
                <c:pt idx="33">
                  <c:v>36014.71875</c:v>
                </c:pt>
                <c:pt idx="34">
                  <c:v>47950.199220000002</c:v>
                </c:pt>
                <c:pt idx="35">
                  <c:v>58375.390630000002</c:v>
                </c:pt>
                <c:pt idx="36">
                  <c:v>62696.898439999997</c:v>
                </c:pt>
                <c:pt idx="37">
                  <c:v>59210.378909999999</c:v>
                </c:pt>
                <c:pt idx="38">
                  <c:v>84764.25</c:v>
                </c:pt>
                <c:pt idx="39">
                  <c:v>41445.648439999997</c:v>
                </c:pt>
                <c:pt idx="40">
                  <c:v>70677.898440000004</c:v>
                </c:pt>
                <c:pt idx="41">
                  <c:v>48767.589840000001</c:v>
                </c:pt>
                <c:pt idx="42">
                  <c:v>76189.03125</c:v>
                </c:pt>
                <c:pt idx="43">
                  <c:v>53969.890630000002</c:v>
                </c:pt>
                <c:pt idx="44">
                  <c:v>70611.132809999966</c:v>
                </c:pt>
                <c:pt idx="45">
                  <c:v>54159.851560000003</c:v>
                </c:pt>
                <c:pt idx="46">
                  <c:v>58284.558590000001</c:v>
                </c:pt>
                <c:pt idx="47">
                  <c:v>28526.519529999969</c:v>
                </c:pt>
                <c:pt idx="48">
                  <c:v>35083.03125</c:v>
                </c:pt>
                <c:pt idx="49">
                  <c:v>59321.609380000002</c:v>
                </c:pt>
                <c:pt idx="50">
                  <c:v>43178.371090000001</c:v>
                </c:pt>
                <c:pt idx="51">
                  <c:v>29225.609380000002</c:v>
                </c:pt>
                <c:pt idx="52">
                  <c:v>39968.5</c:v>
                </c:pt>
                <c:pt idx="53">
                  <c:v>40252.949220000002</c:v>
                </c:pt>
                <c:pt idx="54">
                  <c:v>38061.160159999999</c:v>
                </c:pt>
                <c:pt idx="55">
                  <c:v>33879.359380000002</c:v>
                </c:pt>
                <c:pt idx="56">
                  <c:v>37078.78125</c:v>
                </c:pt>
                <c:pt idx="57">
                  <c:v>39681.398439999997</c:v>
                </c:pt>
                <c:pt idx="58">
                  <c:v>29322.560549999991</c:v>
                </c:pt>
                <c:pt idx="59">
                  <c:v>35783.808590000001</c:v>
                </c:pt>
                <c:pt idx="60">
                  <c:v>31194.570309999999</c:v>
                </c:pt>
                <c:pt idx="61">
                  <c:v>64677.460939999997</c:v>
                </c:pt>
                <c:pt idx="62">
                  <c:v>93709.367190000004</c:v>
                </c:pt>
                <c:pt idx="63">
                  <c:v>42935.089840000001</c:v>
                </c:pt>
                <c:pt idx="64">
                  <c:v>53596.96875</c:v>
                </c:pt>
                <c:pt idx="65">
                  <c:v>33239.03125</c:v>
                </c:pt>
                <c:pt idx="66">
                  <c:v>99420.890629999994</c:v>
                </c:pt>
                <c:pt idx="67">
                  <c:v>33105.988280000012</c:v>
                </c:pt>
                <c:pt idx="68">
                  <c:v>35471.640630000002</c:v>
                </c:pt>
                <c:pt idx="69">
                  <c:v>44086.691409999978</c:v>
                </c:pt>
                <c:pt idx="70">
                  <c:v>55469.550780000012</c:v>
                </c:pt>
                <c:pt idx="71">
                  <c:v>44059.050780000012</c:v>
                </c:pt>
                <c:pt idx="72">
                  <c:v>30861.890630000002</c:v>
                </c:pt>
                <c:pt idx="73">
                  <c:v>48403.878909999999</c:v>
                </c:pt>
                <c:pt idx="74">
                  <c:v>32645.990229999999</c:v>
                </c:pt>
                <c:pt idx="75">
                  <c:v>28905.509770000001</c:v>
                </c:pt>
                <c:pt idx="76">
                  <c:v>20827.769530000001</c:v>
                </c:pt>
                <c:pt idx="77">
                  <c:v>24811</c:v>
                </c:pt>
                <c:pt idx="78">
                  <c:v>29409.740229999999</c:v>
                </c:pt>
                <c:pt idx="79">
                  <c:v>41888.429689999997</c:v>
                </c:pt>
                <c:pt idx="80">
                  <c:v>29357.41992</c:v>
                </c:pt>
                <c:pt idx="81">
                  <c:v>29902.869139999999</c:v>
                </c:pt>
                <c:pt idx="82">
                  <c:v>29597.349610000001</c:v>
                </c:pt>
                <c:pt idx="83">
                  <c:v>28992.789059999999</c:v>
                </c:pt>
                <c:pt idx="84">
                  <c:v>35120.621089999993</c:v>
                </c:pt>
                <c:pt idx="85">
                  <c:v>58498.058590000001</c:v>
                </c:pt>
                <c:pt idx="86">
                  <c:v>26910.519529999969</c:v>
                </c:pt>
                <c:pt idx="87">
                  <c:v>31419.880860000001</c:v>
                </c:pt>
                <c:pt idx="88">
                  <c:v>29900.560549999991</c:v>
                </c:pt>
                <c:pt idx="89">
                  <c:v>36007.210939999997</c:v>
                </c:pt>
                <c:pt idx="90">
                  <c:v>38797.890630000002</c:v>
                </c:pt>
                <c:pt idx="91">
                  <c:v>87161.101559999996</c:v>
                </c:pt>
                <c:pt idx="92">
                  <c:v>34789.910160000007</c:v>
                </c:pt>
                <c:pt idx="93">
                  <c:v>42083.878909999999</c:v>
                </c:pt>
                <c:pt idx="94">
                  <c:v>26813.730469999991</c:v>
                </c:pt>
                <c:pt idx="95">
                  <c:v>25036.349610000001</c:v>
                </c:pt>
                <c:pt idx="96">
                  <c:v>30076.269530000001</c:v>
                </c:pt>
                <c:pt idx="97">
                  <c:v>29764.960940000001</c:v>
                </c:pt>
                <c:pt idx="98">
                  <c:v>30625.990229999999</c:v>
                </c:pt>
                <c:pt idx="99">
                  <c:v>30911.060549999991</c:v>
                </c:pt>
                <c:pt idx="100">
                  <c:v>25179.66992</c:v>
                </c:pt>
                <c:pt idx="101">
                  <c:v>61512.769529999998</c:v>
                </c:pt>
                <c:pt idx="102">
                  <c:v>67513.820309999996</c:v>
                </c:pt>
                <c:pt idx="103">
                  <c:v>27187.560549999991</c:v>
                </c:pt>
                <c:pt idx="104">
                  <c:v>26763.060549999991</c:v>
                </c:pt>
                <c:pt idx="105">
                  <c:v>31631.720700000009</c:v>
                </c:pt>
                <c:pt idx="106">
                  <c:v>26391.509770000001</c:v>
                </c:pt>
                <c:pt idx="107">
                  <c:v>27260.109380000002</c:v>
                </c:pt>
                <c:pt idx="108">
                  <c:v>33782.859380000002</c:v>
                </c:pt>
                <c:pt idx="109">
                  <c:v>25532.730469999991</c:v>
                </c:pt>
                <c:pt idx="110">
                  <c:v>28770.61913999997</c:v>
                </c:pt>
                <c:pt idx="111">
                  <c:v>21332.61913999997</c:v>
                </c:pt>
                <c:pt idx="112">
                  <c:v>27174.369139999999</c:v>
                </c:pt>
                <c:pt idx="113">
                  <c:v>23999.949219999991</c:v>
                </c:pt>
                <c:pt idx="114">
                  <c:v>29932.390630000002</c:v>
                </c:pt>
                <c:pt idx="115">
                  <c:v>28496.050780000001</c:v>
                </c:pt>
                <c:pt idx="116">
                  <c:v>28150.769530000001</c:v>
                </c:pt>
                <c:pt idx="117">
                  <c:v>39906.179689999997</c:v>
                </c:pt>
                <c:pt idx="118">
                  <c:v>38359.699220000002</c:v>
                </c:pt>
                <c:pt idx="119">
                  <c:v>24819.679690000001</c:v>
                </c:pt>
                <c:pt idx="120">
                  <c:v>26701.53905999997</c:v>
                </c:pt>
                <c:pt idx="121">
                  <c:v>14354.410159999999</c:v>
                </c:pt>
                <c:pt idx="122">
                  <c:v>27475.679690000001</c:v>
                </c:pt>
                <c:pt idx="123">
                  <c:v>26808.179690000001</c:v>
                </c:pt>
                <c:pt idx="124">
                  <c:v>29027.470700000009</c:v>
                </c:pt>
                <c:pt idx="125">
                  <c:v>23016.53905999997</c:v>
                </c:pt>
                <c:pt idx="126">
                  <c:v>30214.689450000002</c:v>
                </c:pt>
                <c:pt idx="127">
                  <c:v>15789.410159999999</c:v>
                </c:pt>
                <c:pt idx="128">
                  <c:v>25414.869139999999</c:v>
                </c:pt>
                <c:pt idx="129">
                  <c:v>26767.900389999999</c:v>
                </c:pt>
                <c:pt idx="130">
                  <c:v>26241.599610000001</c:v>
                </c:pt>
                <c:pt idx="131">
                  <c:v>22687.289059999999</c:v>
                </c:pt>
                <c:pt idx="132">
                  <c:v>28706.58008</c:v>
                </c:pt>
                <c:pt idx="133">
                  <c:v>82201.476559999966</c:v>
                </c:pt>
                <c:pt idx="134">
                  <c:v>22940.58008</c:v>
                </c:pt>
                <c:pt idx="135">
                  <c:v>30459.25</c:v>
                </c:pt>
                <c:pt idx="136">
                  <c:v>17921.050780000001</c:v>
                </c:pt>
                <c:pt idx="137">
                  <c:v>25546.009770000001</c:v>
                </c:pt>
                <c:pt idx="138">
                  <c:v>25990.970700000009</c:v>
                </c:pt>
                <c:pt idx="139">
                  <c:v>24062.570309999999</c:v>
                </c:pt>
                <c:pt idx="140">
                  <c:v>17719.11913999997</c:v>
                </c:pt>
                <c:pt idx="141">
                  <c:v>22923.16992</c:v>
                </c:pt>
                <c:pt idx="142">
                  <c:v>19507.19921999997</c:v>
                </c:pt>
                <c:pt idx="143">
                  <c:v>22380.11913999997</c:v>
                </c:pt>
                <c:pt idx="144">
                  <c:v>19814.560549999991</c:v>
                </c:pt>
                <c:pt idx="145">
                  <c:v>19627.439450000002</c:v>
                </c:pt>
                <c:pt idx="146">
                  <c:v>21200.480469999999</c:v>
                </c:pt>
                <c:pt idx="147">
                  <c:v>16983.730469999991</c:v>
                </c:pt>
                <c:pt idx="148">
                  <c:v>16957.400389999999</c:v>
                </c:pt>
                <c:pt idx="149">
                  <c:v>19843.470700000009</c:v>
                </c:pt>
                <c:pt idx="150">
                  <c:v>18741.839840000001</c:v>
                </c:pt>
                <c:pt idx="151">
                  <c:v>17695.91992</c:v>
                </c:pt>
                <c:pt idx="152">
                  <c:v>15699.599609999999</c:v>
                </c:pt>
                <c:pt idx="153">
                  <c:v>17257.300780000001</c:v>
                </c:pt>
                <c:pt idx="154">
                  <c:v>19319.300780000001</c:v>
                </c:pt>
                <c:pt idx="155">
                  <c:v>20375.939450000002</c:v>
                </c:pt>
                <c:pt idx="156">
                  <c:v>19877.609380000002</c:v>
                </c:pt>
                <c:pt idx="157">
                  <c:v>18307.570309999999</c:v>
                </c:pt>
                <c:pt idx="158">
                  <c:v>19103.869139999999</c:v>
                </c:pt>
                <c:pt idx="159">
                  <c:v>18837.560549999991</c:v>
                </c:pt>
                <c:pt idx="160">
                  <c:v>19223.689450000002</c:v>
                </c:pt>
                <c:pt idx="161">
                  <c:v>19763.449219999991</c:v>
                </c:pt>
                <c:pt idx="162">
                  <c:v>17678.61913999997</c:v>
                </c:pt>
                <c:pt idx="163">
                  <c:v>20450.91992</c:v>
                </c:pt>
                <c:pt idx="164">
                  <c:v>22775.19921999997</c:v>
                </c:pt>
                <c:pt idx="165">
                  <c:v>18770.300780000001</c:v>
                </c:pt>
                <c:pt idx="166">
                  <c:v>19614.58008</c:v>
                </c:pt>
                <c:pt idx="167">
                  <c:v>18647.529299999991</c:v>
                </c:pt>
                <c:pt idx="168">
                  <c:v>36755.550780000012</c:v>
                </c:pt>
                <c:pt idx="169">
                  <c:v>72783.898440000004</c:v>
                </c:pt>
                <c:pt idx="170">
                  <c:v>80318.59375</c:v>
                </c:pt>
                <c:pt idx="171">
                  <c:v>89247.023440000004</c:v>
                </c:pt>
              </c:numCache>
            </c:numRef>
          </c:yVal>
          <c:smooth val="0"/>
        </c:ser>
        <c:ser>
          <c:idx val="1"/>
          <c:order val="1"/>
          <c:tx>
            <c:strRef>
              <c:f>'GRXXX Frontera Eficiencia'!$B$85</c:f>
              <c:strCache>
                <c:ptCount val="1"/>
                <c:pt idx="0">
                  <c:v>Dominican Republic</c:v>
                </c:pt>
              </c:strCache>
            </c:strRef>
          </c:tx>
          <c:spPr>
            <a:ln w="25400" cap="rnd">
              <a:noFill/>
              <a:round/>
            </a:ln>
            <a:effectLst/>
          </c:spPr>
          <c:marker>
            <c:symbol val="circle"/>
            <c:size val="5"/>
            <c:spPr>
              <a:solidFill>
                <a:srgbClr val="FF0000"/>
              </a:solidFill>
              <a:ln w="9525">
                <a:solidFill>
                  <a:schemeClr val="accent2"/>
                </a:solidFill>
              </a:ln>
              <a:effectLst/>
            </c:spPr>
          </c:marker>
          <c:dLbls>
            <c:dLbl>
              <c:idx val="0"/>
              <c:layout>
                <c:manualLayout>
                  <c:x val="-7.3055716414674371E-2"/>
                  <c:y val="6.8128709248949745E-2"/>
                </c:manualLayout>
              </c:layout>
              <c:spPr>
                <a:solidFill>
                  <a:sysClr val="window" lastClr="FFFFFF"/>
                </a:solidFill>
                <a:ln>
                  <a:solidFill>
                    <a:srgbClr val="E7E6E6"/>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1"/>
              <c:showPercent val="0"/>
              <c:showBubbleSize val="0"/>
              <c:extLst>
                <c:ext xmlns:c15="http://schemas.microsoft.com/office/drawing/2012/chart" uri="{CE6537A1-D6FC-4f65-9D91-7224C49458BB}"/>
              </c:extLst>
            </c:dLbl>
            <c:spPr>
              <a:noFill/>
              <a:ln>
                <a:solidFill>
                  <a:srgbClr val="E7E6E6"/>
                </a:solid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1"/>
              </c:ext>
            </c:extLst>
          </c:dLbls>
          <c:xVal>
            <c:numRef>
              <c:f>'GRXXX Frontera Eficiencia'!$C$85</c:f>
              <c:numCache>
                <c:formatCode>_-"$"* #.##0_-;\-"$"* #.##0_-;_-"$"* "-"??_-;_-@_-</c:formatCode>
                <c:ptCount val="1"/>
                <c:pt idx="0">
                  <c:v>260.99</c:v>
                </c:pt>
              </c:numCache>
            </c:numRef>
          </c:xVal>
          <c:yVal>
            <c:numRef>
              <c:f>'GRXXX Frontera Eficiencia'!$D$85</c:f>
              <c:numCache>
                <c:formatCode>_-* #.##0_-;\-* #.##0_-;_-* "-"??_-;_-@_-</c:formatCode>
                <c:ptCount val="1"/>
                <c:pt idx="0">
                  <c:v>29597.349610000001</c:v>
                </c:pt>
              </c:numCache>
            </c:numRef>
          </c:yVal>
          <c:smooth val="0"/>
        </c:ser>
        <c:dLbls>
          <c:showLegendKey val="0"/>
          <c:showVal val="0"/>
          <c:showCatName val="0"/>
          <c:showSerName val="0"/>
          <c:showPercent val="0"/>
          <c:showBubbleSize val="0"/>
        </c:dLbls>
        <c:axId val="202131328"/>
        <c:axId val="202162176"/>
      </c:scatterChart>
      <c:valAx>
        <c:axId val="202131328"/>
        <c:scaling>
          <c:logBase val="10"/>
          <c:orientation val="minMax"/>
          <c:max val="5800"/>
          <c:min val="3.5"/>
        </c:scaling>
        <c:delete val="0"/>
        <c:axPos val="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s-CO" sz="1200">
                    <a:effectLst/>
                  </a:rPr>
                  <a:t>Gasto gubernamental per cápita en salud 2011 ($USD PPP ) </a:t>
                </a:r>
              </a:p>
            </c:rich>
          </c:tx>
          <c:layout>
            <c:manualLayout>
              <c:xMode val="edge"/>
              <c:yMode val="edge"/>
              <c:x val="0.223468289738077"/>
              <c:y val="0"/>
            </c:manualLayout>
          </c:layout>
          <c:overlay val="0"/>
          <c:spPr>
            <a:noFill/>
            <a:ln>
              <a:noFill/>
            </a:ln>
            <a:effectLst/>
          </c:spPr>
        </c:title>
        <c:numFmt formatCode="&quot;$&quot;#,##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02162176"/>
        <c:crosses val="autoZero"/>
        <c:crossBetween val="midCat"/>
      </c:valAx>
      <c:valAx>
        <c:axId val="202162176"/>
        <c:scaling>
          <c:logBase val="10"/>
          <c:orientation val="maxMin"/>
          <c:max val="15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s-CO" sz="1100">
                    <a:effectLst/>
                  </a:rPr>
                  <a:t>AVAD</a:t>
                </a:r>
                <a:r>
                  <a:rPr lang="es-CO" sz="1100" baseline="0">
                    <a:effectLst/>
                  </a:rPr>
                  <a:t> </a:t>
                </a:r>
                <a:r>
                  <a:rPr lang="es-CO" sz="1100">
                    <a:effectLst/>
                  </a:rPr>
                  <a:t>Estandarizados por edad 2012 (por 100,000) </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021313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2.5969900366436101E-2"/>
                  <c:y val="-6.986111111111109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Simulacion!$L$60:$R$60</c:f>
              <c:numCache>
                <c:formatCode>0%</c:formatCode>
                <c:ptCount val="7"/>
                <c:pt idx="0">
                  <c:v>1.146586082943724</c:v>
                </c:pt>
                <c:pt idx="1">
                  <c:v>1.155366441669587</c:v>
                </c:pt>
                <c:pt idx="2">
                  <c:v>1.065094671692544</c:v>
                </c:pt>
                <c:pt idx="3">
                  <c:v>1.132915815494103</c:v>
                </c:pt>
                <c:pt idx="4">
                  <c:v>1.1143096257541221</c:v>
                </c:pt>
                <c:pt idx="5">
                  <c:v>1.0931825283213561</c:v>
                </c:pt>
                <c:pt idx="6" formatCode="0.00%">
                  <c:v>1.0937869599134351</c:v>
                </c:pt>
              </c:numCache>
            </c:numRef>
          </c:xVal>
          <c:yVal>
            <c:numRef>
              <c:f>Simulacion!$L$59:$R$59</c:f>
              <c:numCache>
                <c:formatCode>_-* #.##0_-;\-* #.##0_-;_-* "-"??_-;_-@_-</c:formatCode>
                <c:ptCount val="7"/>
                <c:pt idx="0">
                  <c:v>366036.16666666663</c:v>
                </c:pt>
                <c:pt idx="1">
                  <c:v>413908.16666666692</c:v>
                </c:pt>
                <c:pt idx="2">
                  <c:v>79617.666666666511</c:v>
                </c:pt>
                <c:pt idx="3">
                  <c:v>367181</c:v>
                </c:pt>
                <c:pt idx="4">
                  <c:v>370884.9166666668</c:v>
                </c:pt>
                <c:pt idx="5">
                  <c:v>215835.99999999971</c:v>
                </c:pt>
                <c:pt idx="6">
                  <c:v>216839</c:v>
                </c:pt>
              </c:numCache>
            </c:numRef>
          </c:yVal>
          <c:smooth val="0"/>
        </c:ser>
        <c:dLbls>
          <c:showLegendKey val="0"/>
          <c:showVal val="0"/>
          <c:showCatName val="0"/>
          <c:showSerName val="0"/>
          <c:showPercent val="0"/>
          <c:showBubbleSize val="0"/>
        </c:dLbls>
        <c:axId val="204394880"/>
        <c:axId val="204396416"/>
      </c:scatterChart>
      <c:valAx>
        <c:axId val="2043948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396416"/>
        <c:crosses val="autoZero"/>
        <c:crossBetween val="midCat"/>
      </c:valAx>
      <c:valAx>
        <c:axId val="204396416"/>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3948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121282150084595E-2"/>
          <c:y val="0.15567594654599901"/>
          <c:w val="0.84452474887931595"/>
          <c:h val="0.63229362616645202"/>
        </c:manualLayout>
      </c:layout>
      <c:scatterChart>
        <c:scatterStyle val="lineMarker"/>
        <c:varyColors val="0"/>
        <c:ser>
          <c:idx val="3"/>
          <c:order val="0"/>
          <c:tx>
            <c:v>Pronóstico</c:v>
          </c:tx>
          <c:spPr>
            <a:ln w="25400" cap="rnd">
              <a:noFill/>
              <a:round/>
            </a:ln>
            <a:effectLst/>
          </c:spPr>
          <c:marker>
            <c:symbol val="circle"/>
            <c:size val="5"/>
            <c:spPr>
              <a:solidFill>
                <a:schemeClr val="accent4"/>
              </a:solidFill>
              <a:ln w="9525">
                <a:solidFill>
                  <a:schemeClr val="accent4"/>
                </a:solidFill>
              </a:ln>
              <a:effectLst/>
            </c:spPr>
          </c:marker>
          <c:xVal>
            <c:numRef>
              <c:f>Simulacion!$T$2:$AN$2</c:f>
              <c:numCache>
                <c:formatCode>General</c:formatCode>
                <c:ptCount val="21"/>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numCache>
            </c:numRef>
          </c:xVal>
          <c:yVal>
            <c:numRef>
              <c:f>Simulacion!$T$57:$AN$57</c:f>
              <c:numCache>
                <c:formatCode>_(* #.##0_);_(* \(#.##0\);_(* "-"??_);_(@_)</c:formatCode>
                <c:ptCount val="21"/>
                <c:pt idx="0">
                  <c:v>2913609.6171393399</c:v>
                </c:pt>
                <c:pt idx="1">
                  <c:v>3062426.0401284001</c:v>
                </c:pt>
                <c:pt idx="2">
                  <c:v>3206612.9509907798</c:v>
                </c:pt>
                <c:pt idx="3">
                  <c:v>3346691.85322303</c:v>
                </c:pt>
                <c:pt idx="4">
                  <c:v>3475593.4348723502</c:v>
                </c:pt>
                <c:pt idx="5">
                  <c:v>3594149.2622214002</c:v>
                </c:pt>
                <c:pt idx="6">
                  <c:v>3705133.88591285</c:v>
                </c:pt>
                <c:pt idx="7">
                  <c:v>3809110.9967660001</c:v>
                </c:pt>
                <c:pt idx="8">
                  <c:v>3906579.0271526398</c:v>
                </c:pt>
                <c:pt idx="9">
                  <c:v>3997981.4325350202</c:v>
                </c:pt>
                <c:pt idx="10">
                  <c:v>4083714.9334708098</c:v>
                </c:pt>
                <c:pt idx="11">
                  <c:v>4164136.2017608401</c:v>
                </c:pt>
                <c:pt idx="12">
                  <c:v>4239567.34227983</c:v>
                </c:pt>
                <c:pt idx="13">
                  <c:v>4310300.4303512098</c:v>
                </c:pt>
                <c:pt idx="14">
                  <c:v>4376601.2997110197</c:v>
                </c:pt>
                <c:pt idx="15">
                  <c:v>4438712.7294861302</c:v>
                </c:pt>
                <c:pt idx="16">
                  <c:v>4496857.1445521396</c:v>
                </c:pt>
                <c:pt idx="17">
                  <c:v>4551238.9184039198</c:v>
                </c:pt>
                <c:pt idx="18">
                  <c:v>4602046.34872864</c:v>
                </c:pt>
                <c:pt idx="19">
                  <c:v>4649453.3614848498</c:v>
                </c:pt>
                <c:pt idx="20">
                  <c:v>4693620.9882429903</c:v>
                </c:pt>
              </c:numCache>
            </c:numRef>
          </c:yVal>
          <c:smooth val="0"/>
        </c:ser>
        <c:ser>
          <c:idx val="0"/>
          <c:order val="1"/>
          <c:tx>
            <c:strRef>
              <c:f>Simulacion!$C$57</c:f>
              <c:strCache>
                <c:ptCount val="1"/>
                <c:pt idx="0">
                  <c:v>Total afiliados RS</c:v>
                </c:pt>
              </c:strCache>
            </c:strRef>
          </c:tx>
          <c:spPr>
            <a:ln w="25400" cap="rnd">
              <a:noFill/>
              <a:round/>
            </a:ln>
            <a:effectLst/>
          </c:spPr>
          <c:marker>
            <c:symbol val="circle"/>
            <c:size val="5"/>
            <c:spPr>
              <a:solidFill>
                <a:schemeClr val="accent1"/>
              </a:solidFill>
              <a:ln w="9525">
                <a:solidFill>
                  <a:schemeClr val="accent1"/>
                </a:solidFill>
              </a:ln>
              <a:effectLst/>
            </c:spPr>
          </c:marker>
          <c:xVal>
            <c:numRef>
              <c:f>Simulacion!$L$2:$S$2</c:f>
              <c:numCache>
                <c:formatCode>General</c:formatCode>
                <c:ptCount val="8"/>
                <c:pt idx="0">
                  <c:v>2007</c:v>
                </c:pt>
                <c:pt idx="1">
                  <c:v>2008</c:v>
                </c:pt>
                <c:pt idx="2">
                  <c:v>2009</c:v>
                </c:pt>
                <c:pt idx="3">
                  <c:v>2010</c:v>
                </c:pt>
                <c:pt idx="4">
                  <c:v>2011</c:v>
                </c:pt>
                <c:pt idx="5">
                  <c:v>2012</c:v>
                </c:pt>
                <c:pt idx="6">
                  <c:v>2013</c:v>
                </c:pt>
                <c:pt idx="7">
                  <c:v>2014</c:v>
                </c:pt>
              </c:numCache>
            </c:numRef>
          </c:xVal>
          <c:yVal>
            <c:numRef>
              <c:f>Simulacion!$I$57:$S$57</c:f>
              <c:numCache>
                <c:formatCode>_(* #.##0_);_(* \(#.##0\);_(* "-"??_);_(@_)</c:formatCode>
                <c:ptCount val="11"/>
                <c:pt idx="0">
                  <c:v>45607</c:v>
                </c:pt>
                <c:pt idx="1">
                  <c:v>90626</c:v>
                </c:pt>
                <c:pt idx="2">
                  <c:v>406891</c:v>
                </c:pt>
                <c:pt idx="3">
                  <c:v>772927.16666666698</c:v>
                </c:pt>
                <c:pt idx="4">
                  <c:v>1186835.33333333</c:v>
                </c:pt>
                <c:pt idx="5">
                  <c:v>1266453</c:v>
                </c:pt>
                <c:pt idx="6">
                  <c:v>1633634</c:v>
                </c:pt>
                <c:pt idx="7">
                  <c:v>2004518.91666667</c:v>
                </c:pt>
                <c:pt idx="8">
                  <c:v>2220354.9166666698</c:v>
                </c:pt>
                <c:pt idx="9">
                  <c:v>2437193.9166666698</c:v>
                </c:pt>
                <c:pt idx="10">
                  <c:v>2750432.3333333302</c:v>
                </c:pt>
              </c:numCache>
            </c:numRef>
          </c:yVal>
          <c:smooth val="0"/>
        </c:ser>
        <c:dLbls>
          <c:showLegendKey val="0"/>
          <c:showVal val="0"/>
          <c:showCatName val="0"/>
          <c:showSerName val="0"/>
          <c:showPercent val="0"/>
          <c:showBubbleSize val="0"/>
        </c:dLbls>
        <c:axId val="204486912"/>
        <c:axId val="204497280"/>
      </c:scatterChart>
      <c:valAx>
        <c:axId val="204486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497280"/>
        <c:crosses val="autoZero"/>
        <c:crossBetween val="midCat"/>
      </c:valAx>
      <c:valAx>
        <c:axId val="20449728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486912"/>
        <c:crosses val="autoZero"/>
        <c:crossBetween val="midCat"/>
      </c:valAx>
      <c:spPr>
        <a:noFill/>
        <a:ln>
          <a:noFill/>
        </a:ln>
        <a:effectLst/>
      </c:spPr>
    </c:plotArea>
    <c:legend>
      <c:legendPos val="b"/>
      <c:layout>
        <c:manualLayout>
          <c:xMode val="edge"/>
          <c:yMode val="edge"/>
          <c:x val="2.4127819582466601E-2"/>
          <c:y val="0.86651765996438701"/>
          <c:w val="0.94955830988147505"/>
          <c:h val="8.80179846712866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4"/>
          <c:order val="0"/>
          <c:tx>
            <c:strRef>
              <c:f>Simulacion!$C$51</c:f>
              <c:strCache>
                <c:ptCount val="1"/>
                <c:pt idx="0">
                  <c:v>Total afiliados RC</c:v>
                </c:pt>
              </c:strCache>
            </c:strRef>
          </c:tx>
          <c:spPr>
            <a:solidFill>
              <a:schemeClr val="accent5"/>
            </a:solidFill>
            <a:ln>
              <a:noFill/>
            </a:ln>
            <a:effectLst/>
          </c:spPr>
          <c:invertIfNegative val="0"/>
          <c:cat>
            <c:numRef>
              <c:f>Simulacion!$L$2:$AN$2</c:f>
              <c:numCache>
                <c:formatCode>General</c:formatCode>
                <c:ptCount val="29"/>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pt idx="18">
                  <c:v>2025</c:v>
                </c:pt>
                <c:pt idx="19">
                  <c:v>2026</c:v>
                </c:pt>
                <c:pt idx="20">
                  <c:v>2027</c:v>
                </c:pt>
                <c:pt idx="21">
                  <c:v>2028</c:v>
                </c:pt>
                <c:pt idx="22">
                  <c:v>2029</c:v>
                </c:pt>
                <c:pt idx="23">
                  <c:v>2030</c:v>
                </c:pt>
                <c:pt idx="24">
                  <c:v>2031</c:v>
                </c:pt>
                <c:pt idx="25">
                  <c:v>2032</c:v>
                </c:pt>
                <c:pt idx="26">
                  <c:v>2033</c:v>
                </c:pt>
                <c:pt idx="27">
                  <c:v>2034</c:v>
                </c:pt>
                <c:pt idx="28">
                  <c:v>2035</c:v>
                </c:pt>
              </c:numCache>
            </c:numRef>
          </c:cat>
          <c:val>
            <c:numRef>
              <c:f>Simulacion!$L$51:$AN$51</c:f>
              <c:numCache>
                <c:formatCode>_(* #.##0_);_(* \(#.##0\);_(* "-"??_);_(@_)</c:formatCode>
                <c:ptCount val="29"/>
                <c:pt idx="0">
                  <c:v>1373002</c:v>
                </c:pt>
                <c:pt idx="1">
                  <c:v>1610678.66666667</c:v>
                </c:pt>
                <c:pt idx="2">
                  <c:v>1903003.5</c:v>
                </c:pt>
                <c:pt idx="3">
                  <c:v>2241716.8333333302</c:v>
                </c:pt>
                <c:pt idx="4">
                  <c:v>2456573.5833333302</c:v>
                </c:pt>
                <c:pt idx="5">
                  <c:v>2609159.0833333302</c:v>
                </c:pt>
                <c:pt idx="6">
                  <c:v>2801247.1666666698</c:v>
                </c:pt>
                <c:pt idx="7">
                  <c:v>2958349</c:v>
                </c:pt>
                <c:pt idx="8">
                  <c:v>3058265.4528645002</c:v>
                </c:pt>
                <c:pt idx="9">
                  <c:v>3168435.5586037198</c:v>
                </c:pt>
                <c:pt idx="10">
                  <c:v>3291683.4047356802</c:v>
                </c:pt>
                <c:pt idx="11">
                  <c:v>3409291.2856049002</c:v>
                </c:pt>
                <c:pt idx="12">
                  <c:v>3521963.3046958498</c:v>
                </c:pt>
                <c:pt idx="13">
                  <c:v>3630244.2101466302</c:v>
                </c:pt>
                <c:pt idx="14">
                  <c:v>3734562.9976294199</c:v>
                </c:pt>
                <c:pt idx="15">
                  <c:v>3835262.6361601599</c:v>
                </c:pt>
                <c:pt idx="16">
                  <c:v>3932620.8950857399</c:v>
                </c:pt>
                <c:pt idx="17">
                  <c:v>4026865.2840319802</c:v>
                </c:pt>
                <c:pt idx="18">
                  <c:v>4118183.99193057</c:v>
                </c:pt>
                <c:pt idx="19">
                  <c:v>4206734.0422029896</c:v>
                </c:pt>
                <c:pt idx="20">
                  <c:v>4292647.4703385802</c:v>
                </c:pt>
                <c:pt idx="21">
                  <c:v>4376036.0704969</c:v>
                </c:pt>
                <c:pt idx="22">
                  <c:v>4456995.0894543603</c:v>
                </c:pt>
                <c:pt idx="23">
                  <c:v>4535606.13464671</c:v>
                </c:pt>
                <c:pt idx="24">
                  <c:v>4611939.4875341803</c:v>
                </c:pt>
                <c:pt idx="25">
                  <c:v>4686055.96147535</c:v>
                </c:pt>
                <c:pt idx="26">
                  <c:v>4758008.4068202004</c:v>
                </c:pt>
                <c:pt idx="27">
                  <c:v>4827842.9399681203</c:v>
                </c:pt>
                <c:pt idx="28">
                  <c:v>4895599.95441336</c:v>
                </c:pt>
              </c:numCache>
            </c:numRef>
          </c:val>
        </c:ser>
        <c:ser>
          <c:idx val="0"/>
          <c:order val="1"/>
          <c:tx>
            <c:strRef>
              <c:f>Simulacion!$C$57</c:f>
              <c:strCache>
                <c:ptCount val="1"/>
                <c:pt idx="0">
                  <c:v>Total afiliados RS</c:v>
                </c:pt>
              </c:strCache>
            </c:strRef>
          </c:tx>
          <c:spPr>
            <a:solidFill>
              <a:schemeClr val="accent1"/>
            </a:solidFill>
            <a:ln>
              <a:noFill/>
            </a:ln>
            <a:effectLst/>
          </c:spPr>
          <c:invertIfNegative val="0"/>
          <c:val>
            <c:numRef>
              <c:f>Simulacion!$L$57:$AN$57</c:f>
              <c:numCache>
                <c:formatCode>_(* #.##0_);_(* \(#.##0\);_(* "-"??_);_(@_)</c:formatCode>
                <c:ptCount val="29"/>
                <c:pt idx="0">
                  <c:v>772927.16666666698</c:v>
                </c:pt>
                <c:pt idx="1">
                  <c:v>1186835.33333333</c:v>
                </c:pt>
                <c:pt idx="2">
                  <c:v>1266453</c:v>
                </c:pt>
                <c:pt idx="3">
                  <c:v>1633634</c:v>
                </c:pt>
                <c:pt idx="4">
                  <c:v>2004518.91666667</c:v>
                </c:pt>
                <c:pt idx="5">
                  <c:v>2220354.9166666698</c:v>
                </c:pt>
                <c:pt idx="6">
                  <c:v>2437193.9166666698</c:v>
                </c:pt>
                <c:pt idx="7">
                  <c:v>2750432.3333333302</c:v>
                </c:pt>
                <c:pt idx="8">
                  <c:v>2913609.6171393399</c:v>
                </c:pt>
                <c:pt idx="9">
                  <c:v>3062426.0401284001</c:v>
                </c:pt>
                <c:pt idx="10">
                  <c:v>3206612.9509907798</c:v>
                </c:pt>
                <c:pt idx="11">
                  <c:v>3346691.85322303</c:v>
                </c:pt>
                <c:pt idx="12">
                  <c:v>3475593.4348723502</c:v>
                </c:pt>
                <c:pt idx="13">
                  <c:v>3594149.2622214002</c:v>
                </c:pt>
                <c:pt idx="14">
                  <c:v>3705133.88591285</c:v>
                </c:pt>
                <c:pt idx="15">
                  <c:v>3809110.9967660001</c:v>
                </c:pt>
                <c:pt idx="16">
                  <c:v>3906579.0271526398</c:v>
                </c:pt>
                <c:pt idx="17">
                  <c:v>3997981.4325350202</c:v>
                </c:pt>
                <c:pt idx="18">
                  <c:v>4083714.9334708098</c:v>
                </c:pt>
                <c:pt idx="19">
                  <c:v>4164136.2017608401</c:v>
                </c:pt>
                <c:pt idx="20">
                  <c:v>4239567.34227983</c:v>
                </c:pt>
                <c:pt idx="21">
                  <c:v>4310300.4303512098</c:v>
                </c:pt>
                <c:pt idx="22">
                  <c:v>4376601.2997110197</c:v>
                </c:pt>
                <c:pt idx="23">
                  <c:v>4438712.7294861302</c:v>
                </c:pt>
                <c:pt idx="24">
                  <c:v>4496857.1445521396</c:v>
                </c:pt>
                <c:pt idx="25">
                  <c:v>4551238.9184039198</c:v>
                </c:pt>
                <c:pt idx="26">
                  <c:v>4602046.34872864</c:v>
                </c:pt>
                <c:pt idx="27">
                  <c:v>4649453.3614848498</c:v>
                </c:pt>
                <c:pt idx="28">
                  <c:v>4693620.9882429903</c:v>
                </c:pt>
              </c:numCache>
            </c:numRef>
          </c:val>
        </c:ser>
        <c:ser>
          <c:idx val="5"/>
          <c:order val="2"/>
          <c:tx>
            <c:strRef>
              <c:f>Simulacion!$C$58</c:f>
              <c:strCache>
                <c:ptCount val="1"/>
                <c:pt idx="0">
                  <c:v>No afiliados RS ni RC</c:v>
                </c:pt>
              </c:strCache>
            </c:strRef>
          </c:tx>
          <c:spPr>
            <a:solidFill>
              <a:schemeClr val="accent6"/>
            </a:solidFill>
            <a:ln>
              <a:noFill/>
            </a:ln>
            <a:effectLst/>
          </c:spPr>
          <c:invertIfNegative val="0"/>
          <c:val>
            <c:numRef>
              <c:f>Simulacion!$L$58:$AN$58</c:f>
              <c:numCache>
                <c:formatCode>_(* #.##0_);_(* \(#.##0\);_(* "-"??_);_(@_)</c:formatCode>
                <c:ptCount val="29"/>
                <c:pt idx="0">
                  <c:v>7773690.2351442203</c:v>
                </c:pt>
                <c:pt idx="1">
                  <c:v>7340011.5927766096</c:v>
                </c:pt>
                <c:pt idx="2">
                  <c:v>7207752.6337989904</c:v>
                </c:pt>
                <c:pt idx="3">
                  <c:v>6766154.19154636</c:v>
                </c:pt>
                <c:pt idx="4">
                  <c:v>6380207.0160177499</c:v>
                </c:pt>
                <c:pt idx="5">
                  <c:v>6183067.6905469904</c:v>
                </c:pt>
                <c:pt idx="6">
                  <c:v>5964575.8818004904</c:v>
                </c:pt>
                <c:pt idx="7">
                  <c:v>5668198.08977779</c:v>
                </c:pt>
                <c:pt idx="8">
                  <c:v>5530428.27930992</c:v>
                </c:pt>
                <c:pt idx="9">
                  <c:v>5398287.3642891897</c:v>
                </c:pt>
                <c:pt idx="10">
                  <c:v>5267965.85097392</c:v>
                </c:pt>
                <c:pt idx="11">
                  <c:v>5141968.5377700003</c:v>
                </c:pt>
                <c:pt idx="12">
                  <c:v>5027085.5170730697</c:v>
                </c:pt>
                <c:pt idx="13">
                  <c:v>4922274.7201083004</c:v>
                </c:pt>
                <c:pt idx="14">
                  <c:v>4824600.87788771</c:v>
                </c:pt>
                <c:pt idx="15">
                  <c:v>4733376.5007839696</c:v>
                </c:pt>
                <c:pt idx="16">
                  <c:v>4648007.2916196603</c:v>
                </c:pt>
                <c:pt idx="17">
                  <c:v>4567975.4370748103</c:v>
                </c:pt>
                <c:pt idx="18">
                  <c:v>4492826.67242222</c:v>
                </c:pt>
                <c:pt idx="19">
                  <c:v>4422160.1051490204</c:v>
                </c:pt>
                <c:pt idx="20">
                  <c:v>4355620.0952844601</c:v>
                </c:pt>
                <c:pt idx="21">
                  <c:v>4292889.6953934701</c:v>
                </c:pt>
                <c:pt idx="22">
                  <c:v>4233685.2914563296</c:v>
                </c:pt>
                <c:pt idx="23">
                  <c:v>4177752.1810295498</c:v>
                </c:pt>
                <c:pt idx="24">
                  <c:v>4124860.8919313801</c:v>
                </c:pt>
                <c:pt idx="25">
                  <c:v>4074804.0924912002</c:v>
                </c:pt>
                <c:pt idx="26">
                  <c:v>4027393.97911199</c:v>
                </c:pt>
                <c:pt idx="27">
                  <c:v>3982460.05248213</c:v>
                </c:pt>
                <c:pt idx="28">
                  <c:v>3939847.2129033902</c:v>
                </c:pt>
              </c:numCache>
            </c:numRef>
          </c:val>
        </c:ser>
        <c:dLbls>
          <c:showLegendKey val="0"/>
          <c:showVal val="0"/>
          <c:showCatName val="0"/>
          <c:showSerName val="0"/>
          <c:showPercent val="0"/>
          <c:showBubbleSize val="0"/>
        </c:dLbls>
        <c:gapWidth val="150"/>
        <c:overlap val="100"/>
        <c:axId val="204530048"/>
        <c:axId val="204531584"/>
      </c:barChart>
      <c:catAx>
        <c:axId val="20453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531584"/>
        <c:crosses val="autoZero"/>
        <c:auto val="1"/>
        <c:lblAlgn val="ctr"/>
        <c:lblOffset val="100"/>
        <c:noMultiLvlLbl val="0"/>
      </c:catAx>
      <c:valAx>
        <c:axId val="20453158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53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0"/>
          <c:tx>
            <c:strRef>
              <c:f>Simulacion!$C$34</c:f>
              <c:strCache>
                <c:ptCount val="1"/>
                <c:pt idx="0">
                  <c:v> PIB DOP constantes de 2014 Millones </c:v>
                </c:pt>
              </c:strCache>
            </c:strRef>
          </c:tx>
          <c:spPr>
            <a:solidFill>
              <a:schemeClr val="accent4"/>
            </a:solidFill>
            <a:ln>
              <a:noFill/>
            </a:ln>
            <a:effectLst/>
          </c:spPr>
          <c:invertIfNegative val="0"/>
          <c:cat>
            <c:numRef>
              <c:f>Simulacion!$H$2:$AN$2</c:f>
              <c:numCache>
                <c:formatCode>General</c:formatCode>
                <c:ptCount val="33"/>
                <c:pt idx="0">
                  <c:v>2003</c:v>
                </c:pt>
                <c:pt idx="1">
                  <c:v>2004</c:v>
                </c:pt>
                <c:pt idx="2">
                  <c:v>2005</c:v>
                </c:pt>
                <c:pt idx="3" formatCode="0">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pt idx="19">
                  <c:v>2022</c:v>
                </c:pt>
                <c:pt idx="20">
                  <c:v>2023</c:v>
                </c:pt>
                <c:pt idx="21">
                  <c:v>2024</c:v>
                </c:pt>
                <c:pt idx="22">
                  <c:v>2025</c:v>
                </c:pt>
                <c:pt idx="23">
                  <c:v>2026</c:v>
                </c:pt>
                <c:pt idx="24">
                  <c:v>2027</c:v>
                </c:pt>
                <c:pt idx="25">
                  <c:v>2028</c:v>
                </c:pt>
                <c:pt idx="26">
                  <c:v>2029</c:v>
                </c:pt>
                <c:pt idx="27">
                  <c:v>2030</c:v>
                </c:pt>
                <c:pt idx="28">
                  <c:v>2031</c:v>
                </c:pt>
                <c:pt idx="29">
                  <c:v>2032</c:v>
                </c:pt>
                <c:pt idx="30">
                  <c:v>2033</c:v>
                </c:pt>
                <c:pt idx="31">
                  <c:v>2034</c:v>
                </c:pt>
                <c:pt idx="32">
                  <c:v>2035</c:v>
                </c:pt>
              </c:numCache>
            </c:numRef>
          </c:cat>
          <c:val>
            <c:numRef>
              <c:f>Simulacion!$I$34:$AN$34</c:f>
              <c:numCache>
                <c:formatCode>_-"$"* #.##0_-;\-"$"* #.##0_-;_-"$"* "-"??_-;_-@_-</c:formatCode>
                <c:ptCount val="32"/>
                <c:pt idx="0">
                  <c:v>1588209.0220478401</c:v>
                </c:pt>
                <c:pt idx="1">
                  <c:v>1710412.78628067</c:v>
                </c:pt>
                <c:pt idx="2">
                  <c:v>1854695.46601346</c:v>
                </c:pt>
                <c:pt idx="3">
                  <c:v>2003476.7579306499</c:v>
                </c:pt>
                <c:pt idx="4">
                  <c:v>2092059.5976430399</c:v>
                </c:pt>
                <c:pt idx="5">
                  <c:v>2196568.3337236801</c:v>
                </c:pt>
                <c:pt idx="6">
                  <c:v>2340382.24264791</c:v>
                </c:pt>
                <c:pt idx="7">
                  <c:v>2404507.1137241502</c:v>
                </c:pt>
                <c:pt idx="8">
                  <c:v>2534907.55262637</c:v>
                </c:pt>
                <c:pt idx="9">
                  <c:v>2654431.6455785702</c:v>
                </c:pt>
                <c:pt idx="10">
                  <c:v>2716561.7591867801</c:v>
                </c:pt>
                <c:pt idx="11">
                  <c:v>2810170.7632144499</c:v>
                </c:pt>
                <c:pt idx="12">
                  <c:v>2902974.6470777998</c:v>
                </c:pt>
                <c:pt idx="13">
                  <c:v>2995174.6404480701</c:v>
                </c:pt>
                <c:pt idx="14">
                  <c:v>3086932.4940015902</c:v>
                </c:pt>
                <c:pt idx="15">
                  <c:v>3178380.3329022001</c:v>
                </c:pt>
                <c:pt idx="16">
                  <c:v>3269627.62188535</c:v>
                </c:pt>
                <c:pt idx="17">
                  <c:v>3360766.2014134</c:v>
                </c:pt>
                <c:pt idx="18">
                  <c:v>3451874.0020550801</c:v>
                </c:pt>
                <c:pt idx="19">
                  <c:v>3543017.8324179598</c:v>
                </c:pt>
                <c:pt idx="20">
                  <c:v>3634255.5045908401</c:v>
                </c:pt>
                <c:pt idx="21">
                  <c:v>3725637.4773125998</c:v>
                </c:pt>
                <c:pt idx="22">
                  <c:v>3817208.1423859098</c:v>
                </c:pt>
                <c:pt idx="23">
                  <c:v>3909006.84334089</c:v>
                </c:pt>
                <c:pt idx="24">
                  <c:v>4001068.69049187</c:v>
                </c:pt>
                <c:pt idx="25">
                  <c:v>4093425.2193001602</c:v>
                </c:pt>
                <c:pt idx="26">
                  <c:v>4186104.9268185999</c:v>
                </c:pt>
                <c:pt idx="27">
                  <c:v>4279133.7123159096</c:v>
                </c:pt>
                <c:pt idx="28">
                  <c:v>4372535.2418895401</c:v>
                </c:pt>
                <c:pt idx="29">
                  <c:v>4466331.2522618501</c:v>
                </c:pt>
                <c:pt idx="30">
                  <c:v>4560541.8055270603</c:v>
                </c:pt>
                <c:pt idx="31">
                  <c:v>4655185.5040452201</c:v>
                </c:pt>
              </c:numCache>
            </c:numRef>
          </c:val>
        </c:ser>
        <c:dLbls>
          <c:showLegendKey val="0"/>
          <c:showVal val="0"/>
          <c:showCatName val="0"/>
          <c:showSerName val="0"/>
          <c:showPercent val="0"/>
          <c:showBubbleSize val="0"/>
        </c:dLbls>
        <c:gapWidth val="150"/>
        <c:axId val="202000256"/>
        <c:axId val="202001792"/>
      </c:barChart>
      <c:catAx>
        <c:axId val="20200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001792"/>
        <c:crosses val="autoZero"/>
        <c:auto val="1"/>
        <c:lblAlgn val="ctr"/>
        <c:lblOffset val="100"/>
        <c:noMultiLvlLbl val="0"/>
      </c:catAx>
      <c:valAx>
        <c:axId val="20200179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00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1"/>
          <c:tx>
            <c:strRef>
              <c:f>'Resultados Probabilistico'!$E$108</c:f>
              <c:strCache>
                <c:ptCount val="1"/>
                <c:pt idx="0">
                  <c:v>Costo anual VPN</c:v>
                </c:pt>
              </c:strCache>
            </c:strRef>
          </c:tx>
          <c:spPr>
            <a:solidFill>
              <a:schemeClr val="accent1"/>
            </a:solidFill>
            <a:ln>
              <a:noFill/>
            </a:ln>
            <a:effectLst/>
          </c:spPr>
          <c:invertIfNegative val="0"/>
          <c:val>
            <c:numRef>
              <c:f>'Resultados Probabilistico'!$H$108:$AA$108</c:f>
              <c:numCache>
                <c:formatCode>_-"$"* #,##0_-;\-"$"* #,##0_-;_-"$"* "-"??_-;_-@_-</c:formatCode>
                <c:ptCount val="20"/>
                <c:pt idx="0">
                  <c:v>847.72725932947151</c:v>
                </c:pt>
                <c:pt idx="1">
                  <c:v>756.89933868702815</c:v>
                </c:pt>
                <c:pt idx="2">
                  <c:v>675.80298097056072</c:v>
                </c:pt>
                <c:pt idx="3">
                  <c:v>789.14742101861123</c:v>
                </c:pt>
                <c:pt idx="4">
                  <c:v>870.44582438706027</c:v>
                </c:pt>
                <c:pt idx="5">
                  <c:v>1279.013970881156</c:v>
                </c:pt>
                <c:pt idx="6">
                  <c:v>1274.1912947625917</c:v>
                </c:pt>
                <c:pt idx="7">
                  <c:v>1255.7194909016653</c:v>
                </c:pt>
                <c:pt idx="8">
                  <c:v>1125.630554674425</c:v>
                </c:pt>
                <c:pt idx="9">
                  <c:v>1008.9428332281489</c:v>
                </c:pt>
                <c:pt idx="10">
                  <c:v>711.64562178892618</c:v>
                </c:pt>
                <c:pt idx="11">
                  <c:v>638.31184652483125</c:v>
                </c:pt>
                <c:pt idx="12">
                  <c:v>572.48045845478885</c:v>
                </c:pt>
                <c:pt idx="13">
                  <c:v>513.3902084108546</c:v>
                </c:pt>
                <c:pt idx="14">
                  <c:v>460.35635876610758</c:v>
                </c:pt>
                <c:pt idx="15">
                  <c:v>412.76307932008592</c:v>
                </c:pt>
                <c:pt idx="16">
                  <c:v>370.05658870345223</c:v>
                </c:pt>
                <c:pt idx="17">
                  <c:v>331.73896944151898</c:v>
                </c:pt>
                <c:pt idx="18">
                  <c:v>297.36259159100462</c:v>
                </c:pt>
                <c:pt idx="19">
                  <c:v>266.5250860223295</c:v>
                </c:pt>
              </c:numCache>
            </c:numRef>
          </c:val>
        </c:ser>
        <c:dLbls>
          <c:showLegendKey val="0"/>
          <c:showVal val="0"/>
          <c:showCatName val="0"/>
          <c:showSerName val="0"/>
          <c:showPercent val="0"/>
          <c:showBubbleSize val="0"/>
        </c:dLbls>
        <c:gapWidth val="150"/>
        <c:axId val="191306752"/>
        <c:axId val="191304832"/>
      </c:barChart>
      <c:lineChart>
        <c:grouping val="standard"/>
        <c:varyColors val="0"/>
        <c:ser>
          <c:idx val="1"/>
          <c:order val="0"/>
          <c:tx>
            <c:strRef>
              <c:f>Resultados!$E$57</c:f>
              <c:strCache>
                <c:ptCount val="1"/>
                <c:pt idx="0">
                  <c:v>Casto acumulado VPN</c:v>
                </c:pt>
              </c:strCache>
            </c:strRef>
          </c:tx>
          <c:spPr>
            <a:ln w="28575" cap="rnd">
              <a:solidFill>
                <a:schemeClr val="accent2"/>
              </a:solidFill>
              <a:round/>
            </a:ln>
            <a:effectLst/>
          </c:spPr>
          <c:marker>
            <c:symbol val="none"/>
          </c:marker>
          <c:cat>
            <c:numRef>
              <c:f>'Resultados Probabilistico'!$H$88:$AA$88</c:f>
              <c:numCache>
                <c:formatCode>General</c:formatCode>
                <c:ptCount val="20"/>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numCache>
            </c:numRef>
          </c:cat>
          <c:val>
            <c:numRef>
              <c:f>'Resultados Probabilistico'!$H$109:$AA$109</c:f>
              <c:numCache>
                <c:formatCode>"$"#,##0</c:formatCode>
                <c:ptCount val="20"/>
                <c:pt idx="0">
                  <c:v>847.72725932947151</c:v>
                </c:pt>
                <c:pt idx="1">
                  <c:v>1604.6265980164997</c:v>
                </c:pt>
                <c:pt idx="2">
                  <c:v>2280.4295789870603</c:v>
                </c:pt>
                <c:pt idx="3">
                  <c:v>3069.5770000056718</c:v>
                </c:pt>
                <c:pt idx="4">
                  <c:v>3940.0228243927313</c:v>
                </c:pt>
                <c:pt idx="5">
                  <c:v>5219.036795273887</c:v>
                </c:pt>
                <c:pt idx="6">
                  <c:v>6493.2280900364785</c:v>
                </c:pt>
                <c:pt idx="7">
                  <c:v>7748.9475809381438</c:v>
                </c:pt>
                <c:pt idx="8">
                  <c:v>8874.5781356125681</c:v>
                </c:pt>
                <c:pt idx="9">
                  <c:v>9883.5209688407158</c:v>
                </c:pt>
                <c:pt idx="10">
                  <c:v>10595.166590629642</c:v>
                </c:pt>
                <c:pt idx="11">
                  <c:v>11233.478437154474</c:v>
                </c:pt>
                <c:pt idx="12">
                  <c:v>11805.958895609261</c:v>
                </c:pt>
                <c:pt idx="13">
                  <c:v>12319.349104020115</c:v>
                </c:pt>
                <c:pt idx="14">
                  <c:v>12779.705462786224</c:v>
                </c:pt>
                <c:pt idx="15">
                  <c:v>13192.46854210631</c:v>
                </c:pt>
                <c:pt idx="16">
                  <c:v>13562.525130809761</c:v>
                </c:pt>
                <c:pt idx="17">
                  <c:v>13894.264100251281</c:v>
                </c:pt>
                <c:pt idx="18">
                  <c:v>14191.626691842286</c:v>
                </c:pt>
                <c:pt idx="19">
                  <c:v>14458.151777864616</c:v>
                </c:pt>
              </c:numCache>
            </c:numRef>
          </c:val>
          <c:smooth val="0"/>
        </c:ser>
        <c:dLbls>
          <c:showLegendKey val="0"/>
          <c:showVal val="0"/>
          <c:showCatName val="0"/>
          <c:showSerName val="0"/>
          <c:showPercent val="0"/>
          <c:showBubbleSize val="0"/>
        </c:dLbls>
        <c:marker val="1"/>
        <c:smooth val="0"/>
        <c:axId val="202034560"/>
        <c:axId val="202032640"/>
      </c:lineChart>
      <c:valAx>
        <c:axId val="202032640"/>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Costo Acumulado  VPN</a:t>
                </a:r>
                <a:r>
                  <a:rPr lang="es-CO" baseline="0"/>
                  <a:t> 12%</a:t>
                </a:r>
                <a:endParaRPr lang="es-CO"/>
              </a:p>
            </c:rich>
          </c:tx>
          <c:overlay val="0"/>
          <c:spPr>
            <a:noFill/>
            <a:ln>
              <a:noFill/>
            </a:ln>
            <a:effectLst/>
          </c:sp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034560"/>
        <c:crosses val="max"/>
        <c:crossBetween val="between"/>
      </c:valAx>
      <c:catAx>
        <c:axId val="20203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032640"/>
        <c:crosses val="autoZero"/>
        <c:auto val="1"/>
        <c:lblAlgn val="ctr"/>
        <c:lblOffset val="100"/>
        <c:noMultiLvlLbl val="0"/>
      </c:catAx>
      <c:valAx>
        <c:axId val="1913048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Costo anual VPN 12%</a:t>
                </a:r>
              </a:p>
            </c:rich>
          </c:tx>
          <c:overlay val="0"/>
          <c:spPr>
            <a:noFill/>
            <a:ln>
              <a:noFill/>
            </a:ln>
            <a:effectLst/>
          </c:spPr>
        </c:title>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306752"/>
        <c:crosses val="autoZero"/>
        <c:crossBetween val="between"/>
      </c:valAx>
      <c:catAx>
        <c:axId val="191306752"/>
        <c:scaling>
          <c:orientation val="minMax"/>
        </c:scaling>
        <c:delete val="1"/>
        <c:axPos val="b"/>
        <c:majorTickMark val="none"/>
        <c:minorTickMark val="none"/>
        <c:tickLblPos val="nextTo"/>
        <c:crossAx val="191304832"/>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mn-lt"/>
                <a:ea typeface="+mn-ea"/>
                <a:cs typeface="+mn-cs"/>
              </a:defRPr>
            </a:pPr>
            <a:r>
              <a:rPr lang="es-CO" sz="1200"/>
              <a:t>Componentes del costo</a:t>
            </a:r>
          </a:p>
          <a:p>
            <a:pPr algn="ctr">
              <a:defRPr sz="1200" b="1" i="0" u="none" strike="noStrike" kern="1200" baseline="0">
                <a:solidFill>
                  <a:schemeClr val="dk1">
                    <a:lumMod val="75000"/>
                    <a:lumOff val="25000"/>
                  </a:schemeClr>
                </a:solidFill>
                <a:latin typeface="+mn-lt"/>
                <a:ea typeface="+mn-ea"/>
                <a:cs typeface="+mn-cs"/>
              </a:defRPr>
            </a:pPr>
            <a:r>
              <a:rPr lang="es-CO" sz="1200"/>
              <a:t>(VPN @12%)</a:t>
            </a:r>
          </a:p>
        </c:rich>
      </c:tx>
      <c:layout>
        <c:manualLayout>
          <c:xMode val="edge"/>
          <c:yMode val="edge"/>
          <c:x val="0.3666480968195775"/>
          <c:y val="1.5636541007595289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Pt>
            <c:idx val="8"/>
            <c:bubble3D val="0"/>
            <c:spPr>
              <a:solidFill>
                <a:schemeClr val="accent3">
                  <a:lumMod val="60000"/>
                </a:schemeClr>
              </a:solidFill>
              <a:ln>
                <a:noFill/>
              </a:ln>
              <a:effectLst>
                <a:outerShdw blurRad="254000" sx="102000" sy="102000" algn="ctr" rotWithShape="0">
                  <a:prstClr val="black">
                    <a:alpha val="20000"/>
                  </a:prstClr>
                </a:outerShdw>
              </a:effectLst>
            </c:spPr>
          </c:dPt>
          <c:dPt>
            <c:idx val="9"/>
            <c:bubble3D val="0"/>
            <c:spPr>
              <a:solidFill>
                <a:schemeClr val="accent4">
                  <a:lumMod val="60000"/>
                </a:schemeClr>
              </a:solidFill>
              <a:ln>
                <a:noFill/>
              </a:ln>
              <a:effectLst>
                <a:outerShdw blurRad="254000" sx="102000" sy="102000" algn="ctr" rotWithShape="0">
                  <a:prstClr val="black">
                    <a:alpha val="20000"/>
                  </a:prstClr>
                </a:outerShdw>
              </a:effectLst>
            </c:spPr>
          </c:dPt>
          <c:dPt>
            <c:idx val="10"/>
            <c:bubble3D val="0"/>
            <c:spPr>
              <a:solidFill>
                <a:schemeClr val="accent5">
                  <a:lumMod val="60000"/>
                </a:schemeClr>
              </a:solidFill>
              <a:ln>
                <a:noFill/>
              </a:ln>
              <a:effectLst>
                <a:outerShdw blurRad="254000" sx="102000" sy="102000" algn="ctr" rotWithShape="0">
                  <a:prstClr val="black">
                    <a:alpha val="20000"/>
                  </a:prstClr>
                </a:outerShdw>
              </a:effectLst>
            </c:spPr>
          </c:dPt>
          <c:dPt>
            <c:idx val="11"/>
            <c:bubble3D val="0"/>
            <c:spPr>
              <a:solidFill>
                <a:schemeClr val="accent6">
                  <a:lumMod val="60000"/>
                </a:schemeClr>
              </a:solidFill>
              <a:ln>
                <a:noFill/>
              </a:ln>
              <a:effectLst>
                <a:outerShdw blurRad="254000" sx="102000" sy="102000" algn="ctr" rotWithShape="0">
                  <a:prstClr val="black">
                    <a:alpha val="20000"/>
                  </a:prstClr>
                </a:outerShdw>
              </a:effectLst>
            </c:spPr>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Graficas!$D$187:$D$202</c:f>
              <c:strCache>
                <c:ptCount val="16"/>
                <c:pt idx="0">
                  <c:v>Los cambios en el esquema laboral </c:v>
                </c:pt>
                <c:pt idx="1">
                  <c:v>Implementación y  funcionamiento del sistema de monitoreo</c:v>
                </c:pt>
                <c:pt idx="2">
                  <c:v>Implementación y funcinamiento de la nueva infraestrcutura</c:v>
                </c:pt>
                <c:pt idx="3">
                  <c:v>Costo de funcionamiento de los sitios de informacion</c:v>
                </c:pt>
                <c:pt idx="4">
                  <c:v>Costo de funcionamiento del sistema de monitoreo</c:v>
                </c:pt>
                <c:pt idx="5">
                  <c:v>Costo de ejecución del acuerdo nacional por la cultura previcional</c:v>
                </c:pt>
                <c:pt idx="6">
                  <c:v>Costo de las pensiones</c:v>
                </c:pt>
                <c:pt idx="7">
                  <c:v>Actualizar el PDSS</c:v>
                </c:pt>
                <c:pt idx="8">
                  <c:v>Costo de funcionamiento del sistema informatico para consultar la cotizacion del empleador y Costo de funcionamiento de las calculadora</c:v>
                </c:pt>
                <c:pt idx="9">
                  <c:v>Implementación y funcionamiento de la unidad actuarial</c:v>
                </c:pt>
                <c:pt idx="10">
                  <c:v>La implementación de la Política Nacional de Calidad en Salud en la Parte de Calidad de los Servicios</c:v>
                </c:pt>
                <c:pt idx="11">
                  <c:v>La implementación de la Política Nacional de Calidad en Salud en la Parte de Empoderamiento</c:v>
                </c:pt>
                <c:pt idx="12">
                  <c:v>la implementación del modelo, manuales, capacitaciones, adecuaciones</c:v>
                </c:pt>
                <c:pt idx="13">
                  <c:v>Implementación y funcionamiento del Instituto Coordinador de los Servicios Públicos de Salud</c:v>
                </c:pt>
                <c:pt idx="14">
                  <c:v>La implementación de la Política Nacional de Calidad en Salud en la Parte de Empoderamiento</c:v>
                </c:pt>
                <c:pt idx="15">
                  <c:v>Costo administrativo de otorgar las pensiones.</c:v>
                </c:pt>
              </c:strCache>
            </c:strRef>
          </c:cat>
          <c:val>
            <c:numRef>
              <c:f>Graficas!$E$187:$E$202</c:f>
              <c:numCache>
                <c:formatCode>General</c:formatCode>
                <c:ptCount val="16"/>
                <c:pt idx="0">
                  <c:v>5889.7047498004049</c:v>
                </c:pt>
                <c:pt idx="1">
                  <c:v>1787.2641252256403</c:v>
                </c:pt>
                <c:pt idx="2">
                  <c:v>1476.5499390129171</c:v>
                </c:pt>
                <c:pt idx="3">
                  <c:v>921.41065458846811</c:v>
                </c:pt>
                <c:pt idx="4">
                  <c:v>815.78056735759003</c:v>
                </c:pt>
                <c:pt idx="5">
                  <c:v>783.74698610457392</c:v>
                </c:pt>
                <c:pt idx="6">
                  <c:v>645.35992914190388</c:v>
                </c:pt>
                <c:pt idx="7">
                  <c:v>691.84417750669945</c:v>
                </c:pt>
                <c:pt idx="8">
                  <c:v>429.8658489574961</c:v>
                </c:pt>
                <c:pt idx="9">
                  <c:v>484.2909242546898</c:v>
                </c:pt>
                <c:pt idx="10">
                  <c:v>206.40294699954205</c:v>
                </c:pt>
                <c:pt idx="11">
                  <c:v>115.30736291778329</c:v>
                </c:pt>
                <c:pt idx="12">
                  <c:v>115.30736291778329</c:v>
                </c:pt>
                <c:pt idx="13">
                  <c:v>58.99258395169764</c:v>
                </c:pt>
                <c:pt idx="14">
                  <c:v>23.061472583556654</c:v>
                </c:pt>
                <c:pt idx="15">
                  <c:v>13.262146543866127</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048774975725254"/>
          <c:y val="0.17663400732772833"/>
          <c:w val="0.33818700840615756"/>
          <c:h val="0.7966859500326642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624663618236"/>
          <c:y val="7.5738428784904499E-2"/>
          <c:w val="0.81396652792215396"/>
          <c:h val="0.402838370880862"/>
        </c:manualLayout>
      </c:layout>
      <c:scatterChart>
        <c:scatterStyle val="lineMarker"/>
        <c:varyColors val="0"/>
        <c:ser>
          <c:idx val="1"/>
          <c:order val="0"/>
          <c:tx>
            <c:strRef>
              <c:f>'R Poblacion'!$A$3</c:f>
              <c:strCache>
                <c:ptCount val="1"/>
                <c:pt idx="0">
                  <c:v>ONE. Población año calendario y edades simples 2000-2030 Revisión 2014</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poly"/>
            <c:order val="2"/>
            <c:forward val="5"/>
            <c:backward val="10"/>
            <c:dispRSqr val="1"/>
            <c:dispEq val="1"/>
            <c:trendlineLbl>
              <c:layout>
                <c:manualLayout>
                  <c:x val="0.131164810111153"/>
                  <c:y val="0.5969751682603959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'R Poblacion'!$C$3:$C$33</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xVal>
          <c:yVal>
            <c:numRef>
              <c:f>'R Poblacion'!$D$3:$D$33</c:f>
              <c:numCache>
                <c:formatCode>_-* #.##0_-;\-* #.##0_-;_-* "-"??_-;_-@_-</c:formatCode>
                <c:ptCount val="31"/>
                <c:pt idx="0">
                  <c:v>8397799</c:v>
                </c:pt>
                <c:pt idx="1">
                  <c:v>8516261</c:v>
                </c:pt>
                <c:pt idx="2">
                  <c:v>8631661</c:v>
                </c:pt>
                <c:pt idx="3">
                  <c:v>8744850</c:v>
                </c:pt>
                <c:pt idx="4">
                  <c:v>8856726</c:v>
                </c:pt>
                <c:pt idx="5">
                  <c:v>8968139</c:v>
                </c:pt>
                <c:pt idx="6">
                  <c:v>9072421</c:v>
                </c:pt>
                <c:pt idx="7">
                  <c:v>9175913</c:v>
                </c:pt>
                <c:pt idx="8">
                  <c:v>9278318</c:v>
                </c:pt>
                <c:pt idx="9">
                  <c:v>9379297</c:v>
                </c:pt>
                <c:pt idx="10">
                  <c:v>9478617</c:v>
                </c:pt>
                <c:pt idx="11">
                  <c:v>9581682</c:v>
                </c:pt>
                <c:pt idx="12">
                  <c:v>9682774</c:v>
                </c:pt>
                <c:pt idx="13">
                  <c:v>9782489</c:v>
                </c:pt>
                <c:pt idx="14">
                  <c:v>9881439</c:v>
                </c:pt>
                <c:pt idx="15">
                  <c:v>9980240</c:v>
                </c:pt>
                <c:pt idx="16">
                  <c:v>10076648</c:v>
                </c:pt>
                <c:pt idx="17">
                  <c:v>10171796</c:v>
                </c:pt>
                <c:pt idx="18">
                  <c:v>10265569</c:v>
                </c:pt>
                <c:pt idx="19">
                  <c:v>10357815</c:v>
                </c:pt>
                <c:pt idx="20">
                  <c:v>10448502</c:v>
                </c:pt>
                <c:pt idx="21">
                  <c:v>10537788</c:v>
                </c:pt>
                <c:pt idx="22">
                  <c:v>10625808</c:v>
                </c:pt>
                <c:pt idx="23">
                  <c:v>10712151</c:v>
                </c:pt>
                <c:pt idx="24">
                  <c:v>10796430</c:v>
                </c:pt>
                <c:pt idx="25">
                  <c:v>10878276</c:v>
                </c:pt>
                <c:pt idx="26">
                  <c:v>10957687</c:v>
                </c:pt>
                <c:pt idx="27">
                  <c:v>11034954</c:v>
                </c:pt>
                <c:pt idx="28">
                  <c:v>11110003</c:v>
                </c:pt>
                <c:pt idx="29">
                  <c:v>11182796</c:v>
                </c:pt>
                <c:pt idx="30">
                  <c:v>11253289</c:v>
                </c:pt>
              </c:numCache>
            </c:numRef>
          </c:yVal>
          <c:smooth val="0"/>
        </c:ser>
        <c:ser>
          <c:idx val="0"/>
          <c:order val="1"/>
          <c:tx>
            <c:strRef>
              <c:f>'R Poblacion'!$A$96</c:f>
              <c:strCache>
                <c:ptCount val="1"/>
                <c:pt idx="0">
                  <c:v>ONE. Poblacion año Calendario y Edades Simples 1990-2020 Revisión 2007</c:v>
                </c:pt>
              </c:strCache>
            </c:strRef>
          </c:tx>
          <c:spPr>
            <a:ln w="25400" cap="rnd">
              <a:noFill/>
              <a:round/>
            </a:ln>
            <a:effectLst/>
          </c:spPr>
          <c:marker>
            <c:symbol val="circle"/>
            <c:size val="5"/>
            <c:spPr>
              <a:solidFill>
                <a:schemeClr val="accent1"/>
              </a:solidFill>
              <a:ln w="9525">
                <a:solidFill>
                  <a:schemeClr val="accent1"/>
                </a:solidFill>
              </a:ln>
              <a:effectLst/>
            </c:spPr>
          </c:marker>
          <c:xVal>
            <c:numRef>
              <c:f>'R Poblacion'!$C$96:$C$126</c:f>
              <c:numCache>
                <c:formatCode>General</c:formatCode>
                <c:ptCount val="3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pt idx="30">
                  <c:v>2020</c:v>
                </c:pt>
              </c:numCache>
            </c:numRef>
          </c:xVal>
          <c:yVal>
            <c:numRef>
              <c:f>'R Poblacion'!$D$96:$D$126</c:f>
              <c:numCache>
                <c:formatCode>_-* #.##0_-;\-* #.##0_-;_-* "-"??_-;_-@_-</c:formatCode>
                <c:ptCount val="31"/>
                <c:pt idx="0">
                  <c:v>7179330</c:v>
                </c:pt>
                <c:pt idx="1">
                  <c:v>7320372</c:v>
                </c:pt>
                <c:pt idx="2">
                  <c:v>7462763</c:v>
                </c:pt>
                <c:pt idx="3">
                  <c:v>7605302</c:v>
                </c:pt>
                <c:pt idx="4">
                  <c:v>7746719</c:v>
                </c:pt>
                <c:pt idx="5">
                  <c:v>7885758</c:v>
                </c:pt>
                <c:pt idx="6">
                  <c:v>8021738</c:v>
                </c:pt>
                <c:pt idx="7">
                  <c:v>8155497</c:v>
                </c:pt>
                <c:pt idx="8">
                  <c:v>8288051</c:v>
                </c:pt>
                <c:pt idx="9">
                  <c:v>8420461</c:v>
                </c:pt>
                <c:pt idx="10">
                  <c:v>8553739</c:v>
                </c:pt>
                <c:pt idx="11">
                  <c:v>8688212</c:v>
                </c:pt>
                <c:pt idx="12">
                  <c:v>8823188</c:v>
                </c:pt>
                <c:pt idx="13">
                  <c:v>8958206</c:v>
                </c:pt>
                <c:pt idx="14">
                  <c:v>9092778</c:v>
                </c:pt>
                <c:pt idx="15">
                  <c:v>9226449</c:v>
                </c:pt>
                <c:pt idx="16">
                  <c:v>9359706</c:v>
                </c:pt>
                <c:pt idx="17">
                  <c:v>9492876</c:v>
                </c:pt>
                <c:pt idx="18">
                  <c:v>9625207</c:v>
                </c:pt>
                <c:pt idx="19">
                  <c:v>9755954</c:v>
                </c:pt>
                <c:pt idx="20">
                  <c:v>9884371</c:v>
                </c:pt>
                <c:pt idx="21">
                  <c:v>10010590</c:v>
                </c:pt>
                <c:pt idx="22">
                  <c:v>10135105</c:v>
                </c:pt>
                <c:pt idx="23">
                  <c:v>10257724</c:v>
                </c:pt>
                <c:pt idx="24">
                  <c:v>10378267</c:v>
                </c:pt>
                <c:pt idx="25">
                  <c:v>10496535</c:v>
                </c:pt>
                <c:pt idx="26">
                  <c:v>10612527</c:v>
                </c:pt>
                <c:pt idx="27">
                  <c:v>10726367</c:v>
                </c:pt>
                <c:pt idx="28">
                  <c:v>10838075</c:v>
                </c:pt>
                <c:pt idx="29">
                  <c:v>10947639</c:v>
                </c:pt>
                <c:pt idx="30">
                  <c:v>11055080</c:v>
                </c:pt>
              </c:numCache>
            </c:numRef>
          </c:yVal>
          <c:smooth val="0"/>
        </c:ser>
        <c:ser>
          <c:idx val="2"/>
          <c:order val="2"/>
          <c:tx>
            <c:v>Hombres en edad laboral</c:v>
          </c:tx>
          <c:spPr>
            <a:ln w="25400" cap="rnd">
              <a:noFill/>
              <a:round/>
            </a:ln>
            <a:effectLst/>
          </c:spPr>
          <c:marker>
            <c:symbol val="plus"/>
            <c:size val="5"/>
            <c:spPr>
              <a:noFill/>
              <a:ln w="9525">
                <a:solidFill>
                  <a:schemeClr val="accent3"/>
                </a:solidFill>
              </a:ln>
              <a:effectLst/>
            </c:spPr>
          </c:marker>
          <c:trendline>
            <c:spPr>
              <a:ln w="19050" cap="rnd">
                <a:solidFill>
                  <a:schemeClr val="accent3"/>
                </a:solidFill>
                <a:prstDash val="sysDot"/>
              </a:ln>
              <a:effectLst/>
            </c:spPr>
            <c:trendlineType val="poly"/>
            <c:order val="2"/>
            <c:dispRSqr val="1"/>
            <c:dispEq val="1"/>
            <c:trendlineLbl>
              <c:layout>
                <c:manualLayout>
                  <c:x val="0.20595448298713001"/>
                  <c:y val="0.4900601942117019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'R Poblacion'!$C$34:$C$64</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xVal>
          <c:yVal>
            <c:numRef>
              <c:f>'R Poblacion'!$E$34:$E$64</c:f>
              <c:numCache>
                <c:formatCode>_-* #.##0_-;\-* #.##0_-;_-* "-"??_-;_-@_-</c:formatCode>
                <c:ptCount val="31"/>
                <c:pt idx="0">
                  <c:v>2257145</c:v>
                </c:pt>
                <c:pt idx="1">
                  <c:v>2299992</c:v>
                </c:pt>
                <c:pt idx="2">
                  <c:v>2342316</c:v>
                </c:pt>
                <c:pt idx="3">
                  <c:v>2384611</c:v>
                </c:pt>
                <c:pt idx="4">
                  <c:v>2427376</c:v>
                </c:pt>
                <c:pt idx="5">
                  <c:v>2471091</c:v>
                </c:pt>
                <c:pt idx="6">
                  <c:v>2516115</c:v>
                </c:pt>
                <c:pt idx="7">
                  <c:v>2562093</c:v>
                </c:pt>
                <c:pt idx="8">
                  <c:v>2608540</c:v>
                </c:pt>
                <c:pt idx="9">
                  <c:v>2654947</c:v>
                </c:pt>
                <c:pt idx="10">
                  <c:v>2700816</c:v>
                </c:pt>
                <c:pt idx="11">
                  <c:v>2746435</c:v>
                </c:pt>
                <c:pt idx="12">
                  <c:v>2792149</c:v>
                </c:pt>
                <c:pt idx="13">
                  <c:v>2837502</c:v>
                </c:pt>
                <c:pt idx="14">
                  <c:v>2882064</c:v>
                </c:pt>
                <c:pt idx="15">
                  <c:v>2925390</c:v>
                </c:pt>
                <c:pt idx="16">
                  <c:v>2967556</c:v>
                </c:pt>
                <c:pt idx="17">
                  <c:v>3008861</c:v>
                </c:pt>
                <c:pt idx="18">
                  <c:v>3049188</c:v>
                </c:pt>
                <c:pt idx="19">
                  <c:v>3088389</c:v>
                </c:pt>
                <c:pt idx="20">
                  <c:v>3126348</c:v>
                </c:pt>
                <c:pt idx="21">
                  <c:v>3163185</c:v>
                </c:pt>
                <c:pt idx="22">
                  <c:v>3198988</c:v>
                </c:pt>
                <c:pt idx="23">
                  <c:v>3233566</c:v>
                </c:pt>
                <c:pt idx="24">
                  <c:v>3266734</c:v>
                </c:pt>
                <c:pt idx="25">
                  <c:v>3298299</c:v>
                </c:pt>
                <c:pt idx="26">
                  <c:v>3327922</c:v>
                </c:pt>
                <c:pt idx="27">
                  <c:v>3355754</c:v>
                </c:pt>
                <c:pt idx="28">
                  <c:v>3382268</c:v>
                </c:pt>
                <c:pt idx="29">
                  <c:v>3407956</c:v>
                </c:pt>
                <c:pt idx="30">
                  <c:v>3433309</c:v>
                </c:pt>
              </c:numCache>
            </c:numRef>
          </c:yVal>
          <c:smooth val="0"/>
        </c:ser>
        <c:ser>
          <c:idx val="3"/>
          <c:order val="3"/>
          <c:tx>
            <c:v>Mujeres en edad laboral</c:v>
          </c:tx>
          <c:spPr>
            <a:ln w="25400" cap="rnd">
              <a:noFill/>
              <a:round/>
            </a:ln>
            <a:effectLst/>
          </c:spPr>
          <c:marker>
            <c:symbol val="dash"/>
            <c:size val="5"/>
            <c:spPr>
              <a:solidFill>
                <a:schemeClr val="accent4"/>
              </a:solidFill>
              <a:ln w="9525">
                <a:solidFill>
                  <a:schemeClr val="accent4"/>
                </a:solidFill>
              </a:ln>
              <a:effectLst/>
            </c:spPr>
          </c:marker>
          <c:trendline>
            <c:spPr>
              <a:ln w="19050" cap="rnd">
                <a:solidFill>
                  <a:schemeClr val="accent4"/>
                </a:solidFill>
                <a:prstDash val="sysDot"/>
              </a:ln>
              <a:effectLst/>
            </c:spPr>
            <c:trendlineType val="poly"/>
            <c:order val="2"/>
            <c:forward val="5"/>
            <c:dispRSqr val="1"/>
            <c:dispEq val="1"/>
            <c:trendlineLbl>
              <c:layout>
                <c:manualLayout>
                  <c:x val="0.13352349543465"/>
                  <c:y val="0.4319326738106610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'R Poblacion'!$C$65:$C$95</c:f>
              <c:numCache>
                <c:formatCode>General</c:formatCode>
                <c:ptCount val="3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pt idx="25">
                  <c:v>2025</c:v>
                </c:pt>
                <c:pt idx="26">
                  <c:v>2026</c:v>
                </c:pt>
                <c:pt idx="27">
                  <c:v>2027</c:v>
                </c:pt>
                <c:pt idx="28">
                  <c:v>2028</c:v>
                </c:pt>
                <c:pt idx="29">
                  <c:v>2029</c:v>
                </c:pt>
                <c:pt idx="30">
                  <c:v>2030</c:v>
                </c:pt>
              </c:numCache>
            </c:numRef>
          </c:xVal>
          <c:yVal>
            <c:numRef>
              <c:f>'R Poblacion'!$E$65:$E$95</c:f>
              <c:numCache>
                <c:formatCode>_-* #.##0_-;\-* #.##0_-;_-* "-"??_-;_-@_-</c:formatCode>
                <c:ptCount val="31"/>
                <c:pt idx="0">
                  <c:v>2276713</c:v>
                </c:pt>
                <c:pt idx="1">
                  <c:v>2321998</c:v>
                </c:pt>
                <c:pt idx="2">
                  <c:v>2366535</c:v>
                </c:pt>
                <c:pt idx="3">
                  <c:v>2410849</c:v>
                </c:pt>
                <c:pt idx="4">
                  <c:v>2455459</c:v>
                </c:pt>
                <c:pt idx="5">
                  <c:v>2500885</c:v>
                </c:pt>
                <c:pt idx="6">
                  <c:v>2547412</c:v>
                </c:pt>
                <c:pt idx="7">
                  <c:v>2594686</c:v>
                </c:pt>
                <c:pt idx="8">
                  <c:v>2642295</c:v>
                </c:pt>
                <c:pt idx="9">
                  <c:v>2689813</c:v>
                </c:pt>
                <c:pt idx="10">
                  <c:v>2736823</c:v>
                </c:pt>
                <c:pt idx="11">
                  <c:v>2783659</c:v>
                </c:pt>
                <c:pt idx="12">
                  <c:v>2830609</c:v>
                </c:pt>
                <c:pt idx="13">
                  <c:v>2877158</c:v>
                </c:pt>
                <c:pt idx="14">
                  <c:v>2922803</c:v>
                </c:pt>
                <c:pt idx="15">
                  <c:v>2967036</c:v>
                </c:pt>
                <c:pt idx="16">
                  <c:v>3009893</c:v>
                </c:pt>
                <c:pt idx="17">
                  <c:v>3051723</c:v>
                </c:pt>
                <c:pt idx="18">
                  <c:v>3092451</c:v>
                </c:pt>
                <c:pt idx="19">
                  <c:v>3132106</c:v>
                </c:pt>
                <c:pt idx="20">
                  <c:v>3170621</c:v>
                </c:pt>
                <c:pt idx="21">
                  <c:v>3207806</c:v>
                </c:pt>
                <c:pt idx="22">
                  <c:v>3244052</c:v>
                </c:pt>
                <c:pt idx="23">
                  <c:v>3279043</c:v>
                </c:pt>
                <c:pt idx="24">
                  <c:v>3312576</c:v>
                </c:pt>
                <c:pt idx="25">
                  <c:v>3344357</c:v>
                </c:pt>
                <c:pt idx="26">
                  <c:v>3374082</c:v>
                </c:pt>
                <c:pt idx="27">
                  <c:v>3401841</c:v>
                </c:pt>
                <c:pt idx="28">
                  <c:v>3428321</c:v>
                </c:pt>
                <c:pt idx="29">
                  <c:v>3453705</c:v>
                </c:pt>
                <c:pt idx="30">
                  <c:v>3478516</c:v>
                </c:pt>
              </c:numCache>
            </c:numRef>
          </c:yVal>
          <c:smooth val="0"/>
        </c:ser>
        <c:dLbls>
          <c:showLegendKey val="0"/>
          <c:showVal val="0"/>
          <c:showCatName val="0"/>
          <c:showSerName val="0"/>
          <c:showPercent val="0"/>
          <c:showBubbleSize val="0"/>
        </c:dLbls>
        <c:axId val="202727808"/>
        <c:axId val="202729344"/>
      </c:scatterChart>
      <c:valAx>
        <c:axId val="20272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729344"/>
        <c:crosses val="autoZero"/>
        <c:crossBetween val="midCat"/>
      </c:valAx>
      <c:valAx>
        <c:axId val="202729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727808"/>
        <c:crosses val="autoZero"/>
        <c:crossBetween val="midCat"/>
      </c:valAx>
      <c:spPr>
        <a:noFill/>
        <a:ln>
          <a:noFill/>
        </a:ln>
        <a:effectLst/>
      </c:spPr>
    </c:plotArea>
    <c:legend>
      <c:legendPos val="b"/>
      <c:layout>
        <c:manualLayout>
          <c:xMode val="edge"/>
          <c:yMode val="edge"/>
          <c:x val="1.6137740767795901E-5"/>
          <c:y val="0.61504544858256704"/>
          <c:w val="0.78129587408851597"/>
          <c:h val="0.367490762785961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400" b="0" i="0" u="none" strike="noStrike" baseline="0">
                <a:effectLst/>
              </a:rPr>
              <a:t>Estimaciones y proyección por género del porcentaje de la población en edad laboral que es económicamente activa</a:t>
            </a:r>
            <a:endParaRPr lang="es-CO"/>
          </a:p>
        </c:rich>
      </c:tx>
      <c:overlay val="0"/>
      <c:spPr>
        <a:noFill/>
        <a:ln>
          <a:noFill/>
        </a:ln>
        <a:effectLst/>
      </c:spPr>
    </c:title>
    <c:autoTitleDeleted val="0"/>
    <c:plotArea>
      <c:layout>
        <c:manualLayout>
          <c:layoutTarget val="inner"/>
          <c:xMode val="edge"/>
          <c:yMode val="edge"/>
          <c:x val="7.5121282150084595E-2"/>
          <c:y val="0.29521434878643799"/>
          <c:w val="0.85499217361846003"/>
          <c:h val="0.385809503474357"/>
        </c:manualLayout>
      </c:layout>
      <c:scatterChart>
        <c:scatterStyle val="lineMarker"/>
        <c:varyColors val="0"/>
        <c:ser>
          <c:idx val="2"/>
          <c:order val="0"/>
          <c:tx>
            <c:v>Pronóstico</c:v>
          </c:tx>
          <c:spPr>
            <a:ln w="19050" cap="rnd">
              <a:noFill/>
              <a:round/>
            </a:ln>
            <a:effectLst/>
          </c:spPr>
          <c:marker>
            <c:symbol val="circle"/>
            <c:size val="5"/>
            <c:spPr>
              <a:solidFill>
                <a:schemeClr val="accent3"/>
              </a:solidFill>
              <a:ln w="9525">
                <a:solidFill>
                  <a:schemeClr val="accent3"/>
                </a:solidFill>
              </a:ln>
              <a:effectLst/>
            </c:spPr>
          </c:marker>
          <c:xVal>
            <c:numRef>
              <c:f>Simulacion!$U$2:$AM$2</c:f>
              <c:numCache>
                <c:formatCode>General</c:formatCode>
                <c:ptCount val="19"/>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numCache>
            </c:numRef>
          </c:xVal>
          <c:yVal>
            <c:numRef>
              <c:f>Simulacion!$U$38:$AM$38</c:f>
              <c:numCache>
                <c:formatCode>_-* #.##00_-;\-* #.##00_-;_-* "-"?_-;_-@_-</c:formatCode>
                <c:ptCount val="19"/>
                <c:pt idx="0">
                  <c:v>0.99</c:v>
                </c:pt>
                <c:pt idx="1">
                  <c:v>0.99</c:v>
                </c:pt>
                <c:pt idx="2">
                  <c:v>0.99</c:v>
                </c:pt>
                <c:pt idx="3">
                  <c:v>0.99</c:v>
                </c:pt>
                <c:pt idx="4">
                  <c:v>0.99</c:v>
                </c:pt>
                <c:pt idx="5">
                  <c:v>0.99</c:v>
                </c:pt>
                <c:pt idx="6">
                  <c:v>0.99</c:v>
                </c:pt>
                <c:pt idx="7">
                  <c:v>0.99</c:v>
                </c:pt>
                <c:pt idx="8">
                  <c:v>0.99</c:v>
                </c:pt>
                <c:pt idx="9">
                  <c:v>0.99</c:v>
                </c:pt>
                <c:pt idx="10">
                  <c:v>0.99</c:v>
                </c:pt>
                <c:pt idx="11">
                  <c:v>0.99</c:v>
                </c:pt>
                <c:pt idx="12">
                  <c:v>0.99</c:v>
                </c:pt>
                <c:pt idx="13">
                  <c:v>0.99</c:v>
                </c:pt>
                <c:pt idx="14">
                  <c:v>0.99</c:v>
                </c:pt>
                <c:pt idx="15">
                  <c:v>0.99</c:v>
                </c:pt>
                <c:pt idx="16">
                  <c:v>0.99</c:v>
                </c:pt>
                <c:pt idx="17">
                  <c:v>0.99</c:v>
                </c:pt>
                <c:pt idx="18">
                  <c:v>0.99</c:v>
                </c:pt>
              </c:numCache>
            </c:numRef>
          </c:yVal>
          <c:smooth val="0"/>
        </c:ser>
        <c:ser>
          <c:idx val="3"/>
          <c:order val="1"/>
          <c:tx>
            <c:v>Pronóstico</c:v>
          </c:tx>
          <c:spPr>
            <a:ln w="19050" cap="rnd">
              <a:noFill/>
              <a:round/>
            </a:ln>
            <a:effectLst/>
          </c:spPr>
          <c:marker>
            <c:symbol val="circle"/>
            <c:size val="5"/>
            <c:spPr>
              <a:solidFill>
                <a:schemeClr val="accent4"/>
              </a:solidFill>
              <a:ln w="9525">
                <a:solidFill>
                  <a:schemeClr val="accent4"/>
                </a:solidFill>
              </a:ln>
              <a:effectLst/>
            </c:spPr>
          </c:marker>
          <c:xVal>
            <c:numRef>
              <c:f>Simulacion!$U$2:$AM$2</c:f>
              <c:numCache>
                <c:formatCode>General</c:formatCode>
                <c:ptCount val="19"/>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numCache>
            </c:numRef>
          </c:xVal>
          <c:yVal>
            <c:numRef>
              <c:f>Simulacion!$U$39:$AM$39</c:f>
              <c:numCache>
                <c:formatCode>_-* #.##00_-;\-* #.##00_-;_-* "-"?_-;_-@_-</c:formatCode>
                <c:ptCount val="19"/>
                <c:pt idx="0">
                  <c:v>0.70390728457780405</c:v>
                </c:pt>
                <c:pt idx="1">
                  <c:v>0.71085369397033604</c:v>
                </c:pt>
                <c:pt idx="2">
                  <c:v>0.71780010336286704</c:v>
                </c:pt>
                <c:pt idx="3">
                  <c:v>0.72474651275539903</c:v>
                </c:pt>
                <c:pt idx="4">
                  <c:v>0.73169292214793002</c:v>
                </c:pt>
                <c:pt idx="5">
                  <c:v>0.73863933154046202</c:v>
                </c:pt>
                <c:pt idx="6">
                  <c:v>0.74558574093299301</c:v>
                </c:pt>
                <c:pt idx="7">
                  <c:v>0.75253215032552501</c:v>
                </c:pt>
                <c:pt idx="8">
                  <c:v>0.759478559718056</c:v>
                </c:pt>
                <c:pt idx="9">
                  <c:v>0.76642496911058799</c:v>
                </c:pt>
                <c:pt idx="10">
                  <c:v>0.77337137850311999</c:v>
                </c:pt>
                <c:pt idx="11">
                  <c:v>0.78031778789565098</c:v>
                </c:pt>
                <c:pt idx="12">
                  <c:v>0.78726419728818298</c:v>
                </c:pt>
                <c:pt idx="13">
                  <c:v>0.79421060668071397</c:v>
                </c:pt>
                <c:pt idx="14">
                  <c:v>0.80115701607324596</c:v>
                </c:pt>
                <c:pt idx="15">
                  <c:v>0.80810342546577696</c:v>
                </c:pt>
                <c:pt idx="16">
                  <c:v>0.81504983485830895</c:v>
                </c:pt>
                <c:pt idx="17">
                  <c:v>0.82199624425083995</c:v>
                </c:pt>
                <c:pt idx="18">
                  <c:v>0.82894265364337205</c:v>
                </c:pt>
              </c:numCache>
            </c:numRef>
          </c:yVal>
          <c:smooth val="0"/>
        </c:ser>
        <c:ser>
          <c:idx val="0"/>
          <c:order val="2"/>
          <c:tx>
            <c:strRef>
              <c:f>Simulacion!$C$38</c:f>
              <c:strCache>
                <c:ptCount val="1"/>
                <c:pt idx="0">
                  <c:v>Hombres activos económicamente'/'Hombres entre 18 y 65 años'</c:v>
                </c:pt>
              </c:strCache>
            </c:strRef>
          </c:tx>
          <c:spPr>
            <a:ln w="19050" cap="rnd">
              <a:noFill/>
              <a:round/>
            </a:ln>
            <a:effectLst/>
          </c:spPr>
          <c:marker>
            <c:symbol val="circle"/>
            <c:size val="5"/>
            <c:spPr>
              <a:solidFill>
                <a:schemeClr val="accent1"/>
              </a:solidFill>
              <a:ln w="9525">
                <a:solidFill>
                  <a:schemeClr val="accent1"/>
                </a:solidFill>
              </a:ln>
              <a:effectLst/>
            </c:spPr>
          </c:marker>
          <c:xVal>
            <c:numRef>
              <c:f>Simulacion!$E$2:$T$2</c:f>
              <c:numCache>
                <c:formatCode>General</c:formatCode>
                <c:ptCount val="16"/>
                <c:pt idx="0">
                  <c:v>2000</c:v>
                </c:pt>
                <c:pt idx="1">
                  <c:v>2001</c:v>
                </c:pt>
                <c:pt idx="2">
                  <c:v>2002</c:v>
                </c:pt>
                <c:pt idx="3">
                  <c:v>2003</c:v>
                </c:pt>
                <c:pt idx="4">
                  <c:v>2004</c:v>
                </c:pt>
                <c:pt idx="5">
                  <c:v>2005</c:v>
                </c:pt>
                <c:pt idx="6" formatCode="0">
                  <c:v>2006</c:v>
                </c:pt>
                <c:pt idx="7">
                  <c:v>2007</c:v>
                </c:pt>
                <c:pt idx="8">
                  <c:v>2008</c:v>
                </c:pt>
                <c:pt idx="9">
                  <c:v>2009</c:v>
                </c:pt>
                <c:pt idx="10">
                  <c:v>2010</c:v>
                </c:pt>
                <c:pt idx="11">
                  <c:v>2011</c:v>
                </c:pt>
                <c:pt idx="12">
                  <c:v>2012</c:v>
                </c:pt>
                <c:pt idx="13">
                  <c:v>2013</c:v>
                </c:pt>
                <c:pt idx="14">
                  <c:v>2014</c:v>
                </c:pt>
                <c:pt idx="15">
                  <c:v>2015</c:v>
                </c:pt>
              </c:numCache>
            </c:numRef>
          </c:xVal>
          <c:yVal>
            <c:numRef>
              <c:f>Simulacion!$E$38:$T$38</c:f>
              <c:numCache>
                <c:formatCode>0%</c:formatCode>
                <c:ptCount val="16"/>
                <c:pt idx="0">
                  <c:v>0.99289228856230205</c:v>
                </c:pt>
                <c:pt idx="1">
                  <c:v>0.99096426723929498</c:v>
                </c:pt>
                <c:pt idx="2">
                  <c:v>0.98951261753729103</c:v>
                </c:pt>
                <c:pt idx="3">
                  <c:v>0.988515597028927</c:v>
                </c:pt>
                <c:pt idx="4">
                  <c:v>0.98795527962862895</c:v>
                </c:pt>
                <c:pt idx="5">
                  <c:v>0.98781833229567795</c:v>
                </c:pt>
                <c:pt idx="6">
                  <c:v>0.98819517930957301</c:v>
                </c:pt>
                <c:pt idx="7">
                  <c:v>0.98902713719670998</c:v>
                </c:pt>
                <c:pt idx="8">
                  <c:v>0.99015747969134904</c:v>
                </c:pt>
                <c:pt idx="9">
                  <c:v>0.99144646058645103</c:v>
                </c:pt>
                <c:pt idx="10">
                  <c:v>0.99276102382444098</c:v>
                </c:pt>
                <c:pt idx="11">
                  <c:v>0.99414705543805704</c:v>
                </c:pt>
                <c:pt idx="12">
                  <c:v>0.995660524353568</c:v>
                </c:pt>
                <c:pt idx="13">
                  <c:v>0.99727354516933298</c:v>
                </c:pt>
                <c:pt idx="14">
                  <c:v>0.99896107367283904</c:v>
                </c:pt>
                <c:pt idx="15">
                  <c:v>1.0006975604901129</c:v>
                </c:pt>
              </c:numCache>
            </c:numRef>
          </c:yVal>
          <c:smooth val="0"/>
        </c:ser>
        <c:ser>
          <c:idx val="1"/>
          <c:order val="3"/>
          <c:tx>
            <c:strRef>
              <c:f>Simulacion!$C$39</c:f>
              <c:strCache>
                <c:ptCount val="1"/>
                <c:pt idx="0">
                  <c:v>Mujeres activas económicamente'/'Mujeres entre 18 y 65 años' </c:v>
                </c:pt>
              </c:strCache>
            </c:strRef>
          </c:tx>
          <c:spPr>
            <a:ln w="19050" cap="rnd">
              <a:noFill/>
              <a:round/>
            </a:ln>
            <a:effectLst/>
          </c:spPr>
          <c:marker>
            <c:symbol val="circle"/>
            <c:size val="5"/>
            <c:spPr>
              <a:solidFill>
                <a:schemeClr val="accent2"/>
              </a:solidFill>
              <a:ln w="9525">
                <a:solidFill>
                  <a:schemeClr val="accent2"/>
                </a:solidFill>
              </a:ln>
              <a:effectLst/>
            </c:spPr>
          </c:marker>
          <c:xVal>
            <c:numRef>
              <c:f>Simulacion!$E$2:$T$2</c:f>
              <c:numCache>
                <c:formatCode>General</c:formatCode>
                <c:ptCount val="16"/>
                <c:pt idx="0">
                  <c:v>2000</c:v>
                </c:pt>
                <c:pt idx="1">
                  <c:v>2001</c:v>
                </c:pt>
                <c:pt idx="2">
                  <c:v>2002</c:v>
                </c:pt>
                <c:pt idx="3">
                  <c:v>2003</c:v>
                </c:pt>
                <c:pt idx="4">
                  <c:v>2004</c:v>
                </c:pt>
                <c:pt idx="5">
                  <c:v>2005</c:v>
                </c:pt>
                <c:pt idx="6" formatCode="0">
                  <c:v>2006</c:v>
                </c:pt>
                <c:pt idx="7">
                  <c:v>2007</c:v>
                </c:pt>
                <c:pt idx="8">
                  <c:v>2008</c:v>
                </c:pt>
                <c:pt idx="9">
                  <c:v>2009</c:v>
                </c:pt>
                <c:pt idx="10">
                  <c:v>2010</c:v>
                </c:pt>
                <c:pt idx="11">
                  <c:v>2011</c:v>
                </c:pt>
                <c:pt idx="12">
                  <c:v>2012</c:v>
                </c:pt>
                <c:pt idx="13">
                  <c:v>2013</c:v>
                </c:pt>
                <c:pt idx="14">
                  <c:v>2014</c:v>
                </c:pt>
                <c:pt idx="15">
                  <c:v>2015</c:v>
                </c:pt>
              </c:numCache>
            </c:numRef>
          </c:xVal>
          <c:yVal>
            <c:numRef>
              <c:f>Simulacion!$E$39:$T$39</c:f>
              <c:numCache>
                <c:formatCode>0%</c:formatCode>
                <c:ptCount val="16"/>
                <c:pt idx="0">
                  <c:v>0.595130086132721</c:v>
                </c:pt>
                <c:pt idx="1">
                  <c:v>0.60090139890459904</c:v>
                </c:pt>
                <c:pt idx="2">
                  <c:v>0.60697292778760803</c:v>
                </c:pt>
                <c:pt idx="3">
                  <c:v>0.61328724106737098</c:v>
                </c:pt>
                <c:pt idx="4">
                  <c:v>0.61979300909438395</c:v>
                </c:pt>
                <c:pt idx="5">
                  <c:v>0.62644621094294195</c:v>
                </c:pt>
                <c:pt idx="6">
                  <c:v>0.63319521435105697</c:v>
                </c:pt>
                <c:pt idx="7">
                  <c:v>0.64017000108032596</c:v>
                </c:pt>
                <c:pt idx="8">
                  <c:v>0.64730089347624997</c:v>
                </c:pt>
                <c:pt idx="9">
                  <c:v>0.65451933685701202</c:v>
                </c:pt>
                <c:pt idx="10">
                  <c:v>0.66175942520867503</c:v>
                </c:pt>
                <c:pt idx="11">
                  <c:v>0.66895606128803597</c:v>
                </c:pt>
                <c:pt idx="12">
                  <c:v>0.67623861260512297</c:v>
                </c:pt>
                <c:pt idx="13">
                  <c:v>0.68360114859607302</c:v>
                </c:pt>
                <c:pt idx="14">
                  <c:v>0.69102761584241501</c:v>
                </c:pt>
                <c:pt idx="15">
                  <c:v>0.69850569262598505</c:v>
                </c:pt>
              </c:numCache>
            </c:numRef>
          </c:yVal>
          <c:smooth val="0"/>
        </c:ser>
        <c:dLbls>
          <c:showLegendKey val="0"/>
          <c:showVal val="0"/>
          <c:showCatName val="0"/>
          <c:showSerName val="0"/>
          <c:showPercent val="0"/>
          <c:showBubbleSize val="0"/>
        </c:dLbls>
        <c:axId val="202763648"/>
        <c:axId val="203826688"/>
      </c:scatterChart>
      <c:valAx>
        <c:axId val="202763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826688"/>
        <c:crosses val="autoZero"/>
        <c:crossBetween val="midCat"/>
      </c:valAx>
      <c:valAx>
        <c:axId val="203826688"/>
        <c:scaling>
          <c:orientation val="minMax"/>
          <c:max val="1"/>
          <c:min val="0.5"/>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763648"/>
        <c:crosses val="autoZero"/>
        <c:crossBetween val="midCat"/>
      </c:valAx>
      <c:spPr>
        <a:noFill/>
        <a:ln>
          <a:noFill/>
        </a:ln>
        <a:effectLst/>
      </c:spPr>
    </c:plotArea>
    <c:legend>
      <c:legendPos val="b"/>
      <c:layout>
        <c:manualLayout>
          <c:xMode val="edge"/>
          <c:yMode val="edge"/>
          <c:x val="9.1192010915511199E-2"/>
          <c:y val="0.78021311958647699"/>
          <c:w val="0.75565928523252501"/>
          <c:h val="0.157991877669698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2"/>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400" b="0" i="0" u="none" strike="noStrike" baseline="0">
                <a:effectLst/>
              </a:rPr>
              <a:t>Estimaciones y proyección por género del porcentaje de la población económicamente activa que es asalariada</a:t>
            </a:r>
          </a:p>
        </c:rich>
      </c:tx>
      <c:overlay val="0"/>
      <c:spPr>
        <a:noFill/>
        <a:ln>
          <a:noFill/>
        </a:ln>
        <a:effectLst/>
      </c:spPr>
    </c:title>
    <c:autoTitleDeleted val="0"/>
    <c:plotArea>
      <c:layout>
        <c:manualLayout>
          <c:layoutTarget val="inner"/>
          <c:xMode val="edge"/>
          <c:yMode val="edge"/>
          <c:x val="7.5121282150084595E-2"/>
          <c:y val="0.15567594654599901"/>
          <c:w val="0.89631345079858205"/>
          <c:h val="0.58092670665563395"/>
        </c:manualLayout>
      </c:layout>
      <c:scatterChart>
        <c:scatterStyle val="lineMarker"/>
        <c:varyColors val="0"/>
        <c:ser>
          <c:idx val="2"/>
          <c:order val="0"/>
          <c:tx>
            <c:v>Pronóstico</c:v>
          </c:tx>
          <c:spPr>
            <a:ln w="25400" cap="rnd">
              <a:noFill/>
              <a:round/>
            </a:ln>
            <a:effectLst/>
          </c:spPr>
          <c:marker>
            <c:symbol val="circle"/>
            <c:size val="5"/>
            <c:spPr>
              <a:solidFill>
                <a:schemeClr val="accent3"/>
              </a:solidFill>
              <a:ln w="9525">
                <a:solidFill>
                  <a:schemeClr val="accent3"/>
                </a:solidFill>
              </a:ln>
              <a:effectLst/>
            </c:spPr>
          </c:marker>
          <c:xVal>
            <c:numRef>
              <c:f>Simulacion!$Q$2:$AM$2</c:f>
              <c:numCache>
                <c:formatCode>General</c:formatCode>
                <c:ptCount val="23"/>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numCache>
            </c:numRef>
          </c:xVal>
          <c:yVal>
            <c:numRef>
              <c:f>Simulacion!$Q$40:$AM$40</c:f>
              <c:numCache>
                <c:formatCode>_-* #.##00_-;\-* #.##00_-;_-* "-"?_-;_-@_-</c:formatCode>
                <c:ptCount val="23"/>
                <c:pt idx="0">
                  <c:v>0.38257334420258399</c:v>
                </c:pt>
                <c:pt idx="1">
                  <c:v>0.37800908641966502</c:v>
                </c:pt>
                <c:pt idx="2">
                  <c:v>0.373444828636746</c:v>
                </c:pt>
                <c:pt idx="3">
                  <c:v>0.36888057085382903</c:v>
                </c:pt>
                <c:pt idx="4">
                  <c:v>0.36431631307091</c:v>
                </c:pt>
                <c:pt idx="5">
                  <c:v>0.35975205528799098</c:v>
                </c:pt>
                <c:pt idx="6">
                  <c:v>0.35518779750507301</c:v>
                </c:pt>
                <c:pt idx="7">
                  <c:v>0.35062353972215399</c:v>
                </c:pt>
                <c:pt idx="8">
                  <c:v>0.34605928193923502</c:v>
                </c:pt>
                <c:pt idx="9">
                  <c:v>0.341495024156316</c:v>
                </c:pt>
                <c:pt idx="10">
                  <c:v>0.33693076637339697</c:v>
                </c:pt>
                <c:pt idx="11">
                  <c:v>0.332366508590479</c:v>
                </c:pt>
                <c:pt idx="12">
                  <c:v>0.32780225080756198</c:v>
                </c:pt>
                <c:pt idx="13">
                  <c:v>0.32323799302464301</c:v>
                </c:pt>
                <c:pt idx="14">
                  <c:v>0.31867373524172399</c:v>
                </c:pt>
                <c:pt idx="15">
                  <c:v>0.31410947745880502</c:v>
                </c:pt>
                <c:pt idx="16">
                  <c:v>0.309545219675886</c:v>
                </c:pt>
                <c:pt idx="17">
                  <c:v>0.30498096189296803</c:v>
                </c:pt>
                <c:pt idx="18">
                  <c:v>0.300416704110049</c:v>
                </c:pt>
                <c:pt idx="19">
                  <c:v>0.29585244632712998</c:v>
                </c:pt>
                <c:pt idx="20">
                  <c:v>0.29128818854421101</c:v>
                </c:pt>
                <c:pt idx="21">
                  <c:v>0.28672393076129199</c:v>
                </c:pt>
                <c:pt idx="22">
                  <c:v>0.28215967297837502</c:v>
                </c:pt>
              </c:numCache>
            </c:numRef>
          </c:yVal>
          <c:smooth val="0"/>
        </c:ser>
        <c:ser>
          <c:idx val="3"/>
          <c:order val="1"/>
          <c:tx>
            <c:v>Pronóstico</c:v>
          </c:tx>
          <c:spPr>
            <a:ln w="25400" cap="rnd">
              <a:noFill/>
              <a:round/>
            </a:ln>
            <a:effectLst/>
          </c:spPr>
          <c:marker>
            <c:symbol val="circle"/>
            <c:size val="5"/>
            <c:spPr>
              <a:solidFill>
                <a:schemeClr val="accent4"/>
              </a:solidFill>
              <a:ln w="9525">
                <a:solidFill>
                  <a:schemeClr val="accent4"/>
                </a:solidFill>
              </a:ln>
              <a:effectLst/>
            </c:spPr>
          </c:marker>
          <c:xVal>
            <c:numRef>
              <c:f>Simulacion!$Q$2:$AM$2</c:f>
              <c:numCache>
                <c:formatCode>General</c:formatCode>
                <c:ptCount val="23"/>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pt idx="14">
                  <c:v>2026</c:v>
                </c:pt>
                <c:pt idx="15">
                  <c:v>2027</c:v>
                </c:pt>
                <c:pt idx="16">
                  <c:v>2028</c:v>
                </c:pt>
                <c:pt idx="17">
                  <c:v>2029</c:v>
                </c:pt>
                <c:pt idx="18">
                  <c:v>2030</c:v>
                </c:pt>
                <c:pt idx="19">
                  <c:v>2031</c:v>
                </c:pt>
                <c:pt idx="20">
                  <c:v>2032</c:v>
                </c:pt>
                <c:pt idx="21">
                  <c:v>2033</c:v>
                </c:pt>
                <c:pt idx="22">
                  <c:v>2034</c:v>
                </c:pt>
              </c:numCache>
            </c:numRef>
          </c:xVal>
          <c:yVal>
            <c:numRef>
              <c:f>Simulacion!$Q$41:$AM$41</c:f>
              <c:numCache>
                <c:formatCode>0,000%</c:formatCode>
                <c:ptCount val="23"/>
                <c:pt idx="0">
                  <c:v>0.47558142149678001</c:v>
                </c:pt>
                <c:pt idx="1">
                  <c:v>0.47519152012438098</c:v>
                </c:pt>
                <c:pt idx="2">
                  <c:v>0.47480161875198201</c:v>
                </c:pt>
                <c:pt idx="3">
                  <c:v>0.47441171737958399</c:v>
                </c:pt>
                <c:pt idx="4">
                  <c:v>0.47402181600718502</c:v>
                </c:pt>
                <c:pt idx="5">
                  <c:v>0.47363191463478599</c:v>
                </c:pt>
                <c:pt idx="6">
                  <c:v>0.47324201326238802</c:v>
                </c:pt>
                <c:pt idx="7">
                  <c:v>0.47285211188998899</c:v>
                </c:pt>
                <c:pt idx="8">
                  <c:v>0.47246221051759002</c:v>
                </c:pt>
                <c:pt idx="9">
                  <c:v>0.47207230914519099</c:v>
                </c:pt>
                <c:pt idx="10">
                  <c:v>0.47168240777279302</c:v>
                </c:pt>
                <c:pt idx="11">
                  <c:v>0.471292506400394</c:v>
                </c:pt>
                <c:pt idx="12">
                  <c:v>0.47090260502799502</c:v>
                </c:pt>
                <c:pt idx="13">
                  <c:v>0.470512703655597</c:v>
                </c:pt>
                <c:pt idx="14">
                  <c:v>0.47012280228319803</c:v>
                </c:pt>
                <c:pt idx="15">
                  <c:v>0.469732900910799</c:v>
                </c:pt>
                <c:pt idx="16">
                  <c:v>0.46934299953839997</c:v>
                </c:pt>
                <c:pt idx="17">
                  <c:v>0.468953098166002</c:v>
                </c:pt>
                <c:pt idx="18">
                  <c:v>0.46856319679360298</c:v>
                </c:pt>
                <c:pt idx="19">
                  <c:v>0.46817329542120401</c:v>
                </c:pt>
                <c:pt idx="20">
                  <c:v>0.46778339404880598</c:v>
                </c:pt>
                <c:pt idx="21">
                  <c:v>0.46739349267640701</c:v>
                </c:pt>
                <c:pt idx="22">
                  <c:v>0.46700359130400798</c:v>
                </c:pt>
              </c:numCache>
            </c:numRef>
          </c:yVal>
          <c:smooth val="0"/>
        </c:ser>
        <c:ser>
          <c:idx val="0"/>
          <c:order val="2"/>
          <c:tx>
            <c:strRef>
              <c:f>Simulacion!$C$40</c:f>
              <c:strCache>
                <c:ptCount val="1"/>
                <c:pt idx="0">
                  <c:v>Asalariados Hombres'/'Activos' </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forward val="20"/>
            <c:dispRSqr val="1"/>
            <c:dispEq val="1"/>
            <c:trendlineLbl>
              <c:layout>
                <c:manualLayout>
                  <c:x val="1.1962865753732701E-2"/>
                  <c:y val="4.4041526091035198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Simulacion!$E$2:$P$2</c:f>
              <c:numCache>
                <c:formatCode>General</c:formatCode>
                <c:ptCount val="12"/>
                <c:pt idx="0">
                  <c:v>2000</c:v>
                </c:pt>
                <c:pt idx="1">
                  <c:v>2001</c:v>
                </c:pt>
                <c:pt idx="2">
                  <c:v>2002</c:v>
                </c:pt>
                <c:pt idx="3">
                  <c:v>2003</c:v>
                </c:pt>
                <c:pt idx="4">
                  <c:v>2004</c:v>
                </c:pt>
                <c:pt idx="5">
                  <c:v>2005</c:v>
                </c:pt>
                <c:pt idx="6" formatCode="0">
                  <c:v>2006</c:v>
                </c:pt>
                <c:pt idx="7">
                  <c:v>2007</c:v>
                </c:pt>
                <c:pt idx="8">
                  <c:v>2008</c:v>
                </c:pt>
                <c:pt idx="9">
                  <c:v>2009</c:v>
                </c:pt>
                <c:pt idx="10">
                  <c:v>2010</c:v>
                </c:pt>
                <c:pt idx="11">
                  <c:v>2011</c:v>
                </c:pt>
              </c:numCache>
            </c:numRef>
          </c:xVal>
          <c:yVal>
            <c:numRef>
              <c:f>Simulacion!$E$40:$P$40</c:f>
              <c:numCache>
                <c:formatCode>0%</c:formatCode>
                <c:ptCount val="12"/>
                <c:pt idx="0">
                  <c:v>0.45402722169080301</c:v>
                </c:pt>
                <c:pt idx="1">
                  <c:v>0.430748047821151</c:v>
                </c:pt>
                <c:pt idx="2">
                  <c:v>0.41868177899944298</c:v>
                </c:pt>
                <c:pt idx="3">
                  <c:v>0.40424712422808701</c:v>
                </c:pt>
                <c:pt idx="4">
                  <c:v>0.42665889723091199</c:v>
                </c:pt>
                <c:pt idx="5">
                  <c:v>0.40556742395533002</c:v>
                </c:pt>
                <c:pt idx="6">
                  <c:v>0.41174941819706701</c:v>
                </c:pt>
                <c:pt idx="7">
                  <c:v>0.42636500499541702</c:v>
                </c:pt>
                <c:pt idx="8">
                  <c:v>0.404877618424059</c:v>
                </c:pt>
                <c:pt idx="9">
                  <c:v>0.38628100949063998</c:v>
                </c:pt>
                <c:pt idx="10">
                  <c:v>0.38528443800115802</c:v>
                </c:pt>
                <c:pt idx="11">
                  <c:v>0.39240425446459498</c:v>
                </c:pt>
              </c:numCache>
            </c:numRef>
          </c:yVal>
          <c:smooth val="0"/>
        </c:ser>
        <c:ser>
          <c:idx val="1"/>
          <c:order val="3"/>
          <c:tx>
            <c:strRef>
              <c:f>Simulacion!$C$41</c:f>
              <c:strCache>
                <c:ptCount val="1"/>
                <c:pt idx="0">
                  <c:v>Asalariadas Mujeres'/'Activas' </c:v>
                </c:pt>
              </c:strCache>
            </c:strRef>
          </c:tx>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forward val="20"/>
            <c:dispRSqr val="1"/>
            <c:dispEq val="1"/>
            <c:trendlineLbl>
              <c:layout>
                <c:manualLayout>
                  <c:x val="0.14244876633561501"/>
                  <c:y val="-8.328006229351289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Simulacion!$E$2:$P$2</c:f>
              <c:numCache>
                <c:formatCode>General</c:formatCode>
                <c:ptCount val="12"/>
                <c:pt idx="0">
                  <c:v>2000</c:v>
                </c:pt>
                <c:pt idx="1">
                  <c:v>2001</c:v>
                </c:pt>
                <c:pt idx="2">
                  <c:v>2002</c:v>
                </c:pt>
                <c:pt idx="3">
                  <c:v>2003</c:v>
                </c:pt>
                <c:pt idx="4">
                  <c:v>2004</c:v>
                </c:pt>
                <c:pt idx="5">
                  <c:v>2005</c:v>
                </c:pt>
                <c:pt idx="6" formatCode="0">
                  <c:v>2006</c:v>
                </c:pt>
                <c:pt idx="7">
                  <c:v>2007</c:v>
                </c:pt>
                <c:pt idx="8">
                  <c:v>2008</c:v>
                </c:pt>
                <c:pt idx="9">
                  <c:v>2009</c:v>
                </c:pt>
                <c:pt idx="10">
                  <c:v>2010</c:v>
                </c:pt>
                <c:pt idx="11">
                  <c:v>2011</c:v>
                </c:pt>
              </c:numCache>
            </c:numRef>
          </c:xVal>
          <c:yVal>
            <c:numRef>
              <c:f>Simulacion!$E$41:$P$41</c:f>
              <c:numCache>
                <c:formatCode>0,000%</c:formatCode>
                <c:ptCount val="12"/>
                <c:pt idx="0">
                  <c:v>0.48386813095089098</c:v>
                </c:pt>
                <c:pt idx="1">
                  <c:v>0.509381722931041</c:v>
                </c:pt>
                <c:pt idx="2">
                  <c:v>0.46871901576617497</c:v>
                </c:pt>
                <c:pt idx="3">
                  <c:v>0.47781182850607301</c:v>
                </c:pt>
                <c:pt idx="4">
                  <c:v>0.47312835223674699</c:v>
                </c:pt>
                <c:pt idx="5">
                  <c:v>0.47262051436585401</c:v>
                </c:pt>
                <c:pt idx="6">
                  <c:v>0.45226524388550998</c:v>
                </c:pt>
                <c:pt idx="7">
                  <c:v>0.47709466655325999</c:v>
                </c:pt>
                <c:pt idx="8">
                  <c:v>0.475358029317269</c:v>
                </c:pt>
                <c:pt idx="9">
                  <c:v>0.46431328284093498</c:v>
                </c:pt>
                <c:pt idx="10">
                  <c:v>0.482037872958549</c:v>
                </c:pt>
                <c:pt idx="11">
                  <c:v>0.50079070469615405</c:v>
                </c:pt>
              </c:numCache>
            </c:numRef>
          </c:yVal>
          <c:smooth val="0"/>
        </c:ser>
        <c:dLbls>
          <c:showLegendKey val="0"/>
          <c:showVal val="0"/>
          <c:showCatName val="0"/>
          <c:showSerName val="0"/>
          <c:showPercent val="0"/>
          <c:showBubbleSize val="0"/>
        </c:dLbls>
        <c:axId val="203873664"/>
        <c:axId val="203883648"/>
      </c:scatterChart>
      <c:valAx>
        <c:axId val="203873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883648"/>
        <c:crosses val="autoZero"/>
        <c:crossBetween val="midCat"/>
      </c:valAx>
      <c:valAx>
        <c:axId val="203883648"/>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873664"/>
        <c:crosses val="autoZero"/>
        <c:crossBetween val="midCat"/>
      </c:valAx>
      <c:spPr>
        <a:noFill/>
        <a:ln>
          <a:noFill/>
        </a:ln>
        <a:effectLst/>
      </c:spPr>
    </c:plotArea>
    <c:legend>
      <c:legendPos val="b"/>
      <c:layout>
        <c:manualLayout>
          <c:xMode val="edge"/>
          <c:yMode val="edge"/>
          <c:x val="8.47165118086559E-2"/>
          <c:y val="0.81991241772164203"/>
          <c:w val="0.78629798670300999"/>
          <c:h val="0.157991877669698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400" b="0" i="0" u="none" strike="noStrike" baseline="0">
                <a:effectLst/>
              </a:rPr>
              <a:t>Estimaciones y proyección por género del porcentaje de la población asalariada que es titular</a:t>
            </a:r>
          </a:p>
        </c:rich>
      </c:tx>
      <c:overlay val="0"/>
      <c:spPr>
        <a:noFill/>
        <a:ln>
          <a:noFill/>
        </a:ln>
        <a:effectLst/>
      </c:spPr>
    </c:title>
    <c:autoTitleDeleted val="0"/>
    <c:plotArea>
      <c:layout>
        <c:manualLayout>
          <c:layoutTarget val="inner"/>
          <c:xMode val="edge"/>
          <c:yMode val="edge"/>
          <c:x val="7.5121282150084595E-2"/>
          <c:y val="0.15567594654599901"/>
          <c:w val="0.868239636190411"/>
          <c:h val="0.74357348555540903"/>
        </c:manualLayout>
      </c:layout>
      <c:scatterChart>
        <c:scatterStyle val="lineMarker"/>
        <c:varyColors val="0"/>
        <c:ser>
          <c:idx val="2"/>
          <c:order val="0"/>
          <c:tx>
            <c:strRef>
              <c:f>Parametros!$X$80</c:f>
              <c:strCache>
                <c:ptCount val="1"/>
                <c:pt idx="0">
                  <c:v>Tendencia y=0.144*Log(x-2006)+0.452 
R² =0.948</c:v>
                </c:pt>
              </c:strCache>
            </c:strRef>
          </c:tx>
          <c:spPr>
            <a:ln w="25400" cap="rnd">
              <a:noFill/>
              <a:round/>
            </a:ln>
            <a:effectLst/>
          </c:spPr>
          <c:marker>
            <c:symbol val="circle"/>
            <c:size val="5"/>
            <c:spPr>
              <a:solidFill>
                <a:schemeClr val="accent3"/>
              </a:solidFill>
              <a:ln w="9525">
                <a:solidFill>
                  <a:schemeClr val="accent3"/>
                </a:solidFill>
              </a:ln>
              <a:effectLst/>
            </c:spPr>
          </c:marker>
          <c:xVal>
            <c:numRef>
              <c:f>Simulacion!$T$2:$AM$2</c:f>
              <c:numCache>
                <c:formatCode>General</c:formatCode>
                <c:ptCount val="20"/>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numCache>
            </c:numRef>
          </c:xVal>
          <c:yVal>
            <c:numRef>
              <c:f>Simulacion!$T$45:$AM$45</c:f>
              <c:numCache>
                <c:formatCode>_-* #.##00_-;\-* #.##00_-;_-* "-"?_-;_-@_-</c:formatCode>
                <c:ptCount val="20"/>
                <c:pt idx="0">
                  <c:v>0.58959976795396296</c:v>
                </c:pt>
                <c:pt idx="1">
                  <c:v>0.59620504849622202</c:v>
                </c:pt>
                <c:pt idx="2">
                  <c:v>0.60218025156171695</c:v>
                </c:pt>
                <c:pt idx="3">
                  <c:v>0.60763518457714905</c:v>
                </c:pt>
                <c:pt idx="4">
                  <c:v>0.61265323651287396</c:v>
                </c:pt>
                <c:pt idx="5">
                  <c:v>0.61729922693382999</c:v>
                </c:pt>
                <c:pt idx="6">
                  <c:v>0.62162454053676797</c:v>
                </c:pt>
                <c:pt idx="7">
                  <c:v>0.62567060120033402</c:v>
                </c:pt>
                <c:pt idx="8">
                  <c:v>0.62947129097833798</c:v>
                </c:pt>
                <c:pt idx="9">
                  <c:v>0.63305467661769399</c:v>
                </c:pt>
                <c:pt idx="10">
                  <c:v>0.63644426865225101</c:v>
                </c:pt>
                <c:pt idx="11">
                  <c:v>0.63965995715995305</c:v>
                </c:pt>
                <c:pt idx="12">
                  <c:v>0.64271871897437605</c:v>
                </c:pt>
                <c:pt idx="13">
                  <c:v>0.64563516022544798</c:v>
                </c:pt>
                <c:pt idx="14">
                  <c:v>0.64842193818059601</c:v>
                </c:pt>
                <c:pt idx="15">
                  <c:v>0.65109009324087996</c:v>
                </c:pt>
                <c:pt idx="16">
                  <c:v>0.65364931311957297</c:v>
                </c:pt>
                <c:pt idx="17">
                  <c:v>0.65610814517660399</c:v>
                </c:pt>
                <c:pt idx="18">
                  <c:v>0.65847416865823905</c:v>
                </c:pt>
                <c:pt idx="19">
                  <c:v>0.66075413559756102</c:v>
                </c:pt>
              </c:numCache>
            </c:numRef>
          </c:yVal>
          <c:smooth val="0"/>
        </c:ser>
        <c:ser>
          <c:idx val="3"/>
          <c:order val="1"/>
          <c:tx>
            <c:strRef>
              <c:f>Parametros!$X$79</c:f>
              <c:strCache>
                <c:ptCount val="1"/>
                <c:pt idx="0">
                  <c:v>Tendencia y=0.275*Log(x-2006)+0.454 
R² =0.977</c:v>
                </c:pt>
              </c:strCache>
            </c:strRef>
          </c:tx>
          <c:spPr>
            <a:ln w="25400" cap="rnd">
              <a:noFill/>
              <a:round/>
            </a:ln>
            <a:effectLst/>
          </c:spPr>
          <c:marker>
            <c:symbol val="circle"/>
            <c:size val="5"/>
            <c:spPr>
              <a:solidFill>
                <a:schemeClr val="accent4"/>
              </a:solidFill>
              <a:ln w="9525">
                <a:solidFill>
                  <a:schemeClr val="accent4"/>
                </a:solidFill>
              </a:ln>
              <a:effectLst/>
            </c:spPr>
          </c:marker>
          <c:xVal>
            <c:numRef>
              <c:f>Simulacion!$T$2:$AM$2</c:f>
              <c:numCache>
                <c:formatCode>General</c:formatCode>
                <c:ptCount val="20"/>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numCache>
            </c:numRef>
          </c:xVal>
          <c:yVal>
            <c:numRef>
              <c:f>Simulacion!$T$44:$AM$44</c:f>
              <c:numCache>
                <c:formatCode>_-* #.##00_-;\-* #.##00_-;_-* "-"?_-;_-@_-</c:formatCode>
                <c:ptCount val="20"/>
                <c:pt idx="0">
                  <c:v>0.71649176115607605</c:v>
                </c:pt>
                <c:pt idx="1">
                  <c:v>0.72909304163711997</c:v>
                </c:pt>
                <c:pt idx="2">
                  <c:v>0.74049228641980103</c:v>
                </c:pt>
                <c:pt idx="3">
                  <c:v>0.75089898156211599</c:v>
                </c:pt>
                <c:pt idx="4">
                  <c:v>0.76047221308588897</c:v>
                </c:pt>
                <c:pt idx="5">
                  <c:v>0.76933564107083996</c:v>
                </c:pt>
                <c:pt idx="6">
                  <c:v>0.77758729511193403</c:v>
                </c:pt>
                <c:pt idx="7">
                  <c:v>0.78530620196815604</c:v>
                </c:pt>
                <c:pt idx="8">
                  <c:v>0.79255700041761601</c:v>
                </c:pt>
                <c:pt idx="9">
                  <c:v>0.79939323503693005</c:v>
                </c:pt>
                <c:pt idx="10">
                  <c:v>0.80585975824824496</c:v>
                </c:pt>
                <c:pt idx="11">
                  <c:v>0.81199451551797397</c:v>
                </c:pt>
                <c:pt idx="12">
                  <c:v>0.81782989454565402</c:v>
                </c:pt>
                <c:pt idx="13">
                  <c:v>0.82339376030065503</c:v>
                </c:pt>
                <c:pt idx="14">
                  <c:v>0.82871025979322599</c:v>
                </c:pt>
                <c:pt idx="15">
                  <c:v>0.83380045544297099</c:v>
                </c:pt>
                <c:pt idx="16">
                  <c:v>0.83868282906779201</c:v>
                </c:pt>
                <c:pt idx="17">
                  <c:v>0.84337368696674297</c:v>
                </c:pt>
                <c:pt idx="18">
                  <c:v>0.847887488511745</c:v>
                </c:pt>
                <c:pt idx="19">
                  <c:v>0.85223711495169396</c:v>
                </c:pt>
              </c:numCache>
            </c:numRef>
          </c:yVal>
          <c:smooth val="0"/>
        </c:ser>
        <c:ser>
          <c:idx val="0"/>
          <c:order val="2"/>
          <c:tx>
            <c:strRef>
              <c:f>Simulacion!$C$45</c:f>
              <c:strCache>
                <c:ptCount val="1"/>
                <c:pt idx="0">
                  <c:v>Mujes titulares' /asalariados</c:v>
                </c:pt>
              </c:strCache>
            </c:strRef>
          </c:tx>
          <c:spPr>
            <a:ln w="25400" cap="rnd">
              <a:noFill/>
              <a:round/>
            </a:ln>
            <a:effectLst/>
          </c:spPr>
          <c:marker>
            <c:symbol val="circle"/>
            <c:size val="5"/>
            <c:spPr>
              <a:solidFill>
                <a:schemeClr val="accent1"/>
              </a:solidFill>
              <a:ln w="9525">
                <a:solidFill>
                  <a:schemeClr val="accent1"/>
                </a:solidFill>
              </a:ln>
              <a:effectLst/>
            </c:spPr>
          </c:marker>
          <c:xVal>
            <c:numRef>
              <c:f>Simulacion!$L$2:$S$2</c:f>
              <c:numCache>
                <c:formatCode>General</c:formatCode>
                <c:ptCount val="8"/>
                <c:pt idx="0">
                  <c:v>2007</c:v>
                </c:pt>
                <c:pt idx="1">
                  <c:v>2008</c:v>
                </c:pt>
                <c:pt idx="2">
                  <c:v>2009</c:v>
                </c:pt>
                <c:pt idx="3">
                  <c:v>2010</c:v>
                </c:pt>
                <c:pt idx="4">
                  <c:v>2011</c:v>
                </c:pt>
                <c:pt idx="5">
                  <c:v>2012</c:v>
                </c:pt>
                <c:pt idx="6">
                  <c:v>2013</c:v>
                </c:pt>
                <c:pt idx="7">
                  <c:v>2014</c:v>
                </c:pt>
              </c:numCache>
            </c:numRef>
          </c:xVal>
          <c:yVal>
            <c:numRef>
              <c:f>Simulacion!$L$45:$S$45</c:f>
              <c:numCache>
                <c:formatCode>0%</c:formatCode>
                <c:ptCount val="8"/>
                <c:pt idx="0">
                  <c:v>0.45414153360187998</c:v>
                </c:pt>
                <c:pt idx="1">
                  <c:v>0.49355552305199502</c:v>
                </c:pt>
                <c:pt idx="2">
                  <c:v>0.52900651682674504</c:v>
                </c:pt>
                <c:pt idx="3">
                  <c:v>0.53927765378682102</c:v>
                </c:pt>
                <c:pt idx="4">
                  <c:v>0.53053873662770501</c:v>
                </c:pt>
                <c:pt idx="5">
                  <c:v>0.560146730673033</c:v>
                </c:pt>
                <c:pt idx="6">
                  <c:v>0.57970482127598599</c:v>
                </c:pt>
                <c:pt idx="7">
                  <c:v>0.59326190358555597</c:v>
                </c:pt>
              </c:numCache>
            </c:numRef>
          </c:yVal>
          <c:smooth val="0"/>
        </c:ser>
        <c:ser>
          <c:idx val="1"/>
          <c:order val="3"/>
          <c:tx>
            <c:strRef>
              <c:f>Simulacion!$C$44</c:f>
              <c:strCache>
                <c:ptCount val="1"/>
                <c:pt idx="0">
                  <c:v>Hombres titulares' /asalariados</c:v>
                </c:pt>
              </c:strCache>
            </c:strRef>
          </c:tx>
          <c:spPr>
            <a:ln w="25400" cap="rnd">
              <a:noFill/>
              <a:round/>
            </a:ln>
            <a:effectLst/>
          </c:spPr>
          <c:marker>
            <c:symbol val="circle"/>
            <c:size val="5"/>
            <c:spPr>
              <a:solidFill>
                <a:schemeClr val="accent2"/>
              </a:solidFill>
              <a:ln w="9525">
                <a:solidFill>
                  <a:schemeClr val="accent2"/>
                </a:solidFill>
              </a:ln>
              <a:effectLst/>
            </c:spPr>
          </c:marker>
          <c:xVal>
            <c:numRef>
              <c:f>Simulacion!$L$2:$S$2</c:f>
              <c:numCache>
                <c:formatCode>General</c:formatCode>
                <c:ptCount val="8"/>
                <c:pt idx="0">
                  <c:v>2007</c:v>
                </c:pt>
                <c:pt idx="1">
                  <c:v>2008</c:v>
                </c:pt>
                <c:pt idx="2">
                  <c:v>2009</c:v>
                </c:pt>
                <c:pt idx="3">
                  <c:v>2010</c:v>
                </c:pt>
                <c:pt idx="4">
                  <c:v>2011</c:v>
                </c:pt>
                <c:pt idx="5">
                  <c:v>2012</c:v>
                </c:pt>
                <c:pt idx="6">
                  <c:v>2013</c:v>
                </c:pt>
                <c:pt idx="7">
                  <c:v>2014</c:v>
                </c:pt>
              </c:numCache>
            </c:numRef>
          </c:xVal>
          <c:yVal>
            <c:numRef>
              <c:f>Simulacion!$L$44:$S$44</c:f>
              <c:numCache>
                <c:formatCode>0%</c:formatCode>
                <c:ptCount val="8"/>
                <c:pt idx="0">
                  <c:v>0.468479952711297</c:v>
                </c:pt>
                <c:pt idx="1">
                  <c:v>0.52368082925285198</c:v>
                </c:pt>
                <c:pt idx="2">
                  <c:v>0.57759688207040405</c:v>
                </c:pt>
                <c:pt idx="3">
                  <c:v>0.62463114754098403</c:v>
                </c:pt>
                <c:pt idx="4">
                  <c:v>0.63051977054168395</c:v>
                </c:pt>
                <c:pt idx="5">
                  <c:v>0.65940798843521498</c:v>
                </c:pt>
                <c:pt idx="6">
                  <c:v>0.69255022744082795</c:v>
                </c:pt>
                <c:pt idx="7">
                  <c:v>0.72106254749873699</c:v>
                </c:pt>
              </c:numCache>
            </c:numRef>
          </c:yVal>
          <c:smooth val="0"/>
        </c:ser>
        <c:dLbls>
          <c:showLegendKey val="0"/>
          <c:showVal val="0"/>
          <c:showCatName val="0"/>
          <c:showSerName val="0"/>
          <c:showPercent val="0"/>
          <c:showBubbleSize val="0"/>
        </c:dLbls>
        <c:axId val="203924992"/>
        <c:axId val="203926912"/>
      </c:scatterChart>
      <c:valAx>
        <c:axId val="203924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26912"/>
        <c:crosses val="autoZero"/>
        <c:crossBetween val="midCat"/>
      </c:valAx>
      <c:valAx>
        <c:axId val="203926912"/>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924992"/>
        <c:crosses val="autoZero"/>
        <c:crossBetween val="midCat"/>
      </c:valAx>
      <c:spPr>
        <a:noFill/>
        <a:ln>
          <a:noFill/>
        </a:ln>
        <a:effectLst/>
      </c:spPr>
    </c:plotArea>
    <c:legend>
      <c:legendPos val="b"/>
      <c:layout>
        <c:manualLayout>
          <c:xMode val="edge"/>
          <c:yMode val="edge"/>
          <c:x val="0.11304396707794501"/>
          <c:y val="0.65163681253722805"/>
          <c:w val="0.78629798670300999"/>
          <c:h val="0.157991877669698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Simulacion!$C$41</c:f>
              <c:strCache>
                <c:ptCount val="1"/>
                <c:pt idx="0">
                  <c:v>Promedio Anual Afiliados RC Hombres Titulares</c:v>
                </c:pt>
              </c:strCache>
            </c:strRef>
          </c:tx>
          <c:spPr>
            <a:solidFill>
              <a:schemeClr val="accent2"/>
            </a:solidFill>
            <a:ln>
              <a:noFill/>
            </a:ln>
            <a:effectLst/>
          </c:spPr>
          <c:invertIfNegative val="0"/>
          <c:cat>
            <c:numRef>
              <c:f>Simulacion!$L$2:$AN$2</c:f>
              <c:numCache>
                <c:formatCode>General</c:formatCode>
                <c:ptCount val="29"/>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pt idx="18">
                  <c:v>2025</c:v>
                </c:pt>
                <c:pt idx="19">
                  <c:v>2026</c:v>
                </c:pt>
                <c:pt idx="20">
                  <c:v>2027</c:v>
                </c:pt>
                <c:pt idx="21">
                  <c:v>2028</c:v>
                </c:pt>
                <c:pt idx="22">
                  <c:v>2029</c:v>
                </c:pt>
                <c:pt idx="23">
                  <c:v>2030</c:v>
                </c:pt>
                <c:pt idx="24">
                  <c:v>2031</c:v>
                </c:pt>
                <c:pt idx="25">
                  <c:v>2032</c:v>
                </c:pt>
                <c:pt idx="26">
                  <c:v>2033</c:v>
                </c:pt>
                <c:pt idx="27">
                  <c:v>2034</c:v>
                </c:pt>
                <c:pt idx="28">
                  <c:v>2035</c:v>
                </c:pt>
              </c:numCache>
            </c:numRef>
          </c:cat>
          <c:val>
            <c:numRef>
              <c:f>Simulacion!$L$41:$AN$41</c:f>
              <c:numCache>
                <c:formatCode>_(* #.##0_);_(* \(#.##0\);_(* "-"??_);_(@_)</c:formatCode>
                <c:ptCount val="29"/>
                <c:pt idx="0">
                  <c:v>508813.5</c:v>
                </c:pt>
                <c:pt idx="1">
                  <c:v>550356.08333333349</c:v>
                </c:pt>
                <c:pt idx="2">
                  <c:v>589885.83333333384</c:v>
                </c:pt>
                <c:pt idx="3">
                  <c:v>647742.5</c:v>
                </c:pt>
                <c:pt idx="4">
                  <c:v>677622.75</c:v>
                </c:pt>
                <c:pt idx="5">
                  <c:v>702775.83333333384</c:v>
                </c:pt>
                <c:pt idx="6">
                  <c:v>741521.75</c:v>
                </c:pt>
                <c:pt idx="7">
                  <c:v>775209.66666666698</c:v>
                </c:pt>
                <c:pt idx="8">
                  <c:v>773017.44608679705</c:v>
                </c:pt>
                <c:pt idx="9">
                  <c:v>779138.28746880207</c:v>
                </c:pt>
                <c:pt idx="10">
                  <c:v>791811.32098990516</c:v>
                </c:pt>
                <c:pt idx="11">
                  <c:v>802980.68397025706</c:v>
                </c:pt>
                <c:pt idx="12">
                  <c:v>812804.63324201503</c:v>
                </c:pt>
                <c:pt idx="13">
                  <c:v>821406.83119805879</c:v>
                </c:pt>
                <c:pt idx="14">
                  <c:v>828886.07284471777</c:v>
                </c:pt>
                <c:pt idx="15">
                  <c:v>835322.84273664944</c:v>
                </c:pt>
                <c:pt idx="16">
                  <c:v>840783.86289753602</c:v>
                </c:pt>
                <c:pt idx="17">
                  <c:v>845325.3256952418</c:v>
                </c:pt>
                <c:pt idx="18">
                  <c:v>848995.24152780545</c:v>
                </c:pt>
                <c:pt idx="19">
                  <c:v>851835.17594767758</c:v>
                </c:pt>
                <c:pt idx="20">
                  <c:v>853881.55650238902</c:v>
                </c:pt>
                <c:pt idx="21">
                  <c:v>855166.67050110723</c:v>
                </c:pt>
                <c:pt idx="22">
                  <c:v>855719.43695471098</c:v>
                </c:pt>
                <c:pt idx="23">
                  <c:v>855566.01096791215</c:v>
                </c:pt>
                <c:pt idx="24">
                  <c:v>854730.26208812778</c:v>
                </c:pt>
                <c:pt idx="25">
                  <c:v>853234.15663380094</c:v>
                </c:pt>
                <c:pt idx="26">
                  <c:v>851098.06602954795</c:v>
                </c:pt>
                <c:pt idx="27">
                  <c:v>848341.01752059301</c:v>
                </c:pt>
                <c:pt idx="28">
                  <c:v>844980.89957950672</c:v>
                </c:pt>
              </c:numCache>
            </c:numRef>
          </c:val>
        </c:ser>
        <c:ser>
          <c:idx val="2"/>
          <c:order val="1"/>
          <c:tx>
            <c:strRef>
              <c:f>Simulacion!$C$42</c:f>
              <c:strCache>
                <c:ptCount val="1"/>
                <c:pt idx="0">
                  <c:v>Promedio Anual Afiliados RC Mujeres Titulares</c:v>
                </c:pt>
              </c:strCache>
            </c:strRef>
          </c:tx>
          <c:spPr>
            <a:solidFill>
              <a:schemeClr val="accent3"/>
            </a:solidFill>
            <a:ln>
              <a:noFill/>
            </a:ln>
            <a:effectLst/>
          </c:spPr>
          <c:invertIfNegative val="0"/>
          <c:cat>
            <c:numRef>
              <c:f>Simulacion!$L$2:$AN$2</c:f>
              <c:numCache>
                <c:formatCode>General</c:formatCode>
                <c:ptCount val="29"/>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pt idx="18">
                  <c:v>2025</c:v>
                </c:pt>
                <c:pt idx="19">
                  <c:v>2026</c:v>
                </c:pt>
                <c:pt idx="20">
                  <c:v>2027</c:v>
                </c:pt>
                <c:pt idx="21">
                  <c:v>2028</c:v>
                </c:pt>
                <c:pt idx="22">
                  <c:v>2029</c:v>
                </c:pt>
                <c:pt idx="23">
                  <c:v>2030</c:v>
                </c:pt>
                <c:pt idx="24">
                  <c:v>2031</c:v>
                </c:pt>
                <c:pt idx="25">
                  <c:v>2032</c:v>
                </c:pt>
                <c:pt idx="26">
                  <c:v>2033</c:v>
                </c:pt>
                <c:pt idx="27">
                  <c:v>2034</c:v>
                </c:pt>
                <c:pt idx="28">
                  <c:v>2035</c:v>
                </c:pt>
              </c:numCache>
            </c:numRef>
          </c:cat>
          <c:val>
            <c:numRef>
              <c:f>Simulacion!$L$42:$AN$42</c:f>
              <c:numCache>
                <c:formatCode>_(* #.##0_);_(* \(#.##0\);_(* "-"??_);_(@_)</c:formatCode>
                <c:ptCount val="29"/>
                <c:pt idx="0">
                  <c:v>361728.5</c:v>
                </c:pt>
                <c:pt idx="1">
                  <c:v>403237.08333333331</c:v>
                </c:pt>
                <c:pt idx="2">
                  <c:v>434342.91666666669</c:v>
                </c:pt>
                <c:pt idx="3">
                  <c:v>472627.25</c:v>
                </c:pt>
                <c:pt idx="4">
                  <c:v>496294.58333333331</c:v>
                </c:pt>
                <c:pt idx="5">
                  <c:v>510981.5</c:v>
                </c:pt>
                <c:pt idx="6">
                  <c:v>542303.41666666698</c:v>
                </c:pt>
                <c:pt idx="7">
                  <c:v>568836.5</c:v>
                </c:pt>
                <c:pt idx="8">
                  <c:v>579131.860524319</c:v>
                </c:pt>
                <c:pt idx="9">
                  <c:v>597812.57829655625</c:v>
                </c:pt>
                <c:pt idx="10">
                  <c:v>617405.54159384908</c:v>
                </c:pt>
                <c:pt idx="11">
                  <c:v>636696.92001739598</c:v>
                </c:pt>
                <c:pt idx="12">
                  <c:v>655735.29905892734</c:v>
                </c:pt>
                <c:pt idx="13">
                  <c:v>674556.46903494699</c:v>
                </c:pt>
                <c:pt idx="14">
                  <c:v>693187.05944070721</c:v>
                </c:pt>
                <c:pt idx="15">
                  <c:v>711646.97907142702</c:v>
                </c:pt>
                <c:pt idx="16">
                  <c:v>729951.10204370529</c:v>
                </c:pt>
                <c:pt idx="17">
                  <c:v>748110.46193808643</c:v>
                </c:pt>
                <c:pt idx="18">
                  <c:v>766133.11597972037</c:v>
                </c:pt>
                <c:pt idx="19">
                  <c:v>784024.78238738724</c:v>
                </c:pt>
                <c:pt idx="20">
                  <c:v>801789.31838312605</c:v>
                </c:pt>
                <c:pt idx="21">
                  <c:v>819429.08411085338</c:v>
                </c:pt>
                <c:pt idx="22">
                  <c:v>836945.22344627895</c:v>
                </c:pt>
                <c:pt idx="23">
                  <c:v>854337.88332977903</c:v>
                </c:pt>
                <c:pt idx="24">
                  <c:v>871606.38698171102</c:v>
                </c:pt>
                <c:pt idx="25">
                  <c:v>888749.37208202353</c:v>
                </c:pt>
                <c:pt idx="26">
                  <c:v>905764.90202359401</c:v>
                </c:pt>
                <c:pt idx="27">
                  <c:v>922650.55624849617</c:v>
                </c:pt>
                <c:pt idx="28">
                  <c:v>939403.50417836173</c:v>
                </c:pt>
              </c:numCache>
            </c:numRef>
          </c:val>
        </c:ser>
        <c:ser>
          <c:idx val="3"/>
          <c:order val="2"/>
          <c:tx>
            <c:strRef>
              <c:f>Simulacion!$C$47</c:f>
              <c:strCache>
                <c:ptCount val="1"/>
                <c:pt idx="0">
                  <c:v>Dependientes de titular hombre</c:v>
                </c:pt>
              </c:strCache>
            </c:strRef>
          </c:tx>
          <c:spPr>
            <a:solidFill>
              <a:schemeClr val="accent4"/>
            </a:solidFill>
            <a:ln>
              <a:noFill/>
            </a:ln>
            <a:effectLst/>
          </c:spPr>
          <c:invertIfNegative val="0"/>
          <c:cat>
            <c:numRef>
              <c:f>Simulacion!$L$2:$AN$2</c:f>
              <c:numCache>
                <c:formatCode>General</c:formatCode>
                <c:ptCount val="29"/>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pt idx="18">
                  <c:v>2025</c:v>
                </c:pt>
                <c:pt idx="19">
                  <c:v>2026</c:v>
                </c:pt>
                <c:pt idx="20">
                  <c:v>2027</c:v>
                </c:pt>
                <c:pt idx="21">
                  <c:v>2028</c:v>
                </c:pt>
                <c:pt idx="22">
                  <c:v>2029</c:v>
                </c:pt>
                <c:pt idx="23">
                  <c:v>2030</c:v>
                </c:pt>
                <c:pt idx="24">
                  <c:v>2031</c:v>
                </c:pt>
                <c:pt idx="25">
                  <c:v>2032</c:v>
                </c:pt>
                <c:pt idx="26">
                  <c:v>2033</c:v>
                </c:pt>
                <c:pt idx="27">
                  <c:v>2034</c:v>
                </c:pt>
                <c:pt idx="28">
                  <c:v>2035</c:v>
                </c:pt>
              </c:numCache>
            </c:numRef>
          </c:cat>
          <c:val>
            <c:numRef>
              <c:f>Simulacion!$L$47:$AN$47</c:f>
              <c:numCache>
                <c:formatCode>_-* #.##0_-;\-* #.##0_-;_-* "-"??_-;_-@_-</c:formatCode>
                <c:ptCount val="29"/>
                <c:pt idx="0">
                  <c:v>234252.94536173879</c:v>
                </c:pt>
                <c:pt idx="1">
                  <c:v>305430.11530717899</c:v>
                </c:pt>
                <c:pt idx="2">
                  <c:v>400964.33662402409</c:v>
                </c:pt>
                <c:pt idx="3">
                  <c:v>505090.45818325249</c:v>
                </c:pt>
                <c:pt idx="4">
                  <c:v>573624.11993129249</c:v>
                </c:pt>
                <c:pt idx="5">
                  <c:v>619623.68623944966</c:v>
                </c:pt>
                <c:pt idx="6">
                  <c:v>672374.11636214843</c:v>
                </c:pt>
                <c:pt idx="7">
                  <c:v>715197.42102688435</c:v>
                </c:pt>
                <c:pt idx="8">
                  <c:v>746536.83874737925</c:v>
                </c:pt>
                <c:pt idx="9">
                  <c:v>772384.95297994348</c:v>
                </c:pt>
                <c:pt idx="10">
                  <c:v>803276.65498733683</c:v>
                </c:pt>
                <c:pt idx="11">
                  <c:v>831576.40369659895</c:v>
                </c:pt>
                <c:pt idx="12">
                  <c:v>857550.82620286546</c:v>
                </c:pt>
                <c:pt idx="13">
                  <c:v>881410.50575848878</c:v>
                </c:pt>
                <c:pt idx="14">
                  <c:v>903324.92468475201</c:v>
                </c:pt>
                <c:pt idx="15">
                  <c:v>923432.76863485773</c:v>
                </c:pt>
                <c:pt idx="16">
                  <c:v>941849.22012520826</c:v>
                </c:pt>
                <c:pt idx="17">
                  <c:v>958671.23855820147</c:v>
                </c:pt>
                <c:pt idx="18">
                  <c:v>973981.458296036</c:v>
                </c:pt>
                <c:pt idx="19">
                  <c:v>987851.11649665073</c:v>
                </c:pt>
                <c:pt idx="20">
                  <c:v>1000342.2860058401</c:v>
                </c:pt>
                <c:pt idx="21">
                  <c:v>1011509.60156163</c:v>
                </c:pt>
                <c:pt idx="22">
                  <c:v>1021401.61064659</c:v>
                </c:pt>
                <c:pt idx="23">
                  <c:v>1030061.84227468</c:v>
                </c:pt>
                <c:pt idx="24">
                  <c:v>1037529.66105277</c:v>
                </c:pt>
                <c:pt idx="25">
                  <c:v>1043840.95584597</c:v>
                </c:pt>
                <c:pt idx="26">
                  <c:v>1049028.69966837</c:v>
                </c:pt>
                <c:pt idx="27">
                  <c:v>1053123.40832202</c:v>
                </c:pt>
                <c:pt idx="28">
                  <c:v>1056153.5187003401</c:v>
                </c:pt>
              </c:numCache>
            </c:numRef>
          </c:val>
        </c:ser>
        <c:ser>
          <c:idx val="4"/>
          <c:order val="3"/>
          <c:tx>
            <c:strRef>
              <c:f>Simulacion!$C$48</c:f>
              <c:strCache>
                <c:ptCount val="1"/>
                <c:pt idx="0">
                  <c:v>Dependientes de titular mujer</c:v>
                </c:pt>
              </c:strCache>
            </c:strRef>
          </c:tx>
          <c:spPr>
            <a:solidFill>
              <a:schemeClr val="accent5"/>
            </a:solidFill>
            <a:ln>
              <a:noFill/>
            </a:ln>
            <a:effectLst/>
          </c:spPr>
          <c:invertIfNegative val="0"/>
          <c:cat>
            <c:numRef>
              <c:f>Simulacion!$L$2:$AN$2</c:f>
              <c:numCache>
                <c:formatCode>General</c:formatCode>
                <c:ptCount val="29"/>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pt idx="16">
                  <c:v>2023</c:v>
                </c:pt>
                <c:pt idx="17">
                  <c:v>2024</c:v>
                </c:pt>
                <c:pt idx="18">
                  <c:v>2025</c:v>
                </c:pt>
                <c:pt idx="19">
                  <c:v>2026</c:v>
                </c:pt>
                <c:pt idx="20">
                  <c:v>2027</c:v>
                </c:pt>
                <c:pt idx="21">
                  <c:v>2028</c:v>
                </c:pt>
                <c:pt idx="22">
                  <c:v>2029</c:v>
                </c:pt>
                <c:pt idx="23">
                  <c:v>2030</c:v>
                </c:pt>
                <c:pt idx="24">
                  <c:v>2031</c:v>
                </c:pt>
                <c:pt idx="25">
                  <c:v>2032</c:v>
                </c:pt>
                <c:pt idx="26">
                  <c:v>2033</c:v>
                </c:pt>
                <c:pt idx="27">
                  <c:v>2034</c:v>
                </c:pt>
                <c:pt idx="28">
                  <c:v>2035</c:v>
                </c:pt>
              </c:numCache>
            </c:numRef>
          </c:cat>
          <c:val>
            <c:numRef>
              <c:f>Simulacion!$L$48:$AN$48</c:f>
              <c:numCache>
                <c:formatCode>_-* #.##0_-;\-* #.##0_-;_-* "-"??_-;_-@_-</c:formatCode>
                <c:ptCount val="29"/>
                <c:pt idx="0">
                  <c:v>267471.99965544802</c:v>
                </c:pt>
                <c:pt idx="1">
                  <c:v>350894.97985963762</c:v>
                </c:pt>
                <c:pt idx="2">
                  <c:v>475942.05433434848</c:v>
                </c:pt>
                <c:pt idx="3">
                  <c:v>615715.88660598244</c:v>
                </c:pt>
                <c:pt idx="4">
                  <c:v>708801.0845058969</c:v>
                </c:pt>
                <c:pt idx="5">
                  <c:v>775662.75962801301</c:v>
                </c:pt>
                <c:pt idx="6">
                  <c:v>844808.36989583401</c:v>
                </c:pt>
                <c:pt idx="7">
                  <c:v>899057.93239312107</c:v>
                </c:pt>
                <c:pt idx="8">
                  <c:v>959579.30750600807</c:v>
                </c:pt>
                <c:pt idx="9">
                  <c:v>1019099.73985842</c:v>
                </c:pt>
                <c:pt idx="10">
                  <c:v>1079189.8871645899</c:v>
                </c:pt>
                <c:pt idx="11">
                  <c:v>1138037.2779206501</c:v>
                </c:pt>
                <c:pt idx="12">
                  <c:v>1195872.54619204</c:v>
                </c:pt>
                <c:pt idx="13">
                  <c:v>1252870.40415513</c:v>
                </c:pt>
                <c:pt idx="14">
                  <c:v>1309164.9406592499</c:v>
                </c:pt>
                <c:pt idx="15">
                  <c:v>1364860.0457172301</c:v>
                </c:pt>
                <c:pt idx="16">
                  <c:v>1420036.71001929</c:v>
                </c:pt>
                <c:pt idx="17">
                  <c:v>1474758.2578404499</c:v>
                </c:pt>
                <c:pt idx="18">
                  <c:v>1529074.17612701</c:v>
                </c:pt>
                <c:pt idx="19">
                  <c:v>1583022.9673712801</c:v>
                </c:pt>
                <c:pt idx="20">
                  <c:v>1636634.3094472201</c:v>
                </c:pt>
                <c:pt idx="21">
                  <c:v>1689930.7143232999</c:v>
                </c:pt>
                <c:pt idx="22">
                  <c:v>1742928.81840677</c:v>
                </c:pt>
                <c:pt idx="23">
                  <c:v>1795640.3980743401</c:v>
                </c:pt>
                <c:pt idx="24">
                  <c:v>1848073.17741157</c:v>
                </c:pt>
                <c:pt idx="25">
                  <c:v>1900231.4769135499</c:v>
                </c:pt>
                <c:pt idx="26">
                  <c:v>1952116.73909869</c:v>
                </c:pt>
                <c:pt idx="27">
                  <c:v>2003727.9578770001</c:v>
                </c:pt>
                <c:pt idx="28">
                  <c:v>2055062.03195515</c:v>
                </c:pt>
              </c:numCache>
            </c:numRef>
          </c:val>
        </c:ser>
        <c:dLbls>
          <c:showLegendKey val="0"/>
          <c:showVal val="0"/>
          <c:showCatName val="0"/>
          <c:showSerName val="0"/>
          <c:showPercent val="0"/>
          <c:showBubbleSize val="0"/>
        </c:dLbls>
        <c:gapWidth val="150"/>
        <c:overlap val="100"/>
        <c:axId val="204351744"/>
        <c:axId val="204365824"/>
      </c:barChart>
      <c:catAx>
        <c:axId val="204351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365824"/>
        <c:crosses val="autoZero"/>
        <c:auto val="1"/>
        <c:lblAlgn val="ctr"/>
        <c:lblOffset val="100"/>
        <c:noMultiLvlLbl val="0"/>
      </c:catAx>
      <c:valAx>
        <c:axId val="20436582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351744"/>
        <c:crosses val="autoZero"/>
        <c:crossBetween val="between"/>
      </c:valAx>
      <c:spPr>
        <a:noFill/>
        <a:ln>
          <a:noFill/>
        </a:ln>
        <a:effectLst/>
      </c:spPr>
    </c:plotArea>
    <c:legend>
      <c:legendPos val="b"/>
      <c:layout>
        <c:manualLayout>
          <c:xMode val="edge"/>
          <c:yMode val="edge"/>
          <c:x val="0.24814022777816103"/>
          <c:y val="0.63904182795655873"/>
          <c:w val="0.50928205313509778"/>
          <c:h val="0.335538751606227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b:Source>
    <b:Tag>Pow13</b:Tag>
    <b:SourceType>Report</b:SourceType>
    <b:Guid>{BA33220C-CD23-40CE-87CA-B3EC19CC4561}</b:Guid>
    <b:Title>Rethinking reforms. How Latin America and Caribbean can escape suppressed world growth</b:Title>
    <b:Year>2013</b:Year>
    <b:Author>
      <b:Author>
        <b:NameList>
          <b:Person>
            <b:Last>Powell</b:Last>
            <b:First>Andrew</b:First>
          </b:Person>
        </b:NameList>
      </b:Author>
    </b:Author>
    <b:Institution>Interamerican Development Bank</b:Institution>
    <b:ThesisType>Latin American and Caribbean Macroeconomic report</b:ThesisType>
    <b:YearAccessed>2014</b:YearAccessed>
    <b:MonthAccessed>Agosto</b:MonthAccessed>
    <b:DayAccessed>16</b:DayAccessed>
    <b:RefOrder>5</b:RefOrder>
  </b:Source>
  <b:Source>
    <b:Tag>Bos13</b:Tag>
    <b:SourceType>Report</b:SourceType>
    <b:Guid>{C5738FB0-75CF-40EB-9084-44A44D986FC7}</b:Guid>
    <b:Title>Mejores pensiones, mejores trabajos. Hacia la cobertura universal en América Latina y el Caribe</b:Title>
    <b:Year>2013</b:Year>
    <b:Author>
      <b:Author>
        <b:NameList>
          <b:Person>
            <b:Last>Bosch</b:Last>
            <b:First>Mariano</b:First>
          </b:Person>
          <b:Person>
            <b:Last>Melguizo</b:Last>
            <b:First>Ángel</b:First>
          </b:Person>
          <b:Person>
            <b:Last>Pagés</b:Last>
            <b:First>Carmen</b:First>
          </b:Person>
        </b:NameList>
      </b:Author>
    </b:Author>
    <b:Institution>Banco Interamericano de Desarrollo</b:Institution>
    <b:YearAccessed>2014</b:YearAccessed>
    <b:MonthAccessed>Agosto</b:MonthAccessed>
    <b:DayAccessed>17</b:DayAccessed>
    <b:RefOrder>3</b:RefOrder>
  </b:Source>
  <b:Source>
    <b:Tag>Peg12</b:Tag>
    <b:SourceType>ArticleInAPeriodical</b:SourceType>
    <b:Guid>{93B90CDA-C075-4E26-91FC-D1C9429FE6DE}</b:Guid>
    <b:Title>Envejecientes claman ser incluidos en programas de ayuda del Gobierno</b:Title>
    <b:Year>2012</b:Year>
    <b:PeriodicalTitle>Ensegundo.net</b:PeriodicalTitle>
    <b:Month>Abril</b:Month>
    <b:Day>18</b:Day>
    <b:Author>
      <b:Author>
        <b:NameList>
          <b:Person>
            <b:Last>Peguero</b:Last>
            <b:First>José</b:First>
          </b:Person>
        </b:NameList>
      </b:Author>
    </b:Author>
    <b:YearAccessed>2014</b:YearAccessed>
    <b:MonthAccessed>Agosto</b:MonthAccessed>
    <b:DayAccessed>18</b:DayAccessed>
    <b:URL>http://ensegundos.net/2012/04/18/envejecientes-claman-ser-incluidos-en-programas-de-ayuda-del-gobierno/</b:URL>
    <b:RefOrder>25</b:RefOrder>
  </b:Source>
  <b:Source>
    <b:Tag>Lus08</b:Tag>
    <b:SourceType>Report</b:SourceType>
    <b:Guid>{4B9F170D-3A26-474C-AAFA-5F3EEF247068}</b:Guid>
    <b:Title>Household saving behavior: the role of financial literacy, information, and financial education programs</b:Title>
    <b:Year>2008</b:Year>
    <b:City>Cambridge</b:City>
    <b:Author>
      <b:Author>
        <b:NameList>
          <b:Person>
            <b:Last>Lusardi</b:Last>
            <b:First>Annamaria</b:First>
          </b:Person>
        </b:NameList>
      </b:Author>
    </b:Author>
    <b:ThesisType>Working paper</b:ThesisType>
    <b:YearAccessed>2014</b:YearAccessed>
    <b:MonthAccessed>Septiembre</b:MonthAccessed>
    <b:DayAccessed>12</b:DayAccessed>
    <b:URL>http://www.nber.org/papers/w13824</b:URL>
    <b:RefOrder>26</b:RefOrder>
  </b:Source>
  <b:Source>
    <b:Tag>Mat00</b:Tag>
    <b:SourceType>Report</b:SourceType>
    <b:Guid>{247CC719-5289-4A7C-A30C-3EC7BEF7D54A}</b:Guid>
    <b:Title>Estimates of DALE for 191 countries: methods and results</b:Title>
    <b:Year>2000</b:Year>
    <b:City>Geneva</b:City>
    <b:Author>
      <b:Author>
        <b:NameList>
          <b:Person>
            <b:Last>Mathers</b:Last>
            <b:First>Colin</b:First>
            <b:Middle>D</b:Middle>
          </b:Person>
          <b:Person>
            <b:Last>Sadana</b:Last>
            <b:First>Ritu</b:First>
          </b:Person>
          <b:Person>
            <b:Last>Salomon</b:Last>
            <b:First>Joshua</b:First>
            <b:Middle>A</b:Middle>
          </b:Person>
          <b:Person>
            <b:Last>Murray</b:Last>
            <b:Middle>J</b:Middle>
            <b:First>Christopher</b:First>
          </b:Person>
          <b:Person>
            <b:Last>Lopez</b:Last>
            <b:Middle>D</b:Middle>
            <b:First>Alan</b:First>
          </b:Person>
        </b:NameList>
      </b:Author>
    </b:Author>
    <b:Institution>World Health Organization</b:Institution>
    <b:ThesisType>Global Programme on Evidence for Health Policy Working Paper</b:ThesisType>
    <b:StandardNumber>16</b:StandardNumber>
    <b:YearAccessed>2014</b:YearAccessed>
    <b:MonthAccessed>Septiembre </b:MonthAccessed>
    <b:DayAccessed>8</b:DayAccessed>
    <b:RefOrder>27</b:RefOrder>
  </b:Source>
  <b:Source>
    <b:Tag>Wor12</b:Tag>
    <b:SourceType>InternetSite</b:SourceType>
    <b:Guid>{0964FF54-976F-44E9-A929-F4C7C095B2B4}</b:Guid>
    <b:Title>Global Health Observatory Data Repository (Region of the Americas)</b:Title>
    <b:Year>2012</b:Year>
    <b:Author>
      <b:Author>
        <b:Corporate>World Health Organization</b:Corporate>
      </b:Author>
    </b:Author>
    <b:InternetSiteTitle>Estimates by country: Age-standardized DALY rates. Data by Country</b:InternetSiteTitle>
    <b:URL>http://apps.who.int/gho/data/node.main-amro.DALYCTRY?lang=en</b:URL>
    <b:YearAccessed>2014</b:YearAccessed>
    <b:MonthAccessed>Septiembre</b:MonthAccessed>
    <b:DayAccessed>8</b:DayAccessed>
    <b:RefOrder>1</b:RefOrder>
  </b:Source>
  <b:Source>
    <b:Tag>Cou11</b:Tag>
    <b:SourceType>InternetSite</b:SourceType>
    <b:Guid>{AF327DB5-02A3-4AFF-905B-D6A5E43E1E1B}</b:Guid>
    <b:Author>
      <b:Author>
        <b:Corporate>Country Statistics</b:Corporate>
      </b:Author>
    </b:Author>
    <b:Title>Health expenditures</b:Title>
    <b:Year>2011</b:Year>
    <b:URL>http://cstatistics.info/statistics/country/alb/health-expenditures.html</b:URL>
    <b:YearAccessed>2014</b:YearAccessed>
    <b:MonthAccessed>Septiembre</b:MonthAccessed>
    <b:DayAccessed>12</b:DayAccessed>
    <b:RefOrder>2</b:RefOrder>
  </b:Source>
  <b:Source>
    <b:Tag>Mej12</b:Tag>
    <b:SourceType>Report</b:SourceType>
    <b:Guid>{7BE56727-4B6B-41EA-ACBB-65D5A62C2D08}</b:Guid>
    <b:Title>Guidelines for the economic analysis of IDB-funded projects</b:Title>
    <b:Year>2012</b:Year>
    <b:Publisher>Office of strategic planning and development effectiveness </b:Publisher>
    <b:City>Washington D.C.</b:City>
    <b:Author>
      <b:Author>
        <b:NameList>
          <b:Person>
            <b:Last>Mejía</b:Last>
            <b:First>Francisco</b:First>
          </b:Person>
          <b:Person>
            <b:Last>Winters</b:Last>
            <b:First>Paul</b:First>
          </b:Person>
          <b:Person>
            <b:Last>Alvarez</b:Last>
            <b:First>Carola</b:First>
          </b:Person>
          <b:Person>
            <b:Last>Corral</b:Last>
            <b:First>Leonardo</b:First>
          </b:Person>
          <b:Person>
            <b:Last>Diez Roux</b:Last>
            <b:First>Esteban</b:First>
          </b:Person>
        </b:NameList>
      </b:Author>
    </b:Author>
    <b:Institution>Inter-American Development Bank</b:Institution>
    <b:ThesisType>Guidelines</b:ThesisType>
    <b:YearAccessed>2014</b:YearAccessed>
    <b:MonthAccessed>Septiembre</b:MonthAccessed>
    <b:DayAccessed>8</b:DayAccessed>
    <b:RefOrder>4</b:RefOrder>
  </b:Source>
  <b:Source>
    <b:Tag>Chi10</b:Tag>
    <b:SourceType>Report</b:SourceType>
    <b:Guid>{3A564630-D5C8-4314-8D84-4D5F82739BFB}</b:Guid>
    <b:Title>Improving health system efficiency as a means of moving towards universal coverage</b:Title>
    <b:Year>2010</b:Year>
    <b:Author>
      <b:Author>
        <b:NameList>
          <b:Person>
            <b:Last>Chisholm</b:Last>
            <b:First>Dan</b:First>
          </b:Person>
          <b:Person>
            <b:Last>Evans</b:Last>
            <b:Middle>B</b:Middle>
            <b:First>David</b:First>
          </b:Person>
        </b:NameList>
      </b:Author>
    </b:Author>
    <b:Institution>Wolrd Health Organization</b:Institution>
    <b:ThesisType>World Health Report: Background paper</b:ThesisType>
    <b:StandardNumber>28</b:StandardNumber>
    <b:YearAccessed>2014</b:YearAccessed>
    <b:MonthAccessed>Septiembre</b:MonthAccessed>
    <b:DayAccessed>11</b:DayAccessed>
    <b:RefOrder>16</b:RefOrder>
  </b:Source>
  <b:Source>
    <b:Tag>Dav04</b:Tag>
    <b:SourceType>Report</b:SourceType>
    <b:Guid>{1F505963-4F30-42F5-95CB-A570D80283DB}</b:Guid>
    <b:Title>Is there a link between pension fund assets and economic growth? A cross country empirical study</b:Title>
    <b:Year>2004</b:Year>
    <b:Publisher>Brunel University Economics and Finance</b:Publisher>
    <b:Author>
      <b:Author>
        <b:NameList>
          <b:Person>
            <b:Last>Davis</b:Last>
            <b:Middle>P</b:Middle>
            <b:First>E</b:First>
          </b:Person>
          <b:Person>
            <b:Last>Hu</b:Last>
            <b:First>Y</b:First>
          </b:Person>
        </b:NameList>
      </b:Author>
    </b:Author>
    <b:ThesisType>Working Paper</b:ThesisType>
    <b:YearAccessed>2014</b:YearAccessed>
    <b:MonthAccessed>Septiembre </b:MonthAccessed>
    <b:DayAccessed>10</b:DayAccessed>
    <b:URL>http://www.brunel.ac.uk/__data/assets/pdf_file/0004/84631/04-23.PDF</b:URL>
    <b:RefOrder>18</b:RefOrder>
  </b:Source>
  <b:Source>
    <b:Tag>AnB06</b:Tag>
    <b:SourceType>Report</b:SourceType>
    <b:Guid>{315F5B9F-84C2-4509-802B-4E0F44129999}</b:Guid>
    <b:Author>
      <b:Author>
        <b:Corporate>An Bord Pinsean - The Pension Board</b:Corporate>
      </b:Author>
    </b:Author>
    <b:Title>The economic impact of mandatory pensions</b:Title>
    <b:Year>2006</b:Year>
    <b:Publisher>Firzpatrick associates</b:Publisher>
    <b:ThesisType>Final report</b:ThesisType>
    <b:YearAccessed>2014</b:YearAccessed>
    <b:MonthAccessed>Septiembre</b:MonthAccessed>
    <b:DayAccessed>3</b:DayAccessed>
    <b:RefOrder>28</b:RefOrder>
  </b:Source>
  <b:Source>
    <b:Tag>Bij14</b:Tag>
    <b:SourceType>Report</b:SourceType>
    <b:Guid>{09FE2255-8345-46B4-930B-80FAC24DDFDC}</b:Guid>
    <b:Title>Economic growth and funded pension systems</b:Title>
    <b:Year>2014</b:Year>
    <b:City>Amsterdam</b:City>
    <b:Author>
      <b:Author>
        <b:NameList>
          <b:Person>
            <b:Last>Bijlsma</b:Last>
            <b:First>Michiel</b:First>
          </b:Person>
          <b:Person>
            <b:Last>van Ewijk</b:Last>
            <b:First>Casper</b:First>
          </b:Person>
          <b:Person>
            <b:Last>Haaijen</b:Last>
            <b:First>Ferry</b:First>
          </b:Person>
        </b:NameList>
      </b:Author>
    </b:Author>
    <b:Institution>CPB Netherlands Bureau for economic policy analysis</b:Institution>
    <b:ThesisType>CPB Discussion Paper</b:ThesisType>
    <b:StandardNumber>279</b:StandardNumber>
    <b:YearAccessed>2014</b:YearAccessed>
    <b:MonthAccessed>Septiembre</b:MonthAccessed>
    <b:DayAccessed>8</b:DayAccessed>
    <b:RefOrder>19</b:RefOrder>
  </b:Source>
  <b:Source>
    <b:Tag>Kip12</b:Tag>
    <b:SourceType>Report</b:SourceType>
    <b:Guid>{FB4A8A8C-67C5-4E1F-BB81-8AECEFBE4E21}</b:Guid>
    <b:Title>Do retirement benefits assets contribute to economic growth in Kenya?</b:Title>
    <b:Year>2012</b:Year>
    <b:Author>
      <b:Author>
        <b:NameList>
          <b:Person>
            <b:Last>Kipanga</b:Last>
            <b:First>Ben</b:First>
          </b:Person>
        </b:NameList>
      </b:Author>
    </b:Author>
    <b:Institution>Retirement Benefits Authority</b:Institution>
    <b:ThesisType>Research paper</b:ThesisType>
    <b:YearAccessed>2014</b:YearAccessed>
    <b:MonthAccessed>Septiembre </b:MonthAccessed>
    <b:DayAccessed>9</b:DayAccessed>
    <b:RefOrder>20</b:RefOrder>
  </b:Source>
  <b:Source>
    <b:Tag>Beb06</b:Tag>
    <b:SourceType>Report</b:SourceType>
    <b:Guid>{5431AA23-176C-4EDA-AD1B-AC64E21E0D91}</b:Guid>
    <b:Title>Pensions and saving: new international panel data evidence</b:Title>
    <b:Year>2006</b:Year>
    <b:Publisher>Departamento de Economía. Facultad de Ciencias Económicas</b:Publisher>
    <b:City>La Plata</b:City>
    <b:Author>
      <b:Author>
        <b:NameList>
          <b:Person>
            <b:Last>Bebczuk</b:Last>
            <b:Middle>N</b:Middle>
            <b:First>Ricardo</b:First>
          </b:Person>
          <b:Person>
            <b:Last>Musalem</b:Last>
            <b:Middle>R</b:Middle>
            <b:First>Alberto</b:First>
          </b:Person>
        </b:NameList>
      </b:Author>
    </b:Author>
    <b:Institution>Universidad Nacional de La Plata</b:Institution>
    <b:ThesisType>Documento de Trabajo</b:ThesisType>
    <b:StandardNumber>61</b:StandardNumber>
    <b:YearAccessed>2014</b:YearAccessed>
    <b:MonthAccessed>Septiembre</b:MonthAccessed>
    <b:DayAccessed>8</b:DayAccessed>
    <b:RefOrder>21</b:RefOrder>
  </b:Source>
  <b:Source>
    <b:Tag>Mun11</b:Tag>
    <b:SourceType>Report</b:SourceType>
    <b:Guid>{AF23FA71-E050-4397-B1E9-D4765C25BEE1}</b:Guid>
    <b:Title>The relationship between pension fund assets and economic growth in Kenya</b:Title>
    <b:Year>2011</b:Year>
    <b:Publisher>School of bussiness </b:Publisher>
    <b:Author>
      <b:Author>
        <b:NameList>
          <b:Person>
            <b:Last>Mungoma</b:Last>
            <b:Middle>Christopher</b:Middle>
            <b:First>Wanjala</b:First>
          </b:Person>
        </b:NameList>
      </b:Author>
    </b:Author>
    <b:Institution>University of Nairobi</b:Institution>
    <b:ThesisType>Research project proposal </b:ThesisType>
    <b:YearAccessed>2014</b:YearAccessed>
    <b:MonthAccessed>Septiembre</b:MonthAccessed>
    <b:DayAccessed>3</b:DayAccessed>
    <b:RefOrder>7</b:RefOrder>
  </b:Source>
  <b:Source>
    <b:Tag>Zan10</b:Tag>
    <b:SourceType>Report</b:SourceType>
    <b:Guid>{A9F033DD-7FFD-4417-BD0C-DF8C2207BC8F}</b:Guid>
    <b:Title>Fundin of pensions and economic growth. Are they really related?</b:Title>
    <b:Year>2010</b:Year>
    <b:Publisher>Network for studies on pensions, aging and retirement</b:Publisher>
    <b:Author>
      <b:Author>
        <b:NameList>
          <b:Person>
            <b:Last>Zandberg</b:Last>
            <b:First>Eelco</b:First>
          </b:Person>
          <b:Person>
            <b:Last>Spierdijk</b:Last>
            <b:First>Laura</b:First>
          </b:Person>
        </b:NameList>
      </b:Author>
    </b:Author>
    <b:Institution>University of Groningen</b:Institution>
    <b:ThesisType>Netspar Discussion Paper</b:ThesisType>
    <b:StandardNumber>12/2010-082</b:StandardNumber>
    <b:YearAccessed>2014</b:YearAccessed>
    <b:MonthAccessed>Septiembre</b:MonthAccessed>
    <b:DayAccessed>8</b:DayAccessed>
    <b:RefOrder>22</b:RefOrder>
  </b:Source>
  <b:Source>
    <b:Tag>Mie13</b:Tag>
    <b:SourceType>JournalArticle</b:SourceType>
    <b:Guid>{F0301DD6-3FE8-4228-AEE5-3F7518CF768B}</b:Guid>
    <b:Title>Simulation model to forecast the consequences of changes introduced into the 2nd pillar of the Polish pension system</b:Title>
    <b:Year>2013</b:Year>
    <b:JournalName>Economic modelling</b:JournalName>
    <b:Volume>30</b:Volume>
    <b:StandardNumber>http://dx.doi.org/10.1016/j.econmod.2012.09.053</b:StandardNumber>
    <b:YearAccessed>2014</b:YearAccessed>
    <b:MonthAccessed>Septiembre</b:MonthAccessed>
    <b:DayAccessed>16</b:DayAccessed>
    <b:Author>
      <b:Author>
        <b:NameList>
          <b:Person>
            <b:Last>Mielczarek</b:Last>
            <b:First>Bozena</b:First>
          </b:Person>
        </b:NameList>
      </b:Author>
    </b:Author>
    <b:RefOrder>29</b:RefOrder>
  </b:Source>
  <b:Source>
    <b:Tag>Min122</b:Tag>
    <b:SourceType>Report</b:SourceType>
    <b:Guid>{323F44F3-ABA6-44BD-8065-45E103E8FC96}</b:Guid>
    <b:Author>
      <b:Author>
        <b:Corporate>Ministerio de Salud Pública</b:Corporate>
      </b:Author>
    </b:Author>
    <b:Title>Informe Gasto Público en Salud República Dominicana 2012</b:Title>
    <b:Year>2012</b:Year>
    <b:City>Santo Domingo D.N.</b:City>
    <b:ThesisType>Informe de Gasto Público en Salud</b:ThesisType>
    <b:YearAccessed>2014</b:YearAccessed>
    <b:MonthAccessed>Septiembre</b:MonthAccessed>
    <b:DayAccessed>10</b:DayAccessed>
    <b:RefOrder>17</b:RefOrder>
  </b:Source>
  <b:Source>
    <b:Tag>Sec101</b:Tag>
    <b:SourceType>Misc</b:SourceType>
    <b:Guid>{CC54BA2F-AA60-4E5B-844A-4041890D3460}</b:Guid>
    <b:Author>
      <b:Author>
        <b:Corporate>Secretaría de Estado de Salud Pública y Asistencia Social</b:Corporate>
      </b:Author>
    </b:Author>
    <b:Title>Sistema de Informaciín Geográfica para Salud</b:Title>
    <b:Year>2010</b:Year>
    <b:PublicationTitle>SIGpaS4</b:PublicationTitle>
    <b:CountryRegion>República Dominicana</b:CountryRegion>
    <b:YearAccessed>2014</b:YearAccessed>
    <b:MonthAccessed>Agosto</b:MonthAccessed>
    <b:DayAccessed>20</b:DayAccessed>
    <b:URL>http://reformaonline.cerss.gov.do/sites/?p=96</b:URL>
    <b:RefOrder>23</b:RefOrder>
  </b:Source>
  <b:Source>
    <b:Tag>Ofi14</b:Tag>
    <b:SourceType>Misc</b:SourceType>
    <b:Guid>{7DC783CF-E1B0-4E94-A608-91A04CCD5284}</b:Guid>
    <b:Title>Estadísticas sociales Nacionales</b:Title>
    <b:Year>2014</b:Year>
    <b:CountryRegion>República Dominicana</b:CountryRegion>
    <b:Author>
      <b:Author>
        <b:Corporate>Oficina Nacional de Estadística</b:Corporate>
      </b:Author>
    </b:Author>
    <b:YearAccessed>2014</b:YearAccessed>
    <b:MonthAccessed>Septiembre</b:MonthAccessed>
    <b:DayAccessed>1</b:DayAccessed>
    <b:URL>http://www.one.gob.do/</b:URL>
    <b:RefOrder>24</b:RefOrder>
  </b:Source>
  <b:Source>
    <b:Tag>Ofi10</b:Tag>
    <b:SourceType>InternetSite</b:SourceType>
    <b:Guid>{9743C699-F10A-4A42-951B-94FA625EC61A}</b:Guid>
    <b:Author>
      <b:Author>
        <b:Corporate>Oficina Nacional de Estadística de República Dominicana</b:Corporate>
      </b:Author>
    </b:Author>
    <b:Title>Sistema Interactivo de Consulta Censo Nacional de Población y Vivienda</b:Title>
    <b:ProductionCompany>Oficina Nacional de Estadística</b:ProductionCompany>
    <b:Year>2010</b:Year>
    <b:YearAccessed>2014</b:YearAccessed>
    <b:MonthAccessed>Septiembre</b:MonthAccessed>
    <b:DayAccessed>12</b:DayAccessed>
    <b:URL>http://sicen.one.gob.do/</b:URL>
    <b:RefOrder>30</b:RefOrder>
  </b:Source>
  <b:Source>
    <b:Tag>Sec10</b:Tag>
    <b:SourceType>DocumentFromInternetSite</b:SourceType>
    <b:Guid>{18BF333A-6A4C-4056-AEB4-459FE157EF8C}</b:Guid>
    <b:Author>
      <b:Author>
        <b:Corporate>Secretaría de Estado de Salud Pública y Asistencia Social</b:Corporate>
      </b:Author>
    </b:Author>
    <b:Title>SIGpaS4</b:Title>
    <b:Year>2010</b:Year>
    <b:YearAccessed>2014</b:YearAccessed>
    <b:MonthAccessed>Septiembre</b:MonthAccessed>
    <b:DayAccessed>12</b:DayAccessed>
    <b:URL>http://reformaonline.cerss.gov.do/sites/?p=96</b:URL>
    <b:RefOrder>31</b:RefOrder>
  </b:Source>
  <b:Source>
    <b:Tag>Org09</b:Tag>
    <b:SourceType>DocumentFromInternetSite</b:SourceType>
    <b:Guid>{E6CA2786-E303-4381-B1E5-26B16B6330EC}</b:Guid>
    <b:Author>
      <b:Author>
        <b:Corporate>Organización Mundial de la Salud</b:Corporate>
      </b:Author>
    </b:Author>
    <b:Title>El umbral de médicos, enfermeras y parteras por cada 10.000 habitantes</b:Title>
    <b:Year>2009</b:Year>
    <b:YearAccessed>2014</b:YearAccessed>
    <b:MonthAccessed>Septiembre</b:MonthAccessed>
    <b:URL>http://www.who.int/hrh/workforce_mdgs/es/</b:URL>
    <b:RefOrder>32</b:RefOrder>
  </b:Source>
  <b:Source>
    <b:Tag>Orc09</b:Tag>
    <b:SourceType>JournalArticle</b:SourceType>
    <b:Guid>{6BD962D4-973D-4194-8842-12A8884201C0}</b:Guid>
    <b:Title>Victimización por corrupción en el sector de la Salud Pública</b:Title>
    <b:Year>2009</b:Year>
    <b:YearAccessed>2014</b:YearAccessed>
    <b:MonthAccessed>Septiembre</b:MonthAccessed>
    <b:DayAccessed>13</b:DayAccessed>
    <b:URL>http://www.vanderbilt.edu/lapop/insights/I0830es.pdf</b:URL>
    <b:Issue>30</b:Issue>
    <b:Author>
      <b:Author>
        <b:NameList>
          <b:Person>
            <b:Last>Orces</b:Last>
            <b:First>Diana</b:First>
          </b:Person>
        </b:NameList>
      </b:Author>
    </b:Author>
    <b:JournalName>Perspectivas desde el Barómetro de las Américas</b:JournalName>
    <b:RefOrder>33</b:RefOrder>
  </b:Source>
  <b:Source>
    <b:Tag>Bus12</b:Tag>
    <b:SourceType>Report</b:SourceType>
    <b:Guid>{952B831B-6296-4AF7-8B24-5C31531D9857}</b:Guid>
    <b:Title>(In)Formal and (Un)productive: The productivity costos of excessive informality in Mexico</b:Title>
    <b:Year>2012</b:Year>
    <b:StandardNumber>No. IDB-WP-341</b:StandardNumber>
    <b:YearAccessed>2014</b:YearAccessed>
    <b:MonthAccessed>Septiembre </b:MonthAccessed>
    <b:DayAccessed>21</b:DayAccessed>
    <b:URL>http://publications.iadb.org/bitstream/handle/11319/4047/%28In%29Formal%20and%20%28Un%29Productive%3a%20The%20Productivity%20Costs%20of%20Excessive%20Informality%20in%20Mexico.pdf;jsessionid=ED65DBF2AD98AB92E5A16BD8A43F6CB9?sequence=1</b:URL>
    <b:Department>Department of research and Chief Economist</b:Department>
    <b:Institution>Inter-American Development Bank</b:Institution>
    <b:ThesisType>Working Paper</b:ThesisType>
    <b:Author>
      <b:Author>
        <b:NameList>
          <b:Person>
            <b:Last>Busso</b:Last>
            <b:First>Matías</b:First>
          </b:Person>
          <b:Person>
            <b:Last>Fazio</b:Last>
            <b:First>María</b:First>
            <b:Middle>Victoria</b:Middle>
          </b:Person>
          <b:Person>
            <b:Last>Levy</b:Last>
            <b:First>Santiago</b:First>
          </b:Person>
        </b:NameList>
      </b:Author>
    </b:Author>
    <b:RefOrder>8</b:RefOrder>
  </b:Source>
  <b:Source>
    <b:Tag>Acu13</b:Tag>
    <b:SourceType>Book</b:SourceType>
    <b:Guid>{FF78A63F-B993-43AE-8191-C166E44D32F6}</b:Guid>
    <b:Title>Contribución del sistema privado de pensiones al desarrollo económico de Latinoamérica. Experiencias de Colombia, México, Chile y Perú</b:Title>
    <b:Year>2013</b:Year>
    <b:City>Santiago</b:City>
    <b:CountryRegion>Chile</b:CountryRegion>
    <b:Publisher>SURA Asset Mangement</b:Publisher>
    <b:Author>
      <b:Author>
        <b:NameList>
          <b:Person>
            <b:Last>Acuña</b:Last>
            <b:First>Rodrigo</b:First>
          </b:Person>
          <b:Person>
            <b:Last>Villar</b:Last>
            <b:First>Leonardo</b:First>
          </b:Person>
          <b:Person>
            <b:Last>Villagómez</b:Last>
            <b:First>Alejandro</b:First>
          </b:Person>
          <b:Person>
            <b:Last>Fuentes</b:Last>
            <b:First>Rodrigo</b:First>
          </b:Person>
          <b:Person>
            <b:Last>Secada</b:Last>
            <b:First>Pablo</b:First>
          </b:Person>
        </b:NameList>
      </b:Author>
    </b:Author>
    <b:YearAccessed>2014</b:YearAccessed>
    <b:MonthAccessed>Septiembre </b:MonthAccessed>
    <b:DayAccessed>25</b:DayAccessed>
    <b:RefOrder>6</b:RefOrder>
  </b:Source>
  <b:Source>
    <b:Tag>Oeh08</b:Tag>
    <b:SourceType>JournalArticle</b:SourceType>
    <b:Guid>{6542352A-8DBC-4C27-9DB1-280A8B5E92AA}</b:Guid>
    <b:Title>Saving for retirement - A case for financial education in Germany and UK? An economic perspective</b:Title>
    <b:Year>2008</b:Year>
    <b:JournalName>Journal of Consumer Policy</b:JournalName>
    <b:Pages>253-283</b:Pages>
    <b:Author>
      <b:Author>
        <b:NameList>
          <b:Person>
            <b:Last>Oehler</b:Last>
            <b:First>Andreas</b:First>
          </b:Person>
          <b:Person>
            <b:Last>Werner</b:Last>
            <b:First>Christina</b:First>
          </b:Person>
        </b:NameList>
      </b:Author>
    </b:Author>
    <b:Volume>31</b:Volume>
    <b:YearAccessed>2014</b:YearAccessed>
    <b:MonthAccessed>Septiembre</b:MonthAccessed>
    <b:DayAccessed>25</b:DayAccessed>
    <b:DOI> 10.1007/s10603-008-9074-5</b:DOI>
    <b:RefOrder>9</b:RefOrder>
  </b:Source>
  <b:Source>
    <b:Tag>Faj09</b:Tag>
    <b:SourceType>Report</b:SourceType>
    <b:Guid>{16DFCD42-B2BC-42E5-9197-9598ED05F53C}</b:Guid>
    <b:Title>Does formality improve micro-firm performance? Quasi-experimiental evidece from the brazilian SIMPLES program</b:Title>
    <b:Year>2009</b:Year>
    <b:Publisher>IZA</b:Publisher>
    <b:Author>
      <b:Author>
        <b:NameList>
          <b:Person>
            <b:Last>Fajnzylber</b:Last>
            <b:First>Pablo</b:First>
          </b:Person>
          <b:Person>
            <b:Last>Maloney</b:Last>
            <b:First>William</b:First>
          </b:Person>
          <b:Person>
            <b:Last>Montes Rojas</b:Last>
            <b:First>Gabriel</b:First>
            <b:Middle>V</b:Middle>
          </b:Person>
        </b:NameList>
      </b:Author>
    </b:Author>
    <b:ThesisType>Discussion Paper Series</b:ThesisType>
    <b:StandardNumber>IZA DP No. 4531</b:StandardNumber>
    <b:YearAccessed>2014</b:YearAccessed>
    <b:MonthAccessed>Septiembre</b:MonthAccessed>
    <b:DayAccessed>29</b:DayAccessed>
    <b:URL>http://ftp.iza.org/dp4531.pdf</b:URL>
    <b:RefOrder>10</b:RefOrder>
  </b:Source>
  <b:Source>
    <b:Tag>Bus121</b:Tag>
    <b:SourceType>Report</b:SourceType>
    <b:Guid>{075A646D-115B-49B2-80AE-11599B568976}</b:Guid>
    <b:Title>Productivity and resource misallocation in Latin America</b:Title>
    <b:Year>2012</b:Year>
    <b:Author>
      <b:Author>
        <b:NameList>
          <b:Person>
            <b:Last>Busso</b:Last>
            <b:First>Matías</b:First>
          </b:Person>
          <b:Person>
            <b:Last>Madrigal</b:Last>
            <b:First>Lucía</b:First>
          </b:Person>
          <b:Person>
            <b:Last>Pagés</b:Last>
            <b:First>Carmen</b:First>
          </b:Person>
        </b:NameList>
      </b:Author>
    </b:Author>
    <b:ThesisType>IDB Working Paper Series</b:ThesisType>
    <b:StandardNumber>IDB-WP-306</b:StandardNumber>
    <b:URL>http://idbdocs.iadb.org/wsdocs/getdocument.aspx?docnum=36816832</b:URL>
    <b:Institution>Inter-American Development Bank</b:Institution>
    <b:YearAccessed>2014</b:YearAccessed>
    <b:MonthAccessed>Septiembre</b:MonthAccessed>
    <b:DayAccessed>25</b:DayAccessed>
    <b:RefOrder>11</b:RefOrder>
  </b:Source>
  <b:Source>
    <b:Tag>Wor10</b:Tag>
    <b:SourceType>DocumentFromInternetSite</b:SourceType>
    <b:Guid>{B53A8B99-7C57-4A6B-BD0A-28B1EF1BD554}</b:Guid>
    <b:Title>World Health Report: Helath systems financing: the path to universal coverage</b:Title>
    <b:InternetSiteTitle>Chapter 4</b:InternetSiteTitle>
    <b:Year>2010</b:Year>
    <b:URL>http://www.who.int/whr/2010/10_chap04_en.pdf?ua=1</b:URL>
    <b:Author>
      <b:Author>
        <b:Corporate>World Health Organization</b:Corporate>
      </b:Author>
    </b:Author>
    <b:YearAccessed>2014</b:YearAccessed>
    <b:MonthAccessed>Octubre</b:MonthAccessed>
    <b:DayAccessed>1</b:DayAccessed>
    <b:RefOrder>14</b:RefOrder>
  </b:Source>
  <b:Source>
    <b:Tag>Mac11</b:Tag>
    <b:SourceType>JournalArticle</b:SourceType>
    <b:Guid>{33BBF336-F695-48AB-8585-FBCA62D7F3B2}</b:Guid>
    <b:Title>The influence of primary care and hospital supply on ambulatory care-sensitive hospitalizations among adults in Brazil, 1999-2007.</b:Title>
    <b:Year>2011</b:Year>
    <b:URL>http://ajph.aphapublications.org/doi/abs/10.2105/AJPH.2010.198887?url_ver=Z39.88-2003&amp;rfr_id=ori%3Arid%3Acrossref.org&amp;rfr_dat=cr_pub%3Dpubmed&amp;</b:URL>
    <b:Author>
      <b:Author>
        <b:NameList>
          <b:Person>
            <b:Last>Macinko</b:Last>
            <b:First>James</b:First>
          </b:Person>
          <b:Person>
            <b:Last>de Oliveira</b:Last>
            <b:Middle>B</b:Middle>
            <b:First>Veneza</b:First>
          </b:Person>
          <b:Person>
            <b:Last>Turci</b:Last>
            <b:Middle>A</b:Middle>
            <b:First>María</b:First>
          </b:Person>
          <b:Person>
            <b:Last>Guanais</b:Last>
            <b:Middle>C</b:Middle>
            <b:First>Federico</b:First>
          </b:Person>
          <b:Person>
            <b:Last>Bonolo</b:Last>
            <b:Middle>F</b:Middle>
            <b:First>Palmira</b:First>
          </b:Person>
          <b:Person>
            <b:Last>Lima Costa</b:Last>
            <b:First>María</b:First>
          </b:Person>
        </b:NameList>
      </b:Author>
    </b:Author>
    <b:JournalName>American Journal of Public Health</b:JournalName>
    <b:Pages>1963-1970</b:Pages>
    <b:Volume>101</b:Volume>
    <b:Issue>10</b:Issue>
    <b:YearAccessed>2014</b:YearAccessed>
    <b:MonthAccessed>Octubre</b:MonthAccessed>
    <b:DOI>10.2105/AJPH.2010.198887</b:DOI>
    <b:RefOrder>34</b:RefOrder>
  </b:Source>
  <b:Source>
    <b:Tag>Ban14</b:Tag>
    <b:SourceType>Misc</b:SourceType>
    <b:Guid>{86EFE259-CEF2-4476-ABD6-DE197603942F}</b:Guid>
    <b:Title>Porpuesta para el desarrollo de la Operación (No. DR-L1073)</b:Title>
    <b:Year>2014</b:Year>
    <b:City>Santo Domingo</b:City>
    <b:YearAccessed>2014</b:YearAccessed>
    <b:MonthAccessed>Octubre</b:MonthAccessed>
    <b:DayAccessed>1</b:DayAccessed>
    <b:Author>
      <b:Author>
        <b:Corporate>Banco Interamericano de Desarrollo</b:Corporate>
      </b:Author>
    </b:Author>
    <b:PublicationTitle>Apoyo a la consolidación del Sector Salud y de la Seguridad Social.</b:PublicationTitle>
    <b:CountryRegion>República Dominicana</b:CountryRegion>
    <b:RefOrder>35</b:RefOrder>
  </b:Source>
  <b:Source>
    <b:Tag>Nat11</b:Tag>
    <b:SourceType>JournalArticle</b:SourceType>
    <b:Guid>{C8BD7F77-39B1-4DBE-9484-EA2845CC7FC9}</b:Guid>
    <b:Title>Cost Effectiveness of care provided at health centers</b:Title>
    <b:Year>2011</b:Year>
    <b:Month>December</b:Month>
    <b:Author>
      <b:Author>
        <b:Corporate>National Association of Community Health Centers</b:Corporate>
      </b:Author>
    </b:Author>
    <b:JournalName>Fact Sheet</b:JournalName>
    <b:Issue>1211</b:Issue>
    <b:YearAccessed>2014</b:YearAccessed>
    <b:MonthAccessed>October</b:MonthAccessed>
    <b:DayAccessed>5</b:DayAccessed>
    <b:RefOrder>12</b:RefOrder>
  </b:Source>
  <b:Source>
    <b:Tag>Org22</b:Tag>
    <b:SourceType>JournalArticle</b:SourceType>
    <b:Guid>{EB0AEC9E-E193-490C-8002-2695CC7EA022}</b:Guid>
    <b:Title>Promoción del Uso Racional de Medicamentos: componentes centrales</b:Title>
    <b:JournalName>Perspectivas políticas sobre medicamentos de la OMS</b:JournalName>
    <b:Year>2022</b:Year>
    <b:Author>
      <b:Author>
        <b:Corporate>Organización Mundial de la Salud</b:Corporate>
      </b:Author>
    </b:Author>
    <b:City>Ginebra</b:City>
    <b:Month>Septiembre</b:Month>
    <b:Issue>5</b:Issue>
    <b:YearAccessed>2014</b:YearAccessed>
    <b:MonthAccessed>Octubre</b:MonthAccessed>
    <b:DayAccessed>5</b:DayAccessed>
    <b:URL>http://apps.who.int/medicinedocs/pdf/s4874s/s4874s.pdf</b:URL>
    <b:RefOrder>13</b:RefOrder>
  </b:Source>
  <b:Source>
    <b:Tag>Tra06</b:Tag>
    <b:SourceType>Report</b:SourceType>
    <b:Guid>{DFBC1631-E83F-49E5-92FA-79536FD0DCC1}</b:Guid>
    <b:Title>Informe Global de la Corrupción. Corrupción y salud</b:Title>
    <b:Year>2006</b:Year>
    <b:Author>
      <b:Author>
        <b:Corporate>Transparency international; Banco Interamericano de Desarrollo</b:Corporate>
      </b:Author>
    </b:Author>
    <b:City>Washington D.C.</b:City>
    <b:ThesisType>Reporte</b:ThesisType>
    <b:YearAccessed>2014</b:YearAccessed>
    <b:MonthAccessed>Octubre</b:MonthAccessed>
    <b:DayAccessed>5</b:DayAccessed>
    <b:URL>http://publications.iadb.org/bitstream/handle/11319/234/Informe%20global%20de%20la%20corrupci%C3%B3n%202006.pdf?sequence=1</b:URL>
    <b:RefOrder>15</b:RefOrder>
  </b:Source>
</b:Sourc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C4C6AAB38837F54AB634A2A1FB43321F" ma:contentTypeVersion="0" ma:contentTypeDescription="A content type to manage public (operations) IDB documents" ma:contentTypeScope="" ma:versionID="baa12fa05fbe02a3a3095ecf0849af6d">
  <xsd:schema xmlns:xsd="http://www.w3.org/2001/XMLSchema" xmlns:xs="http://www.w3.org/2001/XMLSchema" xmlns:p="http://schemas.microsoft.com/office/2006/metadata/properties" xmlns:ns2="9c571b2f-e523-4ab2-ba2e-09e151a03ef4" targetNamespace="http://schemas.microsoft.com/office/2006/metadata/properties" ma:root="true" ma:fieldsID="45c9d5cafd7537b97511b59754489ff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8a84bd1-1035-476f-8cad-03954ea82a02}" ma:internalName="TaxCatchAll" ma:showField="CatchAllData" ma:web="7cacd91a-41c5-45c2-9b33-9a9f3c840ad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8a84bd1-1035-476f-8cad-03954ea82a02}" ma:internalName="TaxCatchAllLabel" ma:readOnly="true" ma:showField="CatchAllDataLabel" ma:web="7cacd91a-41c5-45c2-9b33-9a9f3c840adb">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Pow13</b:Tag>
    <b:SourceType>Report</b:SourceType>
    <b:Guid>{BA33220C-CD23-40CE-87CA-B3EC19CC4561}</b:Guid>
    <b:Title>Rethinking reforms. How Latin America and Caribbean can escape suppressed world growth</b:Title>
    <b:Year>2013</b:Year>
    <b:Author>
      <b:Author>
        <b:NameList>
          <b:Person>
            <b:Last>Powell</b:Last>
            <b:First>Andrew</b:First>
          </b:Person>
        </b:NameList>
      </b:Author>
    </b:Author>
    <b:Institution>Interamerican Development Bank</b:Institution>
    <b:ThesisType>Latin American and Caribbean Macroeconomic report</b:ThesisType>
    <b:YearAccessed>2014</b:YearAccessed>
    <b:MonthAccessed>Agosto</b:MonthAccessed>
    <b:DayAccessed>16</b:DayAccessed>
    <b:RefOrder>5</b:RefOrder>
  </b:Source>
  <b:Source>
    <b:Tag>Bos13</b:Tag>
    <b:SourceType>Report</b:SourceType>
    <b:Guid>{C5738FB0-75CF-40EB-9084-44A44D986FC7}</b:Guid>
    <b:Title>Mejores pensiones, mejores trabajos. Hacia la cobertura universal en América Latina y el Caribe</b:Title>
    <b:Year>2013</b:Year>
    <b:Author>
      <b:Author>
        <b:NameList>
          <b:Person>
            <b:Last>Bosch</b:Last>
            <b:First>Mariano</b:First>
          </b:Person>
          <b:Person>
            <b:Last>Melguizo</b:Last>
            <b:First>Ángel</b:First>
          </b:Person>
          <b:Person>
            <b:Last>Pagés</b:Last>
            <b:First>Carmen</b:First>
          </b:Person>
        </b:NameList>
      </b:Author>
    </b:Author>
    <b:Institution>Banco Interamericano de Desarrollo</b:Institution>
    <b:YearAccessed>2014</b:YearAccessed>
    <b:MonthAccessed>Agosto</b:MonthAccessed>
    <b:DayAccessed>17</b:DayAccessed>
    <b:RefOrder>3</b:RefOrder>
  </b:Source>
  <b:Source>
    <b:Tag>Peg12</b:Tag>
    <b:SourceType>ArticleInAPeriodical</b:SourceType>
    <b:Guid>{93B90CDA-C075-4E26-91FC-D1C9429FE6DE}</b:Guid>
    <b:Title>Envejecientes claman ser incluidos en programas de ayuda del Gobierno</b:Title>
    <b:Year>2012</b:Year>
    <b:PeriodicalTitle>Ensegundo.net</b:PeriodicalTitle>
    <b:Month>Abril</b:Month>
    <b:Day>18</b:Day>
    <b:Author>
      <b:Author>
        <b:NameList>
          <b:Person>
            <b:Last>Peguero</b:Last>
            <b:First>José</b:First>
          </b:Person>
        </b:NameList>
      </b:Author>
    </b:Author>
    <b:YearAccessed>2014</b:YearAccessed>
    <b:MonthAccessed>Agosto</b:MonthAccessed>
    <b:DayAccessed>18</b:DayAccessed>
    <b:URL>http://ensegundos.net/2012/04/18/envejecientes-claman-ser-incluidos-en-programas-de-ayuda-del-gobierno/</b:URL>
    <b:RefOrder>25</b:RefOrder>
  </b:Source>
  <b:Source>
    <b:Tag>Lus08</b:Tag>
    <b:SourceType>Report</b:SourceType>
    <b:Guid>{4B9F170D-3A26-474C-AAFA-5F3EEF247068}</b:Guid>
    <b:Title>Household saving behavior: the role of financial literacy, information, and financial education programs</b:Title>
    <b:Year>2008</b:Year>
    <b:City>Cambridge</b:City>
    <b:Author>
      <b:Author>
        <b:NameList>
          <b:Person>
            <b:Last>Lusardi</b:Last>
            <b:First>Annamaria</b:First>
          </b:Person>
        </b:NameList>
      </b:Author>
    </b:Author>
    <b:ThesisType>Working paper</b:ThesisType>
    <b:YearAccessed>2014</b:YearAccessed>
    <b:MonthAccessed>Septiembre</b:MonthAccessed>
    <b:DayAccessed>12</b:DayAccessed>
    <b:URL>http://www.nber.org/papers/w13824</b:URL>
    <b:RefOrder>26</b:RefOrder>
  </b:Source>
  <b:Source>
    <b:Tag>Mat00</b:Tag>
    <b:SourceType>Report</b:SourceType>
    <b:Guid>{247CC719-5289-4A7C-A30C-3EC7BEF7D54A}</b:Guid>
    <b:Title>Estimates of DALE for 191 countries: methods and results</b:Title>
    <b:Year>2000</b:Year>
    <b:City>Geneva</b:City>
    <b:Author>
      <b:Author>
        <b:NameList>
          <b:Person>
            <b:Last>Mathers</b:Last>
            <b:First>Colin</b:First>
            <b:Middle>D</b:Middle>
          </b:Person>
          <b:Person>
            <b:Last>Sadana</b:Last>
            <b:First>Ritu</b:First>
          </b:Person>
          <b:Person>
            <b:Last>Salomon</b:Last>
            <b:First>Joshua</b:First>
            <b:Middle>A</b:Middle>
          </b:Person>
          <b:Person>
            <b:Last>Murray</b:Last>
            <b:Middle>J</b:Middle>
            <b:First>Christopher</b:First>
          </b:Person>
          <b:Person>
            <b:Last>Lopez</b:Last>
            <b:Middle>D</b:Middle>
            <b:First>Alan</b:First>
          </b:Person>
        </b:NameList>
      </b:Author>
    </b:Author>
    <b:Institution>World Health Organization</b:Institution>
    <b:ThesisType>Global Programme on Evidence for Health Policy Working Paper</b:ThesisType>
    <b:StandardNumber>16</b:StandardNumber>
    <b:YearAccessed>2014</b:YearAccessed>
    <b:MonthAccessed>Septiembre </b:MonthAccessed>
    <b:DayAccessed>8</b:DayAccessed>
    <b:RefOrder>27</b:RefOrder>
  </b:Source>
  <b:Source>
    <b:Tag>Wor12</b:Tag>
    <b:SourceType>InternetSite</b:SourceType>
    <b:Guid>{0964FF54-976F-44E9-A929-F4C7C095B2B4}</b:Guid>
    <b:Title>Global Health Observatory Data Repository (Region of the Americas)</b:Title>
    <b:Year>2012</b:Year>
    <b:Author>
      <b:Author>
        <b:Corporate>World Health Organization</b:Corporate>
      </b:Author>
    </b:Author>
    <b:InternetSiteTitle>Estimates by country: Age-standardized DALY rates. Data by Country</b:InternetSiteTitle>
    <b:URL>http://apps.who.int/gho/data/node.main-amro.DALYCTRY?lang=en</b:URL>
    <b:YearAccessed>2014</b:YearAccessed>
    <b:MonthAccessed>Septiembre</b:MonthAccessed>
    <b:DayAccessed>8</b:DayAccessed>
    <b:RefOrder>1</b:RefOrder>
  </b:Source>
  <b:Source>
    <b:Tag>Cou11</b:Tag>
    <b:SourceType>InternetSite</b:SourceType>
    <b:Guid>{AF327DB5-02A3-4AFF-905B-D6A5E43E1E1B}</b:Guid>
    <b:Author>
      <b:Author>
        <b:Corporate>Country Statistics</b:Corporate>
      </b:Author>
    </b:Author>
    <b:Title>Health expenditures</b:Title>
    <b:Year>2011</b:Year>
    <b:URL>http://cstatistics.info/statistics/country/alb/health-expenditures.html</b:URL>
    <b:YearAccessed>2014</b:YearAccessed>
    <b:MonthAccessed>Septiembre</b:MonthAccessed>
    <b:DayAccessed>12</b:DayAccessed>
    <b:RefOrder>2</b:RefOrder>
  </b:Source>
  <b:Source>
    <b:Tag>Mej12</b:Tag>
    <b:SourceType>Report</b:SourceType>
    <b:Guid>{7BE56727-4B6B-41EA-ACBB-65D5A62C2D08}</b:Guid>
    <b:Title>Guidelines for the economic analysis of IDB-funded projects</b:Title>
    <b:Year>2012</b:Year>
    <b:Publisher>Office of strategic planning and development effectiveness </b:Publisher>
    <b:City>Washington D.C.</b:City>
    <b:Author>
      <b:Author>
        <b:NameList>
          <b:Person>
            <b:Last>Mejía</b:Last>
            <b:First>Francisco</b:First>
          </b:Person>
          <b:Person>
            <b:Last>Winters</b:Last>
            <b:First>Paul</b:First>
          </b:Person>
          <b:Person>
            <b:Last>Alvarez</b:Last>
            <b:First>Carola</b:First>
          </b:Person>
          <b:Person>
            <b:Last>Corral</b:Last>
            <b:First>Leonardo</b:First>
          </b:Person>
          <b:Person>
            <b:Last>Diez Roux</b:Last>
            <b:First>Esteban</b:First>
          </b:Person>
        </b:NameList>
      </b:Author>
    </b:Author>
    <b:Institution>Inter-American Development Bank</b:Institution>
    <b:ThesisType>Guidelines</b:ThesisType>
    <b:YearAccessed>2014</b:YearAccessed>
    <b:MonthAccessed>Septiembre</b:MonthAccessed>
    <b:DayAccessed>8</b:DayAccessed>
    <b:RefOrder>4</b:RefOrder>
  </b:Source>
  <b:Source>
    <b:Tag>Chi10</b:Tag>
    <b:SourceType>Report</b:SourceType>
    <b:Guid>{3A564630-D5C8-4314-8D84-4D5F82739BFB}</b:Guid>
    <b:Title>Improving health system efficiency as a means of moving towards universal coverage</b:Title>
    <b:Year>2010</b:Year>
    <b:Author>
      <b:Author>
        <b:NameList>
          <b:Person>
            <b:Last>Chisholm</b:Last>
            <b:First>Dan</b:First>
          </b:Person>
          <b:Person>
            <b:Last>Evans</b:Last>
            <b:Middle>B</b:Middle>
            <b:First>David</b:First>
          </b:Person>
        </b:NameList>
      </b:Author>
    </b:Author>
    <b:Institution>Wolrd Health Organization</b:Institution>
    <b:ThesisType>World Health Report: Background paper</b:ThesisType>
    <b:StandardNumber>28</b:StandardNumber>
    <b:YearAccessed>2014</b:YearAccessed>
    <b:MonthAccessed>Septiembre</b:MonthAccessed>
    <b:DayAccessed>11</b:DayAccessed>
    <b:RefOrder>16</b:RefOrder>
  </b:Source>
  <b:Source>
    <b:Tag>Dav04</b:Tag>
    <b:SourceType>Report</b:SourceType>
    <b:Guid>{1F505963-4F30-42F5-95CB-A570D80283DB}</b:Guid>
    <b:Title>Is there a link between pension fund assets and economic growth? A cross country empirical study</b:Title>
    <b:Year>2004</b:Year>
    <b:Publisher>Brunel University Economics and Finance</b:Publisher>
    <b:Author>
      <b:Author>
        <b:NameList>
          <b:Person>
            <b:Last>Davis</b:Last>
            <b:Middle>P</b:Middle>
            <b:First>E</b:First>
          </b:Person>
          <b:Person>
            <b:Last>Hu</b:Last>
            <b:First>Y</b:First>
          </b:Person>
        </b:NameList>
      </b:Author>
    </b:Author>
    <b:ThesisType>Working Paper</b:ThesisType>
    <b:YearAccessed>2014</b:YearAccessed>
    <b:MonthAccessed>Septiembre </b:MonthAccessed>
    <b:DayAccessed>10</b:DayAccessed>
    <b:URL>http://www.brunel.ac.uk/__data/assets/pdf_file/0004/84631/04-23.PDF</b:URL>
    <b:RefOrder>18</b:RefOrder>
  </b:Source>
  <b:Source>
    <b:Tag>AnB06</b:Tag>
    <b:SourceType>Report</b:SourceType>
    <b:Guid>{315F5B9F-84C2-4509-802B-4E0F44129999}</b:Guid>
    <b:Author>
      <b:Author>
        <b:Corporate>An Bord Pinsean - The Pension Board</b:Corporate>
      </b:Author>
    </b:Author>
    <b:Title>The economic impact of mandatory pensions</b:Title>
    <b:Year>2006</b:Year>
    <b:Publisher>Firzpatrick associates</b:Publisher>
    <b:ThesisType>Final report</b:ThesisType>
    <b:YearAccessed>2014</b:YearAccessed>
    <b:MonthAccessed>Septiembre</b:MonthAccessed>
    <b:DayAccessed>3</b:DayAccessed>
    <b:RefOrder>28</b:RefOrder>
  </b:Source>
  <b:Source>
    <b:Tag>Bij14</b:Tag>
    <b:SourceType>Report</b:SourceType>
    <b:Guid>{09FE2255-8345-46B4-930B-80FAC24DDFDC}</b:Guid>
    <b:Title>Economic growth and funded pension systems</b:Title>
    <b:Year>2014</b:Year>
    <b:City>Amsterdam</b:City>
    <b:Author>
      <b:Author>
        <b:NameList>
          <b:Person>
            <b:Last>Bijlsma</b:Last>
            <b:First>Michiel</b:First>
          </b:Person>
          <b:Person>
            <b:Last>van Ewijk</b:Last>
            <b:First>Casper</b:First>
          </b:Person>
          <b:Person>
            <b:Last>Haaijen</b:Last>
            <b:First>Ferry</b:First>
          </b:Person>
        </b:NameList>
      </b:Author>
    </b:Author>
    <b:Institution>CPB Netherlands Bureau for economic policy analysis</b:Institution>
    <b:ThesisType>CPB Discussion Paper</b:ThesisType>
    <b:StandardNumber>279</b:StandardNumber>
    <b:YearAccessed>2014</b:YearAccessed>
    <b:MonthAccessed>Septiembre</b:MonthAccessed>
    <b:DayAccessed>8</b:DayAccessed>
    <b:RefOrder>19</b:RefOrder>
  </b:Source>
  <b:Source>
    <b:Tag>Kip12</b:Tag>
    <b:SourceType>Report</b:SourceType>
    <b:Guid>{FB4A8A8C-67C5-4E1F-BB81-8AECEFBE4E21}</b:Guid>
    <b:Title>Do retirement benefits assets contribute to economic growth in Kenya?</b:Title>
    <b:Year>2012</b:Year>
    <b:Author>
      <b:Author>
        <b:NameList>
          <b:Person>
            <b:Last>Kipanga</b:Last>
            <b:First>Ben</b:First>
          </b:Person>
        </b:NameList>
      </b:Author>
    </b:Author>
    <b:Institution>Retirement Benefits Authority</b:Institution>
    <b:ThesisType>Research paper</b:ThesisType>
    <b:YearAccessed>2014</b:YearAccessed>
    <b:MonthAccessed>Septiembre </b:MonthAccessed>
    <b:DayAccessed>9</b:DayAccessed>
    <b:RefOrder>20</b:RefOrder>
  </b:Source>
  <b:Source>
    <b:Tag>Beb06</b:Tag>
    <b:SourceType>Report</b:SourceType>
    <b:Guid>{5431AA23-176C-4EDA-AD1B-AC64E21E0D91}</b:Guid>
    <b:Title>Pensions and saving: new international panel data evidence</b:Title>
    <b:Year>2006</b:Year>
    <b:Publisher>Departamento de Economía. Facultad de Ciencias Económicas</b:Publisher>
    <b:City>La Plata</b:City>
    <b:Author>
      <b:Author>
        <b:NameList>
          <b:Person>
            <b:Last>Bebczuk</b:Last>
            <b:Middle>N</b:Middle>
            <b:First>Ricardo</b:First>
          </b:Person>
          <b:Person>
            <b:Last>Musalem</b:Last>
            <b:Middle>R</b:Middle>
            <b:First>Alberto</b:First>
          </b:Person>
        </b:NameList>
      </b:Author>
    </b:Author>
    <b:Institution>Universidad Nacional de La Plata</b:Institution>
    <b:ThesisType>Documento de Trabajo</b:ThesisType>
    <b:StandardNumber>61</b:StandardNumber>
    <b:YearAccessed>2014</b:YearAccessed>
    <b:MonthAccessed>Septiembre</b:MonthAccessed>
    <b:DayAccessed>8</b:DayAccessed>
    <b:RefOrder>21</b:RefOrder>
  </b:Source>
  <b:Source>
    <b:Tag>Mun11</b:Tag>
    <b:SourceType>Report</b:SourceType>
    <b:Guid>{AF23FA71-E050-4397-B1E9-D4765C25BEE1}</b:Guid>
    <b:Title>The relationship between pension fund assets and economic growth in Kenya</b:Title>
    <b:Year>2011</b:Year>
    <b:Publisher>School of bussiness </b:Publisher>
    <b:Author>
      <b:Author>
        <b:NameList>
          <b:Person>
            <b:Last>Mungoma</b:Last>
            <b:Middle>Christopher</b:Middle>
            <b:First>Wanjala</b:First>
          </b:Person>
        </b:NameList>
      </b:Author>
    </b:Author>
    <b:Institution>University of Nairobi</b:Institution>
    <b:ThesisType>Research project proposal </b:ThesisType>
    <b:YearAccessed>2014</b:YearAccessed>
    <b:MonthAccessed>Septiembre</b:MonthAccessed>
    <b:DayAccessed>3</b:DayAccessed>
    <b:RefOrder>7</b:RefOrder>
  </b:Source>
  <b:Source>
    <b:Tag>Zan10</b:Tag>
    <b:SourceType>Report</b:SourceType>
    <b:Guid>{A9F033DD-7FFD-4417-BD0C-DF8C2207BC8F}</b:Guid>
    <b:Title>Fundin of pensions and economic growth. Are they really related?</b:Title>
    <b:Year>2010</b:Year>
    <b:Publisher>Network for studies on pensions, aging and retirement</b:Publisher>
    <b:Author>
      <b:Author>
        <b:NameList>
          <b:Person>
            <b:Last>Zandberg</b:Last>
            <b:First>Eelco</b:First>
          </b:Person>
          <b:Person>
            <b:Last>Spierdijk</b:Last>
            <b:First>Laura</b:First>
          </b:Person>
        </b:NameList>
      </b:Author>
    </b:Author>
    <b:Institution>University of Groningen</b:Institution>
    <b:ThesisType>Netspar Discussion Paper</b:ThesisType>
    <b:StandardNumber>12/2010-082</b:StandardNumber>
    <b:YearAccessed>2014</b:YearAccessed>
    <b:MonthAccessed>Septiembre</b:MonthAccessed>
    <b:DayAccessed>8</b:DayAccessed>
    <b:RefOrder>22</b:RefOrder>
  </b:Source>
  <b:Source>
    <b:Tag>Mie13</b:Tag>
    <b:SourceType>JournalArticle</b:SourceType>
    <b:Guid>{F0301DD6-3FE8-4228-AEE5-3F7518CF768B}</b:Guid>
    <b:Title>Simulation model to forecast the consequences of changes introduced into the 2nd pillar of the Polish pension system</b:Title>
    <b:Year>2013</b:Year>
    <b:JournalName>Economic modelling</b:JournalName>
    <b:Volume>30</b:Volume>
    <b:StandardNumber>http://dx.doi.org/10.1016/j.econmod.2012.09.053</b:StandardNumber>
    <b:YearAccessed>2014</b:YearAccessed>
    <b:MonthAccessed>Septiembre</b:MonthAccessed>
    <b:DayAccessed>16</b:DayAccessed>
    <b:Author>
      <b:Author>
        <b:NameList>
          <b:Person>
            <b:Last>Mielczarek</b:Last>
            <b:First>Bozena</b:First>
          </b:Person>
        </b:NameList>
      </b:Author>
    </b:Author>
    <b:RefOrder>29</b:RefOrder>
  </b:Source>
  <b:Source>
    <b:Tag>Min122</b:Tag>
    <b:SourceType>Report</b:SourceType>
    <b:Guid>{323F44F3-ABA6-44BD-8065-45E103E8FC96}</b:Guid>
    <b:Author>
      <b:Author>
        <b:Corporate>Ministerio de Salud Pública</b:Corporate>
      </b:Author>
    </b:Author>
    <b:Title>Informe Gasto Público en Salud República Dominicana 2012</b:Title>
    <b:Year>2012</b:Year>
    <b:City>Santo Domingo D.N.</b:City>
    <b:ThesisType>Informe de Gasto Público en Salud</b:ThesisType>
    <b:YearAccessed>2014</b:YearAccessed>
    <b:MonthAccessed>Septiembre</b:MonthAccessed>
    <b:DayAccessed>10</b:DayAccessed>
    <b:RefOrder>17</b:RefOrder>
  </b:Source>
  <b:Source>
    <b:Tag>Sec101</b:Tag>
    <b:SourceType>Misc</b:SourceType>
    <b:Guid>{CC54BA2F-AA60-4E5B-844A-4041890D3460}</b:Guid>
    <b:Author>
      <b:Author>
        <b:Corporate>Secretaría de Estado de Salud Pública y Asistencia Social</b:Corporate>
      </b:Author>
    </b:Author>
    <b:Title>Sistema de Informaciín Geográfica para Salud</b:Title>
    <b:Year>2010</b:Year>
    <b:PublicationTitle>SIGpaS4</b:PublicationTitle>
    <b:CountryRegion>República Dominicana</b:CountryRegion>
    <b:YearAccessed>2014</b:YearAccessed>
    <b:MonthAccessed>Agosto</b:MonthAccessed>
    <b:DayAccessed>20</b:DayAccessed>
    <b:URL>http://reformaonline.cerss.gov.do/sites/?p=96</b:URL>
    <b:RefOrder>23</b:RefOrder>
  </b:Source>
  <b:Source>
    <b:Tag>Ofi14</b:Tag>
    <b:SourceType>Misc</b:SourceType>
    <b:Guid>{7DC783CF-E1B0-4E94-A608-91A04CCD5284}</b:Guid>
    <b:Title>Estadísticas sociales Nacionales</b:Title>
    <b:Year>2014</b:Year>
    <b:CountryRegion>República Dominicana</b:CountryRegion>
    <b:Author>
      <b:Author>
        <b:Corporate>Oficina Nacional de Estadística</b:Corporate>
      </b:Author>
    </b:Author>
    <b:YearAccessed>2014</b:YearAccessed>
    <b:MonthAccessed>Septiembre</b:MonthAccessed>
    <b:DayAccessed>1</b:DayAccessed>
    <b:URL>http://www.one.gob.do/</b:URL>
    <b:RefOrder>24</b:RefOrder>
  </b:Source>
  <b:Source>
    <b:Tag>Ofi10</b:Tag>
    <b:SourceType>InternetSite</b:SourceType>
    <b:Guid>{9743C699-F10A-4A42-951B-94FA625EC61A}</b:Guid>
    <b:Author>
      <b:Author>
        <b:Corporate>Oficina Nacional de Estadística de República Dominicana</b:Corporate>
      </b:Author>
    </b:Author>
    <b:Title>Sistema Interactivo de Consulta Censo Nacional de Población y Vivienda</b:Title>
    <b:ProductionCompany>Oficina Nacional de Estadística</b:ProductionCompany>
    <b:Year>2010</b:Year>
    <b:YearAccessed>2014</b:YearAccessed>
    <b:MonthAccessed>Septiembre</b:MonthAccessed>
    <b:DayAccessed>12</b:DayAccessed>
    <b:URL>http://sicen.one.gob.do/</b:URL>
    <b:RefOrder>30</b:RefOrder>
  </b:Source>
  <b:Source>
    <b:Tag>Sec10</b:Tag>
    <b:SourceType>DocumentFromInternetSite</b:SourceType>
    <b:Guid>{18BF333A-6A4C-4056-AEB4-459FE157EF8C}</b:Guid>
    <b:Author>
      <b:Author>
        <b:Corporate>Secretaría de Estado de Salud Pública y Asistencia Social</b:Corporate>
      </b:Author>
    </b:Author>
    <b:Title>SIGpaS4</b:Title>
    <b:Year>2010</b:Year>
    <b:YearAccessed>2014</b:YearAccessed>
    <b:MonthAccessed>Septiembre</b:MonthAccessed>
    <b:DayAccessed>12</b:DayAccessed>
    <b:URL>http://reformaonline.cerss.gov.do/sites/?p=96</b:URL>
    <b:RefOrder>31</b:RefOrder>
  </b:Source>
  <b:Source>
    <b:Tag>Org09</b:Tag>
    <b:SourceType>DocumentFromInternetSite</b:SourceType>
    <b:Guid>{E6CA2786-E303-4381-B1E5-26B16B6330EC}</b:Guid>
    <b:Author>
      <b:Author>
        <b:Corporate>Organización Mundial de la Salud</b:Corporate>
      </b:Author>
    </b:Author>
    <b:Title>El umbral de médicos, enfermeras y parteras por cada 10.000 habitantes</b:Title>
    <b:Year>2009</b:Year>
    <b:YearAccessed>2014</b:YearAccessed>
    <b:MonthAccessed>Septiembre</b:MonthAccessed>
    <b:URL>http://www.who.int/hrh/workforce_mdgs/es/</b:URL>
    <b:RefOrder>32</b:RefOrder>
  </b:Source>
  <b:Source>
    <b:Tag>Orc09</b:Tag>
    <b:SourceType>JournalArticle</b:SourceType>
    <b:Guid>{6BD962D4-973D-4194-8842-12A8884201C0}</b:Guid>
    <b:Title>Victimización por corrupción en el sector de la Salud Pública</b:Title>
    <b:Year>2009</b:Year>
    <b:YearAccessed>2014</b:YearAccessed>
    <b:MonthAccessed>Septiembre</b:MonthAccessed>
    <b:DayAccessed>13</b:DayAccessed>
    <b:URL>http://www.vanderbilt.edu/lapop/insights/I0830es.pdf</b:URL>
    <b:Issue>30</b:Issue>
    <b:Author>
      <b:Author>
        <b:NameList>
          <b:Person>
            <b:Last>Orces</b:Last>
            <b:First>Diana</b:First>
          </b:Person>
        </b:NameList>
      </b:Author>
    </b:Author>
    <b:JournalName>Perspectivas desde el Barómetro de las Américas</b:JournalName>
    <b:RefOrder>33</b:RefOrder>
  </b:Source>
  <b:Source>
    <b:Tag>Bus12</b:Tag>
    <b:SourceType>Report</b:SourceType>
    <b:Guid>{952B831B-6296-4AF7-8B24-5C31531D9857}</b:Guid>
    <b:Title>(In)Formal and (Un)productive: The productivity costos of excessive informality in Mexico</b:Title>
    <b:Year>2012</b:Year>
    <b:StandardNumber>No. IDB-WP-341</b:StandardNumber>
    <b:YearAccessed>2014</b:YearAccessed>
    <b:MonthAccessed>Septiembre </b:MonthAccessed>
    <b:DayAccessed>21</b:DayAccessed>
    <b:URL>http://publications.iadb.org/bitstream/handle/11319/4047/%28In%29Formal%20and%20%28Un%29Productive%3a%20The%20Productivity%20Costs%20of%20Excessive%20Informality%20in%20Mexico.pdf;jsessionid=ED65DBF2AD98AB92E5A16BD8A43F6CB9?sequence=1</b:URL>
    <b:Department>Department of research and Chief Economist</b:Department>
    <b:Institution>Inter-American Development Bank</b:Institution>
    <b:ThesisType>Working Paper</b:ThesisType>
    <b:Author>
      <b:Author>
        <b:NameList>
          <b:Person>
            <b:Last>Busso</b:Last>
            <b:First>Matías</b:First>
          </b:Person>
          <b:Person>
            <b:Last>Fazio</b:Last>
            <b:First>María</b:First>
            <b:Middle>Victoria</b:Middle>
          </b:Person>
          <b:Person>
            <b:Last>Levy</b:Last>
            <b:First>Santiago</b:First>
          </b:Person>
        </b:NameList>
      </b:Author>
    </b:Author>
    <b:RefOrder>8</b:RefOrder>
  </b:Source>
  <b:Source>
    <b:Tag>Acu13</b:Tag>
    <b:SourceType>Book</b:SourceType>
    <b:Guid>{FF78A63F-B993-43AE-8191-C166E44D32F6}</b:Guid>
    <b:Title>Contribución del sistema privado de pensiones al desarrollo económico de Latinoamérica. Experiencias de Colombia, México, Chile y Perú</b:Title>
    <b:Year>2013</b:Year>
    <b:City>Santiago</b:City>
    <b:CountryRegion>Chile</b:CountryRegion>
    <b:Publisher>SURA Asset Mangement</b:Publisher>
    <b:Author>
      <b:Author>
        <b:NameList>
          <b:Person>
            <b:Last>Acuña</b:Last>
            <b:First>Rodrigo</b:First>
          </b:Person>
          <b:Person>
            <b:Last>Villar</b:Last>
            <b:First>Leonardo</b:First>
          </b:Person>
          <b:Person>
            <b:Last>Villagómez</b:Last>
            <b:First>Alejandro</b:First>
          </b:Person>
          <b:Person>
            <b:Last>Fuentes</b:Last>
            <b:First>Rodrigo</b:First>
          </b:Person>
          <b:Person>
            <b:Last>Secada</b:Last>
            <b:First>Pablo</b:First>
          </b:Person>
        </b:NameList>
      </b:Author>
    </b:Author>
    <b:YearAccessed>2014</b:YearAccessed>
    <b:MonthAccessed>Septiembre </b:MonthAccessed>
    <b:DayAccessed>25</b:DayAccessed>
    <b:RefOrder>6</b:RefOrder>
  </b:Source>
  <b:Source>
    <b:Tag>Oeh08</b:Tag>
    <b:SourceType>JournalArticle</b:SourceType>
    <b:Guid>{6542352A-8DBC-4C27-9DB1-280A8B5E92AA}</b:Guid>
    <b:Title>Saving for retirement - A case for financial education in Germany and UK? An economic perspective</b:Title>
    <b:Year>2008</b:Year>
    <b:JournalName>Journal of Consumer Policy</b:JournalName>
    <b:Pages>253-283</b:Pages>
    <b:Author>
      <b:Author>
        <b:NameList>
          <b:Person>
            <b:Last>Oehler</b:Last>
            <b:First>Andreas</b:First>
          </b:Person>
          <b:Person>
            <b:Last>Werner</b:Last>
            <b:First>Christina</b:First>
          </b:Person>
        </b:NameList>
      </b:Author>
    </b:Author>
    <b:Volume>31</b:Volume>
    <b:YearAccessed>2014</b:YearAccessed>
    <b:MonthAccessed>Septiembre</b:MonthAccessed>
    <b:DayAccessed>25</b:DayAccessed>
    <b:DOI> 10.1007/s10603-008-9074-5</b:DOI>
    <b:RefOrder>9</b:RefOrder>
  </b:Source>
  <b:Source>
    <b:Tag>Faj09</b:Tag>
    <b:SourceType>Report</b:SourceType>
    <b:Guid>{16DFCD42-B2BC-42E5-9197-9598ED05F53C}</b:Guid>
    <b:Title>Does formality improve micro-firm performance? Quasi-experimiental evidece from the brazilian SIMPLES program</b:Title>
    <b:Year>2009</b:Year>
    <b:Publisher>IZA</b:Publisher>
    <b:Author>
      <b:Author>
        <b:NameList>
          <b:Person>
            <b:Last>Fajnzylber</b:Last>
            <b:First>Pablo</b:First>
          </b:Person>
          <b:Person>
            <b:Last>Maloney</b:Last>
            <b:First>William</b:First>
          </b:Person>
          <b:Person>
            <b:Last>Montes Rojas</b:Last>
            <b:First>Gabriel</b:First>
            <b:Middle>V</b:Middle>
          </b:Person>
        </b:NameList>
      </b:Author>
    </b:Author>
    <b:ThesisType>Discussion Paper Series</b:ThesisType>
    <b:StandardNumber>IZA DP No. 4531</b:StandardNumber>
    <b:YearAccessed>2014</b:YearAccessed>
    <b:MonthAccessed>Septiembre</b:MonthAccessed>
    <b:DayAccessed>29</b:DayAccessed>
    <b:URL>http://ftp.iza.org/dp4531.pdf</b:URL>
    <b:RefOrder>10</b:RefOrder>
  </b:Source>
  <b:Source>
    <b:Tag>Bus121</b:Tag>
    <b:SourceType>Report</b:SourceType>
    <b:Guid>{075A646D-115B-49B2-80AE-11599B568976}</b:Guid>
    <b:Title>Productivity and resource misallocation in Latin America</b:Title>
    <b:Year>2012</b:Year>
    <b:Author>
      <b:Author>
        <b:NameList>
          <b:Person>
            <b:Last>Busso</b:Last>
            <b:First>Matías</b:First>
          </b:Person>
          <b:Person>
            <b:Last>Madrigal</b:Last>
            <b:First>Lucía</b:First>
          </b:Person>
          <b:Person>
            <b:Last>Pagés</b:Last>
            <b:First>Carmen</b:First>
          </b:Person>
        </b:NameList>
      </b:Author>
    </b:Author>
    <b:ThesisType>IDB Working Paper Series</b:ThesisType>
    <b:StandardNumber>IDB-WP-306</b:StandardNumber>
    <b:URL>http://idbdocs.iadb.org/wsdocs/getdocument.aspx?docnum=36816832</b:URL>
    <b:Institution>Inter-American Development Bank</b:Institution>
    <b:YearAccessed>2014</b:YearAccessed>
    <b:MonthAccessed>Septiembre</b:MonthAccessed>
    <b:DayAccessed>25</b:DayAccessed>
    <b:RefOrder>11</b:RefOrder>
  </b:Source>
  <b:Source>
    <b:Tag>Wor10</b:Tag>
    <b:SourceType>DocumentFromInternetSite</b:SourceType>
    <b:Guid>{B53A8B99-7C57-4A6B-BD0A-28B1EF1BD554}</b:Guid>
    <b:Title>World Health Report: Helath systems financing: the path to universal coverage</b:Title>
    <b:InternetSiteTitle>Chapter 4</b:InternetSiteTitle>
    <b:Year>2010</b:Year>
    <b:URL>http://www.who.int/whr/2010/10_chap04_en.pdf?ua=1</b:URL>
    <b:Author>
      <b:Author>
        <b:Corporate>World Health Organization</b:Corporate>
      </b:Author>
    </b:Author>
    <b:YearAccessed>2014</b:YearAccessed>
    <b:MonthAccessed>Octubre</b:MonthAccessed>
    <b:DayAccessed>1</b:DayAccessed>
    <b:RefOrder>14</b:RefOrder>
  </b:Source>
  <b:Source>
    <b:Tag>Mac11</b:Tag>
    <b:SourceType>JournalArticle</b:SourceType>
    <b:Guid>{33BBF336-F695-48AB-8585-FBCA62D7F3B2}</b:Guid>
    <b:Title>The influence of primary care and hospital supply on ambulatory care-sensitive hospitalizations among adults in Brazil, 1999-2007.</b:Title>
    <b:Year>2011</b:Year>
    <b:URL>http://ajph.aphapublications.org/doi/abs/10.2105/AJPH.2010.198887?url_ver=Z39.88-2003&amp;rfr_id=ori%3Arid%3Acrossref.org&amp;rfr_dat=cr_pub%3Dpubmed&amp;</b:URL>
    <b:Author>
      <b:Author>
        <b:NameList>
          <b:Person>
            <b:Last>Macinko</b:Last>
            <b:First>James</b:First>
          </b:Person>
          <b:Person>
            <b:Last>de Oliveira</b:Last>
            <b:Middle>B</b:Middle>
            <b:First>Veneza</b:First>
          </b:Person>
          <b:Person>
            <b:Last>Turci</b:Last>
            <b:Middle>A</b:Middle>
            <b:First>María</b:First>
          </b:Person>
          <b:Person>
            <b:Last>Guanais</b:Last>
            <b:Middle>C</b:Middle>
            <b:First>Federico</b:First>
          </b:Person>
          <b:Person>
            <b:Last>Bonolo</b:Last>
            <b:Middle>F</b:Middle>
            <b:First>Palmira</b:First>
          </b:Person>
          <b:Person>
            <b:Last>Lima Costa</b:Last>
            <b:First>María</b:First>
          </b:Person>
        </b:NameList>
      </b:Author>
    </b:Author>
    <b:JournalName>American Journal of Public Health</b:JournalName>
    <b:Pages>1963-1970</b:Pages>
    <b:Volume>101</b:Volume>
    <b:Issue>10</b:Issue>
    <b:YearAccessed>2014</b:YearAccessed>
    <b:MonthAccessed>Octubre</b:MonthAccessed>
    <b:DOI>10.2105/AJPH.2010.198887</b:DOI>
    <b:RefOrder>34</b:RefOrder>
  </b:Source>
  <b:Source>
    <b:Tag>Ban14</b:Tag>
    <b:SourceType>Misc</b:SourceType>
    <b:Guid>{86EFE259-CEF2-4476-ABD6-DE197603942F}</b:Guid>
    <b:Title>Porpuesta para el desarrollo de la Operación (No. DR-L1073)</b:Title>
    <b:Year>2014</b:Year>
    <b:City>Santo Domingo</b:City>
    <b:YearAccessed>2014</b:YearAccessed>
    <b:MonthAccessed>Octubre</b:MonthAccessed>
    <b:DayAccessed>1</b:DayAccessed>
    <b:Author>
      <b:Author>
        <b:Corporate>Banco Interamericano de Desarrollo</b:Corporate>
      </b:Author>
    </b:Author>
    <b:PublicationTitle>Apoyo a la consolidación del Sector Salud y de la Seguridad Social.</b:PublicationTitle>
    <b:CountryRegion>República Dominicana</b:CountryRegion>
    <b:RefOrder>35</b:RefOrder>
  </b:Source>
  <b:Source>
    <b:Tag>Nat11</b:Tag>
    <b:SourceType>JournalArticle</b:SourceType>
    <b:Guid>{C8BD7F77-39B1-4DBE-9484-EA2845CC7FC9}</b:Guid>
    <b:Title>Cost Effectiveness of care provided at health centers</b:Title>
    <b:Year>2011</b:Year>
    <b:Month>December</b:Month>
    <b:Author>
      <b:Author>
        <b:Corporate>National Association of Community Health Centers</b:Corporate>
      </b:Author>
    </b:Author>
    <b:JournalName>Fact Sheet</b:JournalName>
    <b:Issue>1211</b:Issue>
    <b:YearAccessed>2014</b:YearAccessed>
    <b:MonthAccessed>October</b:MonthAccessed>
    <b:DayAccessed>5</b:DayAccessed>
    <b:RefOrder>12</b:RefOrder>
  </b:Source>
  <b:Source>
    <b:Tag>Org22</b:Tag>
    <b:SourceType>JournalArticle</b:SourceType>
    <b:Guid>{EB0AEC9E-E193-490C-8002-2695CC7EA022}</b:Guid>
    <b:Title>Promoción del Uso Racional de Medicamentos: componentes centrales</b:Title>
    <b:JournalName>Perspectivas políticas sobre medicamentos de la OMS</b:JournalName>
    <b:Year>2022</b:Year>
    <b:Author>
      <b:Author>
        <b:Corporate>Organización Mundial de la Salud</b:Corporate>
      </b:Author>
    </b:Author>
    <b:City>Ginebra</b:City>
    <b:Month>Septiembre</b:Month>
    <b:Issue>5</b:Issue>
    <b:YearAccessed>2014</b:YearAccessed>
    <b:MonthAccessed>Octubre</b:MonthAccessed>
    <b:DayAccessed>5</b:DayAccessed>
    <b:URL>http://apps.who.int/medicinedocs/pdf/s4874s/s4874s.pdf</b:URL>
    <b:RefOrder>13</b:RefOrder>
  </b:Source>
  <b:Source>
    <b:Tag>Tra06</b:Tag>
    <b:SourceType>Report</b:SourceType>
    <b:Guid>{DFBC1631-E83F-49E5-92FA-79536FD0DCC1}</b:Guid>
    <b:Title>Informe Global de la Corrupción. Corrupción y salud</b:Title>
    <b:Year>2006</b:Year>
    <b:Author>
      <b:Author>
        <b:Corporate>Transparency international; Banco Interamericano de Desarrollo</b:Corporate>
      </b:Author>
    </b:Author>
    <b:City>Washington D.C.</b:City>
    <b:ThesisType>Reporte</b:ThesisType>
    <b:YearAccessed>2014</b:YearAccessed>
    <b:MonthAccessed>Octubre</b:MonthAccessed>
    <b:DayAccessed>5</b:DayAccessed>
    <b:URL>http://publications.iadb.org/bitstream/handle/11319/234/Informe%20global%20de%20la%20corrupci%C3%B3n%202006.pdf?sequence=1</b:URL>
    <b:RefOrder>15</b:RefOrder>
  </b:Source>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Record_x0020_Number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39849358</IDBDocs_x0020_Number>
    <Document_x0020_Author xmlns="9c571b2f-e523-4ab2-ba2e-09e151a03ef4">Pinto Masis, Diana Margarita</Document_x0020_Author>
    <Publication_x0020_Type xmlns="9c571b2f-e523-4ab2-ba2e-09e151a03ef4" xsi:nil="true"/>
    <Operation_x0020_Type xmlns="9c571b2f-e523-4ab2-ba2e-09e151a03ef4" xsi:nil="true"/>
    <TaxCatchAll xmlns="9c571b2f-e523-4ab2-ba2e-09e151a03ef4">
      <Value>9</Value>
      <Value>1</Value>
      <Value>2</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DR-L1079</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WORD&lt;/APPLICATION&gt;&lt;STAGE_CODE&gt;LP&lt;/STAGE_CODE&gt;&lt;USER_STAGE&gt;Loan Proposal&lt;/USER_STAGE&gt;&lt;PD_OBJ_TYPE&gt;0&lt;/PD_OBJ_TYPE&gt;&lt;MAKERECORD&gt;N&lt;/MAKERECORD&gt;&lt;PD_FILEPT_NO&gt;RI-Reg-PR-E&lt;/PD_FILEPT_NO&gt;&lt;PD_FILE_PART&gt;2253907&lt;/PD_FILE_PART&gt;&lt;SPRSEDEBYDOC&gt;&lt;/SPRSEDEBYDOC&gt;&lt;/Data&gt;</Migration_x0020_Info>
    <Approval_x0020_Number xmlns="9c571b2f-e523-4ab2-ba2e-09e151a03ef4" xsi:nil="true"/>
    <Access_x0020_to_x0020_Information_x00a0_Policy xmlns="9c571b2f-e523-4ab2-ba2e-09e151a03ef4">Confidential</Access_x0020_to_x0020_Information_x00a0_Policy>
    <Business_x0020_Area xmlns="9c571b2f-e523-4ab2-ba2e-09e151a03ef4" xsi:nil="true"/>
    <SISCOR_x0020_Number xmlns="9c571b2f-e523-4ab2-ba2e-09e151a03ef4" xsi:nil="true"/>
    <Webtopic xmlns="9c571b2f-e523-4ab2-ba2e-09e151a03ef4">Health</Webtopic>
    <Identifier xmlns="9c571b2f-e523-4ab2-ba2e-09e151a03ef4"> TECFILE</Identifier>
    <Publishing_x0020_House xmlns="9c571b2f-e523-4ab2-ba2e-09e151a03ef4" xsi:nil="true"/>
    <Disclosed xmlns="9c571b2f-e523-4ab2-ba2e-09e151a03ef4">false</Disclosed>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j8b96605ee2f4c4e988849e658583fee>
  </documentManagement>
</p:properties>
</file>

<file path=customXml/itemProps1.xml><?xml version="1.0" encoding="utf-8"?>
<ds:datastoreItem xmlns:ds="http://schemas.openxmlformats.org/officeDocument/2006/customXml" ds:itemID="{F05AD7AD-BC5B-40E4-8CCD-9B9E60DE705C}"/>
</file>

<file path=customXml/itemProps2.xml><?xml version="1.0" encoding="utf-8"?>
<ds:datastoreItem xmlns:ds="http://schemas.openxmlformats.org/officeDocument/2006/customXml" ds:itemID="{90404A9A-ED56-491D-8CCE-3EB03EC416D2}"/>
</file>

<file path=customXml/itemProps3.xml><?xml version="1.0" encoding="utf-8"?>
<ds:datastoreItem xmlns:ds="http://schemas.openxmlformats.org/officeDocument/2006/customXml" ds:itemID="{54065865-0E35-4C46-993B-A664AC1E0420}"/>
</file>

<file path=customXml/itemProps4.xml><?xml version="1.0" encoding="utf-8"?>
<ds:datastoreItem xmlns:ds="http://schemas.openxmlformats.org/officeDocument/2006/customXml" ds:itemID="{BF813297-A8E9-4FDD-9DA9-6176A89D2B08}"/>
</file>

<file path=customXml/itemProps5.xml><?xml version="1.0" encoding="utf-8"?>
<ds:datastoreItem xmlns:ds="http://schemas.openxmlformats.org/officeDocument/2006/customXml" ds:itemID="{A9451E13-2B4E-4635-AD79-28FDBFEFAC95}"/>
</file>

<file path=customXml/itemProps6.xml><?xml version="1.0" encoding="utf-8"?>
<ds:datastoreItem xmlns:ds="http://schemas.openxmlformats.org/officeDocument/2006/customXml" ds:itemID="{8F53127E-A0F1-46AC-BB49-26074B946F7E}"/>
</file>

<file path=customXml/itemProps7.xml><?xml version="1.0" encoding="utf-8"?>
<ds:datastoreItem xmlns:ds="http://schemas.openxmlformats.org/officeDocument/2006/customXml" ds:itemID="{61084B94-D4EA-487A-808B-F152E5695A96}"/>
</file>

<file path=docProps/app.xml><?xml version="1.0" encoding="utf-8"?>
<Properties xmlns="http://schemas.openxmlformats.org/officeDocument/2006/extended-properties" xmlns:vt="http://schemas.openxmlformats.org/officeDocument/2006/docPropsVTypes">
  <Template>Normal.dotm</Template>
  <TotalTime>1</TotalTime>
  <Pages>46</Pages>
  <Words>14094</Words>
  <Characters>80337</Characters>
  <Application>Microsoft Office Word</Application>
  <DocSecurity>0</DocSecurity>
  <Lines>669</Lines>
  <Paragraphs>188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 OF THE INTER-AMERICAN DEVELOPMENT BANK</vt:lpstr>
      <vt:lpstr>DOCUMENT OF THE INTER-AMERICAN DEVELOPMENT BANK</vt:lpstr>
    </vt:vector>
  </TitlesOfParts>
  <Company>Inter-American Development Bank</Company>
  <LinksUpToDate>false</LinksUpToDate>
  <CharactersWithSpaces>94243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Análisis Económico</dc:title>
  <dc:creator>O C</dc:creator>
  <cp:lastModifiedBy>Test</cp:lastModifiedBy>
  <cp:revision>2</cp:revision>
  <dcterms:created xsi:type="dcterms:W3CDTF">2015-10-05T14:06:00Z</dcterms:created>
  <dcterms:modified xsi:type="dcterms:W3CDTF">2015-10-05T14:06:00Z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0x01010046CF21643EE8D14686A648AA6DAD089200C4C6AAB38837F54AB634A2A1FB43321F</vt:lpwstr>
  </property>
  <property fmtid="{D5CDD505-2E9C-101B-9397-08002B2CF9AE}" pid="5" name="TaxKeywordTaxHTField">
    <vt:lpwstr/>
  </property>
  <property fmtid="{D5CDD505-2E9C-101B-9397-08002B2CF9AE}" pid="6" name="Series Operations IDB">
    <vt:lpwstr>9;#Loan Proposal|6ee86b6f-6e46-485b-8bfb-87a1f44622ac</vt:lpwstr>
  </property>
  <property fmtid="{D5CDD505-2E9C-101B-9397-08002B2CF9AE}" pid="7" name="Sub-Sector">
    <vt:lpwstr/>
  </property>
  <property fmtid="{D5CDD505-2E9C-101B-9397-08002B2CF9AE}" pid="8" name="Country">
    <vt:lpwstr>2;#Dominican Republic|19e8fe34-75bb-4d09-b676-0e9a3c6f1862</vt:lpwstr>
  </property>
  <property fmtid="{D5CDD505-2E9C-101B-9397-08002B2CF9AE}" pid="9" name="Fund IDB">
    <vt:lpwstr/>
  </property>
  <property fmtid="{D5CDD505-2E9C-101B-9397-08002B2CF9AE}" pid="10" name="Series_x0020_Operations_x0020_IDB">
    <vt:lpwstr>9;#Loan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ies>
</file>