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E5" w:rsidRPr="00FB6DEA" w:rsidRDefault="00AF1DE5" w:rsidP="00335FDA">
      <w:pPr>
        <w:jc w:val="center"/>
        <w:rPr>
          <w:rFonts w:ascii="Arial" w:eastAsiaTheme="minorHAnsi" w:hAnsi="Arial" w:cs="Arial"/>
          <w:b/>
          <w:sz w:val="22"/>
          <w:szCs w:val="22"/>
          <w:lang w:val="es-ES_tradnl"/>
        </w:rPr>
      </w:pPr>
      <w:r w:rsidRPr="00FB6DEA">
        <w:rPr>
          <w:rFonts w:ascii="Arial" w:eastAsiaTheme="minorHAnsi" w:hAnsi="Arial" w:cs="Arial"/>
          <w:b/>
          <w:sz w:val="22"/>
          <w:szCs w:val="22"/>
          <w:lang w:val="es-ES_tradnl"/>
        </w:rPr>
        <w:t xml:space="preserve">APOYO DEL BANCO </w:t>
      </w:r>
      <w:r w:rsidR="00AC3B49" w:rsidRPr="00FB6DEA">
        <w:rPr>
          <w:rFonts w:ascii="Arial" w:eastAsiaTheme="minorHAnsi" w:hAnsi="Arial" w:cs="Arial"/>
          <w:b/>
          <w:sz w:val="22"/>
          <w:szCs w:val="22"/>
          <w:lang w:val="es-ES_tradnl"/>
        </w:rPr>
        <w:t>A</w:t>
      </w:r>
      <w:r w:rsidRPr="00FB6DEA">
        <w:rPr>
          <w:rFonts w:ascii="Arial" w:eastAsiaTheme="minorHAnsi" w:hAnsi="Arial" w:cs="Arial"/>
          <w:b/>
          <w:sz w:val="22"/>
          <w:szCs w:val="22"/>
          <w:lang w:val="es-ES_tradnl"/>
        </w:rPr>
        <w:t>L SECTOR SALUD EN REP</w:t>
      </w:r>
      <w:r w:rsidR="004E1DEF" w:rsidRPr="00FB6DEA">
        <w:rPr>
          <w:rFonts w:ascii="Arial" w:eastAsiaTheme="minorHAnsi" w:hAnsi="Arial" w:cs="Arial"/>
          <w:b/>
          <w:sz w:val="22"/>
          <w:szCs w:val="22"/>
          <w:lang w:val="es-ES_tradnl"/>
        </w:rPr>
        <w:t>ÚBLICA DOMINICANA</w:t>
      </w:r>
    </w:p>
    <w:p w:rsidR="004B6B08" w:rsidRPr="00FB6DEA" w:rsidRDefault="004B6B08" w:rsidP="00335FDA">
      <w:pPr>
        <w:rPr>
          <w:rFonts w:ascii="Arial" w:hAnsi="Arial" w:cs="Arial"/>
          <w:b/>
          <w:sz w:val="22"/>
          <w:szCs w:val="22"/>
          <w:lang w:val="es-ES_tradnl"/>
        </w:rPr>
      </w:pPr>
    </w:p>
    <w:p w:rsidR="006E580B" w:rsidRPr="00FB6DEA" w:rsidRDefault="004B6B08" w:rsidP="008D53A8">
      <w:pPr>
        <w:pStyle w:val="Paragraph"/>
        <w:numPr>
          <w:ilvl w:val="0"/>
          <w:numId w:val="0"/>
        </w:numPr>
        <w:spacing w:before="0" w:after="0"/>
        <w:rPr>
          <w:rFonts w:ascii="Arial" w:hAnsi="Arial" w:cs="Arial"/>
          <w:sz w:val="22"/>
          <w:szCs w:val="22"/>
          <w:lang w:val="es-ES"/>
        </w:rPr>
      </w:pPr>
      <w:r w:rsidRPr="00FB6DEA">
        <w:rPr>
          <w:rFonts w:ascii="Arial" w:hAnsi="Arial" w:cs="Arial"/>
          <w:sz w:val="22"/>
          <w:szCs w:val="22"/>
          <w:lang w:val="es-ES"/>
        </w:rPr>
        <w:t xml:space="preserve">El Banco viene apoyando </w:t>
      </w:r>
      <w:r w:rsidR="0004387A" w:rsidRPr="00FB6DEA">
        <w:rPr>
          <w:rFonts w:ascii="Arial" w:hAnsi="Arial" w:cs="Arial"/>
          <w:sz w:val="22"/>
          <w:szCs w:val="22"/>
          <w:lang w:val="es-ES"/>
        </w:rPr>
        <w:t>a</w:t>
      </w:r>
      <w:r w:rsidR="00AF1DE5" w:rsidRPr="00FB6DEA">
        <w:rPr>
          <w:rFonts w:ascii="Arial" w:hAnsi="Arial" w:cs="Arial"/>
          <w:sz w:val="22"/>
          <w:szCs w:val="22"/>
          <w:lang w:val="es-ES"/>
        </w:rPr>
        <w:t xml:space="preserve">l </w:t>
      </w:r>
      <w:r w:rsidRPr="00FB6DEA">
        <w:rPr>
          <w:rFonts w:ascii="Arial" w:hAnsi="Arial" w:cs="Arial"/>
          <w:sz w:val="22"/>
          <w:szCs w:val="22"/>
          <w:lang w:val="es-ES"/>
        </w:rPr>
        <w:t>sector salud de</w:t>
      </w:r>
      <w:r w:rsidR="009723DE" w:rsidRPr="00FB6DEA">
        <w:rPr>
          <w:rFonts w:ascii="Arial" w:hAnsi="Arial" w:cs="Arial"/>
          <w:sz w:val="22"/>
          <w:szCs w:val="22"/>
          <w:lang w:val="es-ES"/>
        </w:rPr>
        <w:t xml:space="preserve"> Repú</w:t>
      </w:r>
      <w:r w:rsidRPr="00FB6DEA">
        <w:rPr>
          <w:rFonts w:ascii="Arial" w:hAnsi="Arial" w:cs="Arial"/>
          <w:sz w:val="22"/>
          <w:szCs w:val="22"/>
          <w:lang w:val="es-ES"/>
        </w:rPr>
        <w:t>blica Dominicana</w:t>
      </w:r>
      <w:r w:rsidR="00932990" w:rsidRPr="00FB6DEA">
        <w:rPr>
          <w:rFonts w:ascii="Arial" w:hAnsi="Arial" w:cs="Arial"/>
          <w:sz w:val="22"/>
          <w:szCs w:val="22"/>
          <w:lang w:val="es-ES"/>
        </w:rPr>
        <w:t xml:space="preserve"> (RD)</w:t>
      </w:r>
      <w:r w:rsidRPr="00FB6DEA">
        <w:rPr>
          <w:rFonts w:ascii="Arial" w:hAnsi="Arial" w:cs="Arial"/>
          <w:sz w:val="22"/>
          <w:szCs w:val="22"/>
          <w:lang w:val="es-ES"/>
        </w:rPr>
        <w:t xml:space="preserve"> </w:t>
      </w:r>
      <w:r w:rsidR="009723DE" w:rsidRPr="00FB6DEA">
        <w:rPr>
          <w:rFonts w:ascii="Arial" w:hAnsi="Arial" w:cs="Arial"/>
          <w:sz w:val="22"/>
          <w:szCs w:val="22"/>
          <w:lang w:val="es-ES"/>
        </w:rPr>
        <w:t xml:space="preserve">desde el 2009 </w:t>
      </w:r>
      <w:r w:rsidRPr="00FB6DEA">
        <w:rPr>
          <w:rFonts w:ascii="Arial" w:hAnsi="Arial" w:cs="Arial"/>
          <w:sz w:val="22"/>
          <w:szCs w:val="22"/>
          <w:lang w:val="es-ES"/>
        </w:rPr>
        <w:t xml:space="preserve">a través de </w:t>
      </w:r>
      <w:r w:rsidR="00584D5C" w:rsidRPr="00FB6DEA">
        <w:rPr>
          <w:rFonts w:ascii="Arial" w:hAnsi="Arial" w:cs="Arial"/>
          <w:sz w:val="22"/>
          <w:szCs w:val="22"/>
          <w:lang w:val="es-ES"/>
        </w:rPr>
        <w:t xml:space="preserve">cinco </w:t>
      </w:r>
      <w:r w:rsidRPr="00FB6DEA">
        <w:rPr>
          <w:rFonts w:ascii="Arial" w:hAnsi="Arial" w:cs="Arial"/>
          <w:sz w:val="22"/>
          <w:szCs w:val="22"/>
          <w:lang w:val="es-ES"/>
        </w:rPr>
        <w:t>préstamos de inversión que tienen un total de US$321 MM de inversiones previstas hasta el 2018. El Ministerio de Salud P</w:t>
      </w:r>
      <w:r w:rsidR="009723DE" w:rsidRPr="00FB6DEA">
        <w:rPr>
          <w:rFonts w:ascii="Arial" w:hAnsi="Arial" w:cs="Arial"/>
          <w:sz w:val="22"/>
          <w:szCs w:val="22"/>
          <w:lang w:val="es-ES"/>
        </w:rPr>
        <w:t>ú</w:t>
      </w:r>
      <w:r w:rsidRPr="00FB6DEA">
        <w:rPr>
          <w:rFonts w:ascii="Arial" w:hAnsi="Arial" w:cs="Arial"/>
          <w:sz w:val="22"/>
          <w:szCs w:val="22"/>
          <w:lang w:val="es-ES"/>
        </w:rPr>
        <w:t>blica</w:t>
      </w:r>
      <w:r w:rsidR="009723DE" w:rsidRPr="00FB6DEA">
        <w:rPr>
          <w:rFonts w:ascii="Arial" w:hAnsi="Arial" w:cs="Arial"/>
          <w:sz w:val="22"/>
          <w:szCs w:val="22"/>
          <w:lang w:val="es-ES"/>
        </w:rPr>
        <w:t xml:space="preserve"> (MSP)</w:t>
      </w:r>
      <w:r w:rsidRPr="00FB6DEA">
        <w:rPr>
          <w:rFonts w:ascii="Arial" w:hAnsi="Arial" w:cs="Arial"/>
          <w:sz w:val="22"/>
          <w:szCs w:val="22"/>
          <w:lang w:val="es-ES"/>
        </w:rPr>
        <w:t xml:space="preserve"> ejecuta dos de estos préstamos</w:t>
      </w:r>
      <w:r w:rsidRPr="00FB6DEA">
        <w:rPr>
          <w:rStyle w:val="FootnoteReference"/>
          <w:rFonts w:ascii="Arial" w:hAnsi="Arial" w:cs="Arial"/>
          <w:sz w:val="22"/>
          <w:szCs w:val="22"/>
          <w:lang w:val="es-ES"/>
        </w:rPr>
        <w:footnoteReference w:id="1"/>
      </w:r>
      <w:r w:rsidRPr="00FB6DEA">
        <w:rPr>
          <w:rFonts w:ascii="Arial" w:hAnsi="Arial" w:cs="Arial"/>
          <w:sz w:val="22"/>
          <w:szCs w:val="22"/>
          <w:lang w:val="es-ES"/>
        </w:rPr>
        <w:t xml:space="preserve"> y el Gabinete Social (GASO) los </w:t>
      </w:r>
      <w:r w:rsidR="00584D5C" w:rsidRPr="00FB6DEA">
        <w:rPr>
          <w:rFonts w:ascii="Arial" w:hAnsi="Arial" w:cs="Arial"/>
          <w:sz w:val="22"/>
          <w:szCs w:val="22"/>
          <w:lang w:val="es-ES"/>
        </w:rPr>
        <w:t xml:space="preserve">tres </w:t>
      </w:r>
      <w:r w:rsidRPr="00FB6DEA">
        <w:rPr>
          <w:rFonts w:ascii="Arial" w:hAnsi="Arial" w:cs="Arial"/>
          <w:sz w:val="22"/>
          <w:szCs w:val="22"/>
          <w:lang w:val="es-ES"/>
        </w:rPr>
        <w:t xml:space="preserve">restantes (ver Tabla 1 para más información). </w:t>
      </w:r>
      <w:r w:rsidR="00490014" w:rsidRPr="00FB6DEA">
        <w:rPr>
          <w:rFonts w:ascii="Arial" w:hAnsi="Arial" w:cs="Arial"/>
          <w:sz w:val="22"/>
          <w:szCs w:val="22"/>
          <w:lang w:val="es-ES"/>
        </w:rPr>
        <w:t xml:space="preserve">Asimismo, a fines del 2014 el Banco aprobó la primera operación de un Préstamo Programático de Apoyo a Reformas de Política (PBP) para impulsar acciones estratégicas del plan del Gobierno de República Dominicana (GORD) para el sector que enfrentan desafíos de implementación, como la separación de las funciones del sistema de salud. En este momento, se está desarrollando la segunda operación del PBP (DR-L1079). </w:t>
      </w:r>
      <w:r w:rsidRPr="00FB6DEA">
        <w:rPr>
          <w:rFonts w:ascii="Arial" w:hAnsi="Arial" w:cs="Arial"/>
          <w:sz w:val="22"/>
          <w:szCs w:val="22"/>
          <w:lang w:val="es-ES"/>
        </w:rPr>
        <w:t>El port</w:t>
      </w:r>
      <w:r w:rsidR="00B635E3" w:rsidRPr="00FB6DEA">
        <w:rPr>
          <w:rFonts w:ascii="Arial" w:hAnsi="Arial" w:cs="Arial"/>
          <w:sz w:val="22"/>
          <w:szCs w:val="22"/>
          <w:lang w:val="es-ES"/>
        </w:rPr>
        <w:t>a</w:t>
      </w:r>
      <w:r w:rsidRPr="00FB6DEA">
        <w:rPr>
          <w:rFonts w:ascii="Arial" w:hAnsi="Arial" w:cs="Arial"/>
          <w:sz w:val="22"/>
          <w:szCs w:val="22"/>
          <w:lang w:val="es-ES"/>
        </w:rPr>
        <w:t>folio del BID en el país también incluye dos cooperaciones técnicas</w:t>
      </w:r>
      <w:r w:rsidR="009723DE" w:rsidRPr="00FB6DEA">
        <w:rPr>
          <w:rFonts w:ascii="Arial" w:hAnsi="Arial" w:cs="Arial"/>
          <w:sz w:val="22"/>
          <w:szCs w:val="22"/>
          <w:lang w:val="es-ES"/>
        </w:rPr>
        <w:t>:</w:t>
      </w:r>
      <w:r w:rsidR="00932990" w:rsidRPr="00FB6DEA">
        <w:rPr>
          <w:rFonts w:ascii="Arial" w:hAnsi="Arial" w:cs="Arial"/>
          <w:sz w:val="22"/>
          <w:szCs w:val="22"/>
          <w:lang w:val="es-ES"/>
        </w:rPr>
        <w:t xml:space="preserve"> una que está </w:t>
      </w:r>
      <w:r w:rsidR="00B635E3" w:rsidRPr="00FB6DEA">
        <w:rPr>
          <w:rFonts w:ascii="Arial" w:hAnsi="Arial" w:cs="Arial"/>
          <w:sz w:val="22"/>
          <w:szCs w:val="22"/>
          <w:lang w:val="es-ES"/>
        </w:rPr>
        <w:t xml:space="preserve">brindando apoyo técnico al </w:t>
      </w:r>
      <w:r w:rsidR="00932990" w:rsidRPr="00FB6DEA">
        <w:rPr>
          <w:rFonts w:ascii="Arial" w:hAnsi="Arial" w:cs="Arial"/>
          <w:sz w:val="22"/>
          <w:szCs w:val="22"/>
          <w:lang w:val="es-ES"/>
        </w:rPr>
        <w:t>gobierno en el proceso de la separación de funciones</w:t>
      </w:r>
      <w:r w:rsidR="0085376D" w:rsidRPr="00FB6DEA">
        <w:rPr>
          <w:rFonts w:ascii="Arial" w:hAnsi="Arial" w:cs="Arial"/>
          <w:sz w:val="22"/>
          <w:szCs w:val="22"/>
          <w:lang w:val="es-ES"/>
        </w:rPr>
        <w:t xml:space="preserve"> y fortalecimiento del Sistema Dominicano de Seguridad Social</w:t>
      </w:r>
      <w:r w:rsidR="00932990" w:rsidRPr="00FB6DEA">
        <w:rPr>
          <w:rFonts w:ascii="Arial" w:hAnsi="Arial" w:cs="Arial"/>
          <w:sz w:val="22"/>
          <w:szCs w:val="22"/>
          <w:lang w:val="es-ES"/>
        </w:rPr>
        <w:t xml:space="preserve"> (DR-T1098) y otra que lo está asistiendo en la revisión</w:t>
      </w:r>
      <w:r w:rsidR="009723DE" w:rsidRPr="00FB6DEA">
        <w:rPr>
          <w:rFonts w:ascii="Arial" w:hAnsi="Arial" w:cs="Arial"/>
          <w:sz w:val="22"/>
          <w:szCs w:val="22"/>
          <w:lang w:val="es-ES"/>
        </w:rPr>
        <w:t xml:space="preserve"> del</w:t>
      </w:r>
      <w:r w:rsidR="00932990" w:rsidRPr="00FB6DEA">
        <w:rPr>
          <w:rFonts w:ascii="Arial" w:hAnsi="Arial" w:cs="Arial"/>
          <w:sz w:val="22"/>
          <w:szCs w:val="22"/>
          <w:lang w:val="es-ES"/>
        </w:rPr>
        <w:t xml:space="preserve"> catálogo de prestaciones del Plan de Servicios de Salud (DR-T1111</w:t>
      </w:r>
      <w:r w:rsidR="00AF1DE5" w:rsidRPr="00FB6DEA">
        <w:rPr>
          <w:rFonts w:ascii="Arial" w:hAnsi="Arial" w:cs="Arial"/>
          <w:sz w:val="22"/>
          <w:szCs w:val="22"/>
          <w:lang w:val="es-ES"/>
        </w:rPr>
        <w:t xml:space="preserve">, </w:t>
      </w:r>
      <w:r w:rsidR="00305D35" w:rsidRPr="00FB6DEA">
        <w:rPr>
          <w:rFonts w:ascii="Arial" w:hAnsi="Arial" w:cs="Arial"/>
          <w:sz w:val="22"/>
          <w:szCs w:val="22"/>
          <w:lang w:val="es-ES"/>
        </w:rPr>
        <w:t>ver Tabla 2 para más información)</w:t>
      </w:r>
      <w:r w:rsidR="00932990" w:rsidRPr="00FB6DEA">
        <w:rPr>
          <w:rFonts w:ascii="Arial" w:hAnsi="Arial" w:cs="Arial"/>
          <w:sz w:val="22"/>
          <w:szCs w:val="22"/>
          <w:lang w:val="es-ES"/>
        </w:rPr>
        <w:t>.</w:t>
      </w:r>
      <w:r w:rsidR="00490014" w:rsidRPr="00FB6DEA">
        <w:rPr>
          <w:rFonts w:ascii="Arial" w:hAnsi="Arial" w:cs="Arial"/>
          <w:sz w:val="22"/>
          <w:szCs w:val="22"/>
          <w:lang w:val="es-ES"/>
        </w:rPr>
        <w:t xml:space="preserve"> </w:t>
      </w:r>
    </w:p>
    <w:p w:rsidR="00932990" w:rsidRPr="00FB6DEA" w:rsidRDefault="00932990" w:rsidP="008D53A8">
      <w:pPr>
        <w:pStyle w:val="Paragraph"/>
        <w:numPr>
          <w:ilvl w:val="0"/>
          <w:numId w:val="0"/>
        </w:numPr>
        <w:spacing w:before="0" w:after="0"/>
        <w:rPr>
          <w:rFonts w:ascii="Arial" w:hAnsi="Arial" w:cs="Arial"/>
          <w:sz w:val="22"/>
          <w:szCs w:val="22"/>
        </w:rPr>
      </w:pPr>
      <w:r w:rsidRPr="00FB6DEA">
        <w:rPr>
          <w:rFonts w:ascii="Arial" w:hAnsi="Arial" w:cs="Arial"/>
          <w:sz w:val="22"/>
          <w:szCs w:val="22"/>
          <w:lang w:val="es-ES"/>
        </w:rPr>
        <w:t xml:space="preserve">A través de </w:t>
      </w:r>
      <w:r w:rsidR="00626BD1" w:rsidRPr="00FB6DEA">
        <w:rPr>
          <w:rFonts w:ascii="Arial" w:hAnsi="Arial" w:cs="Arial"/>
          <w:sz w:val="22"/>
          <w:szCs w:val="22"/>
          <w:lang w:val="es-ES"/>
        </w:rPr>
        <w:t>estas operaciones</w:t>
      </w:r>
      <w:r w:rsidRPr="00FB6DEA">
        <w:rPr>
          <w:rFonts w:ascii="Arial" w:hAnsi="Arial" w:cs="Arial"/>
          <w:sz w:val="22"/>
          <w:szCs w:val="22"/>
          <w:lang w:val="es-ES"/>
        </w:rPr>
        <w:t xml:space="preserve">, se </w:t>
      </w:r>
      <w:r w:rsidR="00626BD1" w:rsidRPr="00FB6DEA">
        <w:rPr>
          <w:rFonts w:ascii="Arial" w:hAnsi="Arial" w:cs="Arial"/>
          <w:sz w:val="22"/>
          <w:szCs w:val="22"/>
          <w:lang w:val="es-ES"/>
        </w:rPr>
        <w:t>está</w:t>
      </w:r>
      <w:r w:rsidR="00305D35" w:rsidRPr="00FB6DEA">
        <w:rPr>
          <w:rFonts w:ascii="Arial" w:hAnsi="Arial" w:cs="Arial"/>
          <w:sz w:val="22"/>
          <w:szCs w:val="22"/>
          <w:lang w:val="es-ES"/>
        </w:rPr>
        <w:t>: (i)</w:t>
      </w:r>
      <w:r w:rsidRPr="00FB6DEA">
        <w:rPr>
          <w:rFonts w:ascii="Arial" w:hAnsi="Arial" w:cs="Arial"/>
          <w:sz w:val="22"/>
          <w:szCs w:val="22"/>
          <w:lang w:val="es-ES"/>
        </w:rPr>
        <w:t xml:space="preserve"> fortaleciendo y promoviendo el uso de los servicios de atención primaria en RD, a través del apoyo a la construcción y habilitación de infraestructura, </w:t>
      </w:r>
      <w:r w:rsidR="00626BD1" w:rsidRPr="00FB6DEA">
        <w:rPr>
          <w:rFonts w:ascii="Arial" w:hAnsi="Arial" w:cs="Arial"/>
          <w:sz w:val="22"/>
          <w:szCs w:val="22"/>
          <w:lang w:val="es-ES"/>
        </w:rPr>
        <w:t>adquisición</w:t>
      </w:r>
      <w:r w:rsidRPr="00FB6DEA">
        <w:rPr>
          <w:rFonts w:ascii="Arial" w:hAnsi="Arial" w:cs="Arial"/>
          <w:sz w:val="22"/>
          <w:szCs w:val="22"/>
          <w:lang w:val="es-ES"/>
        </w:rPr>
        <w:t xml:space="preserve"> de equipamientos, </w:t>
      </w:r>
      <w:r w:rsidR="00305D35" w:rsidRPr="00FB6DEA">
        <w:rPr>
          <w:rFonts w:ascii="Arial" w:hAnsi="Arial" w:cs="Arial"/>
          <w:sz w:val="22"/>
          <w:szCs w:val="22"/>
          <w:lang w:val="es-ES"/>
        </w:rPr>
        <w:t xml:space="preserve">habilitación, </w:t>
      </w:r>
      <w:r w:rsidRPr="00FB6DEA">
        <w:rPr>
          <w:rFonts w:ascii="Arial" w:hAnsi="Arial" w:cs="Arial"/>
          <w:sz w:val="22"/>
          <w:szCs w:val="22"/>
          <w:lang w:val="es-ES"/>
        </w:rPr>
        <w:t xml:space="preserve">entrenamiento de recursos humanos </w:t>
      </w:r>
      <w:r w:rsidR="00305D35" w:rsidRPr="00FB6DEA">
        <w:rPr>
          <w:rFonts w:ascii="Arial" w:hAnsi="Arial" w:cs="Arial"/>
          <w:sz w:val="22"/>
          <w:szCs w:val="22"/>
          <w:lang w:val="es-ES"/>
        </w:rPr>
        <w:t xml:space="preserve">e </w:t>
      </w:r>
      <w:r w:rsidRPr="00FB6DEA">
        <w:rPr>
          <w:rFonts w:ascii="Arial" w:hAnsi="Arial" w:cs="Arial"/>
          <w:sz w:val="22"/>
          <w:szCs w:val="22"/>
          <w:lang w:val="es-ES"/>
        </w:rPr>
        <w:t xml:space="preserve">implementación de un modelo de </w:t>
      </w:r>
      <w:r w:rsidR="00626BD1" w:rsidRPr="00FB6DEA">
        <w:rPr>
          <w:rFonts w:ascii="Arial" w:hAnsi="Arial" w:cs="Arial"/>
          <w:sz w:val="22"/>
          <w:szCs w:val="22"/>
          <w:lang w:val="es-ES"/>
        </w:rPr>
        <w:t>financiamiento</w:t>
      </w:r>
      <w:r w:rsidRPr="00FB6DEA">
        <w:rPr>
          <w:rFonts w:ascii="Arial" w:hAnsi="Arial" w:cs="Arial"/>
          <w:sz w:val="22"/>
          <w:szCs w:val="22"/>
          <w:lang w:val="es-ES"/>
        </w:rPr>
        <w:t xml:space="preserve"> basado en resultado</w:t>
      </w:r>
      <w:r w:rsidR="00B635E3" w:rsidRPr="00FB6DEA">
        <w:rPr>
          <w:rFonts w:ascii="Arial" w:hAnsi="Arial" w:cs="Arial"/>
          <w:sz w:val="22"/>
          <w:szCs w:val="22"/>
          <w:lang w:val="es-ES"/>
        </w:rPr>
        <w:t>s</w:t>
      </w:r>
      <w:r w:rsidRPr="00FB6DEA">
        <w:rPr>
          <w:rFonts w:ascii="Arial" w:hAnsi="Arial" w:cs="Arial"/>
          <w:sz w:val="22"/>
          <w:szCs w:val="22"/>
          <w:lang w:val="es-ES"/>
        </w:rPr>
        <w:t xml:space="preserve"> en el primer nivel de </w:t>
      </w:r>
      <w:r w:rsidR="00305D35" w:rsidRPr="00FB6DEA">
        <w:rPr>
          <w:rFonts w:ascii="Arial" w:hAnsi="Arial" w:cs="Arial"/>
          <w:sz w:val="22"/>
          <w:szCs w:val="22"/>
          <w:lang w:val="es-ES"/>
        </w:rPr>
        <w:t xml:space="preserve">atención (incluyendo acciones de fortalecimiento del </w:t>
      </w:r>
      <w:proofErr w:type="spellStart"/>
      <w:r w:rsidR="00305D35" w:rsidRPr="00FB6DEA">
        <w:rPr>
          <w:rFonts w:ascii="Arial" w:hAnsi="Arial" w:cs="Arial"/>
          <w:sz w:val="22"/>
          <w:szCs w:val="22"/>
          <w:lang w:val="es-ES"/>
        </w:rPr>
        <w:t>SeNaSa</w:t>
      </w:r>
      <w:proofErr w:type="spellEnd"/>
      <w:r w:rsidR="00626BD1" w:rsidRPr="00FB6DEA">
        <w:rPr>
          <w:rFonts w:ascii="Arial" w:hAnsi="Arial" w:cs="Arial"/>
          <w:sz w:val="22"/>
          <w:szCs w:val="22"/>
          <w:lang w:val="es-ES"/>
        </w:rPr>
        <w:t>)</w:t>
      </w:r>
      <w:r w:rsidR="00305D35" w:rsidRPr="00FB6DEA">
        <w:rPr>
          <w:rFonts w:ascii="Arial" w:hAnsi="Arial" w:cs="Arial"/>
          <w:sz w:val="22"/>
          <w:szCs w:val="22"/>
          <w:lang w:val="es-ES"/>
        </w:rPr>
        <w:t xml:space="preserve">; (ii) fortaleciendo la cadena de </w:t>
      </w:r>
      <w:r w:rsidR="00626BD1" w:rsidRPr="00FB6DEA">
        <w:rPr>
          <w:rFonts w:ascii="Arial" w:hAnsi="Arial" w:cs="Arial"/>
          <w:sz w:val="22"/>
          <w:szCs w:val="22"/>
          <w:lang w:val="es-ES"/>
        </w:rPr>
        <w:t>fríos</w:t>
      </w:r>
      <w:r w:rsidR="00305D35" w:rsidRPr="00FB6DEA">
        <w:rPr>
          <w:rFonts w:ascii="Arial" w:hAnsi="Arial" w:cs="Arial"/>
          <w:sz w:val="22"/>
          <w:szCs w:val="22"/>
          <w:lang w:val="es-ES"/>
        </w:rPr>
        <w:t xml:space="preserve">, a través de la inversión en equipamiento y capacitación de recursos humanos; (iii) implementando un sistema de gestión clínica hospitalaria en la atención primaria y en los hospitales; (iv) mejorando la infraestructura y la gestión clínica y administrativa de los hospitales; y (v) fortaleciendo aspectos clave de la rectoría </w:t>
      </w:r>
      <w:r w:rsidR="00626BD1" w:rsidRPr="00FB6DEA">
        <w:rPr>
          <w:rFonts w:ascii="Arial" w:hAnsi="Arial" w:cs="Arial"/>
          <w:sz w:val="22"/>
          <w:szCs w:val="22"/>
          <w:lang w:val="es-ES"/>
        </w:rPr>
        <w:t>del MSP, como la actualización de las normas de habilitación y la actualización de las normas para el registro sanitario de medicamentos y otros productos sujetos a regulación, contribuyendo para garantizar la calidad de la asistencia y de los medicamentos y tecnologías sanitarias.</w:t>
      </w:r>
    </w:p>
    <w:p w:rsidR="006E580B" w:rsidRPr="00FB6DEA" w:rsidRDefault="006E580B" w:rsidP="008D53A8">
      <w:pPr>
        <w:pStyle w:val="Paragraph"/>
        <w:numPr>
          <w:ilvl w:val="0"/>
          <w:numId w:val="0"/>
        </w:numPr>
        <w:spacing w:before="0" w:after="0"/>
        <w:rPr>
          <w:rFonts w:ascii="Arial" w:hAnsi="Arial" w:cs="Arial"/>
          <w:sz w:val="22"/>
          <w:szCs w:val="22"/>
          <w:lang w:val="es-ES"/>
        </w:rPr>
      </w:pPr>
    </w:p>
    <w:p w:rsidR="00932990" w:rsidRPr="00FB6DEA" w:rsidRDefault="00305D35" w:rsidP="008D53A8">
      <w:pPr>
        <w:pStyle w:val="Paragraph"/>
        <w:numPr>
          <w:ilvl w:val="0"/>
          <w:numId w:val="0"/>
        </w:numPr>
        <w:spacing w:before="0" w:after="0"/>
        <w:rPr>
          <w:rFonts w:ascii="Arial" w:hAnsi="Arial" w:cs="Arial"/>
          <w:sz w:val="22"/>
          <w:szCs w:val="22"/>
          <w:lang w:val="es-ES"/>
        </w:rPr>
      </w:pPr>
      <w:r w:rsidRPr="00FB6DEA">
        <w:rPr>
          <w:rFonts w:ascii="Arial" w:hAnsi="Arial" w:cs="Arial"/>
          <w:sz w:val="22"/>
          <w:szCs w:val="22"/>
          <w:lang w:val="es-ES"/>
        </w:rPr>
        <w:t xml:space="preserve">La mayor parte de estas actividades se encuentra en un estado avanzado de ejecución. Como se puede observar, las mismas también presentan una gran complementariedad con las condiciones incluidas en la Matriz de </w:t>
      </w:r>
      <w:r w:rsidR="008D53A8" w:rsidRPr="00FB6DEA">
        <w:rPr>
          <w:rFonts w:ascii="Arial" w:hAnsi="Arial" w:cs="Arial"/>
          <w:sz w:val="22"/>
          <w:szCs w:val="22"/>
          <w:lang w:val="es-ES"/>
        </w:rPr>
        <w:t>Políticas</w:t>
      </w:r>
      <w:r w:rsidRPr="00FB6DEA">
        <w:rPr>
          <w:rFonts w:ascii="Arial" w:hAnsi="Arial" w:cs="Arial"/>
          <w:sz w:val="22"/>
          <w:szCs w:val="22"/>
          <w:lang w:val="es-ES"/>
        </w:rPr>
        <w:t xml:space="preserve"> de la operación DR-L107</w:t>
      </w:r>
      <w:r w:rsidR="0085376D" w:rsidRPr="00FB6DEA">
        <w:rPr>
          <w:rFonts w:ascii="Arial" w:hAnsi="Arial" w:cs="Arial"/>
          <w:sz w:val="22"/>
          <w:szCs w:val="22"/>
          <w:lang w:val="es-ES"/>
        </w:rPr>
        <w:t>9</w:t>
      </w:r>
      <w:r w:rsidRPr="00FB6DEA">
        <w:rPr>
          <w:rFonts w:ascii="Arial" w:hAnsi="Arial" w:cs="Arial"/>
          <w:sz w:val="22"/>
          <w:szCs w:val="22"/>
          <w:lang w:val="es-ES"/>
        </w:rPr>
        <w:t>.</w:t>
      </w:r>
      <w:r w:rsidR="00626BD1" w:rsidRPr="00FB6DEA">
        <w:rPr>
          <w:rFonts w:ascii="Arial" w:hAnsi="Arial" w:cs="Arial"/>
          <w:sz w:val="22"/>
          <w:szCs w:val="22"/>
          <w:lang w:val="es-ES"/>
        </w:rPr>
        <w:t xml:space="preserve"> De la misma forma, están en consonancia con las prioridades identificadas en la Estrategia del Banco con el </w:t>
      </w:r>
      <w:r w:rsidR="008D53A8" w:rsidRPr="00FB6DEA">
        <w:rPr>
          <w:rFonts w:ascii="Arial" w:hAnsi="Arial" w:cs="Arial"/>
          <w:sz w:val="22"/>
          <w:szCs w:val="22"/>
          <w:lang w:val="es-ES"/>
        </w:rPr>
        <w:t>País</w:t>
      </w:r>
      <w:r w:rsidR="00626BD1" w:rsidRPr="00FB6DEA">
        <w:rPr>
          <w:rFonts w:ascii="Arial" w:hAnsi="Arial" w:cs="Arial"/>
          <w:sz w:val="22"/>
          <w:szCs w:val="22"/>
          <w:lang w:val="es-ES"/>
        </w:rPr>
        <w:t xml:space="preserve"> (2013-2016) </w:t>
      </w:r>
      <w:r w:rsidR="008D53A8" w:rsidRPr="00FB6DEA">
        <w:rPr>
          <w:rFonts w:ascii="Arial" w:hAnsi="Arial" w:cs="Arial"/>
          <w:sz w:val="22"/>
          <w:szCs w:val="22"/>
        </w:rPr>
        <w:t>(GN-2748)</w:t>
      </w:r>
      <w:r w:rsidR="00626BD1" w:rsidRPr="00FB6DEA">
        <w:rPr>
          <w:rFonts w:ascii="Arial" w:hAnsi="Arial" w:cs="Arial"/>
          <w:sz w:val="22"/>
          <w:szCs w:val="22"/>
          <w:lang w:val="es-ES"/>
        </w:rPr>
        <w:t>.</w:t>
      </w:r>
    </w:p>
    <w:p w:rsidR="006E580B" w:rsidRPr="00FB6DEA" w:rsidRDefault="006E580B" w:rsidP="008D53A8">
      <w:pPr>
        <w:pStyle w:val="Paragraph"/>
        <w:numPr>
          <w:ilvl w:val="0"/>
          <w:numId w:val="0"/>
        </w:numPr>
        <w:spacing w:before="0" w:after="0"/>
        <w:rPr>
          <w:rFonts w:ascii="Arial" w:hAnsi="Arial" w:cs="Arial"/>
          <w:sz w:val="22"/>
          <w:szCs w:val="22"/>
          <w:lang w:val="es-ES"/>
        </w:rPr>
      </w:pPr>
    </w:p>
    <w:p w:rsidR="00626BD1" w:rsidRPr="00FB6DEA" w:rsidRDefault="00626BD1" w:rsidP="008D53A8">
      <w:pPr>
        <w:pStyle w:val="Paragraph"/>
        <w:numPr>
          <w:ilvl w:val="0"/>
          <w:numId w:val="0"/>
        </w:numPr>
        <w:spacing w:before="0" w:after="0"/>
        <w:rPr>
          <w:rFonts w:ascii="Arial" w:hAnsi="Arial" w:cs="Arial"/>
          <w:sz w:val="22"/>
          <w:szCs w:val="22"/>
          <w:lang w:val="es-ES"/>
        </w:rPr>
      </w:pPr>
      <w:r w:rsidRPr="00FB6DEA">
        <w:rPr>
          <w:rFonts w:ascii="Arial" w:hAnsi="Arial" w:cs="Arial"/>
          <w:sz w:val="22"/>
          <w:szCs w:val="22"/>
          <w:lang w:val="es-ES"/>
        </w:rPr>
        <w:t xml:space="preserve">Algunos de los principales avances alcanzados por estas operaciones en los últimos </w:t>
      </w:r>
      <w:r w:rsidR="00AF1DE5" w:rsidRPr="00FB6DEA">
        <w:rPr>
          <w:rFonts w:ascii="Arial" w:hAnsi="Arial" w:cs="Arial"/>
          <w:sz w:val="22"/>
          <w:szCs w:val="22"/>
          <w:lang w:val="es-ES"/>
        </w:rPr>
        <w:t xml:space="preserve">años </w:t>
      </w:r>
      <w:r w:rsidRPr="00FB6DEA">
        <w:rPr>
          <w:rFonts w:ascii="Arial" w:hAnsi="Arial" w:cs="Arial"/>
          <w:sz w:val="22"/>
          <w:szCs w:val="22"/>
          <w:lang w:val="es-ES"/>
        </w:rPr>
        <w:t>incluyen:</w:t>
      </w:r>
    </w:p>
    <w:p w:rsidR="00AF1DE5" w:rsidRPr="00FB6DEA" w:rsidRDefault="00AF1DE5" w:rsidP="008D53A8">
      <w:pPr>
        <w:pStyle w:val="Paragraph"/>
        <w:numPr>
          <w:ilvl w:val="0"/>
          <w:numId w:val="0"/>
        </w:numPr>
        <w:spacing w:before="0" w:after="0"/>
        <w:rPr>
          <w:rFonts w:ascii="Arial" w:hAnsi="Arial" w:cs="Arial"/>
          <w:sz w:val="22"/>
          <w:szCs w:val="22"/>
          <w:lang w:val="es-ES"/>
        </w:rPr>
      </w:pPr>
    </w:p>
    <w:p w:rsidR="00626BD1" w:rsidRPr="00FB6DEA" w:rsidRDefault="008D53A8" w:rsidP="008D53A8">
      <w:pPr>
        <w:pStyle w:val="Paragraph"/>
        <w:numPr>
          <w:ilvl w:val="0"/>
          <w:numId w:val="22"/>
        </w:numPr>
        <w:spacing w:before="0" w:after="0"/>
        <w:rPr>
          <w:rFonts w:ascii="Arial" w:hAnsi="Arial" w:cs="Arial"/>
          <w:sz w:val="22"/>
          <w:szCs w:val="22"/>
        </w:rPr>
      </w:pPr>
      <w:r w:rsidRPr="00FB6DEA">
        <w:rPr>
          <w:rFonts w:ascii="Arial" w:hAnsi="Arial" w:cs="Arial"/>
          <w:sz w:val="22"/>
          <w:szCs w:val="22"/>
          <w:lang w:val="es-ES"/>
        </w:rPr>
        <w:t>L</w:t>
      </w:r>
      <w:r w:rsidR="006E580B" w:rsidRPr="00FB6DEA">
        <w:rPr>
          <w:rFonts w:ascii="Arial" w:hAnsi="Arial" w:cs="Arial"/>
          <w:sz w:val="22"/>
          <w:szCs w:val="22"/>
        </w:rPr>
        <w:t xml:space="preserve">a construcción </w:t>
      </w:r>
      <w:r w:rsidRPr="00FB6DEA">
        <w:rPr>
          <w:rFonts w:ascii="Arial" w:hAnsi="Arial" w:cs="Arial"/>
          <w:sz w:val="22"/>
          <w:szCs w:val="22"/>
        </w:rPr>
        <w:t xml:space="preserve">y la adquisición de equipamientos </w:t>
      </w:r>
      <w:r w:rsidR="006E580B" w:rsidRPr="00FB6DEA">
        <w:rPr>
          <w:rFonts w:ascii="Arial" w:hAnsi="Arial" w:cs="Arial"/>
          <w:sz w:val="22"/>
          <w:szCs w:val="22"/>
        </w:rPr>
        <w:t>de 24 Centros de Atención Primaria en zonas urbanas</w:t>
      </w:r>
    </w:p>
    <w:p w:rsidR="006E580B" w:rsidRPr="00FB6DEA" w:rsidRDefault="008D53A8" w:rsidP="008D53A8">
      <w:pPr>
        <w:pStyle w:val="Paragraph"/>
        <w:numPr>
          <w:ilvl w:val="0"/>
          <w:numId w:val="22"/>
        </w:numPr>
        <w:spacing w:before="0" w:after="0"/>
        <w:rPr>
          <w:rFonts w:ascii="Arial" w:hAnsi="Arial" w:cs="Arial"/>
          <w:sz w:val="22"/>
          <w:szCs w:val="22"/>
        </w:rPr>
      </w:pPr>
      <w:r w:rsidRPr="00FB6DEA">
        <w:rPr>
          <w:rFonts w:ascii="Arial" w:hAnsi="Arial" w:cs="Arial"/>
          <w:sz w:val="22"/>
          <w:szCs w:val="22"/>
        </w:rPr>
        <w:t xml:space="preserve">La </w:t>
      </w:r>
      <w:r w:rsidR="006E580B" w:rsidRPr="00FB6DEA">
        <w:rPr>
          <w:rFonts w:ascii="Arial" w:hAnsi="Arial" w:cs="Arial"/>
          <w:sz w:val="22"/>
          <w:szCs w:val="22"/>
        </w:rPr>
        <w:t>habilitación</w:t>
      </w:r>
      <w:r w:rsidRPr="00FB6DEA">
        <w:rPr>
          <w:rFonts w:ascii="Arial" w:hAnsi="Arial" w:cs="Arial"/>
          <w:sz w:val="22"/>
          <w:szCs w:val="22"/>
        </w:rPr>
        <w:t xml:space="preserve"> y la adquisición de equipamientos</w:t>
      </w:r>
      <w:r w:rsidR="006E580B" w:rsidRPr="00FB6DEA">
        <w:rPr>
          <w:rFonts w:ascii="Arial" w:hAnsi="Arial" w:cs="Arial"/>
          <w:sz w:val="22"/>
          <w:szCs w:val="22"/>
        </w:rPr>
        <w:t xml:space="preserve"> de 105 Centros de Atención Primaria</w:t>
      </w:r>
    </w:p>
    <w:p w:rsidR="006E580B" w:rsidRPr="00FB6DEA" w:rsidRDefault="006E580B" w:rsidP="008D53A8">
      <w:pPr>
        <w:pStyle w:val="ListParagraph"/>
        <w:numPr>
          <w:ilvl w:val="0"/>
          <w:numId w:val="22"/>
        </w:numPr>
        <w:jc w:val="both"/>
        <w:rPr>
          <w:rFonts w:ascii="Arial" w:hAnsi="Arial" w:cs="Arial"/>
          <w:sz w:val="22"/>
          <w:szCs w:val="22"/>
          <w:lang w:val="es-ES_tradnl"/>
        </w:rPr>
      </w:pPr>
      <w:r w:rsidRPr="00FB6DEA">
        <w:rPr>
          <w:rFonts w:ascii="Arial" w:hAnsi="Arial" w:cs="Arial"/>
          <w:sz w:val="22"/>
          <w:szCs w:val="22"/>
          <w:lang w:val="es-ES_tradnl"/>
        </w:rPr>
        <w:t>La capacitación de médicos, enfermeras y demás personal del primer nivel de atención.</w:t>
      </w:r>
    </w:p>
    <w:p w:rsidR="006E580B" w:rsidRPr="00FB6DEA" w:rsidRDefault="006E580B" w:rsidP="008D53A8">
      <w:pPr>
        <w:pStyle w:val="Paragraph"/>
        <w:numPr>
          <w:ilvl w:val="0"/>
          <w:numId w:val="22"/>
        </w:numPr>
        <w:spacing w:before="0" w:after="0"/>
        <w:rPr>
          <w:rFonts w:ascii="Arial" w:hAnsi="Arial" w:cs="Arial"/>
          <w:sz w:val="22"/>
          <w:szCs w:val="22"/>
        </w:rPr>
      </w:pPr>
      <w:r w:rsidRPr="00FB6DEA">
        <w:rPr>
          <w:rFonts w:ascii="Arial" w:hAnsi="Arial" w:cs="Arial"/>
          <w:sz w:val="22"/>
          <w:szCs w:val="22"/>
        </w:rPr>
        <w:t xml:space="preserve">La implementación a nivel nacional de un Sistema de Gestión Clínica en el primer nivel de </w:t>
      </w:r>
      <w:r w:rsidR="008D53A8" w:rsidRPr="00FB6DEA">
        <w:rPr>
          <w:rFonts w:ascii="Arial" w:hAnsi="Arial" w:cs="Arial"/>
          <w:sz w:val="22"/>
          <w:szCs w:val="22"/>
        </w:rPr>
        <w:t>atención</w:t>
      </w:r>
    </w:p>
    <w:p w:rsidR="006E580B" w:rsidRPr="00335FDA" w:rsidRDefault="006E580B" w:rsidP="008D53A8">
      <w:pPr>
        <w:pStyle w:val="ListParagraph"/>
        <w:numPr>
          <w:ilvl w:val="0"/>
          <w:numId w:val="22"/>
        </w:numPr>
        <w:jc w:val="both"/>
        <w:rPr>
          <w:szCs w:val="24"/>
          <w:lang w:val="es-ES_tradnl"/>
        </w:rPr>
      </w:pPr>
      <w:r w:rsidRPr="00335FDA">
        <w:rPr>
          <w:szCs w:val="24"/>
          <w:lang w:val="es-ES_tradnl"/>
        </w:rPr>
        <w:t xml:space="preserve">La habilitación y </w:t>
      </w:r>
      <w:r w:rsidR="008D53A8" w:rsidRPr="00335FDA">
        <w:rPr>
          <w:szCs w:val="24"/>
          <w:lang w:val="es-ES_tradnl"/>
        </w:rPr>
        <w:t xml:space="preserve">la </w:t>
      </w:r>
      <w:r w:rsidRPr="00335FDA">
        <w:rPr>
          <w:szCs w:val="24"/>
          <w:lang w:val="es-ES_tradnl"/>
        </w:rPr>
        <w:t>certificación de 34</w:t>
      </w:r>
      <w:r w:rsidR="008D53A8" w:rsidRPr="00335FDA">
        <w:rPr>
          <w:szCs w:val="24"/>
          <w:lang w:val="es-ES_tradnl"/>
        </w:rPr>
        <w:t>9 Unidades de Atención Primaria</w:t>
      </w:r>
    </w:p>
    <w:p w:rsidR="00932990" w:rsidRPr="00FB6DEA" w:rsidRDefault="008D53A8" w:rsidP="008D53A8">
      <w:pPr>
        <w:pStyle w:val="Paragraph"/>
        <w:numPr>
          <w:ilvl w:val="0"/>
          <w:numId w:val="22"/>
        </w:numPr>
        <w:spacing w:before="0" w:after="0"/>
        <w:rPr>
          <w:rFonts w:ascii="Arial" w:hAnsi="Arial" w:cs="Arial"/>
          <w:sz w:val="22"/>
          <w:szCs w:val="22"/>
          <w:lang w:val="es-ES"/>
        </w:rPr>
      </w:pPr>
      <w:r w:rsidRPr="00FB6DEA">
        <w:rPr>
          <w:rFonts w:ascii="Arial" w:hAnsi="Arial" w:cs="Arial"/>
          <w:sz w:val="22"/>
          <w:szCs w:val="22"/>
        </w:rPr>
        <w:t xml:space="preserve">La adquisición de </w:t>
      </w:r>
      <w:r w:rsidRPr="00FB6DEA">
        <w:rPr>
          <w:rFonts w:ascii="Arial" w:hAnsi="Arial" w:cs="Arial"/>
          <w:sz w:val="22"/>
          <w:szCs w:val="22"/>
          <w:lang w:val="es-ES"/>
        </w:rPr>
        <w:t>e</w:t>
      </w:r>
      <w:r w:rsidR="006E580B" w:rsidRPr="00FB6DEA">
        <w:rPr>
          <w:rFonts w:ascii="Arial" w:hAnsi="Arial" w:cs="Arial"/>
          <w:sz w:val="22"/>
          <w:szCs w:val="22"/>
          <w:lang w:val="es-ES"/>
        </w:rPr>
        <w:t>quipamientos de 15 hospitales regionales y de referencia nacional</w:t>
      </w:r>
    </w:p>
    <w:p w:rsidR="009723DE" w:rsidRPr="00FB6DEA" w:rsidRDefault="0085376D" w:rsidP="008D53A8">
      <w:pPr>
        <w:pStyle w:val="Paragraph"/>
        <w:numPr>
          <w:ilvl w:val="0"/>
          <w:numId w:val="22"/>
        </w:numPr>
        <w:spacing w:before="0" w:after="0"/>
        <w:rPr>
          <w:rFonts w:ascii="Arial" w:hAnsi="Arial" w:cs="Arial"/>
          <w:sz w:val="22"/>
          <w:szCs w:val="22"/>
        </w:rPr>
      </w:pPr>
      <w:r w:rsidRPr="00FB6DEA">
        <w:rPr>
          <w:rFonts w:ascii="Arial" w:hAnsi="Arial" w:cs="Arial"/>
          <w:sz w:val="22"/>
          <w:szCs w:val="22"/>
          <w:lang w:val="es-ES"/>
        </w:rPr>
        <w:t>L</w:t>
      </w:r>
      <w:r w:rsidR="008D53A8" w:rsidRPr="00FB6DEA">
        <w:rPr>
          <w:rFonts w:ascii="Arial" w:hAnsi="Arial" w:cs="Arial"/>
          <w:sz w:val="22"/>
          <w:szCs w:val="22"/>
          <w:lang w:val="es-ES"/>
        </w:rPr>
        <w:t xml:space="preserve">a </w:t>
      </w:r>
      <w:r w:rsidR="006E1F83" w:rsidRPr="00FB6DEA">
        <w:rPr>
          <w:rFonts w:ascii="Arial" w:hAnsi="Arial" w:cs="Arial"/>
          <w:sz w:val="22"/>
          <w:szCs w:val="22"/>
          <w:lang w:val="es-ES"/>
        </w:rPr>
        <w:t xml:space="preserve">ejecución </w:t>
      </w:r>
      <w:r w:rsidR="006E580B" w:rsidRPr="00FB6DEA">
        <w:rPr>
          <w:rFonts w:ascii="Arial" w:hAnsi="Arial" w:cs="Arial"/>
          <w:sz w:val="22"/>
          <w:szCs w:val="22"/>
          <w:lang w:val="es-ES"/>
        </w:rPr>
        <w:t xml:space="preserve">de un </w:t>
      </w:r>
      <w:r w:rsidR="008D53A8" w:rsidRPr="00FB6DEA">
        <w:rPr>
          <w:rFonts w:ascii="Arial" w:hAnsi="Arial" w:cs="Arial"/>
          <w:sz w:val="22"/>
          <w:szCs w:val="22"/>
          <w:lang w:val="es-ES"/>
        </w:rPr>
        <w:t>modelo</w:t>
      </w:r>
      <w:r w:rsidR="006E580B" w:rsidRPr="00FB6DEA">
        <w:rPr>
          <w:rFonts w:ascii="Arial" w:hAnsi="Arial" w:cs="Arial"/>
          <w:sz w:val="22"/>
          <w:szCs w:val="22"/>
          <w:lang w:val="es-ES"/>
        </w:rPr>
        <w:t xml:space="preserve"> de financiamiento basado en resultados en el primer nivel</w:t>
      </w:r>
      <w:r w:rsidR="008D53A8" w:rsidRPr="00FB6DEA">
        <w:rPr>
          <w:rFonts w:ascii="Arial" w:hAnsi="Arial" w:cs="Arial"/>
          <w:sz w:val="22"/>
          <w:szCs w:val="22"/>
          <w:lang w:val="es-ES"/>
        </w:rPr>
        <w:t xml:space="preserve"> de atención en las regionales I-</w:t>
      </w:r>
      <w:r w:rsidR="006E580B" w:rsidRPr="00FB6DEA">
        <w:rPr>
          <w:rFonts w:ascii="Arial" w:hAnsi="Arial" w:cs="Arial"/>
          <w:sz w:val="22"/>
          <w:szCs w:val="22"/>
          <w:lang w:val="es-ES"/>
        </w:rPr>
        <w:t>V</w:t>
      </w:r>
    </w:p>
    <w:p w:rsidR="0085376D" w:rsidRPr="00FB6DEA" w:rsidRDefault="0085376D" w:rsidP="008D53A8">
      <w:pPr>
        <w:pStyle w:val="Paragraph"/>
        <w:numPr>
          <w:ilvl w:val="0"/>
          <w:numId w:val="22"/>
        </w:numPr>
        <w:spacing w:before="0" w:after="0"/>
        <w:rPr>
          <w:rFonts w:ascii="Arial" w:hAnsi="Arial" w:cs="Arial"/>
          <w:sz w:val="22"/>
          <w:szCs w:val="22"/>
        </w:rPr>
      </w:pPr>
      <w:r w:rsidRPr="00FB6DEA">
        <w:rPr>
          <w:rFonts w:ascii="Arial" w:hAnsi="Arial" w:cs="Arial"/>
          <w:sz w:val="22"/>
          <w:szCs w:val="22"/>
        </w:rPr>
        <w:lastRenderedPageBreak/>
        <w:t xml:space="preserve">La </w:t>
      </w:r>
      <w:r w:rsidR="006E1F83" w:rsidRPr="00FB6DEA">
        <w:rPr>
          <w:rFonts w:ascii="Arial" w:hAnsi="Arial" w:cs="Arial"/>
          <w:sz w:val="22"/>
          <w:szCs w:val="22"/>
        </w:rPr>
        <w:t>ejecución</w:t>
      </w:r>
      <w:r w:rsidRPr="00FB6DEA">
        <w:rPr>
          <w:rFonts w:ascii="Arial" w:hAnsi="Arial" w:cs="Arial"/>
          <w:sz w:val="22"/>
          <w:szCs w:val="22"/>
        </w:rPr>
        <w:t xml:space="preserve"> de una estrategia de mejoría de la calidad de la asistencia materno e infantil en hospitales públicos con elevadas tasas de mortalidad materna e infantil</w:t>
      </w:r>
    </w:p>
    <w:p w:rsidR="009723DE" w:rsidRPr="00FB6DEA" w:rsidRDefault="009723DE" w:rsidP="008D53A8">
      <w:pPr>
        <w:pStyle w:val="Paragraph"/>
        <w:numPr>
          <w:ilvl w:val="0"/>
          <w:numId w:val="0"/>
        </w:numPr>
        <w:spacing w:before="0" w:after="0"/>
        <w:rPr>
          <w:rFonts w:ascii="Arial" w:hAnsi="Arial" w:cs="Arial"/>
          <w:sz w:val="22"/>
          <w:szCs w:val="22"/>
        </w:rPr>
      </w:pPr>
    </w:p>
    <w:p w:rsidR="00AF1DE5" w:rsidRPr="00FB6DEA" w:rsidRDefault="00AF1DE5" w:rsidP="00AF1DE5">
      <w:pPr>
        <w:pStyle w:val="Paragraph"/>
        <w:numPr>
          <w:ilvl w:val="0"/>
          <w:numId w:val="0"/>
        </w:numPr>
        <w:spacing w:before="0" w:after="0"/>
        <w:rPr>
          <w:rFonts w:ascii="Arial" w:hAnsi="Arial" w:cs="Arial"/>
          <w:spacing w:val="-3"/>
          <w:sz w:val="22"/>
          <w:szCs w:val="22"/>
        </w:rPr>
      </w:pPr>
      <w:r w:rsidRPr="00FB6DEA">
        <w:rPr>
          <w:rFonts w:ascii="Arial" w:hAnsi="Arial" w:cs="Arial"/>
          <w:sz w:val="22"/>
          <w:szCs w:val="22"/>
          <w:lang w:val="es-ES"/>
        </w:rPr>
        <w:t>Es importante mencionar que el apoyo del Banco al sector social de RD también ha contribuido en la generación de importantes aprendizajes, como la necesidad de que las unidades ejecutoras cuenten con un acompañamiento técnico cercano para garantizar la ejecución en tiempo y forma</w:t>
      </w:r>
      <w:r w:rsidR="0004387A" w:rsidRPr="00FB6DEA">
        <w:rPr>
          <w:rFonts w:ascii="Arial" w:hAnsi="Arial" w:cs="Arial"/>
          <w:sz w:val="22"/>
          <w:szCs w:val="22"/>
          <w:lang w:val="es-ES"/>
        </w:rPr>
        <w:t>,</w:t>
      </w:r>
      <w:r w:rsidRPr="00FB6DEA">
        <w:rPr>
          <w:rFonts w:ascii="Arial" w:hAnsi="Arial" w:cs="Arial"/>
          <w:sz w:val="22"/>
          <w:szCs w:val="22"/>
          <w:lang w:val="es-ES"/>
        </w:rPr>
        <w:t xml:space="preserve"> y la relevancia de que las intervenciones propuestas estén alineadas a las prioridades nacionales, lo que garantizaría apoyo político y técnico. Estos aprendizajes fueron incorporados en la operación DR-L107</w:t>
      </w:r>
      <w:r w:rsidR="0085376D" w:rsidRPr="00FB6DEA">
        <w:rPr>
          <w:rFonts w:ascii="Arial" w:hAnsi="Arial" w:cs="Arial"/>
          <w:sz w:val="22"/>
          <w:szCs w:val="22"/>
          <w:lang w:val="es-ES"/>
        </w:rPr>
        <w:t>9</w:t>
      </w:r>
      <w:r w:rsidRPr="00FB6DEA">
        <w:rPr>
          <w:rFonts w:ascii="Arial" w:hAnsi="Arial" w:cs="Arial"/>
          <w:sz w:val="22"/>
          <w:szCs w:val="22"/>
          <w:lang w:val="es-ES"/>
        </w:rPr>
        <w:t xml:space="preserve">, así como las lecciones aprendidas de </w:t>
      </w:r>
      <w:r w:rsidRPr="00FB6DEA">
        <w:rPr>
          <w:rFonts w:ascii="Arial" w:hAnsi="Arial" w:cs="Arial"/>
          <w:spacing w:val="-3"/>
          <w:sz w:val="22"/>
          <w:szCs w:val="22"/>
        </w:rPr>
        <w:t xml:space="preserve">otras operaciones de apoyo a reformas de política en países de la región, entre las cuales se destacan la importancia de: (i) consensuar el apoyo de los actores involucrados en torno </w:t>
      </w:r>
      <w:r w:rsidR="0004387A" w:rsidRPr="00FB6DEA">
        <w:rPr>
          <w:rFonts w:ascii="Arial" w:hAnsi="Arial" w:cs="Arial"/>
          <w:spacing w:val="-3"/>
          <w:sz w:val="22"/>
          <w:szCs w:val="22"/>
        </w:rPr>
        <w:t>a</w:t>
      </w:r>
      <w:r w:rsidRPr="00FB6DEA">
        <w:rPr>
          <w:rFonts w:ascii="Arial" w:hAnsi="Arial" w:cs="Arial"/>
          <w:spacing w:val="-3"/>
          <w:sz w:val="22"/>
          <w:szCs w:val="22"/>
        </w:rPr>
        <w:t xml:space="preserve"> las prioridades de la reforma y de las condiciones de políticas; y (ii) brindar apoyo técnico para garantizar los avances necesarios en el cumplimiento de los acuerdos. En base a estas lecciones aprendidas, esta operación prevé asistencia técnica y acompañamiento cercano por parte del Banco en el cumplimiento de las condiciones de políticas, a través de:</w:t>
      </w:r>
    </w:p>
    <w:p w:rsidR="00AF1DE5" w:rsidRPr="00FB6DEA" w:rsidRDefault="00AF1DE5" w:rsidP="00AF1DE5">
      <w:pPr>
        <w:pStyle w:val="Paragraph"/>
        <w:numPr>
          <w:ilvl w:val="0"/>
          <w:numId w:val="0"/>
        </w:numPr>
        <w:spacing w:before="0" w:after="0"/>
        <w:rPr>
          <w:rFonts w:ascii="Arial" w:hAnsi="Arial" w:cs="Arial"/>
          <w:spacing w:val="-3"/>
          <w:sz w:val="22"/>
          <w:szCs w:val="22"/>
        </w:rPr>
      </w:pPr>
    </w:p>
    <w:p w:rsidR="00AF1DE5" w:rsidRPr="00FB6DEA" w:rsidRDefault="00AF1DE5" w:rsidP="00AF1DE5">
      <w:pPr>
        <w:pStyle w:val="Paragraph"/>
        <w:numPr>
          <w:ilvl w:val="0"/>
          <w:numId w:val="24"/>
        </w:numPr>
        <w:spacing w:before="0" w:after="0"/>
        <w:rPr>
          <w:rFonts w:ascii="Arial" w:hAnsi="Arial" w:cs="Arial"/>
          <w:spacing w:val="-3"/>
          <w:sz w:val="22"/>
          <w:szCs w:val="22"/>
        </w:rPr>
      </w:pPr>
      <w:r w:rsidRPr="00FB6DEA">
        <w:rPr>
          <w:rFonts w:ascii="Arial" w:hAnsi="Arial" w:cs="Arial"/>
          <w:sz w:val="22"/>
          <w:szCs w:val="22"/>
        </w:rPr>
        <w:t xml:space="preserve">Asistencia al Ministerio de Hacienda para acompañar los avances, identificar y mitigar los riesgos y coordinar el trabajo de los distintos Ministerios/instituciones en el cumplimiento de las condiciones de políticas; esta asistencia incluye la contratación de una consultoría para apoyar al </w:t>
      </w:r>
      <w:r w:rsidR="0004387A" w:rsidRPr="00FB6DEA">
        <w:rPr>
          <w:rFonts w:ascii="Arial" w:hAnsi="Arial" w:cs="Arial"/>
          <w:sz w:val="22"/>
          <w:szCs w:val="22"/>
        </w:rPr>
        <w:t>M</w:t>
      </w:r>
      <w:r w:rsidR="0085376D" w:rsidRPr="00FB6DEA">
        <w:rPr>
          <w:rFonts w:ascii="Arial" w:hAnsi="Arial" w:cs="Arial"/>
          <w:sz w:val="22"/>
          <w:szCs w:val="22"/>
        </w:rPr>
        <w:t>inisterio de Hacienda</w:t>
      </w:r>
    </w:p>
    <w:p w:rsidR="00AF1DE5" w:rsidRPr="00FB6DEA" w:rsidRDefault="00AF1DE5" w:rsidP="00AF1DE5">
      <w:pPr>
        <w:pStyle w:val="Paragraph"/>
        <w:numPr>
          <w:ilvl w:val="0"/>
          <w:numId w:val="24"/>
        </w:numPr>
        <w:spacing w:before="0" w:after="0"/>
        <w:rPr>
          <w:rFonts w:ascii="Arial" w:hAnsi="Arial" w:cs="Arial"/>
          <w:spacing w:val="-3"/>
          <w:sz w:val="22"/>
          <w:szCs w:val="22"/>
        </w:rPr>
      </w:pPr>
      <w:r w:rsidRPr="00FB6DEA">
        <w:rPr>
          <w:rFonts w:ascii="Arial" w:hAnsi="Arial" w:cs="Arial"/>
          <w:sz w:val="22"/>
          <w:szCs w:val="22"/>
        </w:rPr>
        <w:t xml:space="preserve">Cooperaciones técnicas </w:t>
      </w:r>
      <w:r w:rsidRPr="00FB6DEA">
        <w:rPr>
          <w:rFonts w:ascii="Arial" w:hAnsi="Arial" w:cs="Arial"/>
          <w:sz w:val="22"/>
          <w:szCs w:val="22"/>
          <w:lang w:val="es-ES"/>
        </w:rPr>
        <w:t>DR-T1098 y DR-T1111</w:t>
      </w:r>
    </w:p>
    <w:p w:rsidR="00AF1DE5" w:rsidRPr="00FB6DEA" w:rsidRDefault="00AF1DE5" w:rsidP="00AF1DE5">
      <w:pPr>
        <w:pStyle w:val="Paragraph"/>
        <w:numPr>
          <w:ilvl w:val="0"/>
          <w:numId w:val="24"/>
        </w:numPr>
        <w:spacing w:before="0" w:after="0"/>
        <w:rPr>
          <w:rFonts w:ascii="Arial" w:hAnsi="Arial" w:cs="Arial"/>
          <w:spacing w:val="-3"/>
          <w:sz w:val="22"/>
          <w:szCs w:val="22"/>
        </w:rPr>
      </w:pPr>
      <w:r w:rsidRPr="00FB6DEA">
        <w:rPr>
          <w:rFonts w:ascii="Arial" w:hAnsi="Arial" w:cs="Arial"/>
          <w:sz w:val="22"/>
          <w:szCs w:val="22"/>
        </w:rPr>
        <w:t>Consultoría</w:t>
      </w:r>
      <w:r w:rsidR="0085376D" w:rsidRPr="00FB6DEA">
        <w:rPr>
          <w:rFonts w:ascii="Arial" w:hAnsi="Arial" w:cs="Arial"/>
          <w:sz w:val="22"/>
          <w:szCs w:val="22"/>
        </w:rPr>
        <w:t>s</w:t>
      </w:r>
      <w:r w:rsidRPr="00FB6DEA">
        <w:rPr>
          <w:rFonts w:ascii="Arial" w:hAnsi="Arial" w:cs="Arial"/>
          <w:sz w:val="22"/>
          <w:szCs w:val="22"/>
        </w:rPr>
        <w:t xml:space="preserve"> de apoyo al </w:t>
      </w:r>
      <w:r w:rsidRPr="00FB6DEA">
        <w:rPr>
          <w:rFonts w:ascii="Arial" w:hAnsi="Arial" w:cs="Arial"/>
          <w:spacing w:val="-3"/>
          <w:sz w:val="22"/>
          <w:szCs w:val="22"/>
        </w:rPr>
        <w:t xml:space="preserve">MSP para el cumplimiento de algunas condiciones de política (ver Tabla </w:t>
      </w:r>
      <w:r w:rsidR="006E1F83" w:rsidRPr="00FB6DEA">
        <w:rPr>
          <w:rFonts w:ascii="Arial" w:hAnsi="Arial" w:cs="Arial"/>
          <w:spacing w:val="-3"/>
          <w:sz w:val="22"/>
          <w:szCs w:val="22"/>
        </w:rPr>
        <w:t>2</w:t>
      </w:r>
      <w:r w:rsidRPr="00FB6DEA">
        <w:rPr>
          <w:rFonts w:ascii="Arial" w:hAnsi="Arial" w:cs="Arial"/>
          <w:spacing w:val="-3"/>
          <w:sz w:val="22"/>
          <w:szCs w:val="22"/>
        </w:rPr>
        <w:t xml:space="preserve"> para más información)</w:t>
      </w:r>
    </w:p>
    <w:p w:rsidR="00AF1DE5" w:rsidRPr="00FB6DEA" w:rsidRDefault="00AF1DE5" w:rsidP="008D53A8">
      <w:pPr>
        <w:pStyle w:val="Paragraph"/>
        <w:numPr>
          <w:ilvl w:val="0"/>
          <w:numId w:val="0"/>
        </w:numPr>
        <w:spacing w:before="0" w:after="0"/>
        <w:rPr>
          <w:rFonts w:ascii="Arial" w:hAnsi="Arial" w:cs="Arial"/>
          <w:sz w:val="22"/>
          <w:szCs w:val="22"/>
        </w:rPr>
      </w:pPr>
    </w:p>
    <w:p w:rsidR="009723DE" w:rsidRPr="00FB6DEA" w:rsidRDefault="009723DE" w:rsidP="008D53A8">
      <w:pPr>
        <w:pStyle w:val="Paragraph"/>
        <w:numPr>
          <w:ilvl w:val="0"/>
          <w:numId w:val="0"/>
        </w:numPr>
        <w:spacing w:before="0" w:after="0"/>
        <w:rPr>
          <w:rFonts w:ascii="Arial" w:hAnsi="Arial" w:cs="Arial"/>
          <w:sz w:val="22"/>
          <w:szCs w:val="22"/>
          <w:lang w:val="es-ES"/>
        </w:rPr>
      </w:pPr>
      <w:r w:rsidRPr="00FB6DEA">
        <w:rPr>
          <w:rFonts w:ascii="Arial" w:hAnsi="Arial" w:cs="Arial"/>
          <w:sz w:val="22"/>
          <w:szCs w:val="22"/>
          <w:lang w:val="es-ES"/>
        </w:rPr>
        <w:t xml:space="preserve">Las </w:t>
      </w:r>
      <w:r w:rsidR="00AF1DE5" w:rsidRPr="00FB6DEA">
        <w:rPr>
          <w:rFonts w:ascii="Arial" w:hAnsi="Arial" w:cs="Arial"/>
          <w:sz w:val="22"/>
          <w:szCs w:val="22"/>
          <w:lang w:val="es-ES"/>
        </w:rPr>
        <w:t>siguientes tablas</w:t>
      </w:r>
      <w:r w:rsidRPr="00FB6DEA">
        <w:rPr>
          <w:rFonts w:ascii="Arial" w:hAnsi="Arial" w:cs="Arial"/>
          <w:sz w:val="22"/>
          <w:szCs w:val="22"/>
          <w:lang w:val="es-ES"/>
        </w:rPr>
        <w:t xml:space="preserve"> presentan información adicional sobre las operaciones que están siendo ejecutadas en RD y su complementaried</w:t>
      </w:r>
      <w:bookmarkStart w:id="0" w:name="_GoBack"/>
      <w:bookmarkEnd w:id="0"/>
      <w:r w:rsidRPr="00FB6DEA">
        <w:rPr>
          <w:rFonts w:ascii="Arial" w:hAnsi="Arial" w:cs="Arial"/>
          <w:sz w:val="22"/>
          <w:szCs w:val="22"/>
          <w:lang w:val="es-ES"/>
        </w:rPr>
        <w:t>ad con el proyecto DR-L107</w:t>
      </w:r>
      <w:r w:rsidR="00133AB0" w:rsidRPr="00FB6DEA">
        <w:rPr>
          <w:rFonts w:ascii="Arial" w:hAnsi="Arial" w:cs="Arial"/>
          <w:sz w:val="22"/>
          <w:szCs w:val="22"/>
          <w:lang w:val="es-ES"/>
        </w:rPr>
        <w:t>9</w:t>
      </w:r>
      <w:r w:rsidRPr="00FB6DEA">
        <w:rPr>
          <w:rFonts w:ascii="Arial" w:hAnsi="Arial" w:cs="Arial"/>
          <w:sz w:val="22"/>
          <w:szCs w:val="22"/>
          <w:lang w:val="es-ES"/>
        </w:rPr>
        <w:t>.</w:t>
      </w:r>
    </w:p>
    <w:p w:rsidR="00AF1DE5" w:rsidRPr="00FB6DEA" w:rsidRDefault="00AF1DE5" w:rsidP="008D53A8">
      <w:pPr>
        <w:pStyle w:val="Paragraph"/>
        <w:numPr>
          <w:ilvl w:val="0"/>
          <w:numId w:val="0"/>
        </w:numPr>
        <w:spacing w:before="0" w:after="0"/>
        <w:rPr>
          <w:rFonts w:ascii="Arial" w:hAnsi="Arial" w:cs="Arial"/>
          <w:sz w:val="22"/>
          <w:szCs w:val="22"/>
        </w:rPr>
      </w:pPr>
    </w:p>
    <w:p w:rsidR="00AF1DE5" w:rsidRPr="00FB6DEA" w:rsidRDefault="00AF1DE5" w:rsidP="008D53A8">
      <w:pPr>
        <w:pStyle w:val="Paragraph"/>
        <w:numPr>
          <w:ilvl w:val="0"/>
          <w:numId w:val="0"/>
        </w:numPr>
        <w:spacing w:before="0" w:after="0"/>
        <w:rPr>
          <w:rFonts w:ascii="Arial" w:hAnsi="Arial" w:cs="Arial"/>
          <w:sz w:val="22"/>
          <w:szCs w:val="22"/>
        </w:rPr>
      </w:pPr>
    </w:p>
    <w:p w:rsidR="00FF259A" w:rsidRPr="00FB6DEA" w:rsidRDefault="00FF259A" w:rsidP="008D53A8">
      <w:pPr>
        <w:pStyle w:val="Paragraph"/>
        <w:numPr>
          <w:ilvl w:val="0"/>
          <w:numId w:val="0"/>
        </w:numPr>
        <w:spacing w:before="0" w:after="0"/>
        <w:rPr>
          <w:rFonts w:ascii="Arial" w:hAnsi="Arial" w:cs="Arial"/>
          <w:sz w:val="22"/>
          <w:szCs w:val="22"/>
        </w:rPr>
      </w:pPr>
    </w:p>
    <w:p w:rsidR="00FF259A" w:rsidRPr="00FB6DEA" w:rsidRDefault="00FF259A" w:rsidP="008D53A8">
      <w:pPr>
        <w:pStyle w:val="Paragraph"/>
        <w:numPr>
          <w:ilvl w:val="0"/>
          <w:numId w:val="0"/>
        </w:numPr>
        <w:spacing w:before="0" w:after="0"/>
        <w:rPr>
          <w:rFonts w:ascii="Arial" w:hAnsi="Arial" w:cs="Arial"/>
          <w:sz w:val="22"/>
          <w:szCs w:val="22"/>
        </w:rPr>
      </w:pPr>
    </w:p>
    <w:p w:rsidR="00FF259A" w:rsidRDefault="00FF259A" w:rsidP="008D53A8">
      <w:pPr>
        <w:pStyle w:val="Paragraph"/>
        <w:numPr>
          <w:ilvl w:val="0"/>
          <w:numId w:val="0"/>
        </w:numPr>
        <w:spacing w:before="0" w:after="0"/>
        <w:rPr>
          <w:szCs w:val="24"/>
        </w:rPr>
      </w:pPr>
    </w:p>
    <w:p w:rsidR="00FF259A" w:rsidRDefault="00FF259A" w:rsidP="008D53A8">
      <w:pPr>
        <w:pStyle w:val="Paragraph"/>
        <w:numPr>
          <w:ilvl w:val="0"/>
          <w:numId w:val="0"/>
        </w:numPr>
        <w:spacing w:before="0" w:after="0"/>
        <w:rPr>
          <w:szCs w:val="24"/>
        </w:rPr>
      </w:pPr>
    </w:p>
    <w:p w:rsidR="00FB6DEA" w:rsidRDefault="00FB6DEA" w:rsidP="008D53A8">
      <w:pPr>
        <w:pStyle w:val="Paragraph"/>
        <w:numPr>
          <w:ilvl w:val="0"/>
          <w:numId w:val="0"/>
        </w:numPr>
        <w:spacing w:before="0" w:after="0"/>
        <w:rPr>
          <w:szCs w:val="24"/>
        </w:rPr>
      </w:pPr>
    </w:p>
    <w:p w:rsidR="00FB6DEA" w:rsidRDefault="00FB6DEA" w:rsidP="008D53A8">
      <w:pPr>
        <w:pStyle w:val="Paragraph"/>
        <w:numPr>
          <w:ilvl w:val="0"/>
          <w:numId w:val="0"/>
        </w:numPr>
        <w:spacing w:before="0" w:after="0"/>
        <w:rPr>
          <w:szCs w:val="24"/>
        </w:rPr>
      </w:pPr>
    </w:p>
    <w:p w:rsidR="00FB6DEA" w:rsidRDefault="00FB6DEA" w:rsidP="008D53A8">
      <w:pPr>
        <w:pStyle w:val="Paragraph"/>
        <w:numPr>
          <w:ilvl w:val="0"/>
          <w:numId w:val="0"/>
        </w:numPr>
        <w:spacing w:before="0" w:after="0"/>
        <w:rPr>
          <w:szCs w:val="24"/>
        </w:rPr>
      </w:pPr>
    </w:p>
    <w:p w:rsidR="00FB6DEA" w:rsidRDefault="00FB6DEA" w:rsidP="008D53A8">
      <w:pPr>
        <w:pStyle w:val="Paragraph"/>
        <w:numPr>
          <w:ilvl w:val="0"/>
          <w:numId w:val="0"/>
        </w:numPr>
        <w:spacing w:before="0" w:after="0"/>
        <w:rPr>
          <w:szCs w:val="24"/>
        </w:rPr>
      </w:pPr>
    </w:p>
    <w:p w:rsidR="00FB6DEA" w:rsidRDefault="00FB6DEA" w:rsidP="008D53A8">
      <w:pPr>
        <w:pStyle w:val="Paragraph"/>
        <w:numPr>
          <w:ilvl w:val="0"/>
          <w:numId w:val="0"/>
        </w:numPr>
        <w:spacing w:before="0" w:after="0"/>
        <w:rPr>
          <w:szCs w:val="24"/>
        </w:rPr>
      </w:pPr>
    </w:p>
    <w:p w:rsidR="00FB6DEA" w:rsidRDefault="00FB6DEA" w:rsidP="008D53A8">
      <w:pPr>
        <w:pStyle w:val="Paragraph"/>
        <w:numPr>
          <w:ilvl w:val="0"/>
          <w:numId w:val="0"/>
        </w:numPr>
        <w:spacing w:before="0" w:after="0"/>
        <w:rPr>
          <w:szCs w:val="24"/>
        </w:rPr>
      </w:pPr>
    </w:p>
    <w:p w:rsidR="00FB6DEA" w:rsidRDefault="00FB6DEA" w:rsidP="008D53A8">
      <w:pPr>
        <w:pStyle w:val="Paragraph"/>
        <w:numPr>
          <w:ilvl w:val="0"/>
          <w:numId w:val="0"/>
        </w:numPr>
        <w:spacing w:before="0" w:after="0"/>
        <w:rPr>
          <w:szCs w:val="24"/>
        </w:rPr>
      </w:pPr>
    </w:p>
    <w:p w:rsidR="00FB6DEA" w:rsidRDefault="00FB6DEA" w:rsidP="008D53A8">
      <w:pPr>
        <w:pStyle w:val="Paragraph"/>
        <w:numPr>
          <w:ilvl w:val="0"/>
          <w:numId w:val="0"/>
        </w:numPr>
        <w:spacing w:before="0" w:after="0"/>
        <w:rPr>
          <w:szCs w:val="24"/>
        </w:rPr>
      </w:pPr>
    </w:p>
    <w:p w:rsidR="00FB6DEA" w:rsidRDefault="00FB6DEA" w:rsidP="008D53A8">
      <w:pPr>
        <w:pStyle w:val="Paragraph"/>
        <w:numPr>
          <w:ilvl w:val="0"/>
          <w:numId w:val="0"/>
        </w:numPr>
        <w:spacing w:before="0" w:after="0"/>
        <w:rPr>
          <w:szCs w:val="24"/>
        </w:rPr>
      </w:pPr>
    </w:p>
    <w:p w:rsidR="00FB6DEA" w:rsidRDefault="00FB6DEA" w:rsidP="008D53A8">
      <w:pPr>
        <w:pStyle w:val="Paragraph"/>
        <w:numPr>
          <w:ilvl w:val="0"/>
          <w:numId w:val="0"/>
        </w:numPr>
        <w:spacing w:before="0" w:after="0"/>
        <w:rPr>
          <w:szCs w:val="24"/>
        </w:rPr>
      </w:pPr>
    </w:p>
    <w:p w:rsidR="00FB6DEA" w:rsidRDefault="00FB6DEA" w:rsidP="008D53A8">
      <w:pPr>
        <w:pStyle w:val="Paragraph"/>
        <w:numPr>
          <w:ilvl w:val="0"/>
          <w:numId w:val="0"/>
        </w:numPr>
        <w:spacing w:before="0" w:after="0"/>
        <w:rPr>
          <w:szCs w:val="24"/>
        </w:rPr>
      </w:pPr>
    </w:p>
    <w:p w:rsidR="00FB6DEA" w:rsidRDefault="00FB6DEA" w:rsidP="008D53A8">
      <w:pPr>
        <w:pStyle w:val="Paragraph"/>
        <w:numPr>
          <w:ilvl w:val="0"/>
          <w:numId w:val="0"/>
        </w:numPr>
        <w:spacing w:before="0" w:after="0"/>
        <w:rPr>
          <w:szCs w:val="24"/>
        </w:rPr>
      </w:pPr>
    </w:p>
    <w:p w:rsidR="00FB6DEA" w:rsidRDefault="00FB6DEA" w:rsidP="008D53A8">
      <w:pPr>
        <w:pStyle w:val="Paragraph"/>
        <w:numPr>
          <w:ilvl w:val="0"/>
          <w:numId w:val="0"/>
        </w:numPr>
        <w:spacing w:before="0" w:after="0"/>
        <w:rPr>
          <w:szCs w:val="24"/>
        </w:rPr>
      </w:pPr>
    </w:p>
    <w:p w:rsidR="00FB6DEA" w:rsidRDefault="00FB6DEA" w:rsidP="008D53A8">
      <w:pPr>
        <w:pStyle w:val="Paragraph"/>
        <w:numPr>
          <w:ilvl w:val="0"/>
          <w:numId w:val="0"/>
        </w:numPr>
        <w:spacing w:before="0" w:after="0"/>
        <w:rPr>
          <w:szCs w:val="24"/>
        </w:rPr>
      </w:pPr>
    </w:p>
    <w:p w:rsidR="00AF1DE5" w:rsidRDefault="00AF1DE5" w:rsidP="008D53A8">
      <w:pPr>
        <w:pStyle w:val="Paragraph"/>
        <w:numPr>
          <w:ilvl w:val="0"/>
          <w:numId w:val="0"/>
        </w:numPr>
        <w:spacing w:before="0" w:after="0"/>
        <w:rPr>
          <w:szCs w:val="24"/>
        </w:rPr>
      </w:pPr>
    </w:p>
    <w:p w:rsidR="00AF1DE5" w:rsidRDefault="00AF1DE5" w:rsidP="008D53A8">
      <w:pPr>
        <w:pStyle w:val="Paragraph"/>
        <w:numPr>
          <w:ilvl w:val="0"/>
          <w:numId w:val="0"/>
        </w:numPr>
        <w:spacing w:before="0" w:after="0"/>
        <w:rPr>
          <w:szCs w:val="24"/>
        </w:rPr>
      </w:pPr>
    </w:p>
    <w:p w:rsidR="00C5214B" w:rsidRPr="00FB6DEA" w:rsidRDefault="00516089" w:rsidP="00CC46F9">
      <w:pPr>
        <w:pStyle w:val="Paragraph"/>
        <w:numPr>
          <w:ilvl w:val="0"/>
          <w:numId w:val="0"/>
        </w:numPr>
        <w:ind w:left="-450" w:firstLine="90"/>
        <w:jc w:val="center"/>
        <w:rPr>
          <w:rFonts w:ascii="Arial" w:hAnsi="Arial" w:cs="Arial"/>
          <w:b/>
          <w:sz w:val="20"/>
        </w:rPr>
      </w:pPr>
      <w:r w:rsidRPr="00FB6DEA">
        <w:rPr>
          <w:rFonts w:ascii="Arial" w:hAnsi="Arial" w:cs="Arial"/>
          <w:b/>
          <w:sz w:val="20"/>
        </w:rPr>
        <w:lastRenderedPageBreak/>
        <w:t>Tabla</w:t>
      </w:r>
      <w:r w:rsidR="00C5214B" w:rsidRPr="00FB6DEA">
        <w:rPr>
          <w:rFonts w:ascii="Arial" w:hAnsi="Arial" w:cs="Arial"/>
          <w:b/>
          <w:sz w:val="20"/>
        </w:rPr>
        <w:t xml:space="preserve"> 1. </w:t>
      </w:r>
      <w:r w:rsidR="00F56823" w:rsidRPr="00FB6DEA">
        <w:rPr>
          <w:rFonts w:ascii="Arial" w:hAnsi="Arial" w:cs="Arial"/>
          <w:b/>
          <w:sz w:val="20"/>
        </w:rPr>
        <w:t>Resumen de</w:t>
      </w:r>
      <w:r w:rsidR="00337F39" w:rsidRPr="00FB6DEA">
        <w:rPr>
          <w:rFonts w:ascii="Arial" w:hAnsi="Arial" w:cs="Arial"/>
          <w:b/>
          <w:sz w:val="20"/>
        </w:rPr>
        <w:t xml:space="preserve"> las</w:t>
      </w:r>
      <w:r w:rsidR="00F56823" w:rsidRPr="00FB6DEA">
        <w:rPr>
          <w:rFonts w:ascii="Arial" w:hAnsi="Arial" w:cs="Arial"/>
          <w:b/>
          <w:sz w:val="20"/>
        </w:rPr>
        <w:t xml:space="preserve"> a</w:t>
      </w:r>
      <w:r w:rsidR="00C5214B" w:rsidRPr="00FB6DEA">
        <w:rPr>
          <w:rFonts w:ascii="Arial" w:hAnsi="Arial" w:cs="Arial"/>
          <w:b/>
          <w:sz w:val="20"/>
        </w:rPr>
        <w:t>ctividades</w:t>
      </w:r>
      <w:r w:rsidR="00F56823" w:rsidRPr="00FB6DEA">
        <w:rPr>
          <w:rFonts w:ascii="Arial" w:hAnsi="Arial" w:cs="Arial"/>
          <w:b/>
          <w:sz w:val="20"/>
        </w:rPr>
        <w:t xml:space="preserve"> de inversión </w:t>
      </w:r>
      <w:r w:rsidR="00337F39" w:rsidRPr="00FB6DEA">
        <w:rPr>
          <w:rFonts w:ascii="Arial" w:hAnsi="Arial" w:cs="Arial"/>
          <w:b/>
          <w:sz w:val="20"/>
        </w:rPr>
        <w:t xml:space="preserve">en salud </w:t>
      </w:r>
      <w:r w:rsidR="00F56823" w:rsidRPr="00FB6DEA">
        <w:rPr>
          <w:rFonts w:ascii="Arial" w:hAnsi="Arial" w:cs="Arial"/>
          <w:b/>
          <w:sz w:val="20"/>
        </w:rPr>
        <w:t>financiadas por el Banco</w:t>
      </w:r>
      <w:r w:rsidR="00C5214B" w:rsidRPr="00FB6DEA">
        <w:rPr>
          <w:rFonts w:ascii="Arial" w:hAnsi="Arial" w:cs="Arial"/>
          <w:b/>
          <w:sz w:val="20"/>
        </w:rPr>
        <w:t xml:space="preserve"> </w:t>
      </w:r>
      <w:r w:rsidR="00337F39" w:rsidRPr="00FB6DEA">
        <w:rPr>
          <w:rFonts w:ascii="Arial" w:hAnsi="Arial" w:cs="Arial"/>
          <w:b/>
          <w:sz w:val="20"/>
        </w:rPr>
        <w:t xml:space="preserve">a través de </w:t>
      </w:r>
      <w:r w:rsidR="00F56823" w:rsidRPr="00FB6DEA">
        <w:rPr>
          <w:rFonts w:ascii="Arial" w:hAnsi="Arial" w:cs="Arial"/>
          <w:b/>
          <w:sz w:val="20"/>
        </w:rPr>
        <w:t xml:space="preserve"> distintas operaciones</w:t>
      </w:r>
      <w:r w:rsidR="00C5214B" w:rsidRPr="00FB6DEA">
        <w:rPr>
          <w:rFonts w:ascii="Arial" w:hAnsi="Arial" w:cs="Arial"/>
          <w:b/>
          <w:sz w:val="20"/>
        </w:rPr>
        <w:t xml:space="preserve"> </w:t>
      </w:r>
      <w:r w:rsidR="00337F39" w:rsidRPr="00FB6DEA">
        <w:rPr>
          <w:rFonts w:ascii="Arial" w:hAnsi="Arial" w:cs="Arial"/>
          <w:b/>
          <w:sz w:val="20"/>
        </w:rPr>
        <w:t>en</w:t>
      </w:r>
      <w:r w:rsidR="00385596" w:rsidRPr="00FB6DEA">
        <w:rPr>
          <w:rFonts w:ascii="Arial" w:hAnsi="Arial" w:cs="Arial"/>
          <w:b/>
          <w:sz w:val="20"/>
        </w:rPr>
        <w:t xml:space="preserve"> Repú</w:t>
      </w:r>
      <w:r w:rsidR="00F56823" w:rsidRPr="00FB6DEA">
        <w:rPr>
          <w:rFonts w:ascii="Arial" w:hAnsi="Arial" w:cs="Arial"/>
          <w:b/>
          <w:sz w:val="20"/>
        </w:rPr>
        <w:t>blica Dominicana</w:t>
      </w:r>
    </w:p>
    <w:tbl>
      <w:tblPr>
        <w:tblW w:w="54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1351"/>
        <w:gridCol w:w="1351"/>
        <w:gridCol w:w="1382"/>
        <w:gridCol w:w="1382"/>
        <w:gridCol w:w="1382"/>
        <w:gridCol w:w="1382"/>
        <w:gridCol w:w="1382"/>
      </w:tblGrid>
      <w:tr w:rsidR="00490014" w:rsidRPr="00FB6DEA" w:rsidTr="00490014">
        <w:trPr>
          <w:trHeight w:val="134"/>
          <w:tblHeader/>
          <w:jc w:val="center"/>
        </w:trPr>
        <w:tc>
          <w:tcPr>
            <w:tcW w:w="417" w:type="pct"/>
            <w:shd w:val="clear" w:color="auto" w:fill="BFBFBF"/>
            <w:vAlign w:val="center"/>
          </w:tcPr>
          <w:p w:rsidR="00490014" w:rsidRPr="00FB6DEA" w:rsidRDefault="00490014" w:rsidP="00CC46F9">
            <w:pPr>
              <w:pStyle w:val="Paragraph"/>
              <w:numPr>
                <w:ilvl w:val="0"/>
                <w:numId w:val="0"/>
              </w:numPr>
              <w:spacing w:before="0" w:after="0"/>
              <w:jc w:val="center"/>
              <w:rPr>
                <w:rFonts w:ascii="Arial" w:hAnsi="Arial" w:cs="Arial"/>
                <w:sz w:val="20"/>
              </w:rPr>
            </w:pPr>
            <w:r w:rsidRPr="00FB6DEA">
              <w:rPr>
                <w:rFonts w:ascii="Arial" w:hAnsi="Arial" w:cs="Arial"/>
                <w:sz w:val="20"/>
              </w:rPr>
              <w:t>Nombre del proyecto</w:t>
            </w:r>
          </w:p>
        </w:tc>
        <w:tc>
          <w:tcPr>
            <w:tcW w:w="1288" w:type="pct"/>
            <w:gridSpan w:val="2"/>
            <w:shd w:val="clear" w:color="auto" w:fill="BFBFBF"/>
            <w:vAlign w:val="center"/>
          </w:tcPr>
          <w:p w:rsidR="00490014" w:rsidRPr="00FB6DEA" w:rsidRDefault="00490014" w:rsidP="00CC46F9">
            <w:pPr>
              <w:pStyle w:val="Paragraph"/>
              <w:numPr>
                <w:ilvl w:val="0"/>
                <w:numId w:val="0"/>
              </w:numPr>
              <w:spacing w:before="0" w:after="0"/>
              <w:jc w:val="center"/>
              <w:rPr>
                <w:rFonts w:ascii="Arial" w:hAnsi="Arial" w:cs="Arial"/>
                <w:sz w:val="20"/>
              </w:rPr>
            </w:pPr>
            <w:r w:rsidRPr="00FB6DEA">
              <w:rPr>
                <w:rFonts w:ascii="Arial" w:hAnsi="Arial" w:cs="Arial"/>
                <w:sz w:val="20"/>
              </w:rPr>
              <w:t>Programa de Fases Múltiples de Apoyo al Programa de Protección Social de la República Dominicana</w:t>
            </w:r>
          </w:p>
        </w:tc>
        <w:tc>
          <w:tcPr>
            <w:tcW w:w="659" w:type="pct"/>
            <w:shd w:val="clear" w:color="auto" w:fill="BFBFBF"/>
            <w:vAlign w:val="center"/>
          </w:tcPr>
          <w:p w:rsidR="00490014" w:rsidRPr="00FB6DEA" w:rsidRDefault="00490014" w:rsidP="00CC46F9">
            <w:pPr>
              <w:pStyle w:val="Paragraph"/>
              <w:numPr>
                <w:ilvl w:val="0"/>
                <w:numId w:val="0"/>
              </w:numPr>
              <w:spacing w:before="0" w:after="0"/>
              <w:jc w:val="center"/>
              <w:rPr>
                <w:rFonts w:ascii="Arial" w:hAnsi="Arial" w:cs="Arial"/>
                <w:sz w:val="20"/>
              </w:rPr>
            </w:pPr>
            <w:r w:rsidRPr="00FB6DEA">
              <w:rPr>
                <w:rFonts w:ascii="Arial" w:hAnsi="Arial" w:cs="Arial"/>
                <w:sz w:val="20"/>
              </w:rPr>
              <w:t>Apoyo al Programa de Protección Social y el Sector Salud</w:t>
            </w:r>
          </w:p>
        </w:tc>
        <w:tc>
          <w:tcPr>
            <w:tcW w:w="659" w:type="pct"/>
            <w:shd w:val="clear" w:color="auto" w:fill="BFBFBF"/>
            <w:vAlign w:val="center"/>
          </w:tcPr>
          <w:p w:rsidR="00490014" w:rsidRPr="00FB6DEA" w:rsidRDefault="00490014" w:rsidP="00CC46F9">
            <w:pPr>
              <w:pStyle w:val="Paragraph"/>
              <w:numPr>
                <w:ilvl w:val="0"/>
                <w:numId w:val="0"/>
              </w:numPr>
              <w:spacing w:before="0" w:after="0"/>
              <w:jc w:val="center"/>
              <w:rPr>
                <w:rFonts w:ascii="Arial" w:hAnsi="Arial" w:cs="Arial"/>
                <w:sz w:val="20"/>
              </w:rPr>
            </w:pPr>
            <w:r w:rsidRPr="00FB6DEA">
              <w:rPr>
                <w:rFonts w:ascii="Arial" w:hAnsi="Arial" w:cs="Arial"/>
                <w:sz w:val="20"/>
              </w:rPr>
              <w:t>Fortalecimiento de la Gestión por Resultados del Sector Salud</w:t>
            </w:r>
          </w:p>
        </w:tc>
        <w:tc>
          <w:tcPr>
            <w:tcW w:w="659" w:type="pct"/>
            <w:shd w:val="clear" w:color="auto" w:fill="BFBFBF"/>
            <w:vAlign w:val="center"/>
          </w:tcPr>
          <w:p w:rsidR="00490014" w:rsidRPr="00FB6DEA" w:rsidRDefault="00490014" w:rsidP="00CC46F9">
            <w:pPr>
              <w:pStyle w:val="Paragraph"/>
              <w:numPr>
                <w:ilvl w:val="0"/>
                <w:numId w:val="0"/>
              </w:numPr>
              <w:spacing w:before="0" w:after="0"/>
              <w:jc w:val="center"/>
              <w:rPr>
                <w:rFonts w:ascii="Arial" w:hAnsi="Arial" w:cs="Arial"/>
                <w:sz w:val="20"/>
              </w:rPr>
            </w:pPr>
            <w:r w:rsidRPr="00FB6DEA">
              <w:rPr>
                <w:rFonts w:ascii="Arial" w:hAnsi="Arial" w:cs="Arial"/>
                <w:sz w:val="20"/>
              </w:rPr>
              <w:t>Apoyo al fortalecimiento de la gestión del Sector Salud</w:t>
            </w:r>
          </w:p>
        </w:tc>
        <w:tc>
          <w:tcPr>
            <w:tcW w:w="659" w:type="pct"/>
            <w:shd w:val="clear" w:color="auto" w:fill="BFBFBF"/>
          </w:tcPr>
          <w:p w:rsidR="00490014" w:rsidRPr="00FB6DEA" w:rsidRDefault="00490014" w:rsidP="00CC46F9">
            <w:pPr>
              <w:pStyle w:val="Paragraph"/>
              <w:numPr>
                <w:ilvl w:val="0"/>
                <w:numId w:val="0"/>
              </w:numPr>
              <w:spacing w:before="0" w:after="0"/>
              <w:jc w:val="center"/>
              <w:rPr>
                <w:rFonts w:ascii="Arial" w:hAnsi="Arial" w:cs="Arial"/>
                <w:sz w:val="20"/>
              </w:rPr>
            </w:pPr>
            <w:r w:rsidRPr="00FB6DEA">
              <w:rPr>
                <w:rFonts w:ascii="Arial" w:hAnsi="Arial" w:cs="Arial"/>
                <w:sz w:val="20"/>
              </w:rPr>
              <w:t>Apoyo a la consolidación del Sector Salud y de la Seguridad Social</w:t>
            </w:r>
          </w:p>
        </w:tc>
        <w:tc>
          <w:tcPr>
            <w:tcW w:w="659" w:type="pct"/>
            <w:shd w:val="clear" w:color="auto" w:fill="BFBFBF"/>
          </w:tcPr>
          <w:p w:rsidR="00490014" w:rsidRPr="00FB6DEA" w:rsidRDefault="00820D2E" w:rsidP="00CC46F9">
            <w:pPr>
              <w:pStyle w:val="Paragraph"/>
              <w:numPr>
                <w:ilvl w:val="0"/>
                <w:numId w:val="0"/>
              </w:numPr>
              <w:spacing w:before="0" w:after="0"/>
              <w:jc w:val="center"/>
              <w:rPr>
                <w:rFonts w:ascii="Arial" w:hAnsi="Arial" w:cs="Arial"/>
                <w:sz w:val="20"/>
              </w:rPr>
            </w:pPr>
            <w:r w:rsidRPr="00FB6DEA">
              <w:rPr>
                <w:rFonts w:ascii="Arial" w:hAnsi="Arial" w:cs="Arial"/>
                <w:sz w:val="20"/>
              </w:rPr>
              <w:t>Apoyo a la consolidación del Sector Salud y de la Seguridad Social</w:t>
            </w:r>
          </w:p>
        </w:tc>
      </w:tr>
      <w:tr w:rsidR="00490014" w:rsidRPr="00FB6DEA" w:rsidTr="00490014">
        <w:trPr>
          <w:trHeight w:val="134"/>
          <w:tblHeader/>
          <w:jc w:val="center"/>
        </w:trPr>
        <w:tc>
          <w:tcPr>
            <w:tcW w:w="417" w:type="pct"/>
            <w:shd w:val="clear" w:color="auto" w:fill="BFBFBF"/>
            <w:vAlign w:val="center"/>
          </w:tcPr>
          <w:p w:rsidR="00490014" w:rsidRPr="00FB6DEA" w:rsidRDefault="00490014" w:rsidP="004B6B08">
            <w:pPr>
              <w:pStyle w:val="Paragraph"/>
              <w:numPr>
                <w:ilvl w:val="0"/>
                <w:numId w:val="0"/>
              </w:numPr>
              <w:spacing w:before="20" w:after="20"/>
              <w:jc w:val="left"/>
              <w:rPr>
                <w:rFonts w:ascii="Arial" w:hAnsi="Arial" w:cs="Arial"/>
                <w:sz w:val="20"/>
              </w:rPr>
            </w:pPr>
            <w:r w:rsidRPr="00FB6DEA">
              <w:rPr>
                <w:rFonts w:ascii="Arial" w:hAnsi="Arial" w:cs="Arial"/>
                <w:sz w:val="20"/>
              </w:rPr>
              <w:t xml:space="preserve">Número </w:t>
            </w:r>
          </w:p>
        </w:tc>
        <w:tc>
          <w:tcPr>
            <w:tcW w:w="644" w:type="pct"/>
            <w:shd w:val="clear" w:color="auto" w:fill="BFBFBF"/>
          </w:tcPr>
          <w:p w:rsidR="00490014" w:rsidRPr="00FB6DEA" w:rsidRDefault="00490014" w:rsidP="00CC46F9">
            <w:pPr>
              <w:pStyle w:val="Paragraph"/>
              <w:numPr>
                <w:ilvl w:val="0"/>
                <w:numId w:val="0"/>
              </w:numPr>
              <w:spacing w:before="20" w:after="20"/>
              <w:jc w:val="center"/>
              <w:rPr>
                <w:rFonts w:ascii="Arial" w:hAnsi="Arial" w:cs="Arial"/>
                <w:sz w:val="20"/>
              </w:rPr>
            </w:pPr>
            <w:r w:rsidRPr="00FB6DEA">
              <w:rPr>
                <w:rFonts w:ascii="Arial" w:hAnsi="Arial" w:cs="Arial"/>
                <w:sz w:val="20"/>
              </w:rPr>
              <w:t>DR-L1044</w:t>
            </w:r>
            <w:r w:rsidRPr="00FB6DEA">
              <w:rPr>
                <w:rStyle w:val="FootnoteReference"/>
                <w:rFonts w:ascii="Arial" w:hAnsi="Arial" w:cs="Arial"/>
                <w:sz w:val="20"/>
              </w:rPr>
              <w:footnoteReference w:id="2"/>
            </w:r>
          </w:p>
        </w:tc>
        <w:tc>
          <w:tcPr>
            <w:tcW w:w="644" w:type="pct"/>
            <w:shd w:val="clear" w:color="auto" w:fill="BFBFBF"/>
          </w:tcPr>
          <w:p w:rsidR="00490014" w:rsidRPr="00FB6DEA" w:rsidRDefault="00490014" w:rsidP="00CC46F9">
            <w:pPr>
              <w:pStyle w:val="Paragraph"/>
              <w:numPr>
                <w:ilvl w:val="0"/>
                <w:numId w:val="0"/>
              </w:numPr>
              <w:spacing w:before="20" w:after="20"/>
              <w:jc w:val="center"/>
              <w:rPr>
                <w:rFonts w:ascii="Arial" w:hAnsi="Arial" w:cs="Arial"/>
                <w:sz w:val="20"/>
              </w:rPr>
            </w:pPr>
            <w:r w:rsidRPr="00FB6DEA">
              <w:rPr>
                <w:rFonts w:ascii="Arial" w:hAnsi="Arial" w:cs="Arial"/>
                <w:sz w:val="20"/>
              </w:rPr>
              <w:t>DR-L1047</w:t>
            </w:r>
          </w:p>
        </w:tc>
        <w:tc>
          <w:tcPr>
            <w:tcW w:w="659" w:type="pct"/>
            <w:shd w:val="clear" w:color="auto" w:fill="BFBFBF"/>
          </w:tcPr>
          <w:p w:rsidR="00490014" w:rsidRPr="00FB6DEA" w:rsidRDefault="00490014" w:rsidP="00CC46F9">
            <w:pPr>
              <w:pStyle w:val="Paragraph"/>
              <w:numPr>
                <w:ilvl w:val="0"/>
                <w:numId w:val="0"/>
              </w:numPr>
              <w:spacing w:before="20" w:after="20"/>
              <w:jc w:val="center"/>
              <w:rPr>
                <w:rFonts w:ascii="Arial" w:hAnsi="Arial" w:cs="Arial"/>
                <w:sz w:val="20"/>
              </w:rPr>
            </w:pPr>
            <w:r w:rsidRPr="00FB6DEA">
              <w:rPr>
                <w:rFonts w:ascii="Arial" w:hAnsi="Arial" w:cs="Arial"/>
                <w:sz w:val="20"/>
              </w:rPr>
              <w:t>DR-L1053</w:t>
            </w:r>
          </w:p>
        </w:tc>
        <w:tc>
          <w:tcPr>
            <w:tcW w:w="659" w:type="pct"/>
            <w:shd w:val="clear" w:color="auto" w:fill="BFBFBF"/>
          </w:tcPr>
          <w:p w:rsidR="00490014" w:rsidRPr="00FB6DEA" w:rsidRDefault="00490014" w:rsidP="00CC46F9">
            <w:pPr>
              <w:pStyle w:val="Paragraph"/>
              <w:numPr>
                <w:ilvl w:val="0"/>
                <w:numId w:val="0"/>
              </w:numPr>
              <w:spacing w:before="20" w:after="20"/>
              <w:jc w:val="center"/>
              <w:rPr>
                <w:rFonts w:ascii="Arial" w:hAnsi="Arial" w:cs="Arial"/>
                <w:sz w:val="20"/>
              </w:rPr>
            </w:pPr>
            <w:r w:rsidRPr="00FB6DEA">
              <w:rPr>
                <w:rFonts w:ascii="Arial" w:hAnsi="Arial" w:cs="Arial"/>
                <w:sz w:val="20"/>
              </w:rPr>
              <w:t>DR-L1067</w:t>
            </w:r>
          </w:p>
        </w:tc>
        <w:tc>
          <w:tcPr>
            <w:tcW w:w="659" w:type="pct"/>
            <w:shd w:val="clear" w:color="auto" w:fill="BFBFBF"/>
          </w:tcPr>
          <w:p w:rsidR="00490014" w:rsidRPr="00FB6DEA" w:rsidRDefault="00490014" w:rsidP="00CC46F9">
            <w:pPr>
              <w:pStyle w:val="Paragraph"/>
              <w:numPr>
                <w:ilvl w:val="0"/>
                <w:numId w:val="0"/>
              </w:numPr>
              <w:spacing w:before="20" w:after="20"/>
              <w:jc w:val="center"/>
              <w:rPr>
                <w:rFonts w:ascii="Arial" w:hAnsi="Arial" w:cs="Arial"/>
                <w:sz w:val="20"/>
              </w:rPr>
            </w:pPr>
            <w:r w:rsidRPr="00FB6DEA">
              <w:rPr>
                <w:rFonts w:ascii="Arial" w:hAnsi="Arial" w:cs="Arial"/>
                <w:sz w:val="20"/>
              </w:rPr>
              <w:t>DR-L1069</w:t>
            </w:r>
            <w:r w:rsidRPr="00FB6DEA">
              <w:rPr>
                <w:rStyle w:val="FootnoteReference"/>
                <w:rFonts w:ascii="Arial" w:hAnsi="Arial" w:cs="Arial"/>
                <w:sz w:val="20"/>
              </w:rPr>
              <w:footnoteReference w:id="3"/>
            </w:r>
          </w:p>
        </w:tc>
        <w:tc>
          <w:tcPr>
            <w:tcW w:w="659" w:type="pct"/>
            <w:shd w:val="clear" w:color="auto" w:fill="BFBFBF"/>
          </w:tcPr>
          <w:p w:rsidR="00490014" w:rsidRPr="00FB6DEA" w:rsidRDefault="00490014" w:rsidP="00CC46F9">
            <w:pPr>
              <w:pStyle w:val="Paragraph"/>
              <w:numPr>
                <w:ilvl w:val="0"/>
                <w:numId w:val="0"/>
              </w:numPr>
              <w:spacing w:before="20" w:after="20"/>
              <w:jc w:val="center"/>
              <w:rPr>
                <w:rFonts w:ascii="Arial" w:hAnsi="Arial" w:cs="Arial"/>
                <w:sz w:val="20"/>
              </w:rPr>
            </w:pPr>
            <w:r w:rsidRPr="00FB6DEA">
              <w:rPr>
                <w:rFonts w:ascii="Arial" w:hAnsi="Arial" w:cs="Arial"/>
                <w:sz w:val="20"/>
              </w:rPr>
              <w:t>DR-L1073</w:t>
            </w:r>
          </w:p>
        </w:tc>
        <w:tc>
          <w:tcPr>
            <w:tcW w:w="659" w:type="pct"/>
            <w:shd w:val="clear" w:color="auto" w:fill="BFBFBF"/>
          </w:tcPr>
          <w:p w:rsidR="00490014" w:rsidRPr="00FB6DEA" w:rsidRDefault="00820D2E" w:rsidP="00CC46F9">
            <w:pPr>
              <w:pStyle w:val="Paragraph"/>
              <w:numPr>
                <w:ilvl w:val="0"/>
                <w:numId w:val="0"/>
              </w:numPr>
              <w:spacing w:before="20" w:after="20"/>
              <w:jc w:val="center"/>
              <w:rPr>
                <w:rFonts w:ascii="Arial" w:hAnsi="Arial" w:cs="Arial"/>
                <w:sz w:val="20"/>
              </w:rPr>
            </w:pPr>
            <w:r w:rsidRPr="00FB6DEA">
              <w:rPr>
                <w:rFonts w:ascii="Arial" w:hAnsi="Arial" w:cs="Arial"/>
                <w:sz w:val="20"/>
              </w:rPr>
              <w:t>DR-L1079</w:t>
            </w:r>
          </w:p>
        </w:tc>
      </w:tr>
      <w:tr w:rsidR="00820D2E" w:rsidRPr="00FB6DEA" w:rsidTr="00820D2E">
        <w:trPr>
          <w:trHeight w:val="134"/>
          <w:jc w:val="center"/>
        </w:trPr>
        <w:tc>
          <w:tcPr>
            <w:tcW w:w="417" w:type="pct"/>
            <w:shd w:val="clear" w:color="auto" w:fill="BFBFBF"/>
            <w:vAlign w:val="center"/>
          </w:tcPr>
          <w:p w:rsidR="00820D2E" w:rsidRPr="00FB6DEA" w:rsidRDefault="00820D2E" w:rsidP="004B6B08">
            <w:pPr>
              <w:pStyle w:val="Paragraph"/>
              <w:numPr>
                <w:ilvl w:val="0"/>
                <w:numId w:val="0"/>
              </w:numPr>
              <w:spacing w:before="20" w:after="20"/>
              <w:jc w:val="left"/>
              <w:rPr>
                <w:rFonts w:ascii="Arial" w:hAnsi="Arial" w:cs="Arial"/>
                <w:sz w:val="20"/>
              </w:rPr>
            </w:pPr>
            <w:r w:rsidRPr="00FB6DEA">
              <w:rPr>
                <w:rFonts w:ascii="Arial" w:hAnsi="Arial" w:cs="Arial"/>
                <w:sz w:val="20"/>
              </w:rPr>
              <w:t>Monto (US$)</w:t>
            </w:r>
          </w:p>
        </w:tc>
        <w:tc>
          <w:tcPr>
            <w:tcW w:w="644" w:type="pct"/>
            <w:shd w:val="clear" w:color="auto" w:fill="BFBFBF"/>
            <w:vAlign w:val="center"/>
          </w:tcPr>
          <w:p w:rsidR="00820D2E" w:rsidRPr="00FB6DEA" w:rsidRDefault="00820D2E" w:rsidP="00ED2826">
            <w:pPr>
              <w:pStyle w:val="Paragraph"/>
              <w:numPr>
                <w:ilvl w:val="0"/>
                <w:numId w:val="0"/>
              </w:numPr>
              <w:spacing w:before="20" w:after="20"/>
              <w:jc w:val="center"/>
              <w:rPr>
                <w:rFonts w:ascii="Arial" w:hAnsi="Arial" w:cs="Arial"/>
                <w:sz w:val="20"/>
              </w:rPr>
            </w:pPr>
            <w:r w:rsidRPr="00FB6DEA">
              <w:rPr>
                <w:rFonts w:ascii="Arial" w:hAnsi="Arial" w:cs="Arial"/>
                <w:sz w:val="20"/>
              </w:rPr>
              <w:t>100,000,000</w:t>
            </w:r>
          </w:p>
        </w:tc>
        <w:tc>
          <w:tcPr>
            <w:tcW w:w="644" w:type="pct"/>
            <w:shd w:val="clear" w:color="auto" w:fill="BFBFBF"/>
            <w:vAlign w:val="center"/>
          </w:tcPr>
          <w:p w:rsidR="00820D2E" w:rsidRPr="00FB6DEA" w:rsidRDefault="00820D2E" w:rsidP="00ED2826">
            <w:pPr>
              <w:pStyle w:val="Paragraph"/>
              <w:numPr>
                <w:ilvl w:val="0"/>
                <w:numId w:val="0"/>
              </w:numPr>
              <w:spacing w:before="20" w:after="20"/>
              <w:jc w:val="center"/>
              <w:rPr>
                <w:rFonts w:ascii="Arial" w:hAnsi="Arial" w:cs="Arial"/>
                <w:sz w:val="20"/>
              </w:rPr>
            </w:pPr>
            <w:r w:rsidRPr="00FB6DEA">
              <w:rPr>
                <w:rFonts w:ascii="Arial" w:hAnsi="Arial" w:cs="Arial"/>
                <w:sz w:val="20"/>
              </w:rPr>
              <w:t>80,000,000</w:t>
            </w:r>
          </w:p>
        </w:tc>
        <w:tc>
          <w:tcPr>
            <w:tcW w:w="659" w:type="pct"/>
            <w:shd w:val="clear" w:color="auto" w:fill="BFBFBF"/>
            <w:vAlign w:val="center"/>
          </w:tcPr>
          <w:p w:rsidR="00820D2E" w:rsidRPr="00FB6DEA" w:rsidRDefault="00820D2E" w:rsidP="00ED2826">
            <w:pPr>
              <w:pStyle w:val="Paragraph"/>
              <w:numPr>
                <w:ilvl w:val="0"/>
                <w:numId w:val="0"/>
              </w:numPr>
              <w:spacing w:before="20" w:after="20"/>
              <w:jc w:val="center"/>
              <w:rPr>
                <w:rFonts w:ascii="Arial" w:hAnsi="Arial" w:cs="Arial"/>
                <w:sz w:val="20"/>
              </w:rPr>
            </w:pPr>
            <w:r w:rsidRPr="00FB6DEA">
              <w:rPr>
                <w:rFonts w:ascii="Arial" w:hAnsi="Arial" w:cs="Arial"/>
                <w:sz w:val="20"/>
              </w:rPr>
              <w:t>130,000,000</w:t>
            </w:r>
          </w:p>
        </w:tc>
        <w:tc>
          <w:tcPr>
            <w:tcW w:w="659" w:type="pct"/>
            <w:shd w:val="clear" w:color="auto" w:fill="BFBFBF"/>
            <w:vAlign w:val="center"/>
          </w:tcPr>
          <w:p w:rsidR="00820D2E" w:rsidRPr="00FB6DEA" w:rsidRDefault="00820D2E" w:rsidP="00ED2826">
            <w:pPr>
              <w:pStyle w:val="Paragraph"/>
              <w:numPr>
                <w:ilvl w:val="0"/>
                <w:numId w:val="0"/>
              </w:numPr>
              <w:spacing w:before="20" w:after="20"/>
              <w:jc w:val="center"/>
              <w:rPr>
                <w:rFonts w:ascii="Arial" w:hAnsi="Arial" w:cs="Arial"/>
                <w:sz w:val="20"/>
              </w:rPr>
            </w:pPr>
            <w:r w:rsidRPr="00FB6DEA">
              <w:rPr>
                <w:rFonts w:ascii="Arial" w:hAnsi="Arial" w:cs="Arial"/>
                <w:sz w:val="20"/>
              </w:rPr>
              <w:t>146,000,000</w:t>
            </w:r>
          </w:p>
        </w:tc>
        <w:tc>
          <w:tcPr>
            <w:tcW w:w="659" w:type="pct"/>
            <w:shd w:val="clear" w:color="auto" w:fill="BFBFBF"/>
            <w:vAlign w:val="center"/>
          </w:tcPr>
          <w:p w:rsidR="00820D2E" w:rsidRPr="00FB6DEA" w:rsidRDefault="00820D2E" w:rsidP="00ED2826">
            <w:pPr>
              <w:pStyle w:val="Paragraph"/>
              <w:numPr>
                <w:ilvl w:val="0"/>
                <w:numId w:val="0"/>
              </w:numPr>
              <w:spacing w:before="20" w:after="20"/>
              <w:jc w:val="center"/>
              <w:rPr>
                <w:rFonts w:ascii="Arial" w:hAnsi="Arial" w:cs="Arial"/>
                <w:sz w:val="20"/>
              </w:rPr>
            </w:pPr>
            <w:r w:rsidRPr="00FB6DEA">
              <w:rPr>
                <w:rFonts w:ascii="Arial" w:hAnsi="Arial" w:cs="Arial"/>
                <w:sz w:val="20"/>
              </w:rPr>
              <w:t>100,000,000</w:t>
            </w:r>
          </w:p>
        </w:tc>
        <w:tc>
          <w:tcPr>
            <w:tcW w:w="659" w:type="pct"/>
            <w:shd w:val="clear" w:color="auto" w:fill="BFBFBF"/>
            <w:vAlign w:val="center"/>
          </w:tcPr>
          <w:p w:rsidR="00820D2E" w:rsidRPr="00FB6DEA" w:rsidRDefault="00820D2E" w:rsidP="00AE3D57">
            <w:pPr>
              <w:pStyle w:val="Paragraph"/>
              <w:numPr>
                <w:ilvl w:val="0"/>
                <w:numId w:val="0"/>
              </w:numPr>
              <w:spacing w:before="20" w:after="20"/>
              <w:jc w:val="center"/>
              <w:rPr>
                <w:rFonts w:ascii="Arial" w:hAnsi="Arial" w:cs="Arial"/>
                <w:sz w:val="20"/>
              </w:rPr>
            </w:pPr>
            <w:r w:rsidRPr="00FB6DEA">
              <w:rPr>
                <w:rFonts w:ascii="Arial" w:hAnsi="Arial" w:cs="Arial"/>
                <w:sz w:val="20"/>
              </w:rPr>
              <w:t>150,000,000</w:t>
            </w:r>
          </w:p>
        </w:tc>
        <w:tc>
          <w:tcPr>
            <w:tcW w:w="659" w:type="pct"/>
            <w:vMerge w:val="restart"/>
            <w:shd w:val="clear" w:color="auto" w:fill="BFBFBF"/>
            <w:vAlign w:val="center"/>
          </w:tcPr>
          <w:p w:rsidR="00820D2E" w:rsidRPr="00FB6DEA" w:rsidRDefault="00820D2E" w:rsidP="00820D2E">
            <w:pPr>
              <w:pStyle w:val="Paragraph"/>
              <w:numPr>
                <w:ilvl w:val="0"/>
                <w:numId w:val="0"/>
              </w:numPr>
              <w:spacing w:before="20" w:after="20"/>
              <w:jc w:val="center"/>
              <w:rPr>
                <w:rFonts w:ascii="Arial" w:hAnsi="Arial" w:cs="Arial"/>
                <w:sz w:val="20"/>
              </w:rPr>
            </w:pPr>
            <w:r w:rsidRPr="00FB6DEA">
              <w:rPr>
                <w:rFonts w:ascii="Arial" w:hAnsi="Arial" w:cs="Arial"/>
                <w:sz w:val="20"/>
              </w:rPr>
              <w:t>En preparación</w:t>
            </w:r>
          </w:p>
        </w:tc>
      </w:tr>
      <w:tr w:rsidR="00820D2E" w:rsidRPr="00FB6DEA" w:rsidTr="00490014">
        <w:trPr>
          <w:trHeight w:val="134"/>
          <w:jc w:val="center"/>
        </w:trPr>
        <w:tc>
          <w:tcPr>
            <w:tcW w:w="417" w:type="pct"/>
            <w:shd w:val="clear" w:color="auto" w:fill="BFBFBF"/>
            <w:vAlign w:val="center"/>
          </w:tcPr>
          <w:p w:rsidR="00820D2E" w:rsidRPr="00FB6DEA" w:rsidRDefault="00820D2E" w:rsidP="001407CE">
            <w:pPr>
              <w:pStyle w:val="Paragraph"/>
              <w:numPr>
                <w:ilvl w:val="0"/>
                <w:numId w:val="0"/>
              </w:numPr>
              <w:spacing w:before="20" w:after="20"/>
              <w:jc w:val="left"/>
              <w:rPr>
                <w:rFonts w:ascii="Arial" w:hAnsi="Arial" w:cs="Arial"/>
                <w:sz w:val="20"/>
              </w:rPr>
            </w:pPr>
            <w:r w:rsidRPr="00FB6DEA">
              <w:rPr>
                <w:rFonts w:ascii="Arial" w:hAnsi="Arial" w:cs="Arial"/>
                <w:sz w:val="20"/>
              </w:rPr>
              <w:t xml:space="preserve">% de </w:t>
            </w:r>
            <w:r w:rsidR="001407CE" w:rsidRPr="00FB6DEA">
              <w:rPr>
                <w:rFonts w:ascii="Arial" w:hAnsi="Arial" w:cs="Arial"/>
                <w:sz w:val="20"/>
              </w:rPr>
              <w:t>Desembolso</w:t>
            </w:r>
          </w:p>
        </w:tc>
        <w:tc>
          <w:tcPr>
            <w:tcW w:w="644" w:type="pct"/>
            <w:shd w:val="clear" w:color="auto" w:fill="BFBFBF"/>
            <w:vAlign w:val="center"/>
          </w:tcPr>
          <w:p w:rsidR="00820D2E" w:rsidRPr="00FB6DEA" w:rsidRDefault="00820D2E" w:rsidP="00ED2826">
            <w:pPr>
              <w:pStyle w:val="Paragraph"/>
              <w:numPr>
                <w:ilvl w:val="0"/>
                <w:numId w:val="0"/>
              </w:numPr>
              <w:spacing w:before="20" w:after="20"/>
              <w:jc w:val="center"/>
              <w:rPr>
                <w:rFonts w:ascii="Arial" w:hAnsi="Arial" w:cs="Arial"/>
                <w:sz w:val="20"/>
              </w:rPr>
            </w:pPr>
            <w:r w:rsidRPr="00FB6DEA">
              <w:rPr>
                <w:rFonts w:ascii="Arial" w:hAnsi="Arial" w:cs="Arial"/>
                <w:sz w:val="20"/>
              </w:rPr>
              <w:t>100%</w:t>
            </w:r>
          </w:p>
        </w:tc>
        <w:tc>
          <w:tcPr>
            <w:tcW w:w="644" w:type="pct"/>
            <w:shd w:val="clear" w:color="auto" w:fill="BFBFBF"/>
            <w:vAlign w:val="center"/>
          </w:tcPr>
          <w:p w:rsidR="00820D2E" w:rsidRPr="00FB6DEA" w:rsidRDefault="00820D2E" w:rsidP="00ED2826">
            <w:pPr>
              <w:pStyle w:val="Paragraph"/>
              <w:numPr>
                <w:ilvl w:val="0"/>
                <w:numId w:val="0"/>
              </w:numPr>
              <w:spacing w:before="20" w:after="20"/>
              <w:jc w:val="center"/>
              <w:rPr>
                <w:rFonts w:ascii="Arial" w:hAnsi="Arial" w:cs="Arial"/>
                <w:sz w:val="20"/>
              </w:rPr>
            </w:pPr>
            <w:r w:rsidRPr="00FB6DEA">
              <w:rPr>
                <w:rFonts w:ascii="Arial" w:hAnsi="Arial" w:cs="Arial"/>
                <w:sz w:val="20"/>
              </w:rPr>
              <w:t>59.69%</w:t>
            </w:r>
          </w:p>
        </w:tc>
        <w:tc>
          <w:tcPr>
            <w:tcW w:w="659" w:type="pct"/>
            <w:shd w:val="clear" w:color="auto" w:fill="BFBFBF"/>
            <w:vAlign w:val="center"/>
          </w:tcPr>
          <w:p w:rsidR="00820D2E" w:rsidRPr="00FB6DEA" w:rsidRDefault="001407CE" w:rsidP="00ED2826">
            <w:pPr>
              <w:pStyle w:val="Paragraph"/>
              <w:numPr>
                <w:ilvl w:val="0"/>
                <w:numId w:val="0"/>
              </w:numPr>
              <w:spacing w:before="20" w:after="20"/>
              <w:jc w:val="center"/>
              <w:rPr>
                <w:rFonts w:ascii="Arial" w:hAnsi="Arial" w:cs="Arial"/>
                <w:sz w:val="20"/>
              </w:rPr>
            </w:pPr>
            <w:r w:rsidRPr="00FB6DEA">
              <w:rPr>
                <w:rFonts w:ascii="Arial" w:hAnsi="Arial" w:cs="Arial"/>
                <w:sz w:val="20"/>
              </w:rPr>
              <w:t>75.38</w:t>
            </w:r>
            <w:r w:rsidR="00820D2E" w:rsidRPr="00FB6DEA">
              <w:rPr>
                <w:rFonts w:ascii="Arial" w:hAnsi="Arial" w:cs="Arial"/>
                <w:sz w:val="20"/>
              </w:rPr>
              <w:t>%</w:t>
            </w:r>
          </w:p>
        </w:tc>
        <w:tc>
          <w:tcPr>
            <w:tcW w:w="659" w:type="pct"/>
            <w:shd w:val="clear" w:color="auto" w:fill="BFBFBF"/>
            <w:vAlign w:val="center"/>
          </w:tcPr>
          <w:p w:rsidR="00820D2E" w:rsidRPr="00FB6DEA" w:rsidRDefault="00820D2E" w:rsidP="00ED2826">
            <w:pPr>
              <w:pStyle w:val="Paragraph"/>
              <w:numPr>
                <w:ilvl w:val="0"/>
                <w:numId w:val="0"/>
              </w:numPr>
              <w:spacing w:before="20" w:after="20"/>
              <w:jc w:val="center"/>
              <w:rPr>
                <w:rFonts w:ascii="Arial" w:hAnsi="Arial" w:cs="Arial"/>
                <w:sz w:val="20"/>
              </w:rPr>
            </w:pPr>
            <w:r w:rsidRPr="00FB6DEA">
              <w:rPr>
                <w:rFonts w:ascii="Arial" w:hAnsi="Arial" w:cs="Arial"/>
                <w:sz w:val="20"/>
              </w:rPr>
              <w:t>60%</w:t>
            </w:r>
          </w:p>
        </w:tc>
        <w:tc>
          <w:tcPr>
            <w:tcW w:w="659" w:type="pct"/>
            <w:shd w:val="clear" w:color="auto" w:fill="BFBFBF"/>
            <w:vAlign w:val="center"/>
          </w:tcPr>
          <w:p w:rsidR="00820D2E" w:rsidRPr="00FB6DEA" w:rsidRDefault="00820D2E" w:rsidP="00ED2826">
            <w:pPr>
              <w:pStyle w:val="Paragraph"/>
              <w:numPr>
                <w:ilvl w:val="0"/>
                <w:numId w:val="0"/>
              </w:numPr>
              <w:spacing w:before="20" w:after="20"/>
              <w:jc w:val="center"/>
              <w:rPr>
                <w:rFonts w:ascii="Arial" w:hAnsi="Arial" w:cs="Arial"/>
                <w:sz w:val="20"/>
              </w:rPr>
            </w:pPr>
            <w:r w:rsidRPr="00FB6DEA">
              <w:rPr>
                <w:rFonts w:ascii="Arial" w:hAnsi="Arial" w:cs="Arial"/>
                <w:sz w:val="20"/>
              </w:rPr>
              <w:t>%</w:t>
            </w:r>
          </w:p>
        </w:tc>
        <w:tc>
          <w:tcPr>
            <w:tcW w:w="659" w:type="pct"/>
            <w:shd w:val="clear" w:color="auto" w:fill="BFBFBF"/>
            <w:vAlign w:val="center"/>
          </w:tcPr>
          <w:p w:rsidR="00820D2E" w:rsidRPr="00FB6DEA" w:rsidRDefault="00820D2E" w:rsidP="00AE3D57">
            <w:pPr>
              <w:pStyle w:val="Paragraph"/>
              <w:numPr>
                <w:ilvl w:val="0"/>
                <w:numId w:val="0"/>
              </w:numPr>
              <w:spacing w:before="20" w:after="20"/>
              <w:jc w:val="center"/>
              <w:rPr>
                <w:rFonts w:ascii="Arial" w:hAnsi="Arial" w:cs="Arial"/>
                <w:sz w:val="20"/>
              </w:rPr>
            </w:pPr>
            <w:r w:rsidRPr="00FB6DEA">
              <w:rPr>
                <w:rFonts w:ascii="Arial" w:hAnsi="Arial" w:cs="Arial"/>
                <w:sz w:val="20"/>
              </w:rPr>
              <w:t>100%</w:t>
            </w:r>
          </w:p>
        </w:tc>
        <w:tc>
          <w:tcPr>
            <w:tcW w:w="659" w:type="pct"/>
            <w:vMerge/>
            <w:shd w:val="clear" w:color="auto" w:fill="BFBFBF"/>
          </w:tcPr>
          <w:p w:rsidR="00820D2E" w:rsidRPr="00FB6DEA" w:rsidRDefault="00820D2E" w:rsidP="00AE3D57">
            <w:pPr>
              <w:pStyle w:val="Paragraph"/>
              <w:numPr>
                <w:ilvl w:val="0"/>
                <w:numId w:val="0"/>
              </w:numPr>
              <w:spacing w:before="20" w:after="20"/>
              <w:jc w:val="center"/>
              <w:rPr>
                <w:rFonts w:ascii="Arial" w:hAnsi="Arial" w:cs="Arial"/>
                <w:sz w:val="20"/>
              </w:rPr>
            </w:pPr>
          </w:p>
        </w:tc>
      </w:tr>
      <w:tr w:rsidR="00820D2E" w:rsidRPr="00FB6DEA" w:rsidTr="00490014">
        <w:trPr>
          <w:trHeight w:val="134"/>
          <w:jc w:val="center"/>
        </w:trPr>
        <w:tc>
          <w:tcPr>
            <w:tcW w:w="417" w:type="pct"/>
            <w:shd w:val="clear" w:color="auto" w:fill="BFBFBF"/>
            <w:vAlign w:val="center"/>
          </w:tcPr>
          <w:p w:rsidR="00820D2E" w:rsidRPr="00FB6DEA" w:rsidDel="008E5CF1" w:rsidRDefault="00820D2E" w:rsidP="008E5CF1">
            <w:pPr>
              <w:pStyle w:val="Paragraph"/>
              <w:numPr>
                <w:ilvl w:val="0"/>
                <w:numId w:val="0"/>
              </w:numPr>
              <w:spacing w:before="20" w:after="20"/>
              <w:jc w:val="left"/>
              <w:rPr>
                <w:rFonts w:ascii="Arial" w:hAnsi="Arial" w:cs="Arial"/>
                <w:sz w:val="20"/>
              </w:rPr>
            </w:pPr>
            <w:r w:rsidRPr="00FB6DEA">
              <w:rPr>
                <w:rFonts w:ascii="Arial" w:hAnsi="Arial" w:cs="Arial"/>
                <w:sz w:val="20"/>
              </w:rPr>
              <w:t>Monto componente salud (US$)</w:t>
            </w:r>
          </w:p>
        </w:tc>
        <w:tc>
          <w:tcPr>
            <w:tcW w:w="644" w:type="pct"/>
            <w:shd w:val="clear" w:color="auto" w:fill="BFBFBF"/>
            <w:vAlign w:val="center"/>
          </w:tcPr>
          <w:p w:rsidR="00820D2E" w:rsidRPr="00FB6DEA" w:rsidRDefault="00820D2E" w:rsidP="00ED2826">
            <w:pPr>
              <w:pStyle w:val="Paragraph"/>
              <w:numPr>
                <w:ilvl w:val="0"/>
                <w:numId w:val="0"/>
              </w:numPr>
              <w:spacing w:before="20" w:after="20"/>
              <w:jc w:val="center"/>
              <w:rPr>
                <w:rFonts w:ascii="Arial" w:hAnsi="Arial" w:cs="Arial"/>
                <w:sz w:val="20"/>
              </w:rPr>
            </w:pPr>
            <w:r w:rsidRPr="00FB6DEA">
              <w:rPr>
                <w:rFonts w:ascii="Arial" w:hAnsi="Arial" w:cs="Arial"/>
                <w:sz w:val="20"/>
              </w:rPr>
              <w:t>15,288,782.00</w:t>
            </w:r>
          </w:p>
        </w:tc>
        <w:tc>
          <w:tcPr>
            <w:tcW w:w="644" w:type="pct"/>
            <w:shd w:val="clear" w:color="auto" w:fill="BFBFBF"/>
            <w:vAlign w:val="center"/>
          </w:tcPr>
          <w:p w:rsidR="00820D2E" w:rsidRPr="00FB6DEA" w:rsidRDefault="001407CE" w:rsidP="00ED2826">
            <w:pPr>
              <w:pStyle w:val="Paragraph"/>
              <w:numPr>
                <w:ilvl w:val="0"/>
                <w:numId w:val="0"/>
              </w:numPr>
              <w:spacing w:before="20" w:after="20"/>
              <w:jc w:val="center"/>
              <w:rPr>
                <w:rFonts w:ascii="Arial" w:hAnsi="Arial" w:cs="Arial"/>
                <w:sz w:val="20"/>
              </w:rPr>
            </w:pPr>
            <w:r w:rsidRPr="00FB6DEA">
              <w:rPr>
                <w:rFonts w:ascii="Arial" w:hAnsi="Arial" w:cs="Arial"/>
                <w:sz w:val="20"/>
              </w:rPr>
              <w:t>22,585,096.92</w:t>
            </w:r>
          </w:p>
        </w:tc>
        <w:tc>
          <w:tcPr>
            <w:tcW w:w="659" w:type="pct"/>
            <w:shd w:val="clear" w:color="auto" w:fill="BFBFBF"/>
            <w:vAlign w:val="center"/>
          </w:tcPr>
          <w:p w:rsidR="00820D2E" w:rsidRPr="00FB6DEA" w:rsidRDefault="001407CE" w:rsidP="001407CE">
            <w:pPr>
              <w:pStyle w:val="Paragraph"/>
              <w:numPr>
                <w:ilvl w:val="0"/>
                <w:numId w:val="0"/>
              </w:numPr>
              <w:spacing w:before="20" w:after="20"/>
              <w:jc w:val="center"/>
              <w:rPr>
                <w:rFonts w:ascii="Arial" w:hAnsi="Arial" w:cs="Arial"/>
                <w:sz w:val="20"/>
              </w:rPr>
            </w:pPr>
            <w:r w:rsidRPr="00FB6DEA">
              <w:rPr>
                <w:rFonts w:ascii="Arial" w:hAnsi="Arial" w:cs="Arial"/>
                <w:sz w:val="20"/>
              </w:rPr>
              <w:t>22,753,882.28</w:t>
            </w:r>
          </w:p>
        </w:tc>
        <w:tc>
          <w:tcPr>
            <w:tcW w:w="659" w:type="pct"/>
            <w:shd w:val="clear" w:color="auto" w:fill="BFBFBF"/>
            <w:vAlign w:val="center"/>
          </w:tcPr>
          <w:p w:rsidR="00820D2E" w:rsidRPr="00FB6DEA" w:rsidRDefault="00820D2E" w:rsidP="00ED2826">
            <w:pPr>
              <w:pStyle w:val="Paragraph"/>
              <w:numPr>
                <w:ilvl w:val="0"/>
                <w:numId w:val="0"/>
              </w:numPr>
              <w:spacing w:before="20" w:after="20"/>
              <w:jc w:val="center"/>
              <w:rPr>
                <w:rFonts w:ascii="Arial" w:hAnsi="Arial" w:cs="Arial"/>
                <w:sz w:val="20"/>
              </w:rPr>
            </w:pPr>
            <w:r w:rsidRPr="00FB6DEA">
              <w:rPr>
                <w:rFonts w:ascii="Arial" w:hAnsi="Arial" w:cs="Arial"/>
                <w:sz w:val="20"/>
              </w:rPr>
              <w:t>-</w:t>
            </w:r>
          </w:p>
        </w:tc>
        <w:tc>
          <w:tcPr>
            <w:tcW w:w="659" w:type="pct"/>
            <w:shd w:val="clear" w:color="auto" w:fill="BFBFBF"/>
            <w:vAlign w:val="center"/>
          </w:tcPr>
          <w:p w:rsidR="00820D2E" w:rsidRPr="00FB6DEA" w:rsidRDefault="00820D2E" w:rsidP="00ED2826">
            <w:pPr>
              <w:pStyle w:val="Paragraph"/>
              <w:numPr>
                <w:ilvl w:val="0"/>
                <w:numId w:val="0"/>
              </w:numPr>
              <w:spacing w:before="20" w:after="20"/>
              <w:jc w:val="center"/>
              <w:rPr>
                <w:rFonts w:ascii="Arial" w:hAnsi="Arial" w:cs="Arial"/>
                <w:sz w:val="20"/>
              </w:rPr>
            </w:pPr>
            <w:r w:rsidRPr="00FB6DEA">
              <w:rPr>
                <w:rFonts w:ascii="Arial" w:hAnsi="Arial" w:cs="Arial"/>
                <w:sz w:val="20"/>
              </w:rPr>
              <w:t>-</w:t>
            </w:r>
          </w:p>
        </w:tc>
        <w:tc>
          <w:tcPr>
            <w:tcW w:w="659" w:type="pct"/>
            <w:shd w:val="clear" w:color="auto" w:fill="BFBFBF"/>
            <w:vAlign w:val="center"/>
          </w:tcPr>
          <w:p w:rsidR="00820D2E" w:rsidRPr="00FB6DEA" w:rsidRDefault="00820D2E" w:rsidP="00AE3D57">
            <w:pPr>
              <w:pStyle w:val="Paragraph"/>
              <w:numPr>
                <w:ilvl w:val="0"/>
                <w:numId w:val="0"/>
              </w:numPr>
              <w:spacing w:before="20" w:after="20"/>
              <w:jc w:val="center"/>
              <w:rPr>
                <w:rFonts w:ascii="Arial" w:hAnsi="Arial" w:cs="Arial"/>
                <w:sz w:val="20"/>
              </w:rPr>
            </w:pPr>
            <w:r w:rsidRPr="00FB6DEA">
              <w:rPr>
                <w:rFonts w:ascii="Arial" w:hAnsi="Arial" w:cs="Arial"/>
                <w:sz w:val="20"/>
              </w:rPr>
              <w:t>-</w:t>
            </w:r>
          </w:p>
        </w:tc>
        <w:tc>
          <w:tcPr>
            <w:tcW w:w="659" w:type="pct"/>
            <w:vMerge/>
            <w:shd w:val="clear" w:color="auto" w:fill="BFBFBF"/>
          </w:tcPr>
          <w:p w:rsidR="00820D2E" w:rsidRPr="00FB6DEA" w:rsidRDefault="00820D2E" w:rsidP="00AE3D57">
            <w:pPr>
              <w:pStyle w:val="Paragraph"/>
              <w:numPr>
                <w:ilvl w:val="0"/>
                <w:numId w:val="0"/>
              </w:numPr>
              <w:spacing w:before="20" w:after="20"/>
              <w:jc w:val="center"/>
              <w:rPr>
                <w:rFonts w:ascii="Arial" w:hAnsi="Arial" w:cs="Arial"/>
                <w:sz w:val="20"/>
              </w:rPr>
            </w:pPr>
          </w:p>
        </w:tc>
      </w:tr>
      <w:tr w:rsidR="00490014" w:rsidRPr="00FB6DEA" w:rsidTr="00490014">
        <w:trPr>
          <w:jc w:val="center"/>
        </w:trPr>
        <w:tc>
          <w:tcPr>
            <w:tcW w:w="417" w:type="pct"/>
            <w:vAlign w:val="center"/>
          </w:tcPr>
          <w:p w:rsidR="00490014" w:rsidRPr="00FB6DEA" w:rsidRDefault="00490014">
            <w:pPr>
              <w:pStyle w:val="Paragraph"/>
              <w:numPr>
                <w:ilvl w:val="0"/>
                <w:numId w:val="0"/>
              </w:numPr>
              <w:spacing w:before="0" w:after="0"/>
              <w:jc w:val="left"/>
              <w:rPr>
                <w:rFonts w:ascii="Arial" w:hAnsi="Arial" w:cs="Arial"/>
                <w:sz w:val="20"/>
              </w:rPr>
            </w:pPr>
            <w:r w:rsidRPr="00FB6DEA">
              <w:rPr>
                <w:rFonts w:ascii="Arial" w:hAnsi="Arial" w:cs="Arial"/>
                <w:sz w:val="20"/>
              </w:rPr>
              <w:t>Agencia ejecutora</w:t>
            </w:r>
          </w:p>
        </w:tc>
        <w:tc>
          <w:tcPr>
            <w:tcW w:w="644" w:type="pct"/>
            <w:shd w:val="clear" w:color="auto" w:fill="auto"/>
          </w:tcPr>
          <w:p w:rsidR="00490014" w:rsidRPr="00FB6DEA" w:rsidRDefault="00490014" w:rsidP="00FE3B04">
            <w:pPr>
              <w:pStyle w:val="Paragraph"/>
              <w:numPr>
                <w:ilvl w:val="0"/>
                <w:numId w:val="0"/>
              </w:numPr>
              <w:spacing w:before="0" w:after="0"/>
              <w:jc w:val="left"/>
              <w:rPr>
                <w:rFonts w:ascii="Arial" w:hAnsi="Arial" w:cs="Arial"/>
                <w:sz w:val="20"/>
                <w:vertAlign w:val="superscript"/>
              </w:rPr>
            </w:pPr>
            <w:r w:rsidRPr="00FB6DEA">
              <w:rPr>
                <w:rFonts w:ascii="Arial" w:hAnsi="Arial" w:cs="Arial"/>
                <w:sz w:val="20"/>
              </w:rPr>
              <w:t>Gabinete de Coordinación de Políticas Sociales</w:t>
            </w:r>
            <w:r w:rsidRPr="00FB6DEA">
              <w:rPr>
                <w:rFonts w:ascii="Arial" w:hAnsi="Arial" w:cs="Arial"/>
                <w:sz w:val="20"/>
                <w:vertAlign w:val="superscript"/>
              </w:rPr>
              <w:t>*</w:t>
            </w:r>
          </w:p>
        </w:tc>
        <w:tc>
          <w:tcPr>
            <w:tcW w:w="644" w:type="pct"/>
            <w:shd w:val="clear" w:color="auto" w:fill="auto"/>
          </w:tcPr>
          <w:p w:rsidR="00490014" w:rsidRPr="00FB6DEA" w:rsidRDefault="00490014" w:rsidP="00FE3B04">
            <w:pPr>
              <w:pStyle w:val="Paragraph"/>
              <w:numPr>
                <w:ilvl w:val="0"/>
                <w:numId w:val="0"/>
              </w:numPr>
              <w:spacing w:before="0" w:after="0"/>
              <w:jc w:val="left"/>
              <w:rPr>
                <w:rFonts w:ascii="Arial" w:hAnsi="Arial" w:cs="Arial"/>
                <w:sz w:val="20"/>
              </w:rPr>
            </w:pPr>
            <w:r w:rsidRPr="00FB6DEA">
              <w:rPr>
                <w:rFonts w:ascii="Arial" w:hAnsi="Arial" w:cs="Arial"/>
                <w:sz w:val="20"/>
              </w:rPr>
              <w:t>Gabinete de Coordinación de Políticas Sociales</w:t>
            </w:r>
            <w:r w:rsidRPr="00FB6DEA">
              <w:rPr>
                <w:rFonts w:ascii="Arial" w:hAnsi="Arial" w:cs="Arial"/>
                <w:sz w:val="20"/>
                <w:vertAlign w:val="superscript"/>
              </w:rPr>
              <w:t>*</w:t>
            </w:r>
          </w:p>
        </w:tc>
        <w:tc>
          <w:tcPr>
            <w:tcW w:w="659" w:type="pct"/>
            <w:shd w:val="clear" w:color="auto" w:fill="auto"/>
          </w:tcPr>
          <w:p w:rsidR="00490014" w:rsidRPr="00FB6DEA" w:rsidRDefault="00490014" w:rsidP="00FE3B04">
            <w:pPr>
              <w:pStyle w:val="Paragraph"/>
              <w:numPr>
                <w:ilvl w:val="0"/>
                <w:numId w:val="0"/>
              </w:numPr>
              <w:spacing w:before="0" w:after="0"/>
              <w:jc w:val="left"/>
              <w:rPr>
                <w:rFonts w:ascii="Arial" w:hAnsi="Arial" w:cs="Arial"/>
                <w:sz w:val="20"/>
              </w:rPr>
            </w:pPr>
            <w:r w:rsidRPr="00FB6DEA">
              <w:rPr>
                <w:rFonts w:ascii="Arial" w:hAnsi="Arial" w:cs="Arial"/>
                <w:sz w:val="20"/>
              </w:rPr>
              <w:t>Gabinete de Coordinación de Políticas Sociales</w:t>
            </w:r>
            <w:r w:rsidRPr="00FB6DEA">
              <w:rPr>
                <w:rFonts w:ascii="Arial" w:hAnsi="Arial" w:cs="Arial"/>
                <w:sz w:val="20"/>
                <w:vertAlign w:val="superscript"/>
              </w:rPr>
              <w:t>*</w:t>
            </w:r>
          </w:p>
        </w:tc>
        <w:tc>
          <w:tcPr>
            <w:tcW w:w="659" w:type="pct"/>
            <w:shd w:val="clear" w:color="auto" w:fill="auto"/>
          </w:tcPr>
          <w:p w:rsidR="00490014" w:rsidRPr="00FB6DEA" w:rsidRDefault="00490014" w:rsidP="00FE3B04">
            <w:pPr>
              <w:pStyle w:val="Paragraph"/>
              <w:numPr>
                <w:ilvl w:val="0"/>
                <w:numId w:val="0"/>
              </w:numPr>
              <w:spacing w:before="0" w:after="0"/>
              <w:jc w:val="left"/>
              <w:rPr>
                <w:rFonts w:ascii="Arial" w:hAnsi="Arial" w:cs="Arial"/>
                <w:sz w:val="20"/>
              </w:rPr>
            </w:pPr>
            <w:r w:rsidRPr="00FB6DEA">
              <w:rPr>
                <w:rFonts w:ascii="Arial" w:hAnsi="Arial" w:cs="Arial"/>
                <w:sz w:val="20"/>
              </w:rPr>
              <w:t>Ministerio de Salud Pública y Asistencia Social (MSP)</w:t>
            </w:r>
          </w:p>
        </w:tc>
        <w:tc>
          <w:tcPr>
            <w:tcW w:w="659" w:type="pct"/>
            <w:shd w:val="clear" w:color="auto" w:fill="auto"/>
          </w:tcPr>
          <w:p w:rsidR="00490014" w:rsidRPr="00FB6DEA" w:rsidRDefault="00490014" w:rsidP="00FE3B04">
            <w:pPr>
              <w:pStyle w:val="Paragraph"/>
              <w:numPr>
                <w:ilvl w:val="0"/>
                <w:numId w:val="0"/>
              </w:numPr>
              <w:spacing w:before="0" w:after="0"/>
              <w:jc w:val="left"/>
              <w:rPr>
                <w:rFonts w:ascii="Arial" w:hAnsi="Arial" w:cs="Arial"/>
                <w:sz w:val="20"/>
              </w:rPr>
            </w:pPr>
            <w:r w:rsidRPr="00FB6DEA">
              <w:rPr>
                <w:rFonts w:ascii="Arial" w:hAnsi="Arial" w:cs="Arial"/>
                <w:sz w:val="20"/>
              </w:rPr>
              <w:t>Ministerio de Salud Pública y Asistencia Social (MSP)</w:t>
            </w:r>
          </w:p>
        </w:tc>
        <w:tc>
          <w:tcPr>
            <w:tcW w:w="659" w:type="pct"/>
          </w:tcPr>
          <w:p w:rsidR="00490014" w:rsidRPr="00FB6DEA" w:rsidRDefault="00490014" w:rsidP="00FE3B04">
            <w:pPr>
              <w:pStyle w:val="Paragraph"/>
              <w:numPr>
                <w:ilvl w:val="0"/>
                <w:numId w:val="0"/>
              </w:numPr>
              <w:spacing w:before="0" w:after="0"/>
              <w:jc w:val="left"/>
              <w:rPr>
                <w:rFonts w:ascii="Arial" w:hAnsi="Arial" w:cs="Arial"/>
                <w:sz w:val="20"/>
              </w:rPr>
            </w:pPr>
            <w:r w:rsidRPr="00FB6DEA">
              <w:rPr>
                <w:rFonts w:ascii="Arial" w:hAnsi="Arial" w:cs="Arial"/>
                <w:sz w:val="20"/>
              </w:rPr>
              <w:t>Ministerio de Hacienda</w:t>
            </w:r>
          </w:p>
        </w:tc>
        <w:tc>
          <w:tcPr>
            <w:tcW w:w="659" w:type="pct"/>
          </w:tcPr>
          <w:p w:rsidR="00490014" w:rsidRPr="00FB6DEA" w:rsidRDefault="00820D2E" w:rsidP="00FE3B04">
            <w:pPr>
              <w:pStyle w:val="Paragraph"/>
              <w:numPr>
                <w:ilvl w:val="0"/>
                <w:numId w:val="0"/>
              </w:numPr>
              <w:spacing w:before="0" w:after="0"/>
              <w:jc w:val="left"/>
              <w:rPr>
                <w:rFonts w:ascii="Arial" w:hAnsi="Arial" w:cs="Arial"/>
                <w:sz w:val="20"/>
              </w:rPr>
            </w:pPr>
            <w:r w:rsidRPr="00FB6DEA">
              <w:rPr>
                <w:rFonts w:ascii="Arial" w:hAnsi="Arial" w:cs="Arial"/>
                <w:sz w:val="20"/>
              </w:rPr>
              <w:t>Ministerio de Hacienda</w:t>
            </w:r>
          </w:p>
        </w:tc>
      </w:tr>
      <w:tr w:rsidR="00490014" w:rsidRPr="00FB6DEA" w:rsidTr="00490014">
        <w:trPr>
          <w:jc w:val="center"/>
        </w:trPr>
        <w:tc>
          <w:tcPr>
            <w:tcW w:w="417" w:type="pct"/>
            <w:vAlign w:val="center"/>
          </w:tcPr>
          <w:p w:rsidR="00490014" w:rsidRPr="00FB6DEA" w:rsidRDefault="00490014">
            <w:pPr>
              <w:pStyle w:val="Paragraph"/>
              <w:numPr>
                <w:ilvl w:val="0"/>
                <w:numId w:val="0"/>
              </w:numPr>
              <w:spacing w:before="0" w:after="0"/>
              <w:jc w:val="left"/>
              <w:rPr>
                <w:rFonts w:ascii="Arial" w:hAnsi="Arial" w:cs="Arial"/>
                <w:sz w:val="20"/>
              </w:rPr>
            </w:pPr>
            <w:r w:rsidRPr="00FB6DEA">
              <w:rPr>
                <w:rFonts w:ascii="Arial" w:hAnsi="Arial" w:cs="Arial"/>
                <w:sz w:val="20"/>
              </w:rPr>
              <w:t>Objetivos específicos</w:t>
            </w:r>
          </w:p>
        </w:tc>
        <w:tc>
          <w:tcPr>
            <w:tcW w:w="644" w:type="pct"/>
            <w:shd w:val="clear" w:color="auto" w:fill="auto"/>
          </w:tcPr>
          <w:p w:rsidR="00490014" w:rsidRPr="00FB6DEA" w:rsidRDefault="00490014" w:rsidP="008E5CF1">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1) Incentivar  la demanda de servicios de educación, salud y nutrición</w:t>
            </w:r>
          </w:p>
          <w:p w:rsidR="00490014" w:rsidRPr="00FB6DEA" w:rsidRDefault="00490014" w:rsidP="008E5CF1">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2) Proteger gasto y consumo de hogares pobres</w:t>
            </w:r>
          </w:p>
          <w:p w:rsidR="00490014" w:rsidRPr="00FB6DEA" w:rsidRDefault="00490014" w:rsidP="008E5CF1">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3) Mejorar la calidad de los servicios de salud a que acceden los beneficiarios de solidaridad</w:t>
            </w:r>
          </w:p>
          <w:p w:rsidR="00490014" w:rsidRPr="00FB6DEA" w:rsidRDefault="00490014" w:rsidP="008E5CF1">
            <w:pPr>
              <w:autoSpaceDE w:val="0"/>
              <w:autoSpaceDN w:val="0"/>
              <w:adjustRightInd w:val="0"/>
              <w:rPr>
                <w:rFonts w:ascii="Arial" w:hAnsi="Arial" w:cs="Arial"/>
                <w:sz w:val="20"/>
                <w:lang w:val="es-ES_tradnl"/>
              </w:rPr>
            </w:pPr>
            <w:r w:rsidRPr="00FB6DEA">
              <w:rPr>
                <w:rFonts w:ascii="Arial" w:eastAsiaTheme="minorHAnsi" w:hAnsi="Arial" w:cs="Arial"/>
                <w:sz w:val="20"/>
                <w:lang w:val="es-ES_tradnl"/>
              </w:rPr>
              <w:t xml:space="preserve">4) Mejorar los indicadores </w:t>
            </w:r>
            <w:r w:rsidRPr="00FB6DEA">
              <w:rPr>
                <w:rFonts w:ascii="Arial" w:eastAsiaTheme="minorHAnsi" w:hAnsi="Arial" w:cs="Arial"/>
                <w:sz w:val="20"/>
                <w:lang w:val="es-ES_tradnl"/>
              </w:rPr>
              <w:lastRenderedPageBreak/>
              <w:t>de salud de los beneficiarios de solidaridad</w:t>
            </w:r>
          </w:p>
        </w:tc>
        <w:tc>
          <w:tcPr>
            <w:tcW w:w="644" w:type="pct"/>
            <w:shd w:val="clear" w:color="auto" w:fill="auto"/>
          </w:tcPr>
          <w:p w:rsidR="00490014" w:rsidRPr="00FB6DEA" w:rsidRDefault="00490014" w:rsidP="008E5CF1">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lastRenderedPageBreak/>
              <w:t>1) Incentivar la demanda de servicios de educación, salud y nutrición</w:t>
            </w:r>
          </w:p>
          <w:p w:rsidR="00490014" w:rsidRPr="00FB6DEA" w:rsidRDefault="00490014" w:rsidP="008E5CF1">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2) Proteger gasto y consumo de hogares pobres</w:t>
            </w:r>
          </w:p>
          <w:p w:rsidR="00490014" w:rsidRPr="00FB6DEA" w:rsidRDefault="00490014" w:rsidP="008E5CF1">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3) Mejorar la calidad de los servicios de salud a que acceden los beneficiarios de solidaridad</w:t>
            </w:r>
          </w:p>
          <w:p w:rsidR="00490014" w:rsidRPr="00FB6DEA" w:rsidRDefault="00490014" w:rsidP="008E5CF1">
            <w:pPr>
              <w:autoSpaceDE w:val="0"/>
              <w:autoSpaceDN w:val="0"/>
              <w:adjustRightInd w:val="0"/>
              <w:rPr>
                <w:rFonts w:ascii="Arial" w:hAnsi="Arial" w:cs="Arial"/>
                <w:sz w:val="20"/>
                <w:lang w:val="es-ES_tradnl"/>
              </w:rPr>
            </w:pPr>
            <w:r w:rsidRPr="00FB6DEA">
              <w:rPr>
                <w:rFonts w:ascii="Arial" w:eastAsiaTheme="minorHAnsi" w:hAnsi="Arial" w:cs="Arial"/>
                <w:sz w:val="20"/>
                <w:lang w:val="es-ES_tradnl"/>
              </w:rPr>
              <w:t xml:space="preserve">4) Mejorar los indicadores </w:t>
            </w:r>
            <w:r w:rsidRPr="00FB6DEA">
              <w:rPr>
                <w:rFonts w:ascii="Arial" w:eastAsiaTheme="minorHAnsi" w:hAnsi="Arial" w:cs="Arial"/>
                <w:sz w:val="20"/>
                <w:lang w:val="es-ES_tradnl"/>
              </w:rPr>
              <w:lastRenderedPageBreak/>
              <w:t>de salud de los beneficiarios de solidaridad</w:t>
            </w:r>
          </w:p>
        </w:tc>
        <w:tc>
          <w:tcPr>
            <w:tcW w:w="659" w:type="pct"/>
            <w:shd w:val="clear" w:color="auto" w:fill="auto"/>
          </w:tcPr>
          <w:p w:rsidR="00490014" w:rsidRPr="00FB6DEA" w:rsidRDefault="00490014" w:rsidP="008E5CF1">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lastRenderedPageBreak/>
              <w:t>1) Incrementar el nivel de consumo de los hogares e incentivar la demanda de servicios de salud y educación</w:t>
            </w:r>
          </w:p>
          <w:p w:rsidR="00490014" w:rsidRPr="00FB6DEA" w:rsidRDefault="00490014" w:rsidP="008E5CF1">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2) Apoyar el proceso de consolidación institucional y operativa del GCPS y la red de protección social</w:t>
            </w:r>
          </w:p>
          <w:p w:rsidR="00490014" w:rsidRPr="00FB6DEA" w:rsidRDefault="00490014" w:rsidP="008E5CF1">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 xml:space="preserve">3) Apoyar el desempeño del sector salud a fin </w:t>
            </w:r>
            <w:r w:rsidRPr="00FB6DEA">
              <w:rPr>
                <w:rFonts w:ascii="Arial" w:eastAsiaTheme="minorHAnsi" w:hAnsi="Arial" w:cs="Arial"/>
                <w:sz w:val="20"/>
                <w:lang w:val="es-ES_tradnl"/>
              </w:rPr>
              <w:lastRenderedPageBreak/>
              <w:t>que cubra sus brechas de cobertura y mejore la calidad de los servicios</w:t>
            </w:r>
          </w:p>
          <w:p w:rsidR="00490014" w:rsidRPr="00FB6DEA" w:rsidRDefault="00490014" w:rsidP="008E5CF1">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(4) Apoyar la implementación del sistema de monitoreo y evaluación de la protección social</w:t>
            </w:r>
          </w:p>
        </w:tc>
        <w:tc>
          <w:tcPr>
            <w:tcW w:w="659" w:type="pct"/>
            <w:shd w:val="clear" w:color="auto" w:fill="auto"/>
          </w:tcPr>
          <w:p w:rsidR="00490014" w:rsidRPr="00FB6DEA" w:rsidRDefault="00490014" w:rsidP="008E5CF1">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lastRenderedPageBreak/>
              <w:t>1) Mejorar la asignación del gasto en salud mediante la expansión del mecanismo de financiamiento basado en resultados (FBR) en el primer nivel de atención a las regiones sanitarias I-V</w:t>
            </w:r>
          </w:p>
          <w:p w:rsidR="00490014" w:rsidRPr="00FB6DEA" w:rsidRDefault="00490014" w:rsidP="008E5CF1">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 xml:space="preserve">2) Contribuir a la disminución de la </w:t>
            </w:r>
            <w:proofErr w:type="spellStart"/>
            <w:r w:rsidRPr="00FB6DEA">
              <w:rPr>
                <w:rFonts w:ascii="Arial" w:eastAsiaTheme="minorHAnsi" w:hAnsi="Arial" w:cs="Arial"/>
                <w:sz w:val="20"/>
                <w:lang w:val="es-ES_tradnl"/>
              </w:rPr>
              <w:t>morbi</w:t>
            </w:r>
            <w:proofErr w:type="spellEnd"/>
            <w:r w:rsidRPr="00FB6DEA">
              <w:rPr>
                <w:rFonts w:ascii="Arial" w:eastAsiaTheme="minorHAnsi" w:hAnsi="Arial" w:cs="Arial"/>
                <w:sz w:val="20"/>
                <w:lang w:val="es-ES_tradnl"/>
              </w:rPr>
              <w:t xml:space="preserve">-mortalidad </w:t>
            </w:r>
            <w:r w:rsidRPr="00FB6DEA">
              <w:rPr>
                <w:rFonts w:ascii="Arial" w:eastAsiaTheme="minorHAnsi" w:hAnsi="Arial" w:cs="Arial"/>
                <w:sz w:val="20"/>
                <w:lang w:val="es-ES_tradnl"/>
              </w:rPr>
              <w:lastRenderedPageBreak/>
              <w:t>materna e infantil mediante la expansión de una estrategia de mejorías clínicas y gerenciales en los hospitales</w:t>
            </w:r>
          </w:p>
          <w:p w:rsidR="00490014" w:rsidRPr="00FB6DEA" w:rsidRDefault="00490014">
            <w:pPr>
              <w:autoSpaceDE w:val="0"/>
              <w:autoSpaceDN w:val="0"/>
              <w:adjustRightInd w:val="0"/>
              <w:rPr>
                <w:rFonts w:ascii="Arial" w:hAnsi="Arial" w:cs="Arial"/>
                <w:sz w:val="20"/>
                <w:lang w:val="es-ES_tradnl"/>
              </w:rPr>
            </w:pPr>
            <w:r w:rsidRPr="00FB6DEA">
              <w:rPr>
                <w:rFonts w:ascii="Arial" w:eastAsiaTheme="minorHAnsi" w:hAnsi="Arial" w:cs="Arial"/>
                <w:sz w:val="20"/>
                <w:lang w:val="es-ES_tradnl"/>
              </w:rPr>
              <w:t>3) Apoyar al MSP en la conducción sectorial a través del fortalecimiento institucional y del desarrollo de instrumentos de monitoreo y evaluación</w:t>
            </w:r>
          </w:p>
        </w:tc>
        <w:tc>
          <w:tcPr>
            <w:tcW w:w="659" w:type="pct"/>
            <w:shd w:val="clear" w:color="auto" w:fill="auto"/>
          </w:tcPr>
          <w:p w:rsidR="00490014" w:rsidRPr="00FB6DEA" w:rsidRDefault="00490014" w:rsidP="00516089">
            <w:pPr>
              <w:pStyle w:val="Paragraph"/>
              <w:numPr>
                <w:ilvl w:val="0"/>
                <w:numId w:val="0"/>
              </w:numPr>
              <w:spacing w:before="0" w:after="0"/>
              <w:jc w:val="left"/>
              <w:rPr>
                <w:rFonts w:ascii="Arial" w:hAnsi="Arial" w:cs="Arial"/>
                <w:sz w:val="20"/>
              </w:rPr>
            </w:pPr>
            <w:r w:rsidRPr="00FB6DEA">
              <w:rPr>
                <w:rFonts w:ascii="Arial" w:hAnsi="Arial" w:cs="Arial"/>
                <w:sz w:val="20"/>
              </w:rPr>
              <w:lastRenderedPageBreak/>
              <w:t>1) Mejorar la asignación del gasto en salud mediante la expansión del FBR en el primer nivel de atención a la región sanitaria “0”</w:t>
            </w:r>
          </w:p>
          <w:p w:rsidR="00490014" w:rsidRPr="00FB6DEA" w:rsidRDefault="00490014" w:rsidP="00516089">
            <w:pPr>
              <w:pStyle w:val="Paragraph"/>
              <w:numPr>
                <w:ilvl w:val="0"/>
                <w:numId w:val="0"/>
              </w:numPr>
              <w:spacing w:before="0" w:after="0"/>
              <w:jc w:val="left"/>
              <w:rPr>
                <w:rFonts w:ascii="Arial" w:hAnsi="Arial" w:cs="Arial"/>
                <w:sz w:val="20"/>
              </w:rPr>
            </w:pPr>
            <w:r w:rsidRPr="00FB6DEA">
              <w:rPr>
                <w:rFonts w:ascii="Arial" w:hAnsi="Arial" w:cs="Arial"/>
                <w:sz w:val="20"/>
              </w:rPr>
              <w:t xml:space="preserve">2) Promover la integralidad de la asistencia para la población a través de la consolidación del modelo de redes de atención </w:t>
            </w:r>
          </w:p>
          <w:p w:rsidR="00490014" w:rsidRPr="00FB6DEA" w:rsidRDefault="00490014" w:rsidP="00516089">
            <w:pPr>
              <w:pStyle w:val="Paragraph"/>
              <w:numPr>
                <w:ilvl w:val="0"/>
                <w:numId w:val="0"/>
              </w:numPr>
              <w:spacing w:before="0" w:after="0"/>
              <w:jc w:val="left"/>
              <w:rPr>
                <w:rFonts w:ascii="Arial" w:hAnsi="Arial" w:cs="Arial"/>
                <w:sz w:val="20"/>
              </w:rPr>
            </w:pPr>
            <w:r w:rsidRPr="00FB6DEA">
              <w:rPr>
                <w:rFonts w:ascii="Arial" w:hAnsi="Arial" w:cs="Arial"/>
                <w:sz w:val="20"/>
              </w:rPr>
              <w:lastRenderedPageBreak/>
              <w:t>3) Apoyar al MSP en la conducción del sector salud mediante el fortalecimiento institucional</w:t>
            </w:r>
          </w:p>
        </w:tc>
        <w:tc>
          <w:tcPr>
            <w:tcW w:w="659" w:type="pct"/>
          </w:tcPr>
          <w:p w:rsidR="00490014" w:rsidRPr="00FB6DEA" w:rsidRDefault="00490014" w:rsidP="00516089">
            <w:pPr>
              <w:pStyle w:val="Paragraph"/>
              <w:numPr>
                <w:ilvl w:val="0"/>
                <w:numId w:val="0"/>
              </w:numPr>
              <w:spacing w:before="0" w:after="0"/>
              <w:jc w:val="left"/>
              <w:rPr>
                <w:rFonts w:ascii="Arial" w:hAnsi="Arial" w:cs="Arial"/>
                <w:bCs/>
                <w:spacing w:val="-3"/>
                <w:sz w:val="20"/>
              </w:rPr>
            </w:pPr>
            <w:r w:rsidRPr="00FB6DEA">
              <w:rPr>
                <w:rFonts w:ascii="Arial" w:hAnsi="Arial" w:cs="Arial"/>
                <w:sz w:val="20"/>
              </w:rPr>
              <w:lastRenderedPageBreak/>
              <w:t>1) Mejorar progresivamente la cobertura del SDSS mediante</w:t>
            </w:r>
            <w:r w:rsidRPr="00FB6DEA">
              <w:rPr>
                <w:rFonts w:ascii="Arial" w:hAnsi="Arial" w:cs="Arial"/>
                <w:bCs/>
                <w:spacing w:val="-3"/>
                <w:sz w:val="20"/>
              </w:rPr>
              <w:t xml:space="preserve"> medidas dirigidas a completar la implementación del sistema de pensiones en lo referente a su marco legal, aspectos operativos, sistemas de monitoreo, programas de información y educación </w:t>
            </w:r>
            <w:r w:rsidRPr="00FB6DEA">
              <w:rPr>
                <w:rFonts w:ascii="Arial" w:hAnsi="Arial" w:cs="Arial"/>
                <w:bCs/>
                <w:spacing w:val="-3"/>
                <w:sz w:val="20"/>
              </w:rPr>
              <w:lastRenderedPageBreak/>
              <w:t>financiera</w:t>
            </w:r>
          </w:p>
          <w:p w:rsidR="00490014" w:rsidRPr="00FB6DEA" w:rsidRDefault="00490014" w:rsidP="00516089">
            <w:pPr>
              <w:pStyle w:val="Paragraph"/>
              <w:numPr>
                <w:ilvl w:val="0"/>
                <w:numId w:val="0"/>
              </w:numPr>
              <w:spacing w:before="0" w:after="0"/>
              <w:jc w:val="left"/>
              <w:rPr>
                <w:rFonts w:ascii="Arial" w:hAnsi="Arial" w:cs="Arial"/>
                <w:sz w:val="20"/>
              </w:rPr>
            </w:pPr>
            <w:r w:rsidRPr="00FB6DEA">
              <w:rPr>
                <w:rFonts w:ascii="Arial" w:hAnsi="Arial" w:cs="Arial"/>
                <w:bCs/>
                <w:spacing w:val="-3"/>
                <w:sz w:val="20"/>
              </w:rPr>
              <w:t>2)</w:t>
            </w:r>
            <w:r w:rsidRPr="00FB6DEA">
              <w:rPr>
                <w:rFonts w:ascii="Arial" w:hAnsi="Arial" w:cs="Arial"/>
                <w:spacing w:val="-3"/>
                <w:sz w:val="20"/>
              </w:rPr>
              <w:t xml:space="preserve"> Apoyar la expedición de medidas normativas y la aplicación de herramientas gerenciales que impulsen y faciliten la ejecución de estrategias prioritarias para mejorar la eficiencia del gasto en salud</w:t>
            </w:r>
          </w:p>
        </w:tc>
        <w:tc>
          <w:tcPr>
            <w:tcW w:w="659" w:type="pct"/>
          </w:tcPr>
          <w:p w:rsidR="00820D2E" w:rsidRPr="00FB6DEA" w:rsidRDefault="00820D2E" w:rsidP="00820D2E">
            <w:pPr>
              <w:pStyle w:val="Paragraph"/>
              <w:numPr>
                <w:ilvl w:val="0"/>
                <w:numId w:val="0"/>
              </w:numPr>
              <w:spacing w:before="0" w:after="0"/>
              <w:jc w:val="left"/>
              <w:rPr>
                <w:rFonts w:ascii="Arial" w:hAnsi="Arial" w:cs="Arial"/>
                <w:bCs/>
                <w:spacing w:val="-3"/>
                <w:sz w:val="20"/>
              </w:rPr>
            </w:pPr>
            <w:r w:rsidRPr="00FB6DEA">
              <w:rPr>
                <w:rFonts w:ascii="Arial" w:hAnsi="Arial" w:cs="Arial"/>
                <w:sz w:val="20"/>
              </w:rPr>
              <w:lastRenderedPageBreak/>
              <w:t>1) Mejorar progresivamente la cobertura del SDSS mediante</w:t>
            </w:r>
            <w:r w:rsidRPr="00FB6DEA">
              <w:rPr>
                <w:rFonts w:ascii="Arial" w:hAnsi="Arial" w:cs="Arial"/>
                <w:bCs/>
                <w:spacing w:val="-3"/>
                <w:sz w:val="20"/>
              </w:rPr>
              <w:t xml:space="preserve"> medidas dirigidas a completar la implementación del sistema de pensiones en lo referente a su marco legal, aspectos operativos, sistemas de monitoreo, programas de información y educación </w:t>
            </w:r>
            <w:r w:rsidRPr="00FB6DEA">
              <w:rPr>
                <w:rFonts w:ascii="Arial" w:hAnsi="Arial" w:cs="Arial"/>
                <w:bCs/>
                <w:spacing w:val="-3"/>
                <w:sz w:val="20"/>
              </w:rPr>
              <w:lastRenderedPageBreak/>
              <w:t>financiera</w:t>
            </w:r>
          </w:p>
          <w:p w:rsidR="00490014" w:rsidRPr="00FB6DEA" w:rsidRDefault="00820D2E" w:rsidP="00820D2E">
            <w:pPr>
              <w:pStyle w:val="Paragraph"/>
              <w:numPr>
                <w:ilvl w:val="0"/>
                <w:numId w:val="0"/>
              </w:numPr>
              <w:spacing w:before="0" w:after="0"/>
              <w:jc w:val="left"/>
              <w:rPr>
                <w:rFonts w:ascii="Arial" w:hAnsi="Arial" w:cs="Arial"/>
                <w:sz w:val="20"/>
              </w:rPr>
            </w:pPr>
            <w:r w:rsidRPr="00FB6DEA">
              <w:rPr>
                <w:rFonts w:ascii="Arial" w:hAnsi="Arial" w:cs="Arial"/>
                <w:bCs/>
                <w:spacing w:val="-3"/>
                <w:sz w:val="20"/>
              </w:rPr>
              <w:t>2)</w:t>
            </w:r>
            <w:r w:rsidRPr="00FB6DEA">
              <w:rPr>
                <w:rFonts w:ascii="Arial" w:hAnsi="Arial" w:cs="Arial"/>
                <w:spacing w:val="-3"/>
                <w:sz w:val="20"/>
              </w:rPr>
              <w:t xml:space="preserve"> Apoyar la expedición de medidas normativas y la aplicación de herramientas gerenciales que impulsen y faciliten la ejecución de estrategias prioritarias para mejorar la eficiencia del gasto en salud</w:t>
            </w:r>
          </w:p>
        </w:tc>
      </w:tr>
      <w:tr w:rsidR="00490014" w:rsidRPr="00FB6DEA" w:rsidTr="00490014">
        <w:trPr>
          <w:jc w:val="center"/>
        </w:trPr>
        <w:tc>
          <w:tcPr>
            <w:tcW w:w="417" w:type="pct"/>
            <w:vAlign w:val="center"/>
          </w:tcPr>
          <w:p w:rsidR="00490014" w:rsidRPr="00FB6DEA" w:rsidRDefault="00490014">
            <w:pPr>
              <w:pStyle w:val="Paragraph"/>
              <w:numPr>
                <w:ilvl w:val="0"/>
                <w:numId w:val="0"/>
              </w:numPr>
              <w:spacing w:before="0" w:after="0"/>
              <w:jc w:val="left"/>
              <w:rPr>
                <w:rFonts w:ascii="Arial" w:eastAsiaTheme="minorHAnsi" w:hAnsi="Arial" w:cs="Arial"/>
                <w:sz w:val="20"/>
                <w:lang w:eastAsia="en-US"/>
              </w:rPr>
            </w:pPr>
            <w:r w:rsidRPr="00FB6DEA">
              <w:rPr>
                <w:rFonts w:ascii="Arial" w:eastAsiaTheme="minorHAnsi" w:hAnsi="Arial" w:cs="Arial"/>
                <w:sz w:val="20"/>
                <w:lang w:eastAsia="en-US"/>
              </w:rPr>
              <w:lastRenderedPageBreak/>
              <w:t>Principales acciones de salud</w:t>
            </w:r>
          </w:p>
        </w:tc>
        <w:tc>
          <w:tcPr>
            <w:tcW w:w="644" w:type="pct"/>
            <w:shd w:val="clear" w:color="auto" w:fill="auto"/>
          </w:tcPr>
          <w:p w:rsidR="00490014" w:rsidRPr="00FB6DEA" w:rsidRDefault="00490014" w:rsidP="00EF6935">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i. Asistencia técnica a la elaboración del anti-proyecto de Ley que crea el Servicio Nacional de Salud</w:t>
            </w:r>
          </w:p>
          <w:p w:rsidR="00490014" w:rsidRPr="00FB6DEA" w:rsidRDefault="00490014" w:rsidP="00EF6935">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ii. Desarrollo  de un Sistema de Gestión Clínica (SGC) para el primer nivel de atención</w:t>
            </w:r>
          </w:p>
          <w:p w:rsidR="00490014" w:rsidRPr="00FB6DEA" w:rsidRDefault="00490014" w:rsidP="00EF6935">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 xml:space="preserve">iii. Habilitación de centros </w:t>
            </w:r>
            <w:r w:rsidRPr="00FB6DEA">
              <w:rPr>
                <w:rFonts w:ascii="Arial" w:eastAsiaTheme="minorHAnsi" w:hAnsi="Arial" w:cs="Arial"/>
                <w:sz w:val="20"/>
                <w:lang w:val="es-ES_tradnl"/>
              </w:rPr>
              <w:lastRenderedPageBreak/>
              <w:t>de salud (CAP)</w:t>
            </w:r>
          </w:p>
          <w:p w:rsidR="00490014" w:rsidRPr="00FB6DEA" w:rsidRDefault="00490014" w:rsidP="00EF6935">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iv. Desarrollo de módulos de capacitación a distancia para recursos humanos sobre guías y protocolos de atención</w:t>
            </w:r>
          </w:p>
          <w:p w:rsidR="00490014" w:rsidRPr="00FB6DEA" w:rsidRDefault="00490014" w:rsidP="00FE3B04">
            <w:pPr>
              <w:pStyle w:val="Paragraph"/>
              <w:numPr>
                <w:ilvl w:val="0"/>
                <w:numId w:val="0"/>
              </w:numPr>
              <w:spacing w:before="0" w:after="0"/>
              <w:jc w:val="left"/>
              <w:rPr>
                <w:rFonts w:ascii="Arial" w:eastAsiaTheme="minorHAnsi" w:hAnsi="Arial" w:cs="Arial"/>
                <w:sz w:val="20"/>
                <w:lang w:eastAsia="en-US"/>
              </w:rPr>
            </w:pPr>
            <w:r w:rsidRPr="00FB6DEA">
              <w:rPr>
                <w:rFonts w:ascii="Arial" w:eastAsiaTheme="minorHAnsi" w:hAnsi="Arial" w:cs="Arial"/>
                <w:sz w:val="20"/>
                <w:lang w:eastAsia="en-US"/>
              </w:rPr>
              <w:t xml:space="preserve"> </w:t>
            </w:r>
          </w:p>
        </w:tc>
        <w:tc>
          <w:tcPr>
            <w:tcW w:w="644" w:type="pct"/>
            <w:shd w:val="clear" w:color="auto" w:fill="auto"/>
          </w:tcPr>
          <w:p w:rsidR="00490014" w:rsidRPr="00FB6DEA" w:rsidRDefault="00490014" w:rsidP="00795DEF">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lastRenderedPageBreak/>
              <w:t>i. Extensión de módulos del SGC y mejora de la</w:t>
            </w:r>
          </w:p>
          <w:p w:rsidR="00490014" w:rsidRPr="00FB6DEA" w:rsidRDefault="00490014" w:rsidP="00795DEF">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conectividad</w:t>
            </w:r>
          </w:p>
          <w:p w:rsidR="00490014" w:rsidRPr="00FB6DEA" w:rsidRDefault="00490014" w:rsidP="00795DEF">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ii. Habilitación de centros de vacunación</w:t>
            </w:r>
          </w:p>
          <w:p w:rsidR="00490014" w:rsidRPr="00FB6DEA" w:rsidRDefault="00490014" w:rsidP="00795DEF">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iii. Capacitación de recursos humanos, bajo un piloto, utilizando el sistema de capacitación a distancia</w:t>
            </w:r>
          </w:p>
          <w:p w:rsidR="00490014" w:rsidRPr="00FB6DEA" w:rsidRDefault="00490014" w:rsidP="00EF4EFC">
            <w:pPr>
              <w:autoSpaceDE w:val="0"/>
              <w:autoSpaceDN w:val="0"/>
              <w:adjustRightInd w:val="0"/>
              <w:rPr>
                <w:rFonts w:ascii="Arial" w:hAnsi="Arial" w:cs="Arial"/>
                <w:sz w:val="20"/>
                <w:lang w:val="es-ES_tradnl"/>
              </w:rPr>
            </w:pPr>
            <w:r w:rsidRPr="00FB6DEA">
              <w:rPr>
                <w:rFonts w:ascii="Arial" w:eastAsiaTheme="minorHAnsi" w:hAnsi="Arial" w:cs="Arial"/>
                <w:sz w:val="20"/>
                <w:lang w:val="es-ES_tradnl"/>
              </w:rPr>
              <w:t xml:space="preserve">iv. Análisis </w:t>
            </w:r>
            <w:r w:rsidRPr="00FB6DEA">
              <w:rPr>
                <w:rFonts w:ascii="Arial" w:eastAsiaTheme="minorHAnsi" w:hAnsi="Arial" w:cs="Arial"/>
                <w:sz w:val="20"/>
                <w:lang w:val="es-ES_tradnl"/>
              </w:rPr>
              <w:lastRenderedPageBreak/>
              <w:t xml:space="preserve">de las brechas de cobertura y fortalecimiento de la red de servicios complementarios (bancos de sangre) </w:t>
            </w:r>
          </w:p>
        </w:tc>
        <w:tc>
          <w:tcPr>
            <w:tcW w:w="659" w:type="pct"/>
            <w:shd w:val="clear" w:color="auto" w:fill="auto"/>
          </w:tcPr>
          <w:p w:rsidR="00490014" w:rsidRPr="00FB6DEA" w:rsidRDefault="00490014" w:rsidP="00FE3B04">
            <w:pPr>
              <w:autoSpaceDE w:val="0"/>
              <w:autoSpaceDN w:val="0"/>
              <w:adjustRightInd w:val="0"/>
              <w:rPr>
                <w:rFonts w:ascii="Arial" w:eastAsiaTheme="minorHAnsi" w:hAnsi="Arial" w:cs="Arial"/>
                <w:sz w:val="20"/>
                <w:lang w:val="es-ES_tradnl"/>
              </w:rPr>
            </w:pPr>
            <w:r w:rsidRPr="00FB6DEA">
              <w:rPr>
                <w:rFonts w:ascii="Arial" w:hAnsi="Arial" w:cs="Arial"/>
                <w:sz w:val="20"/>
                <w:lang w:val="es-ES_tradnl" w:eastAsia="x-none"/>
              </w:rPr>
              <w:lastRenderedPageBreak/>
              <w:t>i.</w:t>
            </w:r>
            <w:r w:rsidRPr="00FB6DEA">
              <w:rPr>
                <w:rFonts w:ascii="Arial" w:eastAsiaTheme="minorHAnsi" w:hAnsi="Arial" w:cs="Arial"/>
                <w:sz w:val="20"/>
                <w:lang w:val="es-ES_tradnl"/>
              </w:rPr>
              <w:t xml:space="preserve"> Realización del mapa sanitario de los establecimientos de salud del MSP </w:t>
            </w:r>
          </w:p>
          <w:p w:rsidR="00490014" w:rsidRPr="00FB6DEA" w:rsidRDefault="00490014" w:rsidP="00FE3B04">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ii. Construcción de nuevas CAP / reformas en CAP existentes</w:t>
            </w:r>
          </w:p>
          <w:p w:rsidR="00490014" w:rsidRPr="00FB6DEA" w:rsidRDefault="00490014" w:rsidP="00A86F74">
            <w:pPr>
              <w:autoSpaceDE w:val="0"/>
              <w:autoSpaceDN w:val="0"/>
              <w:adjustRightInd w:val="0"/>
              <w:rPr>
                <w:rFonts w:ascii="Arial" w:eastAsiaTheme="minorHAnsi" w:hAnsi="Arial" w:cs="Arial"/>
                <w:sz w:val="20"/>
                <w:lang w:val="es-ES_tradnl"/>
              </w:rPr>
            </w:pPr>
            <w:r w:rsidRPr="00FB6DEA">
              <w:rPr>
                <w:rFonts w:ascii="Arial" w:hAnsi="Arial" w:cs="Arial"/>
                <w:sz w:val="20"/>
                <w:lang w:val="es-ES_tradnl" w:eastAsia="x-none"/>
              </w:rPr>
              <w:t xml:space="preserve">iii. Implantación de un Sistema de Gestión Clínica </w:t>
            </w:r>
            <w:r w:rsidRPr="00FB6DEA">
              <w:rPr>
                <w:rFonts w:ascii="Arial" w:hAnsi="Arial" w:cs="Arial"/>
                <w:sz w:val="20"/>
                <w:lang w:val="es-ES_tradnl" w:eastAsia="x-none"/>
              </w:rPr>
              <w:lastRenderedPageBreak/>
              <w:t>Hospitalaria (SGHO) en 5 hospitales como prueba piloto</w:t>
            </w:r>
          </w:p>
        </w:tc>
        <w:tc>
          <w:tcPr>
            <w:tcW w:w="659" w:type="pct"/>
            <w:shd w:val="clear" w:color="auto" w:fill="auto"/>
          </w:tcPr>
          <w:p w:rsidR="00490014" w:rsidRPr="00FB6DEA" w:rsidRDefault="00490014" w:rsidP="00FE3B04">
            <w:pPr>
              <w:pStyle w:val="Paragraph"/>
              <w:numPr>
                <w:ilvl w:val="0"/>
                <w:numId w:val="0"/>
              </w:numPr>
              <w:spacing w:before="0" w:after="0"/>
              <w:jc w:val="left"/>
              <w:rPr>
                <w:rFonts w:ascii="Arial" w:hAnsi="Arial" w:cs="Arial"/>
                <w:sz w:val="20"/>
              </w:rPr>
            </w:pPr>
            <w:r w:rsidRPr="00FB6DEA">
              <w:rPr>
                <w:rFonts w:ascii="Arial" w:hAnsi="Arial" w:cs="Arial"/>
                <w:sz w:val="20"/>
              </w:rPr>
              <w:lastRenderedPageBreak/>
              <w:t xml:space="preserve">i. Prestaciones </w:t>
            </w:r>
            <w:proofErr w:type="spellStart"/>
            <w:r w:rsidRPr="00FB6DEA">
              <w:rPr>
                <w:rFonts w:ascii="Arial" w:hAnsi="Arial" w:cs="Arial"/>
                <w:sz w:val="20"/>
              </w:rPr>
              <w:t>capitadas</w:t>
            </w:r>
            <w:proofErr w:type="spellEnd"/>
            <w:r w:rsidRPr="00FB6DEA">
              <w:rPr>
                <w:rFonts w:ascii="Arial" w:hAnsi="Arial" w:cs="Arial"/>
                <w:sz w:val="20"/>
              </w:rPr>
              <w:t xml:space="preserve"> del primer nivel de atención referente al financiamiento del FBR en las regiones sanitarias I-V</w:t>
            </w:r>
          </w:p>
          <w:p w:rsidR="00490014" w:rsidRPr="00FB6DEA" w:rsidRDefault="00490014" w:rsidP="00FE3B04">
            <w:pPr>
              <w:pStyle w:val="Paragraph"/>
              <w:numPr>
                <w:ilvl w:val="0"/>
                <w:numId w:val="0"/>
              </w:numPr>
              <w:spacing w:before="0" w:after="0"/>
              <w:jc w:val="left"/>
              <w:rPr>
                <w:rFonts w:ascii="Arial" w:hAnsi="Arial" w:cs="Arial"/>
                <w:sz w:val="20"/>
              </w:rPr>
            </w:pPr>
            <w:r w:rsidRPr="00FB6DEA">
              <w:rPr>
                <w:rFonts w:ascii="Arial" w:hAnsi="Arial" w:cs="Arial"/>
                <w:sz w:val="20"/>
              </w:rPr>
              <w:t xml:space="preserve">ii. Asistencia técnica para fortalecer las regiones sanitarias I-V para adscribir la población e implementar </w:t>
            </w:r>
            <w:r w:rsidRPr="00FB6DEA">
              <w:rPr>
                <w:rFonts w:ascii="Arial" w:hAnsi="Arial" w:cs="Arial"/>
                <w:sz w:val="20"/>
              </w:rPr>
              <w:lastRenderedPageBreak/>
              <w:t>el FBR</w:t>
            </w:r>
          </w:p>
          <w:p w:rsidR="00490014" w:rsidRPr="00FB6DEA" w:rsidRDefault="00490014" w:rsidP="00427099">
            <w:pPr>
              <w:autoSpaceDE w:val="0"/>
              <w:autoSpaceDN w:val="0"/>
              <w:adjustRightInd w:val="0"/>
              <w:rPr>
                <w:rFonts w:ascii="Arial" w:hAnsi="Arial" w:cs="Arial"/>
                <w:sz w:val="20"/>
                <w:lang w:val="es-ES_tradnl" w:eastAsia="x-none"/>
              </w:rPr>
            </w:pPr>
            <w:r w:rsidRPr="00FB6DEA">
              <w:rPr>
                <w:rFonts w:ascii="Arial" w:hAnsi="Arial" w:cs="Arial"/>
                <w:sz w:val="20"/>
                <w:lang w:val="es-ES_tradnl" w:eastAsia="x-none"/>
              </w:rPr>
              <w:t>iii. Asistencia técnica para implementar o consolidar la estrategia de Centros de Excelencia Materno-Infantiles en 12 hospitales</w:t>
            </w:r>
          </w:p>
          <w:p w:rsidR="00490014" w:rsidRPr="00FB6DEA" w:rsidRDefault="00490014" w:rsidP="00427099">
            <w:pPr>
              <w:pStyle w:val="Paragraph"/>
              <w:numPr>
                <w:ilvl w:val="0"/>
                <w:numId w:val="0"/>
              </w:numPr>
              <w:spacing w:before="0" w:after="0"/>
              <w:jc w:val="left"/>
              <w:rPr>
                <w:rFonts w:ascii="Arial" w:hAnsi="Arial" w:cs="Arial"/>
                <w:sz w:val="20"/>
              </w:rPr>
            </w:pPr>
            <w:r w:rsidRPr="00FB6DEA">
              <w:rPr>
                <w:rFonts w:ascii="Arial" w:hAnsi="Arial" w:cs="Arial"/>
                <w:sz w:val="20"/>
              </w:rPr>
              <w:t xml:space="preserve">iv. Ampliación de la implementación del SGHO en alrededor de 30 hospitales (incluyendo equipos) </w:t>
            </w:r>
          </w:p>
          <w:p w:rsidR="00490014" w:rsidRPr="00FB6DEA" w:rsidRDefault="00490014" w:rsidP="00C35B18">
            <w:pPr>
              <w:autoSpaceDE w:val="0"/>
              <w:autoSpaceDN w:val="0"/>
              <w:adjustRightInd w:val="0"/>
              <w:rPr>
                <w:rFonts w:ascii="Arial" w:hAnsi="Arial" w:cs="Arial"/>
                <w:sz w:val="20"/>
                <w:lang w:val="es-ES_tradnl" w:eastAsia="x-none"/>
              </w:rPr>
            </w:pPr>
            <w:r w:rsidRPr="00FB6DEA">
              <w:rPr>
                <w:rFonts w:ascii="Arial" w:hAnsi="Arial" w:cs="Arial"/>
                <w:sz w:val="20"/>
                <w:lang w:val="es-ES_tradnl" w:eastAsia="x-none"/>
              </w:rPr>
              <w:t xml:space="preserve">v. Asistencia técnica para la homologación de  las funciones de los sistemas de información de salud </w:t>
            </w:r>
          </w:p>
          <w:p w:rsidR="00490014" w:rsidRPr="00FB6DEA" w:rsidRDefault="00490014" w:rsidP="00427099">
            <w:pPr>
              <w:pStyle w:val="Paragraph"/>
              <w:numPr>
                <w:ilvl w:val="0"/>
                <w:numId w:val="0"/>
              </w:numPr>
              <w:spacing w:before="0" w:after="0"/>
              <w:jc w:val="left"/>
              <w:rPr>
                <w:rFonts w:ascii="Arial" w:hAnsi="Arial" w:cs="Arial"/>
                <w:sz w:val="20"/>
              </w:rPr>
            </w:pPr>
            <w:r w:rsidRPr="00FB6DEA">
              <w:rPr>
                <w:rFonts w:ascii="Arial" w:hAnsi="Arial" w:cs="Arial"/>
                <w:sz w:val="20"/>
              </w:rPr>
              <w:t>vi. Actualización de las normas de habilitación de CAP</w:t>
            </w:r>
          </w:p>
          <w:p w:rsidR="00490014" w:rsidRPr="00FB6DEA" w:rsidRDefault="00490014">
            <w:pPr>
              <w:pStyle w:val="Paragraph"/>
              <w:numPr>
                <w:ilvl w:val="0"/>
                <w:numId w:val="0"/>
              </w:numPr>
              <w:spacing w:before="0" w:after="0"/>
              <w:jc w:val="left"/>
              <w:rPr>
                <w:rFonts w:ascii="Arial" w:hAnsi="Arial" w:cs="Arial"/>
                <w:sz w:val="20"/>
              </w:rPr>
            </w:pPr>
            <w:r w:rsidRPr="00FB6DEA">
              <w:rPr>
                <w:rFonts w:ascii="Arial" w:hAnsi="Arial" w:cs="Arial"/>
                <w:sz w:val="20"/>
              </w:rPr>
              <w:t xml:space="preserve">vii. Creación de una unidad de análisis de monitoreo y evaluación de desempeño </w:t>
            </w:r>
            <w:r w:rsidRPr="00FB6DEA">
              <w:rPr>
                <w:rFonts w:ascii="Arial" w:hAnsi="Arial" w:cs="Arial"/>
                <w:sz w:val="20"/>
              </w:rPr>
              <w:lastRenderedPageBreak/>
              <w:t>en el MSP</w:t>
            </w:r>
          </w:p>
        </w:tc>
        <w:tc>
          <w:tcPr>
            <w:tcW w:w="659" w:type="pct"/>
            <w:shd w:val="clear" w:color="auto" w:fill="auto"/>
          </w:tcPr>
          <w:p w:rsidR="00490014" w:rsidRPr="00FB6DEA" w:rsidRDefault="00490014" w:rsidP="00F54519">
            <w:pPr>
              <w:pStyle w:val="Paragraph"/>
              <w:numPr>
                <w:ilvl w:val="0"/>
                <w:numId w:val="0"/>
              </w:numPr>
              <w:spacing w:before="0" w:after="0"/>
              <w:jc w:val="left"/>
              <w:rPr>
                <w:rFonts w:ascii="Arial" w:hAnsi="Arial" w:cs="Arial"/>
                <w:sz w:val="20"/>
              </w:rPr>
            </w:pPr>
            <w:r w:rsidRPr="00FB6DEA">
              <w:rPr>
                <w:rFonts w:ascii="Arial" w:hAnsi="Arial" w:cs="Arial"/>
                <w:sz w:val="20"/>
              </w:rPr>
              <w:lastRenderedPageBreak/>
              <w:t xml:space="preserve">i. Prestaciones </w:t>
            </w:r>
            <w:proofErr w:type="spellStart"/>
            <w:r w:rsidRPr="00FB6DEA">
              <w:rPr>
                <w:rFonts w:ascii="Arial" w:hAnsi="Arial" w:cs="Arial"/>
                <w:sz w:val="20"/>
              </w:rPr>
              <w:t>capitadas</w:t>
            </w:r>
            <w:proofErr w:type="spellEnd"/>
            <w:r w:rsidRPr="00FB6DEA">
              <w:rPr>
                <w:rFonts w:ascii="Arial" w:hAnsi="Arial" w:cs="Arial"/>
                <w:sz w:val="20"/>
              </w:rPr>
              <w:t xml:space="preserve"> del primer nivel de atención referente al financiamiento del FBR en la región sanitaria “0”</w:t>
            </w:r>
          </w:p>
          <w:p w:rsidR="00490014" w:rsidRPr="00FB6DEA" w:rsidRDefault="00490014" w:rsidP="00F54519">
            <w:pPr>
              <w:pStyle w:val="Paragraph"/>
              <w:numPr>
                <w:ilvl w:val="0"/>
                <w:numId w:val="0"/>
              </w:numPr>
              <w:spacing w:before="0" w:after="0"/>
              <w:jc w:val="left"/>
              <w:rPr>
                <w:rFonts w:ascii="Arial" w:hAnsi="Arial" w:cs="Arial"/>
                <w:sz w:val="20"/>
              </w:rPr>
            </w:pPr>
            <w:r w:rsidRPr="00FB6DEA">
              <w:rPr>
                <w:rFonts w:ascii="Arial" w:hAnsi="Arial" w:cs="Arial"/>
                <w:sz w:val="20"/>
              </w:rPr>
              <w:t>ii. Asistencia técnica para fortalecer la región sanitaria “0” para adscribir la población e implementar el FBR</w:t>
            </w:r>
          </w:p>
          <w:p w:rsidR="00490014" w:rsidRPr="00FB6DEA" w:rsidRDefault="00490014" w:rsidP="00FE3B04">
            <w:pPr>
              <w:pStyle w:val="Paragraph"/>
              <w:numPr>
                <w:ilvl w:val="0"/>
                <w:numId w:val="0"/>
              </w:numPr>
              <w:spacing w:before="0" w:after="0"/>
              <w:jc w:val="left"/>
              <w:rPr>
                <w:rFonts w:ascii="Arial" w:hAnsi="Arial" w:cs="Arial"/>
                <w:sz w:val="20"/>
              </w:rPr>
            </w:pPr>
            <w:r w:rsidRPr="00FB6DEA">
              <w:rPr>
                <w:rFonts w:ascii="Arial" w:hAnsi="Arial" w:cs="Arial"/>
                <w:sz w:val="20"/>
              </w:rPr>
              <w:t xml:space="preserve">iii. Asistencia </w:t>
            </w:r>
            <w:r w:rsidRPr="00FB6DEA">
              <w:rPr>
                <w:rFonts w:ascii="Arial" w:hAnsi="Arial" w:cs="Arial"/>
                <w:sz w:val="20"/>
              </w:rPr>
              <w:lastRenderedPageBreak/>
              <w:t xml:space="preserve">técnica para apoyar las regionales a mejorar la </w:t>
            </w:r>
            <w:proofErr w:type="spellStart"/>
            <w:r w:rsidRPr="00FB6DEA">
              <w:rPr>
                <w:rFonts w:ascii="Arial" w:hAnsi="Arial" w:cs="Arial"/>
                <w:sz w:val="20"/>
              </w:rPr>
              <w:t>operacionalización</w:t>
            </w:r>
            <w:proofErr w:type="spellEnd"/>
            <w:r w:rsidRPr="00FB6DEA">
              <w:rPr>
                <w:rFonts w:ascii="Arial" w:hAnsi="Arial" w:cs="Arial"/>
                <w:sz w:val="20"/>
              </w:rPr>
              <w:t xml:space="preserve"> de las redes de servicios</w:t>
            </w:r>
          </w:p>
          <w:p w:rsidR="00490014" w:rsidRPr="00FB6DEA" w:rsidRDefault="00490014" w:rsidP="006F63CB">
            <w:pPr>
              <w:pStyle w:val="Paragraph"/>
              <w:numPr>
                <w:ilvl w:val="0"/>
                <w:numId w:val="0"/>
              </w:numPr>
              <w:spacing w:before="0" w:after="0"/>
              <w:jc w:val="left"/>
              <w:rPr>
                <w:rFonts w:ascii="Arial" w:hAnsi="Arial" w:cs="Arial"/>
                <w:sz w:val="20"/>
              </w:rPr>
            </w:pPr>
            <w:r w:rsidRPr="00FB6DEA">
              <w:rPr>
                <w:rFonts w:ascii="Arial" w:hAnsi="Arial" w:cs="Arial"/>
                <w:sz w:val="20"/>
              </w:rPr>
              <w:t>iv. Ampliación de la implementación del SGHO a cerca de 20 hospitales (incluyendo equipos)</w:t>
            </w:r>
          </w:p>
          <w:p w:rsidR="00490014" w:rsidRPr="00FB6DEA" w:rsidRDefault="00490014" w:rsidP="00D246AF">
            <w:pPr>
              <w:pStyle w:val="Paragraph"/>
              <w:numPr>
                <w:ilvl w:val="0"/>
                <w:numId w:val="0"/>
              </w:numPr>
              <w:spacing w:before="0" w:after="0"/>
              <w:jc w:val="left"/>
              <w:rPr>
                <w:rFonts w:ascii="Arial" w:hAnsi="Arial" w:cs="Arial"/>
                <w:color w:val="000000"/>
                <w:spacing w:val="-2"/>
                <w:sz w:val="20"/>
              </w:rPr>
            </w:pPr>
            <w:r w:rsidRPr="00FB6DEA">
              <w:rPr>
                <w:rFonts w:ascii="Arial" w:hAnsi="Arial" w:cs="Arial"/>
                <w:sz w:val="20"/>
              </w:rPr>
              <w:t xml:space="preserve">vi. Diseño e implantación de normas </w:t>
            </w:r>
            <w:r w:rsidRPr="00FB6DEA">
              <w:rPr>
                <w:rFonts w:ascii="Arial" w:hAnsi="Arial" w:cs="Arial"/>
                <w:color w:val="000000"/>
                <w:spacing w:val="-2"/>
                <w:sz w:val="20"/>
              </w:rPr>
              <w:t xml:space="preserve">para el registro sanitario de medicamentos; implantación de una plataforma informática y capacitaciones </w:t>
            </w:r>
          </w:p>
          <w:p w:rsidR="00490014" w:rsidRPr="00FB6DEA" w:rsidRDefault="00490014" w:rsidP="00D246AF">
            <w:pPr>
              <w:pStyle w:val="Paragraph"/>
              <w:numPr>
                <w:ilvl w:val="0"/>
                <w:numId w:val="0"/>
              </w:numPr>
              <w:spacing w:before="0" w:after="0"/>
              <w:jc w:val="left"/>
              <w:rPr>
                <w:rFonts w:ascii="Arial" w:hAnsi="Arial" w:cs="Arial"/>
                <w:sz w:val="20"/>
              </w:rPr>
            </w:pPr>
            <w:r w:rsidRPr="00FB6DEA">
              <w:rPr>
                <w:rFonts w:ascii="Arial" w:hAnsi="Arial" w:cs="Arial"/>
                <w:sz w:val="20"/>
              </w:rPr>
              <w:t>vii. Elaboración e implementación de protocolos clínicos</w:t>
            </w:r>
          </w:p>
        </w:tc>
        <w:tc>
          <w:tcPr>
            <w:tcW w:w="659" w:type="pct"/>
          </w:tcPr>
          <w:p w:rsidR="00490014" w:rsidRPr="00FB6DEA" w:rsidRDefault="00490014" w:rsidP="00FE3B04">
            <w:pPr>
              <w:pStyle w:val="Paragraph"/>
              <w:numPr>
                <w:ilvl w:val="0"/>
                <w:numId w:val="0"/>
              </w:numPr>
              <w:spacing w:before="0" w:after="0"/>
              <w:jc w:val="left"/>
              <w:rPr>
                <w:rFonts w:ascii="Arial" w:hAnsi="Arial" w:cs="Arial"/>
                <w:sz w:val="20"/>
              </w:rPr>
            </w:pPr>
            <w:r w:rsidRPr="00FB6DEA">
              <w:rPr>
                <w:rFonts w:ascii="Arial" w:hAnsi="Arial" w:cs="Arial"/>
                <w:sz w:val="20"/>
              </w:rPr>
              <w:lastRenderedPageBreak/>
              <w:t xml:space="preserve">i. Asistencia técnica para </w:t>
            </w:r>
            <w:r w:rsidR="00820D2E" w:rsidRPr="00FB6DEA">
              <w:rPr>
                <w:rFonts w:ascii="Arial" w:hAnsi="Arial" w:cs="Arial"/>
                <w:sz w:val="20"/>
              </w:rPr>
              <w:t>poner en marcha</w:t>
            </w:r>
            <w:r w:rsidRPr="00FB6DEA">
              <w:rPr>
                <w:rFonts w:ascii="Arial" w:hAnsi="Arial" w:cs="Arial"/>
                <w:sz w:val="20"/>
              </w:rPr>
              <w:t xml:space="preserve"> la separación funcional y operativa de las funciones de rectoría y provisión del MSP</w:t>
            </w:r>
          </w:p>
          <w:p w:rsidR="00490014" w:rsidRPr="00FB6DEA" w:rsidRDefault="00490014" w:rsidP="00FE3B04">
            <w:pPr>
              <w:pStyle w:val="Paragraph"/>
              <w:numPr>
                <w:ilvl w:val="0"/>
                <w:numId w:val="0"/>
              </w:numPr>
              <w:spacing w:before="0" w:after="0"/>
              <w:jc w:val="left"/>
              <w:rPr>
                <w:rFonts w:ascii="Arial" w:hAnsi="Arial" w:cs="Arial"/>
                <w:sz w:val="20"/>
              </w:rPr>
            </w:pPr>
            <w:r w:rsidRPr="00FB6DEA">
              <w:rPr>
                <w:rFonts w:ascii="Arial" w:hAnsi="Arial" w:cs="Arial"/>
                <w:sz w:val="20"/>
              </w:rPr>
              <w:t xml:space="preserve">ii. Asistencia técnica para </w:t>
            </w:r>
            <w:r w:rsidR="00820D2E" w:rsidRPr="00FB6DEA">
              <w:rPr>
                <w:rFonts w:ascii="Arial" w:hAnsi="Arial" w:cs="Arial"/>
                <w:sz w:val="20"/>
              </w:rPr>
              <w:t>oficializar</w:t>
            </w:r>
            <w:r w:rsidRPr="00FB6DEA">
              <w:rPr>
                <w:rFonts w:ascii="Arial" w:hAnsi="Arial" w:cs="Arial"/>
                <w:sz w:val="20"/>
              </w:rPr>
              <w:t xml:space="preserve"> el Modelo de Atención, que establece principios, directrices y parámetros </w:t>
            </w:r>
            <w:r w:rsidRPr="00FB6DEA">
              <w:rPr>
                <w:rFonts w:ascii="Arial" w:hAnsi="Arial" w:cs="Arial"/>
                <w:sz w:val="20"/>
              </w:rPr>
              <w:lastRenderedPageBreak/>
              <w:t xml:space="preserve">para la organización de los servicios de salud </w:t>
            </w:r>
          </w:p>
          <w:p w:rsidR="00490014" w:rsidRPr="00FB6DEA" w:rsidRDefault="00490014" w:rsidP="00FE3B04">
            <w:pPr>
              <w:pStyle w:val="Paragraph"/>
              <w:numPr>
                <w:ilvl w:val="0"/>
                <w:numId w:val="0"/>
              </w:numPr>
              <w:spacing w:before="0" w:after="0"/>
              <w:jc w:val="left"/>
              <w:rPr>
                <w:rFonts w:ascii="Arial" w:hAnsi="Arial" w:cs="Arial"/>
                <w:sz w:val="20"/>
              </w:rPr>
            </w:pPr>
            <w:r w:rsidRPr="00FB6DEA">
              <w:rPr>
                <w:rFonts w:ascii="Arial" w:hAnsi="Arial" w:cs="Arial"/>
                <w:sz w:val="20"/>
              </w:rPr>
              <w:t xml:space="preserve">iii. Asistencia técnica para </w:t>
            </w:r>
            <w:r w:rsidR="00820D2E" w:rsidRPr="00FB6DEA">
              <w:rPr>
                <w:rFonts w:ascii="Arial" w:hAnsi="Arial" w:cs="Arial"/>
                <w:sz w:val="20"/>
              </w:rPr>
              <w:t>aprobar una nueva estructura organizacional del MSP, para fortalecer la rectoría</w:t>
            </w:r>
          </w:p>
          <w:p w:rsidR="00490014" w:rsidRPr="00FB6DEA" w:rsidRDefault="00490014" w:rsidP="00FE3B04">
            <w:pPr>
              <w:pStyle w:val="Paragraph"/>
              <w:numPr>
                <w:ilvl w:val="0"/>
                <w:numId w:val="0"/>
              </w:numPr>
              <w:spacing w:before="0" w:after="0"/>
              <w:jc w:val="left"/>
              <w:rPr>
                <w:rFonts w:ascii="Arial" w:hAnsi="Arial" w:cs="Arial"/>
                <w:sz w:val="20"/>
              </w:rPr>
            </w:pPr>
            <w:r w:rsidRPr="00FB6DEA">
              <w:rPr>
                <w:rFonts w:ascii="Arial" w:hAnsi="Arial" w:cs="Arial"/>
                <w:sz w:val="20"/>
              </w:rPr>
              <w:t xml:space="preserve">iv. Asistencia técnica para impulsar la difusión de la política de calidad </w:t>
            </w:r>
          </w:p>
          <w:p w:rsidR="00490014" w:rsidRPr="00FB6DEA" w:rsidRDefault="00490014" w:rsidP="00FE3B04">
            <w:pPr>
              <w:pStyle w:val="Paragraph"/>
              <w:numPr>
                <w:ilvl w:val="0"/>
                <w:numId w:val="0"/>
              </w:numPr>
              <w:spacing w:before="0" w:after="0"/>
              <w:jc w:val="left"/>
              <w:rPr>
                <w:rFonts w:ascii="Arial" w:hAnsi="Arial" w:cs="Arial"/>
                <w:sz w:val="20"/>
              </w:rPr>
            </w:pPr>
            <w:r w:rsidRPr="00FB6DEA">
              <w:rPr>
                <w:rFonts w:ascii="Arial" w:hAnsi="Arial" w:cs="Arial"/>
                <w:sz w:val="20"/>
              </w:rPr>
              <w:t>v. Asistencia técnica para impulsar la promulgación de la Ley de Carrera Sanitaria</w:t>
            </w:r>
          </w:p>
          <w:p w:rsidR="00490014" w:rsidRPr="00FB6DEA" w:rsidRDefault="00490014" w:rsidP="00FE3B04">
            <w:pPr>
              <w:pStyle w:val="Paragraph"/>
              <w:numPr>
                <w:ilvl w:val="0"/>
                <w:numId w:val="0"/>
              </w:numPr>
              <w:spacing w:before="0" w:after="0"/>
              <w:jc w:val="left"/>
              <w:rPr>
                <w:rFonts w:ascii="Arial" w:hAnsi="Arial" w:cs="Arial"/>
                <w:sz w:val="20"/>
              </w:rPr>
            </w:pPr>
            <w:r w:rsidRPr="00FB6DEA">
              <w:rPr>
                <w:rFonts w:ascii="Arial" w:hAnsi="Arial" w:cs="Arial"/>
                <w:sz w:val="20"/>
              </w:rPr>
              <w:t>vi. Actualización del Catálogo del Plan de Servicios de Salud</w:t>
            </w:r>
          </w:p>
          <w:p w:rsidR="00490014" w:rsidRPr="00FB6DEA" w:rsidRDefault="00490014">
            <w:pPr>
              <w:pStyle w:val="Paragraph"/>
              <w:numPr>
                <w:ilvl w:val="0"/>
                <w:numId w:val="0"/>
              </w:numPr>
              <w:spacing w:before="0" w:after="0"/>
              <w:jc w:val="left"/>
              <w:rPr>
                <w:rFonts w:ascii="Arial" w:hAnsi="Arial" w:cs="Arial"/>
                <w:sz w:val="20"/>
              </w:rPr>
            </w:pPr>
            <w:r w:rsidRPr="00FB6DEA">
              <w:rPr>
                <w:rFonts w:ascii="Arial" w:hAnsi="Arial" w:cs="Arial"/>
                <w:sz w:val="20"/>
              </w:rPr>
              <w:t xml:space="preserve">vii. Asistencia técnica para fortalecer el SENASA para generar análisis actuariales para monitorear la evolución del perfil de </w:t>
            </w:r>
            <w:r w:rsidRPr="00FB6DEA">
              <w:rPr>
                <w:rFonts w:ascii="Arial" w:hAnsi="Arial" w:cs="Arial"/>
                <w:sz w:val="20"/>
              </w:rPr>
              <w:lastRenderedPageBreak/>
              <w:t>riesgo de la población y mejorar la programación financiera</w:t>
            </w:r>
          </w:p>
        </w:tc>
        <w:tc>
          <w:tcPr>
            <w:tcW w:w="659" w:type="pct"/>
          </w:tcPr>
          <w:p w:rsidR="00820D2E" w:rsidRPr="00FB6DEA" w:rsidRDefault="00820D2E" w:rsidP="00820D2E">
            <w:pPr>
              <w:pStyle w:val="Paragraph"/>
              <w:numPr>
                <w:ilvl w:val="0"/>
                <w:numId w:val="0"/>
              </w:numPr>
              <w:spacing w:before="0" w:after="0"/>
              <w:jc w:val="left"/>
              <w:rPr>
                <w:rFonts w:ascii="Arial" w:hAnsi="Arial" w:cs="Arial"/>
                <w:sz w:val="20"/>
              </w:rPr>
            </w:pPr>
            <w:r w:rsidRPr="00FB6DEA">
              <w:rPr>
                <w:rFonts w:ascii="Arial" w:hAnsi="Arial" w:cs="Arial"/>
                <w:sz w:val="20"/>
              </w:rPr>
              <w:lastRenderedPageBreak/>
              <w:t>i. Asistencia técnica para crear el Servicio Nacional de Salud, una nueva entidad con autonomía administrativa y financiera para gestionar la prestación de servicios</w:t>
            </w:r>
          </w:p>
          <w:p w:rsidR="00820D2E" w:rsidRPr="00FB6DEA" w:rsidRDefault="00820D2E" w:rsidP="00820D2E">
            <w:pPr>
              <w:pStyle w:val="Paragraph"/>
              <w:numPr>
                <w:ilvl w:val="0"/>
                <w:numId w:val="0"/>
              </w:numPr>
              <w:spacing w:before="0" w:after="0"/>
              <w:jc w:val="left"/>
              <w:rPr>
                <w:rFonts w:ascii="Arial" w:hAnsi="Arial" w:cs="Arial"/>
                <w:sz w:val="20"/>
              </w:rPr>
            </w:pPr>
            <w:r w:rsidRPr="00FB6DEA">
              <w:rPr>
                <w:rFonts w:ascii="Arial" w:hAnsi="Arial" w:cs="Arial"/>
                <w:sz w:val="20"/>
              </w:rPr>
              <w:t>ii. Asistencia técnica para implementar el nuevo Modelo de Atención</w:t>
            </w:r>
          </w:p>
          <w:p w:rsidR="00490014" w:rsidRPr="00FB6DEA" w:rsidRDefault="00820D2E" w:rsidP="00820D2E">
            <w:pPr>
              <w:pStyle w:val="Paragraph"/>
              <w:numPr>
                <w:ilvl w:val="0"/>
                <w:numId w:val="0"/>
              </w:numPr>
              <w:spacing w:before="0" w:after="0"/>
              <w:jc w:val="left"/>
              <w:rPr>
                <w:rFonts w:ascii="Arial" w:hAnsi="Arial" w:cs="Arial"/>
                <w:sz w:val="20"/>
              </w:rPr>
            </w:pPr>
            <w:r w:rsidRPr="00FB6DEA">
              <w:rPr>
                <w:rFonts w:ascii="Arial" w:hAnsi="Arial" w:cs="Arial"/>
                <w:sz w:val="20"/>
              </w:rPr>
              <w:lastRenderedPageBreak/>
              <w:t xml:space="preserve">iii. Asistencia técnica para poner en marcha la nueva estructura organizacional del MSP  </w:t>
            </w:r>
          </w:p>
          <w:p w:rsidR="00820D2E" w:rsidRPr="00FB6DEA" w:rsidRDefault="00820D2E" w:rsidP="00820D2E">
            <w:pPr>
              <w:pStyle w:val="Paragraph"/>
              <w:numPr>
                <w:ilvl w:val="0"/>
                <w:numId w:val="0"/>
              </w:numPr>
              <w:spacing w:before="0" w:after="0"/>
              <w:jc w:val="left"/>
              <w:rPr>
                <w:rFonts w:ascii="Arial" w:hAnsi="Arial" w:cs="Arial"/>
                <w:sz w:val="20"/>
              </w:rPr>
            </w:pPr>
            <w:r w:rsidRPr="00FB6DEA">
              <w:rPr>
                <w:rFonts w:ascii="Arial" w:hAnsi="Arial" w:cs="Arial"/>
                <w:sz w:val="20"/>
              </w:rPr>
              <w:t>iv. Asistencia técnica para implementar la política de calidad</w:t>
            </w:r>
          </w:p>
          <w:p w:rsidR="00820D2E" w:rsidRPr="00FB6DEA" w:rsidRDefault="00820D2E" w:rsidP="00820D2E">
            <w:pPr>
              <w:pStyle w:val="Paragraph"/>
              <w:numPr>
                <w:ilvl w:val="0"/>
                <w:numId w:val="0"/>
              </w:numPr>
              <w:spacing w:before="0" w:after="0"/>
              <w:jc w:val="left"/>
              <w:rPr>
                <w:rFonts w:ascii="Arial" w:hAnsi="Arial" w:cs="Arial"/>
                <w:sz w:val="20"/>
              </w:rPr>
            </w:pPr>
            <w:r w:rsidRPr="00FB6DEA">
              <w:rPr>
                <w:rFonts w:ascii="Arial" w:hAnsi="Arial" w:cs="Arial"/>
                <w:sz w:val="20"/>
              </w:rPr>
              <w:t>v. Asistencia técnica para elaborar los reglamentos de la Ley de Carrera Sanitaria</w:t>
            </w:r>
          </w:p>
          <w:p w:rsidR="00820D2E" w:rsidRPr="00FB6DEA" w:rsidRDefault="00820D2E" w:rsidP="00820D2E">
            <w:pPr>
              <w:pStyle w:val="Paragraph"/>
              <w:numPr>
                <w:ilvl w:val="0"/>
                <w:numId w:val="0"/>
              </w:numPr>
              <w:spacing w:before="0" w:after="0"/>
              <w:jc w:val="left"/>
              <w:rPr>
                <w:rFonts w:ascii="Arial" w:hAnsi="Arial" w:cs="Arial"/>
                <w:sz w:val="20"/>
              </w:rPr>
            </w:pPr>
            <w:r w:rsidRPr="00FB6DEA">
              <w:rPr>
                <w:rFonts w:ascii="Arial" w:hAnsi="Arial" w:cs="Arial"/>
                <w:sz w:val="20"/>
              </w:rPr>
              <w:t>vi. Conclusión del proceso de actualización del Catálogo del Plan de Servicios de Salud</w:t>
            </w:r>
          </w:p>
          <w:p w:rsidR="00820D2E" w:rsidRPr="00FB6DEA" w:rsidRDefault="00820D2E" w:rsidP="00820D2E">
            <w:pPr>
              <w:pStyle w:val="Paragraph"/>
              <w:numPr>
                <w:ilvl w:val="0"/>
                <w:numId w:val="0"/>
              </w:numPr>
              <w:spacing w:before="0" w:after="0"/>
              <w:jc w:val="left"/>
              <w:rPr>
                <w:rFonts w:ascii="Arial" w:hAnsi="Arial" w:cs="Arial"/>
                <w:sz w:val="20"/>
              </w:rPr>
            </w:pPr>
            <w:r w:rsidRPr="00FB6DEA">
              <w:rPr>
                <w:rFonts w:ascii="Arial" w:hAnsi="Arial" w:cs="Arial"/>
                <w:sz w:val="20"/>
              </w:rPr>
              <w:t>vii. Asistencia técnica para poner en marcha la unidad de análisis actuarial de SENASA</w:t>
            </w:r>
          </w:p>
        </w:tc>
      </w:tr>
      <w:tr w:rsidR="00490014" w:rsidRPr="00FB6DEA" w:rsidTr="00490014">
        <w:trPr>
          <w:trHeight w:val="458"/>
          <w:jc w:val="center"/>
        </w:trPr>
        <w:tc>
          <w:tcPr>
            <w:tcW w:w="417" w:type="pct"/>
            <w:vAlign w:val="center"/>
          </w:tcPr>
          <w:p w:rsidR="00490014" w:rsidRPr="00FB6DEA" w:rsidRDefault="00490014">
            <w:pPr>
              <w:pStyle w:val="Paragraph"/>
              <w:numPr>
                <w:ilvl w:val="0"/>
                <w:numId w:val="0"/>
              </w:numPr>
              <w:spacing w:before="0" w:after="0"/>
              <w:jc w:val="left"/>
              <w:rPr>
                <w:rFonts w:ascii="Arial" w:eastAsiaTheme="minorHAnsi" w:hAnsi="Arial" w:cs="Arial"/>
                <w:sz w:val="20"/>
                <w:lang w:eastAsia="en-US"/>
              </w:rPr>
            </w:pPr>
            <w:r w:rsidRPr="00FB6DEA">
              <w:rPr>
                <w:rFonts w:ascii="Arial" w:eastAsiaTheme="minorHAnsi" w:hAnsi="Arial" w:cs="Arial"/>
                <w:sz w:val="20"/>
                <w:lang w:eastAsia="en-US"/>
              </w:rPr>
              <w:lastRenderedPageBreak/>
              <w:t>Metas / Avances</w:t>
            </w:r>
          </w:p>
        </w:tc>
        <w:tc>
          <w:tcPr>
            <w:tcW w:w="644" w:type="pct"/>
            <w:shd w:val="clear" w:color="auto" w:fill="auto"/>
          </w:tcPr>
          <w:p w:rsidR="00490014" w:rsidRPr="00FB6DEA" w:rsidRDefault="00490014" w:rsidP="00C35B18">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i. Elaborado y sometido como proyecto de ley a la discusión en el Congreso Nacional</w:t>
            </w:r>
          </w:p>
          <w:p w:rsidR="00490014" w:rsidRPr="00FB6DEA" w:rsidRDefault="00490014" w:rsidP="00C35B18">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ii. Producido e instalado en 100% de las CAP</w:t>
            </w:r>
          </w:p>
          <w:p w:rsidR="00490014" w:rsidRPr="00FB6DEA" w:rsidRDefault="00490014" w:rsidP="00C35B18">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iii. Se logró ampliar de 7% a 35% el número de CAP habilitados (349)</w:t>
            </w:r>
          </w:p>
          <w:p w:rsidR="00490014" w:rsidRPr="00FB6DEA" w:rsidRDefault="00490014" w:rsidP="00C35B18">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iv. Desarrollado</w:t>
            </w:r>
          </w:p>
        </w:tc>
        <w:tc>
          <w:tcPr>
            <w:tcW w:w="644" w:type="pct"/>
            <w:shd w:val="clear" w:color="auto" w:fill="auto"/>
          </w:tcPr>
          <w:p w:rsidR="00490014" w:rsidRPr="00FB6DEA" w:rsidRDefault="00490014" w:rsidP="00C35B18">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 xml:space="preserve">i. Producido y actualizado en todas las CAP. Mejoras de conectividad realizadas </w:t>
            </w:r>
          </w:p>
          <w:p w:rsidR="00490014" w:rsidRPr="00FB6DEA" w:rsidRDefault="00490014" w:rsidP="00C35B18">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 xml:space="preserve">ii. En proceso; se ha adquirido los equipamientos que contribuyen a la habilitación de los centros de vacunación </w:t>
            </w:r>
          </w:p>
          <w:p w:rsidR="00490014" w:rsidRPr="00FB6DEA" w:rsidRDefault="00490014" w:rsidP="00C35B18">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 xml:space="preserve">iii. 100% de recursos humanos capacitados bajo el piloto </w:t>
            </w:r>
          </w:p>
          <w:p w:rsidR="00490014" w:rsidRPr="00FB6DEA" w:rsidRDefault="00490014">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 xml:space="preserve">iv. Se está en proceso de  distribución de  equipos para el fortalecimiento de la red de bancos de sangre </w:t>
            </w:r>
          </w:p>
        </w:tc>
        <w:tc>
          <w:tcPr>
            <w:tcW w:w="659" w:type="pct"/>
            <w:shd w:val="clear" w:color="auto" w:fill="auto"/>
          </w:tcPr>
          <w:p w:rsidR="00490014" w:rsidRPr="00FB6DEA" w:rsidRDefault="00490014" w:rsidP="00C35B18">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 xml:space="preserve">i. Se está finalizando el proceso de licitación de la firma </w:t>
            </w:r>
          </w:p>
          <w:p w:rsidR="00490014" w:rsidRPr="00FB6DEA" w:rsidRDefault="00490014" w:rsidP="009A0E1F">
            <w:pPr>
              <w:autoSpaceDE w:val="0"/>
              <w:autoSpaceDN w:val="0"/>
              <w:adjustRightInd w:val="0"/>
              <w:rPr>
                <w:rFonts w:ascii="Arial" w:eastAsiaTheme="minorHAnsi" w:hAnsi="Arial" w:cs="Arial"/>
                <w:sz w:val="20"/>
                <w:lang w:val="es-ES_tradnl"/>
              </w:rPr>
            </w:pPr>
            <w:r w:rsidRPr="00FB6DEA">
              <w:rPr>
                <w:rFonts w:ascii="Arial" w:eastAsiaTheme="minorHAnsi" w:hAnsi="Arial" w:cs="Arial"/>
                <w:sz w:val="20"/>
                <w:lang w:val="es-ES_tradnl"/>
              </w:rPr>
              <w:t xml:space="preserve">ii. Ya fueron iniciadas las construcciones de las nuevas CAP y se está finalizando la contratación de la firma para realizar las adecuaciones físicas a </w:t>
            </w:r>
          </w:p>
          <w:p w:rsidR="00490014" w:rsidRPr="00FB6DEA" w:rsidRDefault="00490014">
            <w:pPr>
              <w:autoSpaceDE w:val="0"/>
              <w:autoSpaceDN w:val="0"/>
              <w:adjustRightInd w:val="0"/>
              <w:rPr>
                <w:rFonts w:ascii="Arial" w:hAnsi="Arial" w:cs="Arial"/>
                <w:sz w:val="20"/>
                <w:lang w:val="es-ES_tradnl"/>
              </w:rPr>
            </w:pPr>
            <w:r w:rsidRPr="00FB6DEA">
              <w:rPr>
                <w:rFonts w:ascii="Arial" w:eastAsiaTheme="minorHAnsi" w:hAnsi="Arial" w:cs="Arial"/>
                <w:sz w:val="20"/>
                <w:lang w:val="es-ES_tradnl"/>
              </w:rPr>
              <w:t>iii. Iniciado</w:t>
            </w:r>
          </w:p>
        </w:tc>
        <w:tc>
          <w:tcPr>
            <w:tcW w:w="659" w:type="pct"/>
            <w:shd w:val="clear" w:color="auto" w:fill="auto"/>
          </w:tcPr>
          <w:p w:rsidR="00490014" w:rsidRPr="00FB6DEA" w:rsidRDefault="00490014" w:rsidP="00F54519">
            <w:pPr>
              <w:pStyle w:val="Paragraph"/>
              <w:numPr>
                <w:ilvl w:val="0"/>
                <w:numId w:val="0"/>
              </w:numPr>
              <w:spacing w:before="0" w:after="0"/>
              <w:jc w:val="left"/>
              <w:rPr>
                <w:rFonts w:ascii="Arial" w:hAnsi="Arial" w:cs="Arial"/>
                <w:sz w:val="20"/>
              </w:rPr>
            </w:pPr>
            <w:proofErr w:type="gramStart"/>
            <w:r w:rsidRPr="00FB6DEA">
              <w:rPr>
                <w:rFonts w:ascii="Arial" w:hAnsi="Arial" w:cs="Arial"/>
                <w:sz w:val="20"/>
              </w:rPr>
              <w:t>i</w:t>
            </w:r>
            <w:proofErr w:type="gramEnd"/>
            <w:r w:rsidRPr="00FB6DEA">
              <w:rPr>
                <w:rFonts w:ascii="Arial" w:hAnsi="Arial" w:cs="Arial"/>
                <w:sz w:val="20"/>
              </w:rPr>
              <w:t xml:space="preserve"> e ii. (a) Modelo de FBR en ejecución en los SRS I-V. En el primer cuatrimestre de 2015, tres regionales cumplieron más del 80% de las metas estipuladas; ; (b) Adscripción de 74 mil personas sin afiliación a un seguro a las unidades de atención primaria ; (c) Transferencias delas capitas referentes a la población adscrita sin afiliación a un seguro a las regionales; (d) Contratación de una consultoría para apoyar el proceso de afiliación de SENASA, para </w:t>
            </w:r>
            <w:r w:rsidRPr="00FB6DEA">
              <w:rPr>
                <w:rFonts w:ascii="Arial" w:hAnsi="Arial" w:cs="Arial"/>
                <w:sz w:val="20"/>
              </w:rPr>
              <w:lastRenderedPageBreak/>
              <w:t xml:space="preserve">identificar la población pobre elegible al Régimen Subsidiado que todavía no está afiliada </w:t>
            </w:r>
          </w:p>
          <w:p w:rsidR="00490014" w:rsidRPr="00FB6DEA" w:rsidRDefault="00490014" w:rsidP="00F54519">
            <w:pPr>
              <w:pStyle w:val="Paragraph"/>
              <w:numPr>
                <w:ilvl w:val="0"/>
                <w:numId w:val="0"/>
              </w:numPr>
              <w:spacing w:before="0" w:after="0"/>
              <w:jc w:val="left"/>
              <w:rPr>
                <w:rFonts w:ascii="Arial" w:hAnsi="Arial" w:cs="Arial"/>
                <w:sz w:val="20"/>
              </w:rPr>
            </w:pPr>
            <w:r w:rsidRPr="00FB6DEA">
              <w:rPr>
                <w:rFonts w:ascii="Arial" w:hAnsi="Arial" w:cs="Arial"/>
                <w:sz w:val="20"/>
              </w:rPr>
              <w:t xml:space="preserve">iii. Estrategia CEMI en ejecución en seis hospitales </w:t>
            </w:r>
          </w:p>
          <w:p w:rsidR="00490014" w:rsidRPr="00FB6DEA" w:rsidRDefault="00490014">
            <w:pPr>
              <w:pStyle w:val="Paragraph"/>
              <w:numPr>
                <w:ilvl w:val="0"/>
                <w:numId w:val="0"/>
              </w:numPr>
              <w:spacing w:before="0" w:after="0"/>
              <w:jc w:val="left"/>
              <w:rPr>
                <w:rFonts w:ascii="Arial" w:hAnsi="Arial" w:cs="Arial"/>
                <w:sz w:val="20"/>
              </w:rPr>
            </w:pPr>
            <w:r w:rsidRPr="00FB6DEA">
              <w:rPr>
                <w:rFonts w:ascii="Arial" w:hAnsi="Arial" w:cs="Arial"/>
                <w:sz w:val="20"/>
              </w:rPr>
              <w:t>iv. Se cuenta con un análisis de opciones tecnológicas para la expansión</w:t>
            </w:r>
          </w:p>
          <w:p w:rsidR="00490014" w:rsidRPr="00FB6DEA" w:rsidRDefault="00490014">
            <w:pPr>
              <w:pStyle w:val="Paragraph"/>
              <w:numPr>
                <w:ilvl w:val="0"/>
                <w:numId w:val="0"/>
              </w:numPr>
              <w:spacing w:before="0" w:after="0"/>
              <w:jc w:val="left"/>
              <w:rPr>
                <w:rFonts w:ascii="Arial" w:hAnsi="Arial" w:cs="Arial"/>
                <w:sz w:val="20"/>
              </w:rPr>
            </w:pPr>
            <w:r w:rsidRPr="00FB6DEA">
              <w:rPr>
                <w:rFonts w:ascii="Arial" w:hAnsi="Arial" w:cs="Arial"/>
                <w:sz w:val="20"/>
              </w:rPr>
              <w:t>v. Cumplido</w:t>
            </w:r>
          </w:p>
        </w:tc>
        <w:tc>
          <w:tcPr>
            <w:tcW w:w="659" w:type="pct"/>
            <w:shd w:val="clear" w:color="auto" w:fill="auto"/>
          </w:tcPr>
          <w:p w:rsidR="00490014" w:rsidRPr="00FB6DEA" w:rsidRDefault="00490014" w:rsidP="00EE272F">
            <w:pPr>
              <w:pStyle w:val="Paragraph"/>
              <w:numPr>
                <w:ilvl w:val="0"/>
                <w:numId w:val="0"/>
              </w:numPr>
              <w:spacing w:before="0" w:after="0"/>
              <w:jc w:val="left"/>
              <w:rPr>
                <w:rFonts w:ascii="Arial" w:hAnsi="Arial" w:cs="Arial"/>
                <w:sz w:val="20"/>
              </w:rPr>
            </w:pPr>
            <w:r w:rsidRPr="00FB6DEA">
              <w:rPr>
                <w:rFonts w:ascii="Arial" w:hAnsi="Arial" w:cs="Arial"/>
                <w:sz w:val="20"/>
              </w:rPr>
              <w:lastRenderedPageBreak/>
              <w:t xml:space="preserve">La operación está siendo discutida en el Congreso Nacional.  </w:t>
            </w:r>
          </w:p>
        </w:tc>
        <w:tc>
          <w:tcPr>
            <w:tcW w:w="659" w:type="pct"/>
          </w:tcPr>
          <w:p w:rsidR="00490014" w:rsidRPr="00FB6DEA" w:rsidRDefault="00490014" w:rsidP="006F63CB">
            <w:pPr>
              <w:pStyle w:val="Paragraph"/>
              <w:numPr>
                <w:ilvl w:val="0"/>
                <w:numId w:val="0"/>
              </w:numPr>
              <w:spacing w:before="0" w:after="0"/>
              <w:jc w:val="left"/>
              <w:rPr>
                <w:rFonts w:ascii="Arial" w:hAnsi="Arial" w:cs="Arial"/>
                <w:sz w:val="20"/>
              </w:rPr>
            </w:pPr>
            <w:r w:rsidRPr="00FB6DEA">
              <w:rPr>
                <w:rFonts w:ascii="Arial" w:hAnsi="Arial" w:cs="Arial"/>
                <w:sz w:val="20"/>
              </w:rPr>
              <w:t>i. El Decreto 379-14 que ordena la desconcentración administrativa, funcionar y territorial del Viceministerio de Atención a las Personas y de los Servicios Regionales de Salud (SRS), con el objetivo de iniciar el proceso de separación de funciones, fue aprobado por el Presidente de la Republica</w:t>
            </w:r>
          </w:p>
          <w:p w:rsidR="00490014" w:rsidRPr="00FB6DEA" w:rsidRDefault="00490014" w:rsidP="006F63CB">
            <w:pPr>
              <w:pStyle w:val="Paragraph"/>
              <w:numPr>
                <w:ilvl w:val="0"/>
                <w:numId w:val="0"/>
              </w:numPr>
              <w:spacing w:before="0" w:after="0"/>
              <w:jc w:val="left"/>
              <w:rPr>
                <w:rFonts w:ascii="Arial" w:hAnsi="Arial" w:cs="Arial"/>
                <w:sz w:val="20"/>
              </w:rPr>
            </w:pPr>
            <w:r w:rsidRPr="00FB6DEA">
              <w:rPr>
                <w:rFonts w:ascii="Arial" w:hAnsi="Arial" w:cs="Arial"/>
                <w:sz w:val="20"/>
              </w:rPr>
              <w:t>ii. El Modelo de Atención fue oficializado por el MSP</w:t>
            </w:r>
          </w:p>
          <w:p w:rsidR="00490014" w:rsidRPr="00FB6DEA" w:rsidRDefault="00490014" w:rsidP="006F63CB">
            <w:pPr>
              <w:pStyle w:val="Paragraph"/>
              <w:numPr>
                <w:ilvl w:val="0"/>
                <w:numId w:val="0"/>
              </w:numPr>
              <w:spacing w:before="0" w:after="0"/>
              <w:jc w:val="left"/>
              <w:rPr>
                <w:rFonts w:ascii="Arial" w:hAnsi="Arial" w:cs="Arial"/>
                <w:sz w:val="20"/>
              </w:rPr>
            </w:pPr>
            <w:r w:rsidRPr="00FB6DEA">
              <w:rPr>
                <w:rFonts w:ascii="Arial" w:hAnsi="Arial" w:cs="Arial"/>
                <w:sz w:val="20"/>
              </w:rPr>
              <w:t xml:space="preserve">iii. El nuevo organigrama del MSP, orientado hacia su función rectora, fue </w:t>
            </w:r>
            <w:r w:rsidRPr="00FB6DEA">
              <w:rPr>
                <w:rFonts w:ascii="Arial" w:hAnsi="Arial" w:cs="Arial"/>
                <w:sz w:val="20"/>
              </w:rPr>
              <w:lastRenderedPageBreak/>
              <w:t xml:space="preserve">elaborado de modo participativo entre las áreas técnicas del MSP y fue enviado para la aprobación del Ministerio de Administración Pública </w:t>
            </w:r>
          </w:p>
          <w:p w:rsidR="00490014" w:rsidRPr="00FB6DEA" w:rsidRDefault="00490014" w:rsidP="006F63CB">
            <w:pPr>
              <w:pStyle w:val="Paragraph"/>
              <w:numPr>
                <w:ilvl w:val="0"/>
                <w:numId w:val="0"/>
              </w:numPr>
              <w:spacing w:before="0" w:after="0"/>
              <w:jc w:val="left"/>
              <w:rPr>
                <w:rFonts w:ascii="Arial" w:hAnsi="Arial" w:cs="Arial"/>
                <w:sz w:val="20"/>
              </w:rPr>
            </w:pPr>
            <w:r w:rsidRPr="00FB6DEA">
              <w:rPr>
                <w:rFonts w:ascii="Arial" w:hAnsi="Arial" w:cs="Arial"/>
                <w:sz w:val="20"/>
              </w:rPr>
              <w:t>iv. La política nacional de calidad en salud ha sido aprobada por el Ministro de Salud</w:t>
            </w:r>
          </w:p>
          <w:p w:rsidR="00490014" w:rsidRPr="00FB6DEA" w:rsidRDefault="00490014" w:rsidP="006F63CB">
            <w:pPr>
              <w:pStyle w:val="Paragraph"/>
              <w:numPr>
                <w:ilvl w:val="0"/>
                <w:numId w:val="0"/>
              </w:numPr>
              <w:spacing w:before="0" w:after="0"/>
              <w:jc w:val="left"/>
              <w:rPr>
                <w:rFonts w:ascii="Arial" w:hAnsi="Arial" w:cs="Arial"/>
                <w:sz w:val="20"/>
              </w:rPr>
            </w:pPr>
            <w:r w:rsidRPr="00FB6DEA">
              <w:rPr>
                <w:rFonts w:ascii="Arial" w:hAnsi="Arial" w:cs="Arial"/>
                <w:sz w:val="20"/>
              </w:rPr>
              <w:t xml:space="preserve">v. La Ley de Carrera Sanitaria ha sido aprobada por la Cámara de Diputados  </w:t>
            </w:r>
          </w:p>
          <w:p w:rsidR="00490014" w:rsidRPr="00FB6DEA" w:rsidRDefault="00490014">
            <w:pPr>
              <w:pStyle w:val="Paragraph"/>
              <w:numPr>
                <w:ilvl w:val="0"/>
                <w:numId w:val="0"/>
              </w:numPr>
              <w:spacing w:before="0" w:after="0"/>
              <w:jc w:val="left"/>
              <w:rPr>
                <w:rFonts w:ascii="Arial" w:hAnsi="Arial" w:cs="Arial"/>
                <w:sz w:val="20"/>
              </w:rPr>
            </w:pPr>
            <w:r w:rsidRPr="00FB6DEA">
              <w:rPr>
                <w:rFonts w:ascii="Arial" w:hAnsi="Arial" w:cs="Arial"/>
                <w:sz w:val="20"/>
              </w:rPr>
              <w:t>vi. Se contrató una firma para apoyar el gobierno en la actualización del Plan</w:t>
            </w:r>
          </w:p>
          <w:p w:rsidR="00490014" w:rsidRPr="00FB6DEA" w:rsidRDefault="00490014">
            <w:pPr>
              <w:pStyle w:val="Paragraph"/>
              <w:numPr>
                <w:ilvl w:val="0"/>
                <w:numId w:val="0"/>
              </w:numPr>
              <w:spacing w:before="0" w:after="0"/>
              <w:jc w:val="left"/>
              <w:rPr>
                <w:rFonts w:ascii="Arial" w:hAnsi="Arial" w:cs="Arial"/>
                <w:sz w:val="20"/>
              </w:rPr>
            </w:pPr>
            <w:r w:rsidRPr="00FB6DEA">
              <w:rPr>
                <w:rFonts w:ascii="Arial" w:hAnsi="Arial" w:cs="Arial"/>
                <w:sz w:val="20"/>
              </w:rPr>
              <w:t xml:space="preserve">vii. </w:t>
            </w:r>
            <w:r w:rsidRPr="00FB6DEA">
              <w:rPr>
                <w:rFonts w:ascii="Arial" w:hAnsi="Arial" w:cs="Arial"/>
                <w:sz w:val="20"/>
                <w:lang w:val="es-CO"/>
              </w:rPr>
              <w:t xml:space="preserve">SENASA integró a su estructura organizacional una unidad de análisis actuarial </w:t>
            </w:r>
            <w:r w:rsidRPr="00FB6DEA">
              <w:rPr>
                <w:rFonts w:ascii="Arial" w:hAnsi="Arial" w:cs="Arial"/>
                <w:sz w:val="20"/>
                <w:lang w:val="es-CO"/>
              </w:rPr>
              <w:lastRenderedPageBreak/>
              <w:t>para apoyar la entidad en la gestión del riesgo</w:t>
            </w:r>
          </w:p>
          <w:p w:rsidR="00490014" w:rsidRPr="00FB6DEA" w:rsidRDefault="00490014">
            <w:pPr>
              <w:pStyle w:val="Paragraph"/>
              <w:numPr>
                <w:ilvl w:val="0"/>
                <w:numId w:val="0"/>
              </w:numPr>
              <w:spacing w:before="0" w:after="0"/>
              <w:jc w:val="left"/>
              <w:rPr>
                <w:rFonts w:ascii="Arial" w:hAnsi="Arial" w:cs="Arial"/>
                <w:sz w:val="20"/>
              </w:rPr>
            </w:pPr>
          </w:p>
        </w:tc>
        <w:tc>
          <w:tcPr>
            <w:tcW w:w="659" w:type="pct"/>
          </w:tcPr>
          <w:p w:rsidR="00490014" w:rsidRPr="00FB6DEA" w:rsidDel="00EE272F" w:rsidRDefault="00490014" w:rsidP="006F63CB">
            <w:pPr>
              <w:pStyle w:val="Paragraph"/>
              <w:numPr>
                <w:ilvl w:val="0"/>
                <w:numId w:val="0"/>
              </w:numPr>
              <w:spacing w:before="0" w:after="0"/>
              <w:jc w:val="left"/>
              <w:rPr>
                <w:rFonts w:ascii="Arial" w:hAnsi="Arial" w:cs="Arial"/>
                <w:sz w:val="20"/>
              </w:rPr>
            </w:pPr>
          </w:p>
        </w:tc>
      </w:tr>
    </w:tbl>
    <w:p w:rsidR="007076CB" w:rsidRPr="00FB6DEA" w:rsidRDefault="007076CB" w:rsidP="00DF63B3">
      <w:pPr>
        <w:pStyle w:val="Paragraph"/>
        <w:numPr>
          <w:ilvl w:val="0"/>
          <w:numId w:val="0"/>
        </w:numPr>
        <w:tabs>
          <w:tab w:val="left" w:pos="360"/>
        </w:tabs>
        <w:spacing w:after="0"/>
        <w:ind w:left="360" w:hanging="360"/>
        <w:rPr>
          <w:rFonts w:ascii="Arial" w:hAnsi="Arial" w:cs="Arial"/>
          <w:sz w:val="20"/>
        </w:rPr>
      </w:pPr>
      <w:r w:rsidRPr="00FB6DEA">
        <w:rPr>
          <w:rFonts w:ascii="Arial" w:hAnsi="Arial" w:cs="Arial"/>
          <w:sz w:val="20"/>
        </w:rPr>
        <w:lastRenderedPageBreak/>
        <w:t>*</w:t>
      </w:r>
      <w:r w:rsidRPr="00FB6DEA">
        <w:rPr>
          <w:rFonts w:ascii="Arial" w:hAnsi="Arial" w:cs="Arial"/>
          <w:sz w:val="20"/>
        </w:rPr>
        <w:tab/>
        <w:t>Existe un convenio de cooperación entre el Gabinete de Coordinación de Políticas Sociales y el M</w:t>
      </w:r>
      <w:r w:rsidR="00177F04" w:rsidRPr="00FB6DEA">
        <w:rPr>
          <w:rFonts w:ascii="Arial" w:hAnsi="Arial" w:cs="Arial"/>
          <w:sz w:val="20"/>
        </w:rPr>
        <w:t>SP</w:t>
      </w:r>
      <w:r w:rsidRPr="00FB6DEA">
        <w:rPr>
          <w:rFonts w:ascii="Arial" w:hAnsi="Arial" w:cs="Arial"/>
          <w:sz w:val="20"/>
        </w:rPr>
        <w:t xml:space="preserve"> que establece que el último es </w:t>
      </w:r>
      <w:proofErr w:type="spellStart"/>
      <w:r w:rsidRPr="00FB6DEA">
        <w:rPr>
          <w:rFonts w:ascii="Arial" w:hAnsi="Arial" w:cs="Arial"/>
          <w:sz w:val="20"/>
        </w:rPr>
        <w:t>co</w:t>
      </w:r>
      <w:proofErr w:type="spellEnd"/>
      <w:r w:rsidRPr="00FB6DEA">
        <w:rPr>
          <w:rFonts w:ascii="Arial" w:hAnsi="Arial" w:cs="Arial"/>
          <w:sz w:val="20"/>
        </w:rPr>
        <w:t xml:space="preserve">-ejecutor de las actividades </w:t>
      </w:r>
      <w:r w:rsidR="00177F04" w:rsidRPr="00FB6DEA">
        <w:rPr>
          <w:rFonts w:ascii="Arial" w:hAnsi="Arial" w:cs="Arial"/>
          <w:sz w:val="20"/>
        </w:rPr>
        <w:t>relacionadas al sector salud</w:t>
      </w:r>
      <w:r w:rsidRPr="00FB6DEA">
        <w:rPr>
          <w:rFonts w:ascii="Arial" w:hAnsi="Arial" w:cs="Arial"/>
          <w:sz w:val="20"/>
        </w:rPr>
        <w:t>.</w:t>
      </w:r>
    </w:p>
    <w:p w:rsidR="00AF1DE5" w:rsidRPr="00335FDA" w:rsidRDefault="00AF1DE5" w:rsidP="004B6B08">
      <w:pPr>
        <w:rPr>
          <w:b/>
          <w:sz w:val="20"/>
          <w:lang w:val="es-ES_tradnl"/>
        </w:rPr>
      </w:pPr>
    </w:p>
    <w:p w:rsidR="00DE64A1" w:rsidRPr="00FB6DEA" w:rsidRDefault="006377AB" w:rsidP="004B6B08">
      <w:pPr>
        <w:rPr>
          <w:rFonts w:ascii="Arial" w:hAnsi="Arial" w:cs="Arial"/>
          <w:b/>
          <w:sz w:val="20"/>
        </w:rPr>
      </w:pPr>
      <w:proofErr w:type="spellStart"/>
      <w:proofErr w:type="gramStart"/>
      <w:r w:rsidRPr="00FB6DEA">
        <w:rPr>
          <w:rFonts w:ascii="Arial" w:hAnsi="Arial" w:cs="Arial"/>
          <w:b/>
          <w:sz w:val="20"/>
        </w:rPr>
        <w:t>Tabla</w:t>
      </w:r>
      <w:proofErr w:type="spellEnd"/>
      <w:r w:rsidRPr="00FB6DEA">
        <w:rPr>
          <w:rFonts w:ascii="Arial" w:hAnsi="Arial" w:cs="Arial"/>
          <w:b/>
          <w:sz w:val="20"/>
        </w:rPr>
        <w:t xml:space="preserve"> 2.</w:t>
      </w:r>
      <w:proofErr w:type="gramEnd"/>
      <w:r w:rsidR="00DE64A1" w:rsidRPr="00FB6DEA">
        <w:rPr>
          <w:rFonts w:ascii="Arial" w:hAnsi="Arial" w:cs="Arial"/>
          <w:b/>
          <w:sz w:val="20"/>
        </w:rPr>
        <w:t xml:space="preserve"> </w:t>
      </w:r>
      <w:proofErr w:type="spellStart"/>
      <w:r w:rsidR="00DE64A1" w:rsidRPr="00FB6DEA">
        <w:rPr>
          <w:rFonts w:ascii="Arial" w:hAnsi="Arial" w:cs="Arial"/>
          <w:b/>
          <w:sz w:val="20"/>
        </w:rPr>
        <w:t>Asistencia</w:t>
      </w:r>
      <w:proofErr w:type="spellEnd"/>
      <w:r w:rsidR="00DE64A1" w:rsidRPr="00FB6DEA">
        <w:rPr>
          <w:rFonts w:ascii="Arial" w:hAnsi="Arial" w:cs="Arial"/>
          <w:b/>
          <w:sz w:val="20"/>
        </w:rPr>
        <w:t xml:space="preserve"> </w:t>
      </w:r>
      <w:proofErr w:type="spellStart"/>
      <w:r w:rsidR="00DE64A1" w:rsidRPr="00FB6DEA">
        <w:rPr>
          <w:rFonts w:ascii="Arial" w:hAnsi="Arial" w:cs="Arial"/>
          <w:b/>
          <w:sz w:val="20"/>
        </w:rPr>
        <w:t>Técnica</w:t>
      </w:r>
      <w:proofErr w:type="spellEnd"/>
    </w:p>
    <w:p w:rsidR="00DE64A1" w:rsidRDefault="00DE64A1" w:rsidP="008E5CF1">
      <w:pPr>
        <w:pStyle w:val="Paragraph"/>
        <w:numPr>
          <w:ilvl w:val="0"/>
          <w:numId w:val="0"/>
        </w:numPr>
        <w:tabs>
          <w:tab w:val="left" w:pos="360"/>
        </w:tabs>
        <w:spacing w:before="0" w:after="0"/>
        <w:ind w:left="360" w:hanging="360"/>
        <w:outlineLvl w:val="9"/>
        <w:rPr>
          <w:b/>
          <w:sz w:val="20"/>
        </w:rPr>
      </w:pPr>
    </w:p>
    <w:tbl>
      <w:tblPr>
        <w:tblStyle w:val="TableGrid"/>
        <w:tblW w:w="0" w:type="auto"/>
        <w:tblInd w:w="360" w:type="dxa"/>
        <w:tblLook w:val="04A0" w:firstRow="1" w:lastRow="0" w:firstColumn="1" w:lastColumn="0" w:noHBand="0" w:noVBand="1"/>
      </w:tblPr>
      <w:tblGrid>
        <w:gridCol w:w="1462"/>
        <w:gridCol w:w="3830"/>
        <w:gridCol w:w="3924"/>
      </w:tblGrid>
      <w:tr w:rsidR="00F3772F" w:rsidRPr="00FB6DEA" w:rsidTr="008E5CF1">
        <w:tc>
          <w:tcPr>
            <w:tcW w:w="0" w:type="auto"/>
            <w:shd w:val="clear" w:color="auto" w:fill="BFBFBF" w:themeFill="background1" w:themeFillShade="BF"/>
          </w:tcPr>
          <w:p w:rsidR="00F3772F" w:rsidRPr="00FB6DEA" w:rsidRDefault="00EB1AC7" w:rsidP="008E5CF1">
            <w:pPr>
              <w:pStyle w:val="Paragraph"/>
              <w:numPr>
                <w:ilvl w:val="0"/>
                <w:numId w:val="0"/>
              </w:numPr>
              <w:tabs>
                <w:tab w:val="left" w:pos="360"/>
              </w:tabs>
              <w:spacing w:before="0" w:after="0"/>
              <w:jc w:val="center"/>
              <w:outlineLvl w:val="9"/>
              <w:rPr>
                <w:rFonts w:ascii="Arial" w:hAnsi="Arial" w:cs="Arial"/>
                <w:sz w:val="20"/>
              </w:rPr>
            </w:pPr>
            <w:r w:rsidRPr="00FB6DEA">
              <w:rPr>
                <w:rFonts w:ascii="Arial" w:hAnsi="Arial" w:cs="Arial"/>
                <w:sz w:val="20"/>
              </w:rPr>
              <w:t>Número</w:t>
            </w:r>
          </w:p>
        </w:tc>
        <w:tc>
          <w:tcPr>
            <w:tcW w:w="5600" w:type="dxa"/>
            <w:shd w:val="clear" w:color="auto" w:fill="BFBFBF" w:themeFill="background1" w:themeFillShade="BF"/>
          </w:tcPr>
          <w:p w:rsidR="00F3772F" w:rsidRPr="00FB6DEA" w:rsidRDefault="00EB1AC7" w:rsidP="008E5CF1">
            <w:pPr>
              <w:pStyle w:val="Paragraph"/>
              <w:numPr>
                <w:ilvl w:val="0"/>
                <w:numId w:val="0"/>
              </w:numPr>
              <w:tabs>
                <w:tab w:val="left" w:pos="360"/>
              </w:tabs>
              <w:spacing w:before="0" w:after="0"/>
              <w:jc w:val="center"/>
              <w:outlineLvl w:val="9"/>
              <w:rPr>
                <w:rFonts w:ascii="Arial" w:hAnsi="Arial" w:cs="Arial"/>
                <w:sz w:val="20"/>
              </w:rPr>
            </w:pPr>
            <w:r w:rsidRPr="00FB6DEA">
              <w:rPr>
                <w:rFonts w:ascii="Arial" w:hAnsi="Arial" w:cs="Arial"/>
                <w:sz w:val="20"/>
              </w:rPr>
              <w:t>DR</w:t>
            </w:r>
            <w:r w:rsidR="00F3772F" w:rsidRPr="00FB6DEA">
              <w:rPr>
                <w:rFonts w:ascii="Arial" w:hAnsi="Arial" w:cs="Arial"/>
                <w:sz w:val="20"/>
              </w:rPr>
              <w:t>-</w:t>
            </w:r>
            <w:r w:rsidRPr="00FB6DEA">
              <w:rPr>
                <w:rFonts w:ascii="Arial" w:hAnsi="Arial" w:cs="Arial"/>
                <w:sz w:val="20"/>
              </w:rPr>
              <w:t>T</w:t>
            </w:r>
            <w:r w:rsidR="00F3772F" w:rsidRPr="00FB6DEA">
              <w:rPr>
                <w:rFonts w:ascii="Arial" w:hAnsi="Arial" w:cs="Arial"/>
                <w:sz w:val="20"/>
              </w:rPr>
              <w:t>1098</w:t>
            </w:r>
          </w:p>
        </w:tc>
        <w:tc>
          <w:tcPr>
            <w:tcW w:w="5601" w:type="dxa"/>
            <w:shd w:val="clear" w:color="auto" w:fill="BFBFBF" w:themeFill="background1" w:themeFillShade="BF"/>
          </w:tcPr>
          <w:p w:rsidR="00F3772F" w:rsidRPr="00FB6DEA" w:rsidRDefault="00EB1AC7" w:rsidP="008E5CF1">
            <w:pPr>
              <w:pStyle w:val="Paragraph"/>
              <w:numPr>
                <w:ilvl w:val="0"/>
                <w:numId w:val="0"/>
              </w:numPr>
              <w:tabs>
                <w:tab w:val="left" w:pos="360"/>
              </w:tabs>
              <w:spacing w:before="0" w:after="0"/>
              <w:jc w:val="center"/>
              <w:outlineLvl w:val="9"/>
              <w:rPr>
                <w:rFonts w:ascii="Arial" w:hAnsi="Arial" w:cs="Arial"/>
                <w:sz w:val="20"/>
              </w:rPr>
            </w:pPr>
            <w:r w:rsidRPr="00FB6DEA">
              <w:rPr>
                <w:rFonts w:ascii="Arial" w:hAnsi="Arial" w:cs="Arial"/>
                <w:sz w:val="20"/>
              </w:rPr>
              <w:t>DR</w:t>
            </w:r>
            <w:r w:rsidR="00F3772F" w:rsidRPr="00FB6DEA">
              <w:rPr>
                <w:rFonts w:ascii="Arial" w:hAnsi="Arial" w:cs="Arial"/>
                <w:sz w:val="20"/>
              </w:rPr>
              <w:t>-</w:t>
            </w:r>
            <w:r w:rsidRPr="00FB6DEA">
              <w:rPr>
                <w:rFonts w:ascii="Arial" w:hAnsi="Arial" w:cs="Arial"/>
                <w:sz w:val="20"/>
              </w:rPr>
              <w:t>T</w:t>
            </w:r>
            <w:r w:rsidR="00F3772F" w:rsidRPr="00FB6DEA">
              <w:rPr>
                <w:rFonts w:ascii="Arial" w:hAnsi="Arial" w:cs="Arial"/>
                <w:sz w:val="20"/>
              </w:rPr>
              <w:t>1111</w:t>
            </w:r>
          </w:p>
        </w:tc>
      </w:tr>
      <w:tr w:rsidR="00337F39" w:rsidRPr="00FB6DEA" w:rsidTr="008E5CF1">
        <w:tc>
          <w:tcPr>
            <w:tcW w:w="0" w:type="auto"/>
            <w:shd w:val="clear" w:color="auto" w:fill="BFBFBF" w:themeFill="background1" w:themeFillShade="BF"/>
            <w:vAlign w:val="center"/>
          </w:tcPr>
          <w:p w:rsidR="00337F39" w:rsidRPr="00FB6DEA" w:rsidRDefault="00337F39" w:rsidP="008E5CF1">
            <w:pPr>
              <w:pStyle w:val="Paragraph"/>
              <w:numPr>
                <w:ilvl w:val="0"/>
                <w:numId w:val="0"/>
              </w:numPr>
              <w:tabs>
                <w:tab w:val="left" w:pos="360"/>
              </w:tabs>
              <w:spacing w:before="0" w:after="0"/>
              <w:jc w:val="left"/>
              <w:outlineLvl w:val="9"/>
              <w:rPr>
                <w:rFonts w:ascii="Arial" w:hAnsi="Arial" w:cs="Arial"/>
                <w:sz w:val="20"/>
              </w:rPr>
            </w:pPr>
            <w:r w:rsidRPr="00FB6DEA">
              <w:rPr>
                <w:rFonts w:ascii="Arial" w:hAnsi="Arial" w:cs="Arial"/>
                <w:sz w:val="20"/>
              </w:rPr>
              <w:t>Componentes Sector Salud</w:t>
            </w:r>
          </w:p>
        </w:tc>
        <w:tc>
          <w:tcPr>
            <w:tcW w:w="5600" w:type="dxa"/>
            <w:shd w:val="clear" w:color="auto" w:fill="BFBFBF" w:themeFill="background1" w:themeFillShade="BF"/>
            <w:vAlign w:val="center"/>
          </w:tcPr>
          <w:p w:rsidR="00337F39" w:rsidRPr="00FB6DEA" w:rsidRDefault="00337F39" w:rsidP="008E5CF1">
            <w:pPr>
              <w:pStyle w:val="Paragraph"/>
              <w:numPr>
                <w:ilvl w:val="0"/>
                <w:numId w:val="0"/>
              </w:numPr>
              <w:tabs>
                <w:tab w:val="left" w:pos="360"/>
              </w:tabs>
              <w:spacing w:before="0" w:after="0"/>
              <w:jc w:val="center"/>
              <w:outlineLvl w:val="9"/>
              <w:rPr>
                <w:rFonts w:ascii="Arial" w:hAnsi="Arial" w:cs="Arial"/>
                <w:sz w:val="20"/>
              </w:rPr>
            </w:pPr>
            <w:r w:rsidRPr="00FB6DEA">
              <w:rPr>
                <w:rFonts w:ascii="Arial" w:hAnsi="Arial" w:cs="Arial"/>
                <w:sz w:val="20"/>
              </w:rPr>
              <w:t>Componente 2. Reforma del Sector Salud</w:t>
            </w:r>
          </w:p>
        </w:tc>
        <w:tc>
          <w:tcPr>
            <w:tcW w:w="5601" w:type="dxa"/>
            <w:shd w:val="clear" w:color="auto" w:fill="BFBFBF" w:themeFill="background1" w:themeFillShade="BF"/>
            <w:vAlign w:val="center"/>
          </w:tcPr>
          <w:p w:rsidR="00337F39" w:rsidRPr="00FB6DEA" w:rsidRDefault="00337F39" w:rsidP="008E5CF1">
            <w:pPr>
              <w:pStyle w:val="Paragraph"/>
              <w:numPr>
                <w:ilvl w:val="0"/>
                <w:numId w:val="0"/>
              </w:numPr>
              <w:tabs>
                <w:tab w:val="left" w:pos="360"/>
              </w:tabs>
              <w:spacing w:before="0" w:after="0"/>
              <w:jc w:val="center"/>
              <w:outlineLvl w:val="9"/>
              <w:rPr>
                <w:rFonts w:ascii="Arial" w:hAnsi="Arial" w:cs="Arial"/>
                <w:sz w:val="20"/>
              </w:rPr>
            </w:pPr>
            <w:r w:rsidRPr="00FB6DEA">
              <w:rPr>
                <w:rFonts w:ascii="Arial" w:hAnsi="Arial" w:cs="Arial"/>
                <w:sz w:val="20"/>
              </w:rPr>
              <w:t>Componente 2. Apoyo al proceso de institucionalización de</w:t>
            </w:r>
            <w:r w:rsidR="00FE3B04" w:rsidRPr="00FB6DEA">
              <w:rPr>
                <w:rFonts w:ascii="Arial" w:hAnsi="Arial" w:cs="Arial"/>
                <w:sz w:val="20"/>
              </w:rPr>
              <w:t>l</w:t>
            </w:r>
            <w:r w:rsidRPr="00FB6DEA">
              <w:rPr>
                <w:rFonts w:ascii="Arial" w:hAnsi="Arial" w:cs="Arial"/>
                <w:sz w:val="20"/>
              </w:rPr>
              <w:t xml:space="preserve"> sistema de priorización en salud</w:t>
            </w:r>
          </w:p>
        </w:tc>
      </w:tr>
      <w:tr w:rsidR="00337F39" w:rsidRPr="00FB6DEA" w:rsidTr="008E5CF1">
        <w:tc>
          <w:tcPr>
            <w:tcW w:w="0" w:type="auto"/>
            <w:shd w:val="clear" w:color="auto" w:fill="BFBFBF" w:themeFill="background1" w:themeFillShade="BF"/>
            <w:vAlign w:val="center"/>
          </w:tcPr>
          <w:p w:rsidR="00337F39" w:rsidRPr="00FB6DEA" w:rsidRDefault="00337F39" w:rsidP="008E5CF1">
            <w:pPr>
              <w:pStyle w:val="Paragraph"/>
              <w:numPr>
                <w:ilvl w:val="0"/>
                <w:numId w:val="0"/>
              </w:numPr>
              <w:tabs>
                <w:tab w:val="left" w:pos="360"/>
              </w:tabs>
              <w:spacing w:before="0" w:after="0"/>
              <w:jc w:val="left"/>
              <w:outlineLvl w:val="9"/>
              <w:rPr>
                <w:rFonts w:ascii="Arial" w:hAnsi="Arial" w:cs="Arial"/>
                <w:sz w:val="20"/>
              </w:rPr>
            </w:pPr>
            <w:r w:rsidRPr="00FB6DEA">
              <w:rPr>
                <w:rFonts w:ascii="Arial" w:hAnsi="Arial" w:cs="Arial"/>
                <w:sz w:val="20"/>
              </w:rPr>
              <w:t>Monto (US$)</w:t>
            </w:r>
          </w:p>
        </w:tc>
        <w:tc>
          <w:tcPr>
            <w:tcW w:w="5600" w:type="dxa"/>
            <w:shd w:val="clear" w:color="auto" w:fill="BFBFBF" w:themeFill="background1" w:themeFillShade="BF"/>
            <w:vAlign w:val="center"/>
          </w:tcPr>
          <w:p w:rsidR="00337F39" w:rsidRPr="00FB6DEA" w:rsidRDefault="00337F39" w:rsidP="008E5CF1">
            <w:pPr>
              <w:pStyle w:val="Paragraph"/>
              <w:numPr>
                <w:ilvl w:val="0"/>
                <w:numId w:val="0"/>
              </w:numPr>
              <w:tabs>
                <w:tab w:val="left" w:pos="360"/>
              </w:tabs>
              <w:spacing w:before="0" w:after="0"/>
              <w:jc w:val="center"/>
              <w:outlineLvl w:val="9"/>
              <w:rPr>
                <w:rFonts w:ascii="Arial" w:hAnsi="Arial" w:cs="Arial"/>
                <w:sz w:val="20"/>
              </w:rPr>
            </w:pPr>
            <w:r w:rsidRPr="00FB6DEA">
              <w:rPr>
                <w:rFonts w:ascii="Arial" w:hAnsi="Arial" w:cs="Arial"/>
                <w:sz w:val="20"/>
              </w:rPr>
              <w:t>358,000</w:t>
            </w:r>
          </w:p>
        </w:tc>
        <w:tc>
          <w:tcPr>
            <w:tcW w:w="5601" w:type="dxa"/>
            <w:shd w:val="clear" w:color="auto" w:fill="BFBFBF" w:themeFill="background1" w:themeFillShade="BF"/>
            <w:vAlign w:val="center"/>
          </w:tcPr>
          <w:p w:rsidR="00337F39" w:rsidRPr="00FB6DEA" w:rsidRDefault="00666C18" w:rsidP="008E5CF1">
            <w:pPr>
              <w:pStyle w:val="Paragraph"/>
              <w:numPr>
                <w:ilvl w:val="0"/>
                <w:numId w:val="0"/>
              </w:numPr>
              <w:tabs>
                <w:tab w:val="left" w:pos="360"/>
              </w:tabs>
              <w:spacing w:before="0" w:after="0"/>
              <w:jc w:val="center"/>
              <w:outlineLvl w:val="9"/>
              <w:rPr>
                <w:rFonts w:ascii="Arial" w:hAnsi="Arial" w:cs="Arial"/>
                <w:sz w:val="20"/>
              </w:rPr>
            </w:pPr>
            <w:r w:rsidRPr="00FB6DEA">
              <w:rPr>
                <w:rFonts w:ascii="Arial" w:hAnsi="Arial" w:cs="Arial"/>
                <w:sz w:val="20"/>
              </w:rPr>
              <w:t>300</w:t>
            </w:r>
            <w:r w:rsidR="00337F39" w:rsidRPr="00FB6DEA">
              <w:rPr>
                <w:rFonts w:ascii="Arial" w:hAnsi="Arial" w:cs="Arial"/>
                <w:sz w:val="20"/>
              </w:rPr>
              <w:t>,000</w:t>
            </w:r>
          </w:p>
        </w:tc>
      </w:tr>
      <w:tr w:rsidR="00337F39" w:rsidRPr="00FB6DEA" w:rsidTr="004B6B08">
        <w:tc>
          <w:tcPr>
            <w:tcW w:w="0" w:type="auto"/>
            <w:shd w:val="clear" w:color="auto" w:fill="BFBFBF" w:themeFill="background1" w:themeFillShade="BF"/>
            <w:vAlign w:val="center"/>
          </w:tcPr>
          <w:p w:rsidR="00337F39" w:rsidRPr="00FB6DEA" w:rsidRDefault="00A025E3" w:rsidP="008E5CF1">
            <w:pPr>
              <w:pStyle w:val="Paragraph"/>
              <w:numPr>
                <w:ilvl w:val="0"/>
                <w:numId w:val="0"/>
              </w:numPr>
              <w:tabs>
                <w:tab w:val="left" w:pos="360"/>
              </w:tabs>
              <w:spacing w:before="0" w:after="0"/>
              <w:jc w:val="left"/>
              <w:outlineLvl w:val="9"/>
              <w:rPr>
                <w:rFonts w:ascii="Arial" w:hAnsi="Arial" w:cs="Arial"/>
                <w:sz w:val="20"/>
              </w:rPr>
            </w:pPr>
            <w:r w:rsidRPr="00FB6DEA">
              <w:rPr>
                <w:rFonts w:ascii="Arial" w:hAnsi="Arial" w:cs="Arial"/>
                <w:sz w:val="20"/>
              </w:rPr>
              <w:t xml:space="preserve">% </w:t>
            </w:r>
            <w:r w:rsidR="00337F39" w:rsidRPr="00FB6DEA">
              <w:rPr>
                <w:rFonts w:ascii="Arial" w:hAnsi="Arial" w:cs="Arial"/>
                <w:sz w:val="20"/>
              </w:rPr>
              <w:t>de ejecución</w:t>
            </w:r>
          </w:p>
        </w:tc>
        <w:tc>
          <w:tcPr>
            <w:tcW w:w="5600" w:type="dxa"/>
            <w:shd w:val="clear" w:color="auto" w:fill="BFBFBF" w:themeFill="background1" w:themeFillShade="BF"/>
            <w:vAlign w:val="center"/>
          </w:tcPr>
          <w:p w:rsidR="00337F39" w:rsidRPr="00FB6DEA" w:rsidRDefault="00337F39" w:rsidP="008E5CF1">
            <w:pPr>
              <w:pStyle w:val="Paragraph"/>
              <w:numPr>
                <w:ilvl w:val="0"/>
                <w:numId w:val="0"/>
              </w:numPr>
              <w:tabs>
                <w:tab w:val="left" w:pos="360"/>
              </w:tabs>
              <w:spacing w:before="0" w:after="0"/>
              <w:jc w:val="center"/>
              <w:outlineLvl w:val="9"/>
              <w:rPr>
                <w:rFonts w:ascii="Arial" w:hAnsi="Arial" w:cs="Arial"/>
                <w:sz w:val="20"/>
              </w:rPr>
            </w:pPr>
            <w:r w:rsidRPr="00FB6DEA">
              <w:rPr>
                <w:rFonts w:ascii="Arial" w:hAnsi="Arial" w:cs="Arial"/>
                <w:sz w:val="20"/>
              </w:rPr>
              <w:t>42.12%</w:t>
            </w:r>
          </w:p>
        </w:tc>
        <w:tc>
          <w:tcPr>
            <w:tcW w:w="5601" w:type="dxa"/>
            <w:shd w:val="clear" w:color="auto" w:fill="BFBFBF" w:themeFill="background1" w:themeFillShade="BF"/>
            <w:vAlign w:val="center"/>
          </w:tcPr>
          <w:p w:rsidR="00337F39" w:rsidRPr="00FB6DEA" w:rsidRDefault="006E1F83">
            <w:pPr>
              <w:pStyle w:val="Paragraph"/>
              <w:numPr>
                <w:ilvl w:val="0"/>
                <w:numId w:val="0"/>
              </w:numPr>
              <w:tabs>
                <w:tab w:val="left" w:pos="360"/>
              </w:tabs>
              <w:spacing w:before="0" w:after="0"/>
              <w:jc w:val="center"/>
              <w:outlineLvl w:val="9"/>
              <w:rPr>
                <w:rFonts w:ascii="Arial" w:hAnsi="Arial" w:cs="Arial"/>
                <w:sz w:val="20"/>
              </w:rPr>
            </w:pPr>
            <w:r w:rsidRPr="00FB6DEA">
              <w:rPr>
                <w:rFonts w:ascii="Arial" w:hAnsi="Arial" w:cs="Arial"/>
                <w:sz w:val="20"/>
              </w:rPr>
              <w:t>24%</w:t>
            </w:r>
          </w:p>
        </w:tc>
      </w:tr>
      <w:tr w:rsidR="00337F39" w:rsidRPr="00FB6DEA" w:rsidTr="00666C18">
        <w:tc>
          <w:tcPr>
            <w:tcW w:w="0" w:type="auto"/>
            <w:vAlign w:val="center"/>
          </w:tcPr>
          <w:p w:rsidR="00337F39" w:rsidRPr="00FB6DEA" w:rsidRDefault="00337F39" w:rsidP="008E5CF1">
            <w:pPr>
              <w:pStyle w:val="Paragraph"/>
              <w:numPr>
                <w:ilvl w:val="0"/>
                <w:numId w:val="0"/>
              </w:numPr>
              <w:tabs>
                <w:tab w:val="left" w:pos="360"/>
              </w:tabs>
              <w:spacing w:before="0" w:after="0"/>
              <w:jc w:val="left"/>
              <w:outlineLvl w:val="9"/>
              <w:rPr>
                <w:rFonts w:ascii="Arial" w:hAnsi="Arial" w:cs="Arial"/>
                <w:sz w:val="20"/>
              </w:rPr>
            </w:pPr>
            <w:r w:rsidRPr="00FB6DEA">
              <w:rPr>
                <w:rFonts w:ascii="Arial" w:hAnsi="Arial" w:cs="Arial"/>
                <w:sz w:val="20"/>
              </w:rPr>
              <w:t>Objetivos</w:t>
            </w:r>
          </w:p>
        </w:tc>
        <w:tc>
          <w:tcPr>
            <w:tcW w:w="5600" w:type="dxa"/>
          </w:tcPr>
          <w:p w:rsidR="00337F39" w:rsidRPr="00FB6DEA" w:rsidRDefault="00337F39" w:rsidP="008E5CF1">
            <w:pPr>
              <w:pStyle w:val="Paragraph"/>
              <w:numPr>
                <w:ilvl w:val="0"/>
                <w:numId w:val="8"/>
              </w:numPr>
              <w:tabs>
                <w:tab w:val="left" w:pos="360"/>
              </w:tabs>
              <w:spacing w:before="0" w:after="0"/>
              <w:ind w:left="365" w:hanging="365"/>
              <w:outlineLvl w:val="9"/>
              <w:rPr>
                <w:rFonts w:ascii="Arial" w:hAnsi="Arial" w:cs="Arial"/>
                <w:sz w:val="20"/>
              </w:rPr>
            </w:pPr>
            <w:r w:rsidRPr="00FB6DEA">
              <w:rPr>
                <w:rFonts w:ascii="Arial" w:hAnsi="Arial" w:cs="Arial"/>
                <w:sz w:val="20"/>
              </w:rPr>
              <w:t xml:space="preserve">Proveer asistencia técnica para </w:t>
            </w:r>
            <w:r w:rsidR="006E19CF" w:rsidRPr="00FB6DEA">
              <w:rPr>
                <w:rFonts w:ascii="Arial" w:hAnsi="Arial" w:cs="Arial"/>
                <w:sz w:val="20"/>
              </w:rPr>
              <w:t xml:space="preserve">la </w:t>
            </w:r>
            <w:r w:rsidRPr="00FB6DEA">
              <w:rPr>
                <w:rFonts w:ascii="Arial" w:hAnsi="Arial" w:cs="Arial"/>
                <w:sz w:val="20"/>
              </w:rPr>
              <w:t>separación de funciones de</w:t>
            </w:r>
            <w:r w:rsidR="00A025E3" w:rsidRPr="00FB6DEA">
              <w:rPr>
                <w:rFonts w:ascii="Arial" w:hAnsi="Arial" w:cs="Arial"/>
                <w:sz w:val="20"/>
              </w:rPr>
              <w:t>l</w:t>
            </w:r>
            <w:r w:rsidRPr="00FB6DEA">
              <w:rPr>
                <w:rFonts w:ascii="Arial" w:hAnsi="Arial" w:cs="Arial"/>
                <w:sz w:val="20"/>
              </w:rPr>
              <w:t xml:space="preserve"> sector</w:t>
            </w:r>
            <w:r w:rsidR="00A025E3" w:rsidRPr="00FB6DEA">
              <w:rPr>
                <w:rFonts w:ascii="Arial" w:hAnsi="Arial" w:cs="Arial"/>
                <w:sz w:val="20"/>
              </w:rPr>
              <w:t xml:space="preserve"> salud</w:t>
            </w:r>
          </w:p>
          <w:p w:rsidR="00337F39" w:rsidRPr="00FB6DEA" w:rsidRDefault="006E1F83" w:rsidP="004B6B08">
            <w:pPr>
              <w:pStyle w:val="Paragraph"/>
              <w:numPr>
                <w:ilvl w:val="0"/>
                <w:numId w:val="8"/>
              </w:numPr>
              <w:tabs>
                <w:tab w:val="left" w:pos="360"/>
              </w:tabs>
              <w:spacing w:before="0" w:after="0"/>
              <w:ind w:left="365" w:hanging="365"/>
              <w:outlineLvl w:val="9"/>
              <w:rPr>
                <w:rFonts w:ascii="Arial" w:hAnsi="Arial" w:cs="Arial"/>
                <w:b/>
                <w:sz w:val="20"/>
              </w:rPr>
            </w:pPr>
            <w:r w:rsidRPr="00FB6DEA">
              <w:rPr>
                <w:rFonts w:ascii="Arial" w:hAnsi="Arial" w:cs="Arial"/>
                <w:sz w:val="20"/>
              </w:rPr>
              <w:t>Proveer asistencia técnica para fortalecer el Sistema Dominicano de Seguridad Social</w:t>
            </w:r>
          </w:p>
        </w:tc>
        <w:tc>
          <w:tcPr>
            <w:tcW w:w="5601" w:type="dxa"/>
          </w:tcPr>
          <w:p w:rsidR="00337F39" w:rsidRPr="00FB6DEA" w:rsidRDefault="00337F39" w:rsidP="00666C18">
            <w:pPr>
              <w:pStyle w:val="Paragraph"/>
              <w:numPr>
                <w:ilvl w:val="0"/>
                <w:numId w:val="12"/>
              </w:numPr>
              <w:tabs>
                <w:tab w:val="left" w:pos="360"/>
              </w:tabs>
              <w:spacing w:before="0" w:after="0"/>
              <w:ind w:left="345"/>
              <w:jc w:val="left"/>
              <w:outlineLvl w:val="9"/>
              <w:rPr>
                <w:rFonts w:ascii="Arial" w:hAnsi="Arial" w:cs="Arial"/>
                <w:sz w:val="20"/>
              </w:rPr>
            </w:pPr>
            <w:r w:rsidRPr="00FB6DEA">
              <w:rPr>
                <w:rFonts w:ascii="Arial" w:hAnsi="Arial" w:cs="Arial"/>
                <w:sz w:val="20"/>
              </w:rPr>
              <w:t xml:space="preserve">Apoyar </w:t>
            </w:r>
            <w:r w:rsidR="006E19CF" w:rsidRPr="00FB6DEA">
              <w:rPr>
                <w:rFonts w:ascii="Arial" w:hAnsi="Arial" w:cs="Arial"/>
                <w:sz w:val="20"/>
              </w:rPr>
              <w:t>el</w:t>
            </w:r>
            <w:r w:rsidRPr="00FB6DEA">
              <w:rPr>
                <w:rFonts w:ascii="Arial" w:hAnsi="Arial" w:cs="Arial"/>
                <w:sz w:val="20"/>
              </w:rPr>
              <w:t xml:space="preserve"> </w:t>
            </w:r>
            <w:r w:rsidR="00A025E3" w:rsidRPr="00FB6DEA">
              <w:rPr>
                <w:rFonts w:ascii="Arial" w:hAnsi="Arial" w:cs="Arial"/>
                <w:sz w:val="20"/>
              </w:rPr>
              <w:t>gobierno</w:t>
            </w:r>
            <w:r w:rsidRPr="00FB6DEA">
              <w:rPr>
                <w:rFonts w:ascii="Arial" w:hAnsi="Arial" w:cs="Arial"/>
                <w:sz w:val="20"/>
              </w:rPr>
              <w:t xml:space="preserve"> en</w:t>
            </w:r>
            <w:r w:rsidR="006E19CF" w:rsidRPr="00FB6DEA">
              <w:rPr>
                <w:rFonts w:ascii="Arial" w:hAnsi="Arial" w:cs="Arial"/>
                <w:sz w:val="20"/>
              </w:rPr>
              <w:t xml:space="preserve"> la</w:t>
            </w:r>
            <w:r w:rsidRPr="00FB6DEA">
              <w:rPr>
                <w:rFonts w:ascii="Arial" w:hAnsi="Arial" w:cs="Arial"/>
                <w:sz w:val="20"/>
              </w:rPr>
              <w:t xml:space="preserve"> toma de decisiones para mejorar</w:t>
            </w:r>
            <w:r w:rsidR="00A025E3" w:rsidRPr="00FB6DEA">
              <w:rPr>
                <w:rFonts w:ascii="Arial" w:hAnsi="Arial" w:cs="Arial"/>
                <w:sz w:val="20"/>
              </w:rPr>
              <w:t xml:space="preserve"> la asignación del </w:t>
            </w:r>
            <w:r w:rsidRPr="00FB6DEA">
              <w:rPr>
                <w:rFonts w:ascii="Arial" w:hAnsi="Arial" w:cs="Arial"/>
                <w:sz w:val="20"/>
              </w:rPr>
              <w:t>gasto público en salud</w:t>
            </w:r>
          </w:p>
        </w:tc>
      </w:tr>
      <w:tr w:rsidR="00337F39" w:rsidRPr="00FB6DEA" w:rsidTr="00FB6DEA">
        <w:trPr>
          <w:trHeight w:val="1070"/>
        </w:trPr>
        <w:tc>
          <w:tcPr>
            <w:tcW w:w="0" w:type="auto"/>
            <w:vAlign w:val="center"/>
          </w:tcPr>
          <w:p w:rsidR="00337F39" w:rsidRPr="00FB6DEA" w:rsidRDefault="00337F39" w:rsidP="008E5CF1">
            <w:pPr>
              <w:pStyle w:val="Paragraph"/>
              <w:numPr>
                <w:ilvl w:val="0"/>
                <w:numId w:val="0"/>
              </w:numPr>
              <w:tabs>
                <w:tab w:val="left" w:pos="360"/>
              </w:tabs>
              <w:spacing w:before="0" w:after="0"/>
              <w:jc w:val="left"/>
              <w:outlineLvl w:val="9"/>
              <w:rPr>
                <w:rFonts w:ascii="Arial" w:hAnsi="Arial" w:cs="Arial"/>
                <w:b/>
                <w:sz w:val="20"/>
              </w:rPr>
            </w:pPr>
            <w:r w:rsidRPr="00FB6DEA">
              <w:rPr>
                <w:rFonts w:ascii="Arial" w:hAnsi="Arial" w:cs="Arial"/>
                <w:sz w:val="20"/>
              </w:rPr>
              <w:t>Actividades a financiar</w:t>
            </w:r>
          </w:p>
        </w:tc>
        <w:tc>
          <w:tcPr>
            <w:tcW w:w="5600" w:type="dxa"/>
          </w:tcPr>
          <w:p w:rsidR="008E78E5" w:rsidRPr="00FB6DEA" w:rsidRDefault="008E78E5" w:rsidP="008E5CF1">
            <w:pPr>
              <w:pStyle w:val="Paragraph"/>
              <w:numPr>
                <w:ilvl w:val="0"/>
                <w:numId w:val="9"/>
              </w:numPr>
              <w:tabs>
                <w:tab w:val="left" w:pos="360"/>
              </w:tabs>
              <w:spacing w:before="0" w:after="0"/>
              <w:ind w:left="365" w:hanging="365"/>
              <w:outlineLvl w:val="9"/>
              <w:rPr>
                <w:rFonts w:ascii="Arial" w:hAnsi="Arial" w:cs="Arial"/>
                <w:sz w:val="20"/>
              </w:rPr>
            </w:pPr>
            <w:r w:rsidRPr="00FB6DEA">
              <w:rPr>
                <w:rFonts w:ascii="Arial" w:hAnsi="Arial" w:cs="Arial"/>
                <w:sz w:val="20"/>
              </w:rPr>
              <w:t xml:space="preserve">Asistencia técnica </w:t>
            </w:r>
            <w:r w:rsidR="004F5866" w:rsidRPr="00FB6DEA">
              <w:rPr>
                <w:rFonts w:ascii="Arial" w:hAnsi="Arial" w:cs="Arial"/>
                <w:sz w:val="20"/>
              </w:rPr>
              <w:t>para</w:t>
            </w:r>
            <w:r w:rsidRPr="00FB6DEA">
              <w:rPr>
                <w:rFonts w:ascii="Arial" w:hAnsi="Arial" w:cs="Arial"/>
                <w:sz w:val="20"/>
              </w:rPr>
              <w:t xml:space="preserve"> la formulación de </w:t>
            </w:r>
            <w:r w:rsidR="006E19CF" w:rsidRPr="00FB6DEA">
              <w:rPr>
                <w:rFonts w:ascii="Arial" w:hAnsi="Arial" w:cs="Arial"/>
                <w:sz w:val="20"/>
              </w:rPr>
              <w:t>la</w:t>
            </w:r>
            <w:r w:rsidR="00337F39" w:rsidRPr="00FB6DEA">
              <w:rPr>
                <w:rFonts w:ascii="Arial" w:hAnsi="Arial" w:cs="Arial"/>
                <w:sz w:val="20"/>
              </w:rPr>
              <w:t xml:space="preserve"> estructura organiza</w:t>
            </w:r>
            <w:r w:rsidRPr="00FB6DEA">
              <w:rPr>
                <w:rFonts w:ascii="Arial" w:hAnsi="Arial" w:cs="Arial"/>
                <w:sz w:val="20"/>
              </w:rPr>
              <w:t>cional y de funcionamiento</w:t>
            </w:r>
            <w:r w:rsidR="00337F39" w:rsidRPr="00FB6DEA">
              <w:rPr>
                <w:rFonts w:ascii="Arial" w:hAnsi="Arial" w:cs="Arial"/>
                <w:sz w:val="20"/>
              </w:rPr>
              <w:t xml:space="preserve"> </w:t>
            </w:r>
            <w:r w:rsidR="006E1F83" w:rsidRPr="00FB6DEA">
              <w:rPr>
                <w:rFonts w:ascii="Arial" w:hAnsi="Arial" w:cs="Arial"/>
                <w:sz w:val="20"/>
              </w:rPr>
              <w:t>del nuevo Servicio Nacional de Salud</w:t>
            </w:r>
          </w:p>
          <w:p w:rsidR="00337F39" w:rsidRPr="00FB6DEA" w:rsidRDefault="008E78E5">
            <w:pPr>
              <w:pStyle w:val="Paragraph"/>
              <w:numPr>
                <w:ilvl w:val="0"/>
                <w:numId w:val="9"/>
              </w:numPr>
              <w:tabs>
                <w:tab w:val="left" w:pos="360"/>
              </w:tabs>
              <w:spacing w:before="0" w:after="0"/>
              <w:ind w:left="365" w:hanging="365"/>
              <w:outlineLvl w:val="9"/>
              <w:rPr>
                <w:rFonts w:ascii="Arial" w:hAnsi="Arial" w:cs="Arial"/>
                <w:sz w:val="20"/>
              </w:rPr>
            </w:pPr>
            <w:r w:rsidRPr="00FB6DEA">
              <w:rPr>
                <w:rFonts w:ascii="Arial" w:hAnsi="Arial" w:cs="Arial"/>
                <w:sz w:val="20"/>
              </w:rPr>
              <w:t xml:space="preserve">Asistencia técnica </w:t>
            </w:r>
            <w:r w:rsidR="004F5866" w:rsidRPr="00FB6DEA">
              <w:rPr>
                <w:rFonts w:ascii="Arial" w:hAnsi="Arial" w:cs="Arial"/>
                <w:sz w:val="20"/>
              </w:rPr>
              <w:t xml:space="preserve">a los Servicios Regionales de Salud para la formulación e implementación de planes de desarrollo </w:t>
            </w:r>
          </w:p>
          <w:p w:rsidR="00337F39" w:rsidRPr="00FB6DEA" w:rsidRDefault="006E19CF" w:rsidP="008E5CF1">
            <w:pPr>
              <w:pStyle w:val="Paragraph"/>
              <w:numPr>
                <w:ilvl w:val="0"/>
                <w:numId w:val="9"/>
              </w:numPr>
              <w:tabs>
                <w:tab w:val="left" w:pos="360"/>
              </w:tabs>
              <w:spacing w:before="0" w:after="0"/>
              <w:ind w:left="365" w:hanging="365"/>
              <w:outlineLvl w:val="9"/>
              <w:rPr>
                <w:rFonts w:ascii="Arial" w:hAnsi="Arial" w:cs="Arial"/>
                <w:sz w:val="20"/>
              </w:rPr>
            </w:pPr>
            <w:r w:rsidRPr="00FB6DEA">
              <w:rPr>
                <w:rFonts w:ascii="Arial" w:hAnsi="Arial" w:cs="Arial"/>
                <w:sz w:val="20"/>
              </w:rPr>
              <w:t>Realización de un d</w:t>
            </w:r>
            <w:r w:rsidR="00337F39" w:rsidRPr="00FB6DEA">
              <w:rPr>
                <w:rFonts w:ascii="Arial" w:hAnsi="Arial" w:cs="Arial"/>
                <w:sz w:val="20"/>
              </w:rPr>
              <w:t xml:space="preserve">iagnóstico institucional de activos y pasivos del </w:t>
            </w:r>
            <w:r w:rsidR="006E1F83" w:rsidRPr="00FB6DEA">
              <w:rPr>
                <w:rFonts w:ascii="Arial" w:hAnsi="Arial" w:cs="Arial"/>
                <w:sz w:val="20"/>
              </w:rPr>
              <w:t>Instituto Dominicano de Seguridad Social</w:t>
            </w:r>
          </w:p>
          <w:p w:rsidR="00337F39" w:rsidRPr="00FB6DEA" w:rsidRDefault="006E19CF" w:rsidP="008E5CF1">
            <w:pPr>
              <w:pStyle w:val="Paragraph"/>
              <w:numPr>
                <w:ilvl w:val="0"/>
                <w:numId w:val="9"/>
              </w:numPr>
              <w:tabs>
                <w:tab w:val="left" w:pos="360"/>
              </w:tabs>
              <w:spacing w:before="0" w:after="0"/>
              <w:ind w:left="365" w:hanging="365"/>
              <w:outlineLvl w:val="9"/>
              <w:rPr>
                <w:rFonts w:ascii="Arial" w:hAnsi="Arial" w:cs="Arial"/>
                <w:sz w:val="20"/>
              </w:rPr>
            </w:pPr>
            <w:r w:rsidRPr="00FB6DEA">
              <w:rPr>
                <w:rFonts w:ascii="Arial" w:hAnsi="Arial" w:cs="Arial"/>
                <w:sz w:val="20"/>
              </w:rPr>
              <w:t xml:space="preserve">Elaboración del </w:t>
            </w:r>
            <w:r w:rsidR="00337F39" w:rsidRPr="00FB6DEA">
              <w:rPr>
                <w:rFonts w:ascii="Arial" w:hAnsi="Arial" w:cs="Arial"/>
                <w:sz w:val="20"/>
              </w:rPr>
              <w:t xml:space="preserve">Plan de </w:t>
            </w:r>
            <w:r w:rsidR="004F5866" w:rsidRPr="00FB6DEA">
              <w:rPr>
                <w:rFonts w:ascii="Arial" w:hAnsi="Arial" w:cs="Arial"/>
                <w:sz w:val="20"/>
              </w:rPr>
              <w:t xml:space="preserve">Fusión </w:t>
            </w:r>
            <w:r w:rsidR="00337F39" w:rsidRPr="00FB6DEA">
              <w:rPr>
                <w:rFonts w:ascii="Arial" w:hAnsi="Arial" w:cs="Arial"/>
                <w:sz w:val="20"/>
              </w:rPr>
              <w:t>de</w:t>
            </w:r>
            <w:r w:rsidR="004F5866" w:rsidRPr="00FB6DEA">
              <w:rPr>
                <w:rFonts w:ascii="Arial" w:hAnsi="Arial" w:cs="Arial"/>
                <w:sz w:val="20"/>
              </w:rPr>
              <w:t xml:space="preserve"> las</w:t>
            </w:r>
            <w:r w:rsidR="00337F39" w:rsidRPr="00FB6DEA">
              <w:rPr>
                <w:rFonts w:ascii="Arial" w:hAnsi="Arial" w:cs="Arial"/>
                <w:sz w:val="20"/>
              </w:rPr>
              <w:t xml:space="preserve"> redes del MSP y del I</w:t>
            </w:r>
            <w:r w:rsidR="004F5866" w:rsidRPr="00FB6DEA">
              <w:rPr>
                <w:rFonts w:ascii="Arial" w:hAnsi="Arial" w:cs="Arial"/>
                <w:sz w:val="20"/>
              </w:rPr>
              <w:t>nstituto Dominicano de Seguridad Social</w:t>
            </w:r>
          </w:p>
          <w:p w:rsidR="00337F39" w:rsidRPr="00FB6DEA" w:rsidRDefault="004F5866" w:rsidP="008E5CF1">
            <w:pPr>
              <w:pStyle w:val="Paragraph"/>
              <w:numPr>
                <w:ilvl w:val="0"/>
                <w:numId w:val="9"/>
              </w:numPr>
              <w:tabs>
                <w:tab w:val="left" w:pos="360"/>
              </w:tabs>
              <w:spacing w:before="0" w:after="0"/>
              <w:ind w:left="365" w:hanging="365"/>
              <w:outlineLvl w:val="9"/>
              <w:rPr>
                <w:rFonts w:ascii="Arial" w:hAnsi="Arial" w:cs="Arial"/>
                <w:sz w:val="20"/>
              </w:rPr>
            </w:pPr>
            <w:r w:rsidRPr="00FB6DEA">
              <w:rPr>
                <w:rFonts w:ascii="Arial" w:hAnsi="Arial" w:cs="Arial"/>
                <w:sz w:val="20"/>
              </w:rPr>
              <w:t>Formulación de un e</w:t>
            </w:r>
            <w:r w:rsidR="00337F39" w:rsidRPr="00FB6DEA">
              <w:rPr>
                <w:rFonts w:ascii="Arial" w:hAnsi="Arial" w:cs="Arial"/>
                <w:sz w:val="20"/>
              </w:rPr>
              <w:t>studio sobre sostenibilidad financiera del S</w:t>
            </w:r>
            <w:r w:rsidR="006E1F83" w:rsidRPr="00FB6DEA">
              <w:rPr>
                <w:rFonts w:ascii="Arial" w:hAnsi="Arial" w:cs="Arial"/>
                <w:sz w:val="20"/>
              </w:rPr>
              <w:t>eguro Familiar de Salud</w:t>
            </w:r>
          </w:p>
          <w:p w:rsidR="00337F39" w:rsidRPr="00FB6DEA" w:rsidRDefault="004F5866" w:rsidP="008E5CF1">
            <w:pPr>
              <w:pStyle w:val="Paragraph"/>
              <w:numPr>
                <w:ilvl w:val="0"/>
                <w:numId w:val="9"/>
              </w:numPr>
              <w:tabs>
                <w:tab w:val="left" w:pos="360"/>
              </w:tabs>
              <w:spacing w:before="0" w:after="0"/>
              <w:ind w:left="365" w:hanging="365"/>
              <w:outlineLvl w:val="9"/>
              <w:rPr>
                <w:rFonts w:ascii="Arial" w:hAnsi="Arial" w:cs="Arial"/>
                <w:sz w:val="20"/>
              </w:rPr>
            </w:pPr>
            <w:r w:rsidRPr="00FB6DEA">
              <w:rPr>
                <w:rFonts w:ascii="Arial" w:hAnsi="Arial" w:cs="Arial"/>
                <w:sz w:val="20"/>
              </w:rPr>
              <w:t>Formulación de estudios sobre el m</w:t>
            </w:r>
            <w:r w:rsidR="00337F39" w:rsidRPr="00FB6DEA">
              <w:rPr>
                <w:rFonts w:ascii="Arial" w:hAnsi="Arial" w:cs="Arial"/>
                <w:sz w:val="20"/>
              </w:rPr>
              <w:t>odelo de financiamiento del Sistema Nacional de Salud</w:t>
            </w:r>
          </w:p>
          <w:p w:rsidR="006E1F83" w:rsidRPr="00FB6DEA" w:rsidRDefault="006E1F83" w:rsidP="008E5CF1">
            <w:pPr>
              <w:pStyle w:val="Paragraph"/>
              <w:numPr>
                <w:ilvl w:val="0"/>
                <w:numId w:val="9"/>
              </w:numPr>
              <w:tabs>
                <w:tab w:val="left" w:pos="360"/>
              </w:tabs>
              <w:spacing w:before="0" w:after="0"/>
              <w:ind w:left="365" w:hanging="365"/>
              <w:outlineLvl w:val="9"/>
              <w:rPr>
                <w:rFonts w:ascii="Arial" w:hAnsi="Arial" w:cs="Arial"/>
                <w:sz w:val="20"/>
              </w:rPr>
            </w:pPr>
            <w:r w:rsidRPr="00FB6DEA">
              <w:rPr>
                <w:rFonts w:ascii="Arial" w:hAnsi="Arial" w:cs="Arial"/>
                <w:sz w:val="20"/>
              </w:rPr>
              <w:t xml:space="preserve">Asistencia técnica para la elaboración de los reglamentos de </w:t>
            </w:r>
            <w:r w:rsidRPr="00FB6DEA">
              <w:rPr>
                <w:rFonts w:ascii="Arial" w:hAnsi="Arial" w:cs="Arial"/>
                <w:sz w:val="20"/>
              </w:rPr>
              <w:lastRenderedPageBreak/>
              <w:t>la Ley de Carrera Sanitaria</w:t>
            </w:r>
          </w:p>
          <w:p w:rsidR="00337F39" w:rsidRPr="00FB6DEA" w:rsidRDefault="004F5866" w:rsidP="008E5CF1">
            <w:pPr>
              <w:pStyle w:val="Paragraph"/>
              <w:numPr>
                <w:ilvl w:val="0"/>
                <w:numId w:val="9"/>
              </w:numPr>
              <w:tabs>
                <w:tab w:val="left" w:pos="360"/>
              </w:tabs>
              <w:spacing w:before="0" w:after="0"/>
              <w:ind w:left="365" w:hanging="365"/>
              <w:outlineLvl w:val="9"/>
              <w:rPr>
                <w:rFonts w:ascii="Arial" w:hAnsi="Arial" w:cs="Arial"/>
                <w:sz w:val="20"/>
              </w:rPr>
            </w:pPr>
            <w:r w:rsidRPr="00FB6DEA">
              <w:rPr>
                <w:rFonts w:ascii="Arial" w:hAnsi="Arial" w:cs="Arial"/>
                <w:sz w:val="20"/>
              </w:rPr>
              <w:t>Formulación de una p</w:t>
            </w:r>
            <w:r w:rsidR="00337F39" w:rsidRPr="00FB6DEA">
              <w:rPr>
                <w:rFonts w:ascii="Arial" w:hAnsi="Arial" w:cs="Arial"/>
                <w:sz w:val="20"/>
              </w:rPr>
              <w:t xml:space="preserve">ropuesta de política </w:t>
            </w:r>
            <w:r w:rsidRPr="00FB6DEA">
              <w:rPr>
                <w:rFonts w:ascii="Arial" w:hAnsi="Arial" w:cs="Arial"/>
                <w:sz w:val="20"/>
              </w:rPr>
              <w:t>para el</w:t>
            </w:r>
            <w:r w:rsidR="00337F39" w:rsidRPr="00FB6DEA">
              <w:rPr>
                <w:rFonts w:ascii="Arial" w:hAnsi="Arial" w:cs="Arial"/>
                <w:sz w:val="20"/>
              </w:rPr>
              <w:t xml:space="preserve"> control de</w:t>
            </w:r>
            <w:r w:rsidRPr="00FB6DEA">
              <w:rPr>
                <w:rFonts w:ascii="Arial" w:hAnsi="Arial" w:cs="Arial"/>
                <w:sz w:val="20"/>
              </w:rPr>
              <w:t>l</w:t>
            </w:r>
            <w:r w:rsidR="00337F39" w:rsidRPr="00FB6DEA">
              <w:rPr>
                <w:rFonts w:ascii="Arial" w:hAnsi="Arial" w:cs="Arial"/>
                <w:sz w:val="20"/>
              </w:rPr>
              <w:t xml:space="preserve"> mercado ilícito de medicamentos</w:t>
            </w:r>
          </w:p>
          <w:p w:rsidR="00337F39" w:rsidRPr="00FB6DEA" w:rsidRDefault="004F5866" w:rsidP="008E5CF1">
            <w:pPr>
              <w:pStyle w:val="Paragraph"/>
              <w:numPr>
                <w:ilvl w:val="0"/>
                <w:numId w:val="9"/>
              </w:numPr>
              <w:tabs>
                <w:tab w:val="left" w:pos="360"/>
              </w:tabs>
              <w:spacing w:before="0" w:after="0"/>
              <w:ind w:left="365" w:hanging="365"/>
              <w:outlineLvl w:val="9"/>
              <w:rPr>
                <w:rFonts w:ascii="Arial" w:hAnsi="Arial" w:cs="Arial"/>
                <w:sz w:val="20"/>
              </w:rPr>
            </w:pPr>
            <w:r w:rsidRPr="00FB6DEA">
              <w:rPr>
                <w:rFonts w:ascii="Arial" w:hAnsi="Arial" w:cs="Arial"/>
                <w:sz w:val="20"/>
              </w:rPr>
              <w:t xml:space="preserve">Formulación de una </w:t>
            </w:r>
            <w:r w:rsidR="00337F39" w:rsidRPr="00FB6DEA">
              <w:rPr>
                <w:rFonts w:ascii="Arial" w:hAnsi="Arial" w:cs="Arial"/>
                <w:sz w:val="20"/>
              </w:rPr>
              <w:t>Propuesta de Ley General de Medicamentos</w:t>
            </w:r>
          </w:p>
        </w:tc>
        <w:tc>
          <w:tcPr>
            <w:tcW w:w="5601" w:type="dxa"/>
          </w:tcPr>
          <w:p w:rsidR="00177F04" w:rsidRPr="00FB6DEA" w:rsidRDefault="00177F04" w:rsidP="00666C18">
            <w:pPr>
              <w:pStyle w:val="Paragraph"/>
              <w:numPr>
                <w:ilvl w:val="0"/>
                <w:numId w:val="13"/>
              </w:numPr>
              <w:tabs>
                <w:tab w:val="left" w:pos="360"/>
              </w:tabs>
              <w:spacing w:before="0" w:after="0"/>
              <w:ind w:left="345" w:hanging="360"/>
              <w:jc w:val="left"/>
              <w:outlineLvl w:val="9"/>
              <w:rPr>
                <w:rFonts w:ascii="Arial" w:hAnsi="Arial" w:cs="Arial"/>
                <w:sz w:val="20"/>
              </w:rPr>
            </w:pPr>
            <w:r w:rsidRPr="00FB6DEA">
              <w:rPr>
                <w:rFonts w:ascii="Arial" w:hAnsi="Arial" w:cs="Arial"/>
                <w:sz w:val="20"/>
              </w:rPr>
              <w:lastRenderedPageBreak/>
              <w:t xml:space="preserve">Asistencia técnica y financiera para la revisión del Plan de Servicios de Salud (PDSS) </w:t>
            </w:r>
          </w:p>
          <w:p w:rsidR="00337F39" w:rsidRPr="00FB6DEA" w:rsidRDefault="00177F04" w:rsidP="00666C18">
            <w:pPr>
              <w:pStyle w:val="Paragraph"/>
              <w:numPr>
                <w:ilvl w:val="0"/>
                <w:numId w:val="13"/>
              </w:numPr>
              <w:tabs>
                <w:tab w:val="left" w:pos="360"/>
              </w:tabs>
              <w:spacing w:before="0" w:after="0"/>
              <w:ind w:left="345" w:hanging="360"/>
              <w:jc w:val="left"/>
              <w:outlineLvl w:val="9"/>
              <w:rPr>
                <w:rFonts w:ascii="Arial" w:hAnsi="Arial" w:cs="Arial"/>
                <w:sz w:val="20"/>
              </w:rPr>
            </w:pPr>
            <w:r w:rsidRPr="00FB6DEA">
              <w:rPr>
                <w:rFonts w:ascii="Arial" w:hAnsi="Arial" w:cs="Arial"/>
                <w:sz w:val="20"/>
              </w:rPr>
              <w:t>A</w:t>
            </w:r>
            <w:r w:rsidR="00337F39" w:rsidRPr="00FB6DEA">
              <w:rPr>
                <w:rFonts w:ascii="Arial" w:hAnsi="Arial" w:cs="Arial"/>
                <w:sz w:val="20"/>
              </w:rPr>
              <w:t xml:space="preserve">sistencia técnica para </w:t>
            </w:r>
            <w:r w:rsidRPr="00FB6DEA">
              <w:rPr>
                <w:rFonts w:ascii="Arial" w:hAnsi="Arial" w:cs="Arial"/>
                <w:sz w:val="20"/>
              </w:rPr>
              <w:t xml:space="preserve">la definición de </w:t>
            </w:r>
            <w:r w:rsidR="00337F39" w:rsidRPr="00FB6DEA">
              <w:rPr>
                <w:rFonts w:ascii="Arial" w:hAnsi="Arial" w:cs="Arial"/>
                <w:sz w:val="20"/>
              </w:rPr>
              <w:t xml:space="preserve">acciones concretas </w:t>
            </w:r>
            <w:r w:rsidRPr="00FB6DEA">
              <w:rPr>
                <w:rFonts w:ascii="Arial" w:hAnsi="Arial" w:cs="Arial"/>
                <w:sz w:val="20"/>
              </w:rPr>
              <w:t xml:space="preserve">para la </w:t>
            </w:r>
            <w:r w:rsidR="00337F39" w:rsidRPr="00FB6DEA">
              <w:rPr>
                <w:rFonts w:ascii="Arial" w:hAnsi="Arial" w:cs="Arial"/>
                <w:sz w:val="20"/>
              </w:rPr>
              <w:t xml:space="preserve">institucionalización de </w:t>
            </w:r>
            <w:r w:rsidRPr="00FB6DEA">
              <w:rPr>
                <w:rFonts w:ascii="Arial" w:hAnsi="Arial" w:cs="Arial"/>
                <w:sz w:val="20"/>
              </w:rPr>
              <w:t xml:space="preserve">un </w:t>
            </w:r>
            <w:r w:rsidR="00337F39" w:rsidRPr="00FB6DEA">
              <w:rPr>
                <w:rFonts w:ascii="Arial" w:hAnsi="Arial" w:cs="Arial"/>
                <w:sz w:val="20"/>
              </w:rPr>
              <w:t>sistema de priorización en salud</w:t>
            </w:r>
            <w:r w:rsidRPr="00FB6DEA">
              <w:rPr>
                <w:rFonts w:ascii="Arial" w:hAnsi="Arial" w:cs="Arial"/>
                <w:sz w:val="20"/>
              </w:rPr>
              <w:t xml:space="preserve"> en el país al mediano plazo</w:t>
            </w:r>
          </w:p>
          <w:p w:rsidR="00337F39" w:rsidRPr="00FB6DEA" w:rsidRDefault="00337F39" w:rsidP="00666C18">
            <w:pPr>
              <w:pStyle w:val="Paragraph"/>
              <w:numPr>
                <w:ilvl w:val="0"/>
                <w:numId w:val="0"/>
              </w:numPr>
              <w:tabs>
                <w:tab w:val="left" w:pos="360"/>
              </w:tabs>
              <w:spacing w:before="0" w:after="0"/>
              <w:ind w:left="-15"/>
              <w:jc w:val="left"/>
              <w:outlineLvl w:val="9"/>
              <w:rPr>
                <w:rFonts w:ascii="Arial" w:hAnsi="Arial" w:cs="Arial"/>
                <w:sz w:val="20"/>
              </w:rPr>
            </w:pPr>
          </w:p>
        </w:tc>
      </w:tr>
    </w:tbl>
    <w:p w:rsidR="00DE64A1" w:rsidRDefault="00DE64A1" w:rsidP="008E5CF1">
      <w:pPr>
        <w:pStyle w:val="Paragraph"/>
        <w:numPr>
          <w:ilvl w:val="0"/>
          <w:numId w:val="0"/>
        </w:numPr>
        <w:tabs>
          <w:tab w:val="left" w:pos="360"/>
        </w:tabs>
        <w:spacing w:before="0" w:after="0"/>
        <w:ind w:left="360" w:hanging="360"/>
        <w:outlineLvl w:val="9"/>
        <w:rPr>
          <w:b/>
          <w:sz w:val="20"/>
        </w:rPr>
      </w:pPr>
    </w:p>
    <w:p w:rsidR="00DA7C72" w:rsidRDefault="00DA7C72">
      <w:pPr>
        <w:pStyle w:val="Paragraph"/>
        <w:numPr>
          <w:ilvl w:val="0"/>
          <w:numId w:val="0"/>
        </w:numPr>
        <w:tabs>
          <w:tab w:val="left" w:pos="360"/>
        </w:tabs>
        <w:spacing w:before="0" w:after="0"/>
        <w:ind w:left="360" w:hanging="360"/>
        <w:outlineLvl w:val="9"/>
        <w:rPr>
          <w:b/>
          <w:sz w:val="20"/>
        </w:rPr>
      </w:pPr>
    </w:p>
    <w:p w:rsidR="00DA7C72" w:rsidRDefault="00DA7C72">
      <w:pPr>
        <w:spacing w:after="200" w:line="276" w:lineRule="auto"/>
        <w:rPr>
          <w:b/>
          <w:sz w:val="20"/>
          <w:lang w:val="es-ES_tradnl" w:eastAsia="x-none"/>
        </w:rPr>
      </w:pPr>
    </w:p>
    <w:sectPr w:rsidR="00DA7C72" w:rsidSect="00FB6DE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1A7" w:rsidRDefault="00D031A7" w:rsidP="00F54519">
      <w:r>
        <w:separator/>
      </w:r>
    </w:p>
  </w:endnote>
  <w:endnote w:type="continuationSeparator" w:id="0">
    <w:p w:rsidR="00D031A7" w:rsidRDefault="00D031A7" w:rsidP="00F5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362353"/>
      <w:docPartObj>
        <w:docPartGallery w:val="Page Numbers (Bottom of Page)"/>
        <w:docPartUnique/>
      </w:docPartObj>
    </w:sdtPr>
    <w:sdtEndPr>
      <w:rPr>
        <w:noProof/>
      </w:rPr>
    </w:sdtEndPr>
    <w:sdtContent>
      <w:p w:rsidR="00490014" w:rsidRDefault="00490014">
        <w:pPr>
          <w:pStyle w:val="Footer"/>
          <w:jc w:val="center"/>
        </w:pPr>
        <w:r>
          <w:fldChar w:fldCharType="begin"/>
        </w:r>
        <w:r>
          <w:instrText xml:space="preserve"> PAGE   \* MERGEFORMAT </w:instrText>
        </w:r>
        <w:r>
          <w:fldChar w:fldCharType="separate"/>
        </w:r>
        <w:r w:rsidR="00FB6DEA">
          <w:rPr>
            <w:noProof/>
          </w:rPr>
          <w:t>1</w:t>
        </w:r>
        <w:r>
          <w:rPr>
            <w:noProof/>
          </w:rPr>
          <w:fldChar w:fldCharType="end"/>
        </w:r>
      </w:p>
    </w:sdtContent>
  </w:sdt>
  <w:p w:rsidR="00490014" w:rsidRDefault="00490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1A7" w:rsidRDefault="00D031A7" w:rsidP="00F54519">
      <w:r>
        <w:separator/>
      </w:r>
    </w:p>
  </w:footnote>
  <w:footnote w:type="continuationSeparator" w:id="0">
    <w:p w:rsidR="00D031A7" w:rsidRDefault="00D031A7" w:rsidP="00F54519">
      <w:r>
        <w:continuationSeparator/>
      </w:r>
    </w:p>
  </w:footnote>
  <w:footnote w:id="1">
    <w:p w:rsidR="00490014" w:rsidRPr="00FB6DEA" w:rsidRDefault="00490014" w:rsidP="00666C18">
      <w:pPr>
        <w:pStyle w:val="FootnoteText"/>
        <w:jc w:val="both"/>
        <w:rPr>
          <w:rFonts w:ascii="Arial" w:hAnsi="Arial" w:cs="Arial"/>
          <w:lang w:val="es-ES"/>
        </w:rPr>
      </w:pPr>
      <w:r w:rsidRPr="00FB6DEA">
        <w:rPr>
          <w:rStyle w:val="FootnoteReference"/>
          <w:rFonts w:ascii="Arial" w:hAnsi="Arial" w:cs="Arial"/>
        </w:rPr>
        <w:footnoteRef/>
      </w:r>
      <w:r w:rsidRPr="00FB6DEA">
        <w:rPr>
          <w:rFonts w:ascii="Arial" w:hAnsi="Arial" w:cs="Arial"/>
          <w:lang w:val="es-ES"/>
        </w:rPr>
        <w:t xml:space="preserve"> Uno de estos préstamos (DR-L1069) fue aprobado en Junio de 2014 y está en proceso de lograr elegibilidad.</w:t>
      </w:r>
    </w:p>
  </w:footnote>
  <w:footnote w:id="2">
    <w:p w:rsidR="00490014" w:rsidRPr="00FB6DEA" w:rsidRDefault="00490014">
      <w:pPr>
        <w:pStyle w:val="FootnoteText"/>
        <w:rPr>
          <w:rFonts w:ascii="Arial" w:hAnsi="Arial" w:cs="Arial"/>
          <w:lang w:val="es-DO"/>
        </w:rPr>
      </w:pPr>
      <w:r w:rsidRPr="00FB6DEA">
        <w:rPr>
          <w:rStyle w:val="FootnoteReference"/>
          <w:rFonts w:ascii="Arial" w:hAnsi="Arial" w:cs="Arial"/>
        </w:rPr>
        <w:footnoteRef/>
      </w:r>
      <w:r w:rsidRPr="00FB6DEA">
        <w:rPr>
          <w:rFonts w:ascii="Arial" w:hAnsi="Arial" w:cs="Arial"/>
          <w:lang w:val="es-DO"/>
        </w:rPr>
        <w:t xml:space="preserve"> Cerrado en 2014.</w:t>
      </w:r>
    </w:p>
  </w:footnote>
  <w:footnote w:id="3">
    <w:p w:rsidR="00490014" w:rsidRPr="00490014" w:rsidRDefault="00490014">
      <w:pPr>
        <w:pStyle w:val="FootnoteText"/>
        <w:rPr>
          <w:lang w:val="es-ES_tradnl"/>
        </w:rPr>
      </w:pPr>
      <w:r w:rsidRPr="00FB6DEA">
        <w:rPr>
          <w:rStyle w:val="FootnoteReference"/>
          <w:rFonts w:ascii="Arial" w:hAnsi="Arial" w:cs="Arial"/>
        </w:rPr>
        <w:footnoteRef/>
      </w:r>
      <w:r w:rsidRPr="00FB6DEA">
        <w:rPr>
          <w:rFonts w:ascii="Arial" w:hAnsi="Arial" w:cs="Arial"/>
          <w:lang w:val="es-ES_tradnl"/>
        </w:rPr>
        <w:t xml:space="preserve"> </w:t>
      </w:r>
      <w:r w:rsidRPr="00FB6DEA">
        <w:rPr>
          <w:rFonts w:ascii="Arial" w:hAnsi="Arial" w:cs="Arial"/>
          <w:lang w:val="es-ES"/>
        </w:rPr>
        <w:t xml:space="preserve">Aprobada por el Banco en junio de 2014. En discusión </w:t>
      </w:r>
      <w:r w:rsidRPr="00FB6DEA">
        <w:rPr>
          <w:rFonts w:ascii="Arial" w:hAnsi="Arial" w:cs="Arial"/>
          <w:lang w:val="es-ES_tradnl"/>
        </w:rPr>
        <w:t>en la Comisión de Hacienda de la Cámara del Senado</w:t>
      </w:r>
      <w:r w:rsidRPr="00490014">
        <w:rPr>
          <w:lang w:val="es-ES_trad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62EE"/>
    <w:multiLevelType w:val="hybridMultilevel"/>
    <w:tmpl w:val="EDAC860C"/>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20B2753E"/>
    <w:multiLevelType w:val="hybridMultilevel"/>
    <w:tmpl w:val="29F4C11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25450238"/>
    <w:multiLevelType w:val="hybridMultilevel"/>
    <w:tmpl w:val="308018A2"/>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262E6D3F"/>
    <w:multiLevelType w:val="hybridMultilevel"/>
    <w:tmpl w:val="19B4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F050E"/>
    <w:multiLevelType w:val="hybridMultilevel"/>
    <w:tmpl w:val="0014773C"/>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2EEE16C0"/>
    <w:multiLevelType w:val="hybridMultilevel"/>
    <w:tmpl w:val="E5601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F03EF"/>
    <w:multiLevelType w:val="multilevel"/>
    <w:tmpl w:val="CD967A34"/>
    <w:lvl w:ilvl="0">
      <w:start w:val="1"/>
      <w:numFmt w:val="upperRoman"/>
      <w:lvlRestart w:val="0"/>
      <w:pStyle w:val="Chapter"/>
      <w:lvlText w:val="%1."/>
      <w:lvlJc w:val="center"/>
      <w:pPr>
        <w:tabs>
          <w:tab w:val="num" w:pos="3870"/>
        </w:tabs>
        <w:ind w:left="3222" w:firstLine="288"/>
      </w:pPr>
      <w:rPr>
        <w:b/>
        <w:i w:val="0"/>
      </w:rPr>
    </w:lvl>
    <w:lvl w:ilvl="1">
      <w:start w:val="1"/>
      <w:numFmt w:val="decimal"/>
      <w:pStyle w:val="Paragraph"/>
      <w:isLgl/>
      <w:lvlText w:val="%1.%2"/>
      <w:lvlJc w:val="left"/>
      <w:pPr>
        <w:tabs>
          <w:tab w:val="num" w:pos="2016"/>
        </w:tabs>
        <w:ind w:left="2016" w:hanging="1296"/>
      </w:pPr>
    </w:lvl>
    <w:lvl w:ilvl="2">
      <w:start w:val="1"/>
      <w:numFmt w:val="lowerLetter"/>
      <w:pStyle w:val="subpar"/>
      <w:lvlText w:val="%3."/>
      <w:lvlJc w:val="left"/>
      <w:pPr>
        <w:tabs>
          <w:tab w:val="num" w:pos="1872"/>
        </w:tabs>
        <w:ind w:left="1872" w:hanging="432"/>
      </w:pPr>
    </w:lvl>
    <w:lvl w:ilvl="3">
      <w:start w:val="1"/>
      <w:numFmt w:val="lowerRoman"/>
      <w:pStyle w:val="SubSubPar"/>
      <w:lvlText w:val="%4."/>
      <w:lvlJc w:val="right"/>
      <w:pPr>
        <w:tabs>
          <w:tab w:val="num" w:pos="2304"/>
        </w:tabs>
        <w:ind w:left="2304" w:hanging="288"/>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7">
    <w:nsid w:val="335D41DB"/>
    <w:multiLevelType w:val="hybridMultilevel"/>
    <w:tmpl w:val="2244D300"/>
    <w:lvl w:ilvl="0" w:tplc="FBE2B646">
      <w:start w:val="1"/>
      <w:numFmt w:val="low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34A261E3"/>
    <w:multiLevelType w:val="hybridMultilevel"/>
    <w:tmpl w:val="7E305648"/>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38DF04DE"/>
    <w:multiLevelType w:val="hybridMultilevel"/>
    <w:tmpl w:val="D0BA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430B9"/>
    <w:multiLevelType w:val="hybridMultilevel"/>
    <w:tmpl w:val="0E621E26"/>
    <w:lvl w:ilvl="0" w:tplc="1A7A01D6">
      <w:start w:val="1"/>
      <w:numFmt w:val="lowerRoman"/>
      <w:lvlText w:val="%1)"/>
      <w:lvlJc w:val="left"/>
      <w:pPr>
        <w:ind w:left="720" w:hanging="360"/>
      </w:pPr>
      <w:rPr>
        <w:rFonts w:ascii="Times New Roman" w:eastAsia="Times New Roman" w:hAnsi="Times New Roman" w:cs="Times New Roman"/>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538A21DE"/>
    <w:multiLevelType w:val="hybridMultilevel"/>
    <w:tmpl w:val="6F301DF4"/>
    <w:lvl w:ilvl="0" w:tplc="7D14024C">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5795262E"/>
    <w:multiLevelType w:val="hybridMultilevel"/>
    <w:tmpl w:val="15942446"/>
    <w:lvl w:ilvl="0" w:tplc="74427B84">
      <w:start w:val="1"/>
      <w:numFmt w:val="lowerRoman"/>
      <w:lvlText w:val="%1)"/>
      <w:lvlJc w:val="left"/>
      <w:pPr>
        <w:ind w:left="1080" w:hanging="72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285540E"/>
    <w:multiLevelType w:val="hybridMultilevel"/>
    <w:tmpl w:val="A2DE90DC"/>
    <w:lvl w:ilvl="0" w:tplc="B99640AE">
      <w:start w:val="1"/>
      <w:numFmt w:val="low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65757680"/>
    <w:multiLevelType w:val="hybridMultilevel"/>
    <w:tmpl w:val="5A04A0E8"/>
    <w:lvl w:ilvl="0" w:tplc="D52A4610">
      <w:start w:val="1"/>
      <w:numFmt w:val="low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6BE50E59"/>
    <w:multiLevelType w:val="hybridMultilevel"/>
    <w:tmpl w:val="5582E1A2"/>
    <w:lvl w:ilvl="0" w:tplc="FAA4EBAA">
      <w:start w:val="1"/>
      <w:numFmt w:val="low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7CD25EB8"/>
    <w:multiLevelType w:val="hybridMultilevel"/>
    <w:tmpl w:val="384C4CA2"/>
    <w:lvl w:ilvl="0" w:tplc="856CE8A2">
      <w:start w:val="1"/>
      <w:numFmt w:val="low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7D09225C"/>
    <w:multiLevelType w:val="hybridMultilevel"/>
    <w:tmpl w:val="D69CB318"/>
    <w:lvl w:ilvl="0" w:tplc="3528CDFC">
      <w:start w:val="1"/>
      <w:numFmt w:val="bullet"/>
      <w:lvlText w:val="•"/>
      <w:lvlJc w:val="left"/>
      <w:pPr>
        <w:tabs>
          <w:tab w:val="num" w:pos="720"/>
        </w:tabs>
        <w:ind w:left="720" w:hanging="360"/>
      </w:pPr>
      <w:rPr>
        <w:rFonts w:ascii="Arial" w:hAnsi="Arial" w:hint="default"/>
      </w:rPr>
    </w:lvl>
    <w:lvl w:ilvl="1" w:tplc="C38AFF48" w:tentative="1">
      <w:start w:val="1"/>
      <w:numFmt w:val="bullet"/>
      <w:lvlText w:val="•"/>
      <w:lvlJc w:val="left"/>
      <w:pPr>
        <w:tabs>
          <w:tab w:val="num" w:pos="1440"/>
        </w:tabs>
        <w:ind w:left="1440" w:hanging="360"/>
      </w:pPr>
      <w:rPr>
        <w:rFonts w:ascii="Arial" w:hAnsi="Arial" w:hint="default"/>
      </w:rPr>
    </w:lvl>
    <w:lvl w:ilvl="2" w:tplc="200A7CFA" w:tentative="1">
      <w:start w:val="1"/>
      <w:numFmt w:val="bullet"/>
      <w:lvlText w:val="•"/>
      <w:lvlJc w:val="left"/>
      <w:pPr>
        <w:tabs>
          <w:tab w:val="num" w:pos="2160"/>
        </w:tabs>
        <w:ind w:left="2160" w:hanging="360"/>
      </w:pPr>
      <w:rPr>
        <w:rFonts w:ascii="Arial" w:hAnsi="Arial" w:hint="default"/>
      </w:rPr>
    </w:lvl>
    <w:lvl w:ilvl="3" w:tplc="23083720" w:tentative="1">
      <w:start w:val="1"/>
      <w:numFmt w:val="bullet"/>
      <w:lvlText w:val="•"/>
      <w:lvlJc w:val="left"/>
      <w:pPr>
        <w:tabs>
          <w:tab w:val="num" w:pos="2880"/>
        </w:tabs>
        <w:ind w:left="2880" w:hanging="360"/>
      </w:pPr>
      <w:rPr>
        <w:rFonts w:ascii="Arial" w:hAnsi="Arial" w:hint="default"/>
      </w:rPr>
    </w:lvl>
    <w:lvl w:ilvl="4" w:tplc="4964110A" w:tentative="1">
      <w:start w:val="1"/>
      <w:numFmt w:val="bullet"/>
      <w:lvlText w:val="•"/>
      <w:lvlJc w:val="left"/>
      <w:pPr>
        <w:tabs>
          <w:tab w:val="num" w:pos="3600"/>
        </w:tabs>
        <w:ind w:left="3600" w:hanging="360"/>
      </w:pPr>
      <w:rPr>
        <w:rFonts w:ascii="Arial" w:hAnsi="Arial" w:hint="default"/>
      </w:rPr>
    </w:lvl>
    <w:lvl w:ilvl="5" w:tplc="0B646D6A" w:tentative="1">
      <w:start w:val="1"/>
      <w:numFmt w:val="bullet"/>
      <w:lvlText w:val="•"/>
      <w:lvlJc w:val="left"/>
      <w:pPr>
        <w:tabs>
          <w:tab w:val="num" w:pos="4320"/>
        </w:tabs>
        <w:ind w:left="4320" w:hanging="360"/>
      </w:pPr>
      <w:rPr>
        <w:rFonts w:ascii="Arial" w:hAnsi="Arial" w:hint="default"/>
      </w:rPr>
    </w:lvl>
    <w:lvl w:ilvl="6" w:tplc="02D62F60" w:tentative="1">
      <w:start w:val="1"/>
      <w:numFmt w:val="bullet"/>
      <w:lvlText w:val="•"/>
      <w:lvlJc w:val="left"/>
      <w:pPr>
        <w:tabs>
          <w:tab w:val="num" w:pos="5040"/>
        </w:tabs>
        <w:ind w:left="5040" w:hanging="360"/>
      </w:pPr>
      <w:rPr>
        <w:rFonts w:ascii="Arial" w:hAnsi="Arial" w:hint="default"/>
      </w:rPr>
    </w:lvl>
    <w:lvl w:ilvl="7" w:tplc="FBC68192" w:tentative="1">
      <w:start w:val="1"/>
      <w:numFmt w:val="bullet"/>
      <w:lvlText w:val="•"/>
      <w:lvlJc w:val="left"/>
      <w:pPr>
        <w:tabs>
          <w:tab w:val="num" w:pos="5760"/>
        </w:tabs>
        <w:ind w:left="5760" w:hanging="360"/>
      </w:pPr>
      <w:rPr>
        <w:rFonts w:ascii="Arial" w:hAnsi="Arial" w:hint="default"/>
      </w:rPr>
    </w:lvl>
    <w:lvl w:ilvl="8" w:tplc="4F0CD58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11"/>
  </w:num>
  <w:num w:numId="9">
    <w:abstractNumId w:val="10"/>
  </w:num>
  <w:num w:numId="10">
    <w:abstractNumId w:val="8"/>
  </w:num>
  <w:num w:numId="11">
    <w:abstractNumId w:val="16"/>
  </w:num>
  <w:num w:numId="12">
    <w:abstractNumId w:val="4"/>
  </w:num>
  <w:num w:numId="13">
    <w:abstractNumId w:val="14"/>
  </w:num>
  <w:num w:numId="14">
    <w:abstractNumId w:val="2"/>
  </w:num>
  <w:num w:numId="15">
    <w:abstractNumId w:val="15"/>
  </w:num>
  <w:num w:numId="16">
    <w:abstractNumId w:val="0"/>
  </w:num>
  <w:num w:numId="17">
    <w:abstractNumId w:val="13"/>
  </w:num>
  <w:num w:numId="18">
    <w:abstractNumId w:val="7"/>
  </w:num>
  <w:num w:numId="19">
    <w:abstractNumId w:val="3"/>
  </w:num>
  <w:num w:numId="20">
    <w:abstractNumId w:val="17"/>
  </w:num>
  <w:num w:numId="21">
    <w:abstractNumId w:val="5"/>
  </w:num>
  <w:num w:numId="22">
    <w:abstractNumId w:val="9"/>
  </w:num>
  <w:num w:numId="23">
    <w:abstractNumId w:val="12"/>
  </w:num>
  <w:num w:numId="2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dhira">
    <w15:presenceInfo w15:providerId="None" w15:userId="Indh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4B"/>
    <w:rsid w:val="000031A4"/>
    <w:rsid w:val="00013B6A"/>
    <w:rsid w:val="000202B8"/>
    <w:rsid w:val="0004387A"/>
    <w:rsid w:val="00055F80"/>
    <w:rsid w:val="0007130F"/>
    <w:rsid w:val="000A34C0"/>
    <w:rsid w:val="000E5AFF"/>
    <w:rsid w:val="0010475B"/>
    <w:rsid w:val="0012286A"/>
    <w:rsid w:val="00133AB0"/>
    <w:rsid w:val="001407CE"/>
    <w:rsid w:val="00164D01"/>
    <w:rsid w:val="00177F04"/>
    <w:rsid w:val="0018610E"/>
    <w:rsid w:val="0018716D"/>
    <w:rsid w:val="001B1ADF"/>
    <w:rsid w:val="002142BB"/>
    <w:rsid w:val="00227B18"/>
    <w:rsid w:val="002847F1"/>
    <w:rsid w:val="00294049"/>
    <w:rsid w:val="002974A7"/>
    <w:rsid w:val="002B0059"/>
    <w:rsid w:val="002C4FD2"/>
    <w:rsid w:val="00305D35"/>
    <w:rsid w:val="00335FDA"/>
    <w:rsid w:val="00337F39"/>
    <w:rsid w:val="00345A84"/>
    <w:rsid w:val="00381A1E"/>
    <w:rsid w:val="00385596"/>
    <w:rsid w:val="003B0CE7"/>
    <w:rsid w:val="003F6CBD"/>
    <w:rsid w:val="00427099"/>
    <w:rsid w:val="004272D5"/>
    <w:rsid w:val="00451E4D"/>
    <w:rsid w:val="00470340"/>
    <w:rsid w:val="00472D90"/>
    <w:rsid w:val="0048225D"/>
    <w:rsid w:val="00490014"/>
    <w:rsid w:val="004B6B08"/>
    <w:rsid w:val="004C2045"/>
    <w:rsid w:val="004D73C3"/>
    <w:rsid w:val="004E1DEF"/>
    <w:rsid w:val="004F5866"/>
    <w:rsid w:val="00510845"/>
    <w:rsid w:val="00516089"/>
    <w:rsid w:val="00545077"/>
    <w:rsid w:val="00573D5D"/>
    <w:rsid w:val="00584D5C"/>
    <w:rsid w:val="005A14C5"/>
    <w:rsid w:val="005A4E46"/>
    <w:rsid w:val="005C379A"/>
    <w:rsid w:val="005C6ABB"/>
    <w:rsid w:val="005E7917"/>
    <w:rsid w:val="006155D4"/>
    <w:rsid w:val="006172AF"/>
    <w:rsid w:val="006219E0"/>
    <w:rsid w:val="00626BD1"/>
    <w:rsid w:val="00630DF5"/>
    <w:rsid w:val="006377AB"/>
    <w:rsid w:val="0065396B"/>
    <w:rsid w:val="00655500"/>
    <w:rsid w:val="00666C18"/>
    <w:rsid w:val="006679B4"/>
    <w:rsid w:val="006E19CF"/>
    <w:rsid w:val="006E1F83"/>
    <w:rsid w:val="006E4266"/>
    <w:rsid w:val="006E580B"/>
    <w:rsid w:val="006F16C2"/>
    <w:rsid w:val="006F63CB"/>
    <w:rsid w:val="00703C5F"/>
    <w:rsid w:val="007076CB"/>
    <w:rsid w:val="00715693"/>
    <w:rsid w:val="00731D19"/>
    <w:rsid w:val="00741EBD"/>
    <w:rsid w:val="00746A65"/>
    <w:rsid w:val="00753F74"/>
    <w:rsid w:val="007553F8"/>
    <w:rsid w:val="00776988"/>
    <w:rsid w:val="00795DEF"/>
    <w:rsid w:val="007A4652"/>
    <w:rsid w:val="007A4EDD"/>
    <w:rsid w:val="007B299E"/>
    <w:rsid w:val="007E764E"/>
    <w:rsid w:val="00820892"/>
    <w:rsid w:val="00820D2E"/>
    <w:rsid w:val="008274CF"/>
    <w:rsid w:val="00835358"/>
    <w:rsid w:val="0085376D"/>
    <w:rsid w:val="008A6F94"/>
    <w:rsid w:val="008C1A98"/>
    <w:rsid w:val="008C4131"/>
    <w:rsid w:val="008C484E"/>
    <w:rsid w:val="008D53A8"/>
    <w:rsid w:val="008E5CF1"/>
    <w:rsid w:val="008E78E5"/>
    <w:rsid w:val="009043C0"/>
    <w:rsid w:val="00907CEA"/>
    <w:rsid w:val="00932990"/>
    <w:rsid w:val="009723DE"/>
    <w:rsid w:val="00973F9C"/>
    <w:rsid w:val="009A0E1F"/>
    <w:rsid w:val="009A69E9"/>
    <w:rsid w:val="009F68EB"/>
    <w:rsid w:val="00A025E3"/>
    <w:rsid w:val="00A5238C"/>
    <w:rsid w:val="00A812D2"/>
    <w:rsid w:val="00A86F74"/>
    <w:rsid w:val="00A97778"/>
    <w:rsid w:val="00AC3280"/>
    <w:rsid w:val="00AC3B49"/>
    <w:rsid w:val="00AE0D53"/>
    <w:rsid w:val="00AE3D57"/>
    <w:rsid w:val="00AF021A"/>
    <w:rsid w:val="00AF1DE5"/>
    <w:rsid w:val="00AF5397"/>
    <w:rsid w:val="00B35984"/>
    <w:rsid w:val="00B635E3"/>
    <w:rsid w:val="00B82EC1"/>
    <w:rsid w:val="00B86E6D"/>
    <w:rsid w:val="00BB34DA"/>
    <w:rsid w:val="00BC6538"/>
    <w:rsid w:val="00BD1FC2"/>
    <w:rsid w:val="00BF6B6F"/>
    <w:rsid w:val="00C35B18"/>
    <w:rsid w:val="00C508B9"/>
    <w:rsid w:val="00C5214B"/>
    <w:rsid w:val="00C839CB"/>
    <w:rsid w:val="00CC2F63"/>
    <w:rsid w:val="00CC46F9"/>
    <w:rsid w:val="00D02DD6"/>
    <w:rsid w:val="00D031A7"/>
    <w:rsid w:val="00D246AF"/>
    <w:rsid w:val="00D3084D"/>
    <w:rsid w:val="00D4636B"/>
    <w:rsid w:val="00D720CF"/>
    <w:rsid w:val="00D8270B"/>
    <w:rsid w:val="00DA7C72"/>
    <w:rsid w:val="00DB556A"/>
    <w:rsid w:val="00DE5B44"/>
    <w:rsid w:val="00DE64A1"/>
    <w:rsid w:val="00DF268C"/>
    <w:rsid w:val="00DF63B3"/>
    <w:rsid w:val="00EB1AC7"/>
    <w:rsid w:val="00ED2826"/>
    <w:rsid w:val="00EE2601"/>
    <w:rsid w:val="00EE272F"/>
    <w:rsid w:val="00EF4EFC"/>
    <w:rsid w:val="00EF6935"/>
    <w:rsid w:val="00F10D72"/>
    <w:rsid w:val="00F3772F"/>
    <w:rsid w:val="00F45BA2"/>
    <w:rsid w:val="00F47F5C"/>
    <w:rsid w:val="00F52388"/>
    <w:rsid w:val="00F54519"/>
    <w:rsid w:val="00F56823"/>
    <w:rsid w:val="00F63BA0"/>
    <w:rsid w:val="00F863E6"/>
    <w:rsid w:val="00F922F4"/>
    <w:rsid w:val="00FB6DEA"/>
    <w:rsid w:val="00FC44EF"/>
    <w:rsid w:val="00FD1C51"/>
    <w:rsid w:val="00FE3B04"/>
    <w:rsid w:val="00FF259A"/>
    <w:rsid w:val="00FF46D5"/>
    <w:rsid w:val="00FF6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4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C5214B"/>
    <w:pPr>
      <w:keepNext/>
      <w:numPr>
        <w:numId w:val="1"/>
      </w:numPr>
      <w:tabs>
        <w:tab w:val="num" w:pos="648"/>
        <w:tab w:val="left" w:pos="1440"/>
      </w:tabs>
      <w:spacing w:before="240" w:after="240"/>
      <w:ind w:left="0"/>
      <w:jc w:val="center"/>
    </w:pPr>
    <w:rPr>
      <w:b/>
      <w:smallCaps/>
      <w:lang w:val="es-ES_tradnl"/>
    </w:rPr>
  </w:style>
  <w:style w:type="paragraph" w:customStyle="1" w:styleId="Paragraph">
    <w:name w:val="Paragraph"/>
    <w:aliases w:val="p,PARAGRAPH,PG,pa,at,paragraph+1,paragraph"/>
    <w:basedOn w:val="BodyTextIndent"/>
    <w:link w:val="ParagraphChar"/>
    <w:qFormat/>
    <w:rsid w:val="00C5214B"/>
    <w:pPr>
      <w:numPr>
        <w:ilvl w:val="1"/>
        <w:numId w:val="1"/>
      </w:numPr>
      <w:spacing w:before="120"/>
      <w:jc w:val="both"/>
      <w:outlineLvl w:val="1"/>
    </w:pPr>
    <w:rPr>
      <w:lang w:val="es-ES_tradnl" w:eastAsia="x-none"/>
    </w:rPr>
  </w:style>
  <w:style w:type="paragraph" w:customStyle="1" w:styleId="subpar">
    <w:name w:val="subpar"/>
    <w:basedOn w:val="BodyTextIndent3"/>
    <w:rsid w:val="00C5214B"/>
    <w:pPr>
      <w:numPr>
        <w:ilvl w:val="2"/>
        <w:numId w:val="1"/>
      </w:numPr>
      <w:tabs>
        <w:tab w:val="clear" w:pos="1872"/>
        <w:tab w:val="num" w:pos="360"/>
        <w:tab w:val="num" w:pos="1152"/>
      </w:tabs>
      <w:spacing w:before="120"/>
      <w:ind w:left="1152" w:firstLine="0"/>
      <w:jc w:val="both"/>
      <w:outlineLvl w:val="2"/>
    </w:pPr>
    <w:rPr>
      <w:sz w:val="24"/>
      <w:szCs w:val="20"/>
      <w:lang w:val="es-ES_tradnl"/>
    </w:rPr>
  </w:style>
  <w:style w:type="paragraph" w:customStyle="1" w:styleId="SubSubPar">
    <w:name w:val="SubSubPar"/>
    <w:basedOn w:val="subpar"/>
    <w:rsid w:val="00C5214B"/>
    <w:pPr>
      <w:numPr>
        <w:ilvl w:val="3"/>
      </w:numPr>
      <w:tabs>
        <w:tab w:val="clear" w:pos="2304"/>
        <w:tab w:val="left" w:pos="0"/>
        <w:tab w:val="num" w:pos="360"/>
        <w:tab w:val="num" w:pos="1152"/>
        <w:tab w:val="num" w:pos="1296"/>
      </w:tabs>
      <w:ind w:left="1296"/>
    </w:pPr>
  </w:style>
  <w:style w:type="character" w:customStyle="1" w:styleId="ParagraphChar">
    <w:name w:val="Paragraph Char"/>
    <w:link w:val="Paragraph"/>
    <w:rsid w:val="00C5214B"/>
    <w:rPr>
      <w:rFonts w:ascii="Times New Roman" w:eastAsia="Times New Roman" w:hAnsi="Times New Roman" w:cs="Times New Roman"/>
      <w:sz w:val="24"/>
      <w:szCs w:val="20"/>
      <w:lang w:val="es-ES_tradnl" w:eastAsia="x-none"/>
    </w:rPr>
  </w:style>
  <w:style w:type="paragraph" w:styleId="BodyTextIndent">
    <w:name w:val="Body Text Indent"/>
    <w:basedOn w:val="Normal"/>
    <w:link w:val="BodyTextIndentChar"/>
    <w:uiPriority w:val="99"/>
    <w:semiHidden/>
    <w:unhideWhenUsed/>
    <w:rsid w:val="00C5214B"/>
    <w:pPr>
      <w:spacing w:after="120"/>
      <w:ind w:left="360"/>
    </w:pPr>
  </w:style>
  <w:style w:type="character" w:customStyle="1" w:styleId="BodyTextIndentChar">
    <w:name w:val="Body Text Indent Char"/>
    <w:basedOn w:val="DefaultParagraphFont"/>
    <w:link w:val="BodyTextIndent"/>
    <w:uiPriority w:val="99"/>
    <w:semiHidden/>
    <w:rsid w:val="00C5214B"/>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C521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5214B"/>
    <w:rPr>
      <w:rFonts w:ascii="Times New Roman" w:eastAsia="Times New Roman" w:hAnsi="Times New Roman" w:cs="Times New Roman"/>
      <w:sz w:val="16"/>
      <w:szCs w:val="16"/>
    </w:rPr>
  </w:style>
  <w:style w:type="paragraph" w:styleId="ListParagraph">
    <w:name w:val="List Paragraph"/>
    <w:basedOn w:val="Normal"/>
    <w:uiPriority w:val="34"/>
    <w:qFormat/>
    <w:rsid w:val="00C35B18"/>
    <w:pPr>
      <w:ind w:left="720"/>
      <w:contextualSpacing/>
    </w:pPr>
  </w:style>
  <w:style w:type="paragraph" w:styleId="FootnoteText">
    <w:name w:val="footnote text"/>
    <w:basedOn w:val="Normal"/>
    <w:link w:val="FootnoteTextChar"/>
    <w:uiPriority w:val="99"/>
    <w:semiHidden/>
    <w:unhideWhenUsed/>
    <w:rsid w:val="00F54519"/>
    <w:rPr>
      <w:sz w:val="20"/>
    </w:rPr>
  </w:style>
  <w:style w:type="character" w:customStyle="1" w:styleId="FootnoteTextChar">
    <w:name w:val="Footnote Text Char"/>
    <w:basedOn w:val="DefaultParagraphFont"/>
    <w:link w:val="FootnoteText"/>
    <w:uiPriority w:val="99"/>
    <w:semiHidden/>
    <w:rsid w:val="00F5451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4519"/>
    <w:rPr>
      <w:vertAlign w:val="superscript"/>
    </w:rPr>
  </w:style>
  <w:style w:type="paragraph" w:styleId="BalloonText">
    <w:name w:val="Balloon Text"/>
    <w:basedOn w:val="Normal"/>
    <w:link w:val="BalloonTextChar"/>
    <w:uiPriority w:val="99"/>
    <w:semiHidden/>
    <w:unhideWhenUsed/>
    <w:rsid w:val="002B0059"/>
    <w:rPr>
      <w:rFonts w:ascii="Tahoma" w:hAnsi="Tahoma" w:cs="Tahoma"/>
      <w:sz w:val="16"/>
      <w:szCs w:val="16"/>
    </w:rPr>
  </w:style>
  <w:style w:type="character" w:customStyle="1" w:styleId="BalloonTextChar">
    <w:name w:val="Balloon Text Char"/>
    <w:basedOn w:val="DefaultParagraphFont"/>
    <w:link w:val="BalloonText"/>
    <w:uiPriority w:val="99"/>
    <w:semiHidden/>
    <w:rsid w:val="002B0059"/>
    <w:rPr>
      <w:rFonts w:ascii="Tahoma" w:eastAsia="Times New Roman" w:hAnsi="Tahoma" w:cs="Tahoma"/>
      <w:sz w:val="16"/>
      <w:szCs w:val="16"/>
    </w:rPr>
  </w:style>
  <w:style w:type="table" w:styleId="TableGrid">
    <w:name w:val="Table Grid"/>
    <w:basedOn w:val="TableNormal"/>
    <w:uiPriority w:val="59"/>
    <w:rsid w:val="00637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CF1"/>
    <w:pPr>
      <w:tabs>
        <w:tab w:val="center" w:pos="4680"/>
        <w:tab w:val="right" w:pos="9360"/>
      </w:tabs>
    </w:pPr>
  </w:style>
  <w:style w:type="character" w:customStyle="1" w:styleId="HeaderChar">
    <w:name w:val="Header Char"/>
    <w:basedOn w:val="DefaultParagraphFont"/>
    <w:link w:val="Header"/>
    <w:uiPriority w:val="99"/>
    <w:rsid w:val="008E5CF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5CF1"/>
    <w:pPr>
      <w:tabs>
        <w:tab w:val="center" w:pos="4680"/>
        <w:tab w:val="right" w:pos="9360"/>
      </w:tabs>
    </w:pPr>
  </w:style>
  <w:style w:type="character" w:customStyle="1" w:styleId="FooterChar">
    <w:name w:val="Footer Char"/>
    <w:basedOn w:val="DefaultParagraphFont"/>
    <w:link w:val="Footer"/>
    <w:uiPriority w:val="99"/>
    <w:rsid w:val="008E5CF1"/>
    <w:rPr>
      <w:rFonts w:ascii="Times New Roman" w:eastAsia="Times New Roman" w:hAnsi="Times New Roman" w:cs="Times New Roman"/>
      <w:sz w:val="24"/>
      <w:szCs w:val="20"/>
    </w:rPr>
  </w:style>
  <w:style w:type="paragraph" w:styleId="NormalWeb">
    <w:name w:val="Normal (Web)"/>
    <w:basedOn w:val="Normal"/>
    <w:uiPriority w:val="99"/>
    <w:semiHidden/>
    <w:unhideWhenUsed/>
    <w:rsid w:val="009723DE"/>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AF1DE5"/>
    <w:rPr>
      <w:sz w:val="16"/>
      <w:szCs w:val="16"/>
    </w:rPr>
  </w:style>
  <w:style w:type="paragraph" w:styleId="CommentText">
    <w:name w:val="annotation text"/>
    <w:basedOn w:val="Normal"/>
    <w:link w:val="CommentTextChar"/>
    <w:uiPriority w:val="99"/>
    <w:semiHidden/>
    <w:unhideWhenUsed/>
    <w:rsid w:val="00AF1DE5"/>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AF1DE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4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C5214B"/>
    <w:pPr>
      <w:keepNext/>
      <w:numPr>
        <w:numId w:val="1"/>
      </w:numPr>
      <w:tabs>
        <w:tab w:val="num" w:pos="648"/>
        <w:tab w:val="left" w:pos="1440"/>
      </w:tabs>
      <w:spacing w:before="240" w:after="240"/>
      <w:ind w:left="0"/>
      <w:jc w:val="center"/>
    </w:pPr>
    <w:rPr>
      <w:b/>
      <w:smallCaps/>
      <w:lang w:val="es-ES_tradnl"/>
    </w:rPr>
  </w:style>
  <w:style w:type="paragraph" w:customStyle="1" w:styleId="Paragraph">
    <w:name w:val="Paragraph"/>
    <w:aliases w:val="p,PARAGRAPH,PG,pa,at,paragraph+1,paragraph"/>
    <w:basedOn w:val="BodyTextIndent"/>
    <w:link w:val="ParagraphChar"/>
    <w:qFormat/>
    <w:rsid w:val="00C5214B"/>
    <w:pPr>
      <w:numPr>
        <w:ilvl w:val="1"/>
        <w:numId w:val="1"/>
      </w:numPr>
      <w:spacing w:before="120"/>
      <w:jc w:val="both"/>
      <w:outlineLvl w:val="1"/>
    </w:pPr>
    <w:rPr>
      <w:lang w:val="es-ES_tradnl" w:eastAsia="x-none"/>
    </w:rPr>
  </w:style>
  <w:style w:type="paragraph" w:customStyle="1" w:styleId="subpar">
    <w:name w:val="subpar"/>
    <w:basedOn w:val="BodyTextIndent3"/>
    <w:rsid w:val="00C5214B"/>
    <w:pPr>
      <w:numPr>
        <w:ilvl w:val="2"/>
        <w:numId w:val="1"/>
      </w:numPr>
      <w:tabs>
        <w:tab w:val="clear" w:pos="1872"/>
        <w:tab w:val="num" w:pos="360"/>
        <w:tab w:val="num" w:pos="1152"/>
      </w:tabs>
      <w:spacing w:before="120"/>
      <w:ind w:left="1152" w:firstLine="0"/>
      <w:jc w:val="both"/>
      <w:outlineLvl w:val="2"/>
    </w:pPr>
    <w:rPr>
      <w:sz w:val="24"/>
      <w:szCs w:val="20"/>
      <w:lang w:val="es-ES_tradnl"/>
    </w:rPr>
  </w:style>
  <w:style w:type="paragraph" w:customStyle="1" w:styleId="SubSubPar">
    <w:name w:val="SubSubPar"/>
    <w:basedOn w:val="subpar"/>
    <w:rsid w:val="00C5214B"/>
    <w:pPr>
      <w:numPr>
        <w:ilvl w:val="3"/>
      </w:numPr>
      <w:tabs>
        <w:tab w:val="clear" w:pos="2304"/>
        <w:tab w:val="left" w:pos="0"/>
        <w:tab w:val="num" w:pos="360"/>
        <w:tab w:val="num" w:pos="1152"/>
        <w:tab w:val="num" w:pos="1296"/>
      </w:tabs>
      <w:ind w:left="1296"/>
    </w:pPr>
  </w:style>
  <w:style w:type="character" w:customStyle="1" w:styleId="ParagraphChar">
    <w:name w:val="Paragraph Char"/>
    <w:link w:val="Paragraph"/>
    <w:rsid w:val="00C5214B"/>
    <w:rPr>
      <w:rFonts w:ascii="Times New Roman" w:eastAsia="Times New Roman" w:hAnsi="Times New Roman" w:cs="Times New Roman"/>
      <w:sz w:val="24"/>
      <w:szCs w:val="20"/>
      <w:lang w:val="es-ES_tradnl" w:eastAsia="x-none"/>
    </w:rPr>
  </w:style>
  <w:style w:type="paragraph" w:styleId="BodyTextIndent">
    <w:name w:val="Body Text Indent"/>
    <w:basedOn w:val="Normal"/>
    <w:link w:val="BodyTextIndentChar"/>
    <w:uiPriority w:val="99"/>
    <w:semiHidden/>
    <w:unhideWhenUsed/>
    <w:rsid w:val="00C5214B"/>
    <w:pPr>
      <w:spacing w:after="120"/>
      <w:ind w:left="360"/>
    </w:pPr>
  </w:style>
  <w:style w:type="character" w:customStyle="1" w:styleId="BodyTextIndentChar">
    <w:name w:val="Body Text Indent Char"/>
    <w:basedOn w:val="DefaultParagraphFont"/>
    <w:link w:val="BodyTextIndent"/>
    <w:uiPriority w:val="99"/>
    <w:semiHidden/>
    <w:rsid w:val="00C5214B"/>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C521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5214B"/>
    <w:rPr>
      <w:rFonts w:ascii="Times New Roman" w:eastAsia="Times New Roman" w:hAnsi="Times New Roman" w:cs="Times New Roman"/>
      <w:sz w:val="16"/>
      <w:szCs w:val="16"/>
    </w:rPr>
  </w:style>
  <w:style w:type="paragraph" w:styleId="ListParagraph">
    <w:name w:val="List Paragraph"/>
    <w:basedOn w:val="Normal"/>
    <w:uiPriority w:val="34"/>
    <w:qFormat/>
    <w:rsid w:val="00C35B18"/>
    <w:pPr>
      <w:ind w:left="720"/>
      <w:contextualSpacing/>
    </w:pPr>
  </w:style>
  <w:style w:type="paragraph" w:styleId="FootnoteText">
    <w:name w:val="footnote text"/>
    <w:basedOn w:val="Normal"/>
    <w:link w:val="FootnoteTextChar"/>
    <w:uiPriority w:val="99"/>
    <w:semiHidden/>
    <w:unhideWhenUsed/>
    <w:rsid w:val="00F54519"/>
    <w:rPr>
      <w:sz w:val="20"/>
    </w:rPr>
  </w:style>
  <w:style w:type="character" w:customStyle="1" w:styleId="FootnoteTextChar">
    <w:name w:val="Footnote Text Char"/>
    <w:basedOn w:val="DefaultParagraphFont"/>
    <w:link w:val="FootnoteText"/>
    <w:uiPriority w:val="99"/>
    <w:semiHidden/>
    <w:rsid w:val="00F5451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4519"/>
    <w:rPr>
      <w:vertAlign w:val="superscript"/>
    </w:rPr>
  </w:style>
  <w:style w:type="paragraph" w:styleId="BalloonText">
    <w:name w:val="Balloon Text"/>
    <w:basedOn w:val="Normal"/>
    <w:link w:val="BalloonTextChar"/>
    <w:uiPriority w:val="99"/>
    <w:semiHidden/>
    <w:unhideWhenUsed/>
    <w:rsid w:val="002B0059"/>
    <w:rPr>
      <w:rFonts w:ascii="Tahoma" w:hAnsi="Tahoma" w:cs="Tahoma"/>
      <w:sz w:val="16"/>
      <w:szCs w:val="16"/>
    </w:rPr>
  </w:style>
  <w:style w:type="character" w:customStyle="1" w:styleId="BalloonTextChar">
    <w:name w:val="Balloon Text Char"/>
    <w:basedOn w:val="DefaultParagraphFont"/>
    <w:link w:val="BalloonText"/>
    <w:uiPriority w:val="99"/>
    <w:semiHidden/>
    <w:rsid w:val="002B0059"/>
    <w:rPr>
      <w:rFonts w:ascii="Tahoma" w:eastAsia="Times New Roman" w:hAnsi="Tahoma" w:cs="Tahoma"/>
      <w:sz w:val="16"/>
      <w:szCs w:val="16"/>
    </w:rPr>
  </w:style>
  <w:style w:type="table" w:styleId="TableGrid">
    <w:name w:val="Table Grid"/>
    <w:basedOn w:val="TableNormal"/>
    <w:uiPriority w:val="59"/>
    <w:rsid w:val="00637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CF1"/>
    <w:pPr>
      <w:tabs>
        <w:tab w:val="center" w:pos="4680"/>
        <w:tab w:val="right" w:pos="9360"/>
      </w:tabs>
    </w:pPr>
  </w:style>
  <w:style w:type="character" w:customStyle="1" w:styleId="HeaderChar">
    <w:name w:val="Header Char"/>
    <w:basedOn w:val="DefaultParagraphFont"/>
    <w:link w:val="Header"/>
    <w:uiPriority w:val="99"/>
    <w:rsid w:val="008E5CF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5CF1"/>
    <w:pPr>
      <w:tabs>
        <w:tab w:val="center" w:pos="4680"/>
        <w:tab w:val="right" w:pos="9360"/>
      </w:tabs>
    </w:pPr>
  </w:style>
  <w:style w:type="character" w:customStyle="1" w:styleId="FooterChar">
    <w:name w:val="Footer Char"/>
    <w:basedOn w:val="DefaultParagraphFont"/>
    <w:link w:val="Footer"/>
    <w:uiPriority w:val="99"/>
    <w:rsid w:val="008E5CF1"/>
    <w:rPr>
      <w:rFonts w:ascii="Times New Roman" w:eastAsia="Times New Roman" w:hAnsi="Times New Roman" w:cs="Times New Roman"/>
      <w:sz w:val="24"/>
      <w:szCs w:val="20"/>
    </w:rPr>
  </w:style>
  <w:style w:type="paragraph" w:styleId="NormalWeb">
    <w:name w:val="Normal (Web)"/>
    <w:basedOn w:val="Normal"/>
    <w:uiPriority w:val="99"/>
    <w:semiHidden/>
    <w:unhideWhenUsed/>
    <w:rsid w:val="009723DE"/>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AF1DE5"/>
    <w:rPr>
      <w:sz w:val="16"/>
      <w:szCs w:val="16"/>
    </w:rPr>
  </w:style>
  <w:style w:type="paragraph" w:styleId="CommentText">
    <w:name w:val="annotation text"/>
    <w:basedOn w:val="Normal"/>
    <w:link w:val="CommentTextChar"/>
    <w:uiPriority w:val="99"/>
    <w:semiHidden/>
    <w:unhideWhenUsed/>
    <w:rsid w:val="00AF1DE5"/>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AF1D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2976">
      <w:bodyDiv w:val="1"/>
      <w:marLeft w:val="0"/>
      <w:marRight w:val="0"/>
      <w:marTop w:val="0"/>
      <w:marBottom w:val="0"/>
      <w:divBdr>
        <w:top w:val="none" w:sz="0" w:space="0" w:color="auto"/>
        <w:left w:val="none" w:sz="0" w:space="0" w:color="auto"/>
        <w:bottom w:val="none" w:sz="0" w:space="0" w:color="auto"/>
        <w:right w:val="none" w:sz="0" w:space="0" w:color="auto"/>
      </w:divBdr>
    </w:div>
    <w:div w:id="1158377937">
      <w:bodyDiv w:val="1"/>
      <w:marLeft w:val="0"/>
      <w:marRight w:val="0"/>
      <w:marTop w:val="0"/>
      <w:marBottom w:val="0"/>
      <w:divBdr>
        <w:top w:val="none" w:sz="0" w:space="0" w:color="auto"/>
        <w:left w:val="none" w:sz="0" w:space="0" w:color="auto"/>
        <w:bottom w:val="none" w:sz="0" w:space="0" w:color="auto"/>
        <w:right w:val="none" w:sz="0" w:space="0" w:color="auto"/>
      </w:divBdr>
      <w:divsChild>
        <w:div w:id="1845123210">
          <w:marLeft w:val="547"/>
          <w:marRight w:val="0"/>
          <w:marTop w:val="154"/>
          <w:marBottom w:val="240"/>
          <w:divBdr>
            <w:top w:val="none" w:sz="0" w:space="0" w:color="auto"/>
            <w:left w:val="none" w:sz="0" w:space="0" w:color="auto"/>
            <w:bottom w:val="none" w:sz="0" w:space="0" w:color="auto"/>
            <w:right w:val="none" w:sz="0" w:space="0" w:color="auto"/>
          </w:divBdr>
        </w:div>
      </w:divsChild>
    </w:div>
    <w:div w:id="21438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4C6AAB38837F54AB634A2A1FB43321F" ma:contentTypeVersion="0" ma:contentTypeDescription="A content type to manage public (operations) IDB documents" ma:contentTypeScope="" ma:versionID="baa12fa05fbe02a3a3095ecf0849af6d">
  <xsd:schema xmlns:xsd="http://www.w3.org/2001/XMLSchema" xmlns:xs="http://www.w3.org/2001/XMLSchema" xmlns:p="http://schemas.microsoft.com/office/2006/metadata/properties" xmlns:ns2="9c571b2f-e523-4ab2-ba2e-09e151a03ef4" targetNamespace="http://schemas.microsoft.com/office/2006/metadata/properties" ma:root="true" ma:fieldsID="45c9d5cafd7537b97511b59754489fff"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8a84bd1-1035-476f-8cad-03954ea82a02}" ma:internalName="TaxCatchAll" ma:showField="CatchAllData" ma:web="7cacd91a-41c5-45c2-9b33-9a9f3c840ad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8a84bd1-1035-476f-8cad-03954ea82a02}" ma:internalName="TaxCatchAllLabel" ma:readOnly="true" ma:showField="CatchAllDataLabel" ma:web="7cacd91a-41c5-45c2-9b33-9a9f3c840adb">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39848547</IDBDocs_x0020_Number>
    <TaxCatchAll xmlns="9c571b2f-e523-4ab2-ba2e-09e151a03ef4">
      <Value>9</Value>
      <Value>1</Value>
      <Value>2</Value>
    </TaxCatchAll>
    <Phase xmlns="9c571b2f-e523-4ab2-ba2e-09e151a03ef4" xsi:nil="true"/>
    <SISCOR_x0020_Number xmlns="9c571b2f-e523-4ab2-ba2e-09e151a03ef4" xsi:nil="true"/>
    <Division_x0020_or_x0020_Unit xmlns="9c571b2f-e523-4ab2-ba2e-09e151a03ef4">SCL/SPH</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Approval_x0020_Number xmlns="9c571b2f-e523-4ab2-ba2e-09e151a03ef4" xsi:nil="true"/>
    <Document_x0020_Author xmlns="9c571b2f-e523-4ab2-ba2e-09e151a03ef4">Pinto Masis, Diana Margarita</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DR-L1079</Project_x0020_Number>
    <Access_x0020_to_x0020_Information_x00a0_Policy xmlns="9c571b2f-e523-4ab2-ba2e-09e151a03ef4">Confidential</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TermInfo xmlns="http://schemas.microsoft.com/office/infopath/2007/PartnerControls">
          <TermName xmlns="http://schemas.microsoft.com/office/infopath/2007/PartnerControls">Dominican Republic</TermName>
          <TermId xmlns="http://schemas.microsoft.com/office/infopath/2007/PartnerControls">19e8fe34-75bb-4d09-b676-0e9a3c6f1862</TermId>
        </TermInfo>
      </Terms>
    </j8b96605ee2f4c4e988849e658583fee>
    <Migration_x0020_Info xmlns="9c571b2f-e523-4ab2-ba2e-09e151a03ef4">&lt;Data&gt;&lt;APPLICATION&gt;MS WORD&lt;/APPLICATION&gt;&lt;STAGE_CODE&gt;LP&lt;/STAGE_CODE&gt;&lt;USER_STAGE&gt;Loan Proposal&lt;/USER_STAGE&gt;&lt;PD_OBJ_TYPE&gt;0&lt;/PD_OBJ_TYPE&gt;&lt;MAKERECORD&gt;N&lt;/MAKERECORD&gt;&lt;PD_FILEPT_NO&gt;RI-Reg-PR-E&lt;/PD_FILEPT_NO&gt;&lt;PD_FILE_PART&gt;2253907&lt;/PD_FILE_PART&gt;&lt;SPRSEDEBYDOC&gt;&lt;/SPRSEDEBYDOC&gt;&lt;/Data&gt;</Migration_x0020_Info>
    <Operation_x0020_Type xmlns="9c571b2f-e523-4ab2-ba2e-09e151a03ef4" xsi:nil="true"/>
    <Record_x0020_Number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Health</Webtopic>
    <Issue_x0020_Date xmlns="9c571b2f-e523-4ab2-ba2e-09e151a03ef4" xsi:nil="true"/>
    <Disclosed xmlns="9c571b2f-e523-4ab2-ba2e-09e151a03ef4">false</Disclosed>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2E1775F5-9BC9-4728-8F4A-B08F56F1178C}"/>
</file>

<file path=customXml/itemProps2.xml><?xml version="1.0" encoding="utf-8"?>
<ds:datastoreItem xmlns:ds="http://schemas.openxmlformats.org/officeDocument/2006/customXml" ds:itemID="{A36E1ACC-0700-49BC-A94F-CD1343E376D9}"/>
</file>

<file path=customXml/itemProps3.xml><?xml version="1.0" encoding="utf-8"?>
<ds:datastoreItem xmlns:ds="http://schemas.openxmlformats.org/officeDocument/2006/customXml" ds:itemID="{1D952AF1-D091-4C6B-8353-B8D252561BB7}"/>
</file>

<file path=customXml/itemProps4.xml><?xml version="1.0" encoding="utf-8"?>
<ds:datastoreItem xmlns:ds="http://schemas.openxmlformats.org/officeDocument/2006/customXml" ds:itemID="{46DA408F-72C1-4663-86BF-33AB34F5F8D8}"/>
</file>

<file path=customXml/itemProps5.xml><?xml version="1.0" encoding="utf-8"?>
<ds:datastoreItem xmlns:ds="http://schemas.openxmlformats.org/officeDocument/2006/customXml" ds:itemID="{BC8FE47D-4FEB-4B16-90C6-7245CEE40C87}"/>
</file>

<file path=customXml/itemProps6.xml><?xml version="1.0" encoding="utf-8"?>
<ds:datastoreItem xmlns:ds="http://schemas.openxmlformats.org/officeDocument/2006/customXml" ds:itemID="{32C5DBA2-CFFC-4752-AF7E-CBAD46DEF00E}"/>
</file>

<file path=docProps/app.xml><?xml version="1.0" encoding="utf-8"?>
<Properties xmlns="http://schemas.openxmlformats.org/officeDocument/2006/extended-properties" xmlns:vt="http://schemas.openxmlformats.org/officeDocument/2006/docPropsVTypes">
  <Template>Normal.dotm</Template>
  <TotalTime>2</TotalTime>
  <Pages>9</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Apoyo del Banco al Sector Salud en República Dominicana</dc:title>
  <dc:creator>Inter-American Development Bank</dc:creator>
  <cp:lastModifiedBy>Test</cp:lastModifiedBy>
  <cp:revision>2</cp:revision>
  <cp:lastPrinted>2014-10-17T21:14:00Z</cp:lastPrinted>
  <dcterms:created xsi:type="dcterms:W3CDTF">2015-09-11T12:43:00Z</dcterms:created>
  <dcterms:modified xsi:type="dcterms:W3CDTF">2015-09-11T12:43:00Z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0x01010046CF21643EE8D14686A648AA6DAD089200C4C6AAB38837F54AB634A2A1FB43321F</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Series Operations IDB">
    <vt:lpwstr>9;#Loan Proposal|6ee86b6f-6e46-485b-8bfb-87a1f44622ac</vt:lpwstr>
  </property>
  <property fmtid="{D5CDD505-2E9C-101B-9397-08002B2CF9AE}" pid="8" name="Country">
    <vt:lpwstr>2;#Dominican Republic|19e8fe34-75bb-4d09-b676-0e9a3c6f1862</vt:lpwstr>
  </property>
  <property fmtid="{D5CDD505-2E9C-101B-9397-08002B2CF9AE}" pid="9" name="Fund IDB">
    <vt:lpwstr/>
  </property>
  <property fmtid="{D5CDD505-2E9C-101B-9397-08002B2CF9AE}" pid="10" name="Series_x0020_Operations_x0020_IDB">
    <vt:lpwstr>9;#Loan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1;#Project Preparation, Planning and Design|29ca0c72-1fc4-435f-a09c-28585cb5eac9</vt:lpwstr>
  </property>
  <property fmtid="{D5CDD505-2E9C-101B-9397-08002B2CF9AE}" pid="15" name="Sub-Sector">
    <vt:lpwstr/>
  </property>
</Properties>
</file>