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8A" w:rsidRPr="00B91931" w:rsidRDefault="00573E8A" w:rsidP="00573E8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91931">
        <w:rPr>
          <w:rFonts w:ascii="Times New Roman" w:hAnsi="Times New Roman"/>
          <w:b/>
          <w:sz w:val="52"/>
          <w:szCs w:val="52"/>
        </w:rPr>
        <w:t>Nota Técnica para Elaboração do PCR</w:t>
      </w:r>
    </w:p>
    <w:p w:rsidR="00573E8A" w:rsidRPr="00B91931" w:rsidRDefault="00573E8A" w:rsidP="00573E8A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573E8A" w:rsidRPr="00B91931" w:rsidRDefault="00573E8A" w:rsidP="00573E8A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573E8A" w:rsidRPr="00B91931" w:rsidRDefault="00573E8A" w:rsidP="00573E8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91931">
        <w:rPr>
          <w:rFonts w:ascii="Times New Roman" w:hAnsi="Times New Roman"/>
          <w:b/>
          <w:sz w:val="44"/>
          <w:szCs w:val="44"/>
        </w:rPr>
        <w:t>Brasil</w:t>
      </w:r>
    </w:p>
    <w:p w:rsidR="00573E8A" w:rsidRPr="00B91931" w:rsidRDefault="00573E8A" w:rsidP="00573E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73E8A" w:rsidRPr="00B91931" w:rsidRDefault="00573E8A" w:rsidP="00573E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73E8A" w:rsidRPr="00B91931" w:rsidRDefault="00573E8A" w:rsidP="00573E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91931">
        <w:rPr>
          <w:rFonts w:ascii="Times New Roman" w:hAnsi="Times New Roman"/>
          <w:b/>
          <w:sz w:val="40"/>
          <w:szCs w:val="40"/>
        </w:rPr>
        <w:t>Projeto de Apoio à Modernização e Transparência da Gestão Fiscal do Estado do Pará (BR-L1093)</w:t>
      </w:r>
    </w:p>
    <w:p w:rsidR="00573E8A" w:rsidRPr="00B91931" w:rsidRDefault="00573E8A" w:rsidP="00573E8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73E8A" w:rsidRPr="00B91931" w:rsidRDefault="00573E8A" w:rsidP="00573E8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73E8A" w:rsidRPr="00B91931" w:rsidRDefault="00573E8A" w:rsidP="00573E8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73E8A" w:rsidRPr="00B91931" w:rsidRDefault="00573E8A" w:rsidP="00573E8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B609CC" w:rsidRPr="00B91931" w:rsidRDefault="003C4DCC" w:rsidP="00573E8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proofErr w:type="gramStart"/>
      <w:r w:rsidRPr="00B91931">
        <w:rPr>
          <w:rFonts w:ascii="Times New Roman" w:hAnsi="Times New Roman"/>
          <w:b/>
          <w:sz w:val="40"/>
          <w:szCs w:val="40"/>
        </w:rPr>
        <w:t>Produto</w:t>
      </w:r>
      <w:r w:rsidR="00B609CC" w:rsidRPr="00B91931">
        <w:rPr>
          <w:rFonts w:ascii="Times New Roman" w:hAnsi="Times New Roman"/>
          <w:b/>
          <w:sz w:val="40"/>
          <w:szCs w:val="40"/>
        </w:rPr>
        <w:t>:</w:t>
      </w:r>
      <w:r w:rsidR="00D03639" w:rsidRPr="00B91931">
        <w:rPr>
          <w:rFonts w:ascii="Times New Roman" w:hAnsi="Times New Roman"/>
          <w:b/>
          <w:sz w:val="40"/>
          <w:szCs w:val="40"/>
        </w:rPr>
        <w:t>Modelo</w:t>
      </w:r>
      <w:proofErr w:type="gramEnd"/>
      <w:r w:rsidR="00E319FD" w:rsidRPr="00B91931">
        <w:rPr>
          <w:rFonts w:ascii="Times New Roman" w:hAnsi="Times New Roman"/>
          <w:b/>
          <w:sz w:val="40"/>
          <w:szCs w:val="40"/>
        </w:rPr>
        <w:t xml:space="preserve"> de P</w:t>
      </w:r>
      <w:r w:rsidR="00D03639" w:rsidRPr="00B91931">
        <w:rPr>
          <w:rFonts w:ascii="Times New Roman" w:hAnsi="Times New Roman"/>
          <w:b/>
          <w:sz w:val="40"/>
          <w:szCs w:val="40"/>
        </w:rPr>
        <w:t xml:space="preserve">esquisas, </w:t>
      </w:r>
      <w:r w:rsidR="00E319FD" w:rsidRPr="00B91931">
        <w:rPr>
          <w:rFonts w:ascii="Times New Roman" w:hAnsi="Times New Roman"/>
          <w:b/>
          <w:sz w:val="40"/>
          <w:szCs w:val="40"/>
        </w:rPr>
        <w:t>Investigações e A</w:t>
      </w:r>
      <w:r w:rsidR="00D03639" w:rsidRPr="00B91931">
        <w:rPr>
          <w:rFonts w:ascii="Times New Roman" w:hAnsi="Times New Roman"/>
          <w:b/>
          <w:sz w:val="40"/>
          <w:szCs w:val="40"/>
        </w:rPr>
        <w:t>nálises</w:t>
      </w:r>
      <w:r w:rsidR="00E319FD" w:rsidRPr="00B91931">
        <w:rPr>
          <w:rFonts w:ascii="Times New Roman" w:hAnsi="Times New Roman"/>
          <w:b/>
          <w:sz w:val="40"/>
          <w:szCs w:val="40"/>
        </w:rPr>
        <w:t xml:space="preserve"> de I</w:t>
      </w:r>
      <w:r w:rsidR="00D03639" w:rsidRPr="00B91931">
        <w:rPr>
          <w:rFonts w:ascii="Times New Roman" w:hAnsi="Times New Roman"/>
          <w:b/>
          <w:sz w:val="40"/>
          <w:szCs w:val="40"/>
        </w:rPr>
        <w:t xml:space="preserve">lícitos </w:t>
      </w:r>
      <w:r w:rsidR="00E319FD" w:rsidRPr="00B91931">
        <w:rPr>
          <w:rFonts w:ascii="Times New Roman" w:hAnsi="Times New Roman"/>
          <w:b/>
          <w:sz w:val="40"/>
          <w:szCs w:val="40"/>
        </w:rPr>
        <w:t>F</w:t>
      </w:r>
      <w:r w:rsidR="00D03639" w:rsidRPr="00B91931">
        <w:rPr>
          <w:rFonts w:ascii="Times New Roman" w:hAnsi="Times New Roman"/>
          <w:b/>
          <w:sz w:val="40"/>
          <w:szCs w:val="40"/>
        </w:rPr>
        <w:t>iscais</w:t>
      </w: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1931">
        <w:rPr>
          <w:rFonts w:ascii="Times New Roman" w:hAnsi="Times New Roman"/>
          <w:b/>
          <w:color w:val="000000"/>
          <w:sz w:val="24"/>
          <w:szCs w:val="24"/>
        </w:rPr>
        <w:t xml:space="preserve">Responsáveis: </w:t>
      </w: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300"/>
        <w:gridCol w:w="2222"/>
        <w:gridCol w:w="2309"/>
        <w:gridCol w:w="2608"/>
      </w:tblGrid>
      <w:tr w:rsidR="002053D4" w:rsidRPr="00B91931" w:rsidTr="00261375">
        <w:tc>
          <w:tcPr>
            <w:tcW w:w="2300" w:type="dxa"/>
            <w:vAlign w:val="center"/>
          </w:tcPr>
          <w:p w:rsidR="002053D4" w:rsidRPr="00B91931" w:rsidRDefault="002053D4" w:rsidP="00261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2" w:type="dxa"/>
            <w:vAlign w:val="center"/>
          </w:tcPr>
          <w:p w:rsidR="002053D4" w:rsidRPr="00B91931" w:rsidRDefault="002053D4" w:rsidP="00261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309" w:type="dxa"/>
            <w:vAlign w:val="center"/>
          </w:tcPr>
          <w:p w:rsidR="002053D4" w:rsidRPr="00B91931" w:rsidRDefault="002053D4" w:rsidP="00261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Unidade Organizacional (sigla e nome)</w:t>
            </w:r>
          </w:p>
        </w:tc>
        <w:tc>
          <w:tcPr>
            <w:tcW w:w="2608" w:type="dxa"/>
            <w:vAlign w:val="center"/>
          </w:tcPr>
          <w:p w:rsidR="002053D4" w:rsidRPr="00B91931" w:rsidRDefault="002053D4" w:rsidP="00261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2053D4" w:rsidRPr="00B91931" w:rsidTr="00907BCC">
        <w:tc>
          <w:tcPr>
            <w:tcW w:w="2300" w:type="dxa"/>
          </w:tcPr>
          <w:p w:rsidR="002053D4" w:rsidRPr="00B91931" w:rsidRDefault="002053D4" w:rsidP="00261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Gerente do Projeto:</w:t>
            </w:r>
          </w:p>
          <w:p w:rsidR="002053D4" w:rsidRPr="00B91931" w:rsidRDefault="002053D4" w:rsidP="00261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hAnsi="Times New Roman"/>
                <w:sz w:val="20"/>
                <w:szCs w:val="20"/>
              </w:rPr>
              <w:t>Carlos Alberto Oliveira da Costa</w:t>
            </w:r>
          </w:p>
        </w:tc>
        <w:tc>
          <w:tcPr>
            <w:tcW w:w="2222" w:type="dxa"/>
            <w:vAlign w:val="center"/>
          </w:tcPr>
          <w:p w:rsidR="002053D4" w:rsidRPr="00B91931" w:rsidRDefault="002053D4" w:rsidP="0090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hAnsi="Times New Roman"/>
                <w:sz w:val="20"/>
                <w:szCs w:val="20"/>
              </w:rPr>
              <w:t>FRE – Fiscal de Receitas Estaduais</w:t>
            </w:r>
          </w:p>
        </w:tc>
        <w:tc>
          <w:tcPr>
            <w:tcW w:w="2309" w:type="dxa"/>
            <w:vAlign w:val="center"/>
          </w:tcPr>
          <w:p w:rsidR="002053D4" w:rsidRPr="00B91931" w:rsidRDefault="002053D4" w:rsidP="0090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hAnsi="Times New Roman"/>
                <w:sz w:val="20"/>
                <w:szCs w:val="20"/>
              </w:rPr>
              <w:t>CPAF – Centro de Pesquisas e Análise Fiscal</w:t>
            </w:r>
          </w:p>
        </w:tc>
        <w:tc>
          <w:tcPr>
            <w:tcW w:w="2608" w:type="dxa"/>
            <w:vAlign w:val="center"/>
          </w:tcPr>
          <w:p w:rsidR="002053D4" w:rsidRPr="00B91931" w:rsidRDefault="002053D4" w:rsidP="0090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hAnsi="Times New Roman"/>
                <w:sz w:val="20"/>
                <w:szCs w:val="20"/>
              </w:rPr>
              <w:t>ccosta@sefa.pa.gov.br</w:t>
            </w:r>
          </w:p>
        </w:tc>
      </w:tr>
      <w:tr w:rsidR="00936087" w:rsidRPr="00B91931" w:rsidTr="00907BCC">
        <w:trPr>
          <w:trHeight w:val="624"/>
        </w:trPr>
        <w:tc>
          <w:tcPr>
            <w:tcW w:w="2300" w:type="dxa"/>
            <w:tcBorders>
              <w:bottom w:val="single" w:sz="4" w:space="0" w:color="auto"/>
            </w:tcBorders>
          </w:tcPr>
          <w:p w:rsidR="00936087" w:rsidRPr="00B91931" w:rsidRDefault="00936087" w:rsidP="00261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Diretor:</w:t>
            </w:r>
          </w:p>
          <w:p w:rsidR="00936087" w:rsidRPr="00B91931" w:rsidRDefault="00936087" w:rsidP="00261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José Roberto Lobo Soares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936087" w:rsidRPr="00B91931" w:rsidRDefault="00936087" w:rsidP="0090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hAnsi="Times New Roman"/>
                <w:sz w:val="20"/>
                <w:szCs w:val="20"/>
              </w:rPr>
              <w:t>FRE – Fiscal de Receitas Estaduais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36087" w:rsidRPr="00B91931" w:rsidRDefault="00936087" w:rsidP="0090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hAnsi="Times New Roman"/>
                <w:sz w:val="20"/>
                <w:szCs w:val="20"/>
              </w:rPr>
              <w:t>CPAF – Centro de Pesquisas e Análise Fiscal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936087" w:rsidRPr="00B91931" w:rsidRDefault="00936087" w:rsidP="0090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jrsoares@sefa.pa.gov.br</w:t>
            </w:r>
          </w:p>
        </w:tc>
      </w:tr>
      <w:tr w:rsidR="00936087" w:rsidRPr="00B91931" w:rsidTr="00261375">
        <w:trPr>
          <w:trHeight w:val="624"/>
        </w:trPr>
        <w:tc>
          <w:tcPr>
            <w:tcW w:w="2300" w:type="dxa"/>
            <w:tcBorders>
              <w:right w:val="nil"/>
            </w:tcBorders>
          </w:tcPr>
          <w:p w:rsidR="00936087" w:rsidRPr="00B91931" w:rsidRDefault="00936087" w:rsidP="00261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Diretor</w:t>
            </w:r>
          </w:p>
        </w:tc>
        <w:tc>
          <w:tcPr>
            <w:tcW w:w="2222" w:type="dxa"/>
            <w:tcBorders>
              <w:left w:val="nil"/>
            </w:tcBorders>
          </w:tcPr>
          <w:p w:rsidR="00936087" w:rsidRPr="00B91931" w:rsidRDefault="00936087" w:rsidP="00261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nil"/>
            </w:tcBorders>
          </w:tcPr>
          <w:p w:rsidR="00936087" w:rsidRPr="00B91931" w:rsidRDefault="00936087" w:rsidP="00261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9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Gerente</w:t>
            </w:r>
          </w:p>
        </w:tc>
        <w:tc>
          <w:tcPr>
            <w:tcW w:w="2608" w:type="dxa"/>
            <w:tcBorders>
              <w:left w:val="nil"/>
            </w:tcBorders>
          </w:tcPr>
          <w:p w:rsidR="00936087" w:rsidRPr="00B91931" w:rsidRDefault="00936087" w:rsidP="00261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053D4" w:rsidRPr="00B91931" w:rsidRDefault="002053D4" w:rsidP="002053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53D4" w:rsidRPr="00B91931" w:rsidRDefault="002053D4" w:rsidP="002053D4">
      <w:pPr>
        <w:tabs>
          <w:tab w:val="center" w:pos="4677"/>
          <w:tab w:val="left" w:pos="71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931">
        <w:rPr>
          <w:rFonts w:ascii="Times New Roman" w:hAnsi="Times New Roman"/>
          <w:b/>
          <w:sz w:val="24"/>
          <w:szCs w:val="24"/>
        </w:rPr>
        <w:t>Data versão: (05/05/2015)</w:t>
      </w: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53D4" w:rsidRPr="00B91931" w:rsidRDefault="002053D4" w:rsidP="00205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931">
        <w:rPr>
          <w:rFonts w:ascii="Times New Roman" w:hAnsi="Times New Roman"/>
          <w:b/>
          <w:sz w:val="24"/>
          <w:szCs w:val="24"/>
        </w:rPr>
        <w:br w:type="page"/>
      </w:r>
    </w:p>
    <w:p w:rsidR="00B609CC" w:rsidRPr="00B91931" w:rsidRDefault="00165355" w:rsidP="00261375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B91931">
        <w:rPr>
          <w:rFonts w:ascii="Times New Roman" w:hAnsi="Times New Roman"/>
          <w:b/>
          <w:sz w:val="24"/>
          <w:szCs w:val="24"/>
        </w:rPr>
        <w:lastRenderedPageBreak/>
        <w:t>DESCRIÇÃO DO PRODUTO</w:t>
      </w:r>
    </w:p>
    <w:p w:rsidR="00E319FD" w:rsidRPr="00B91931" w:rsidRDefault="00E53310" w:rsidP="00261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1931">
        <w:rPr>
          <w:rFonts w:ascii="Times New Roman" w:hAnsi="Times New Roman"/>
          <w:bCs/>
          <w:iCs/>
          <w:sz w:val="24"/>
          <w:szCs w:val="24"/>
        </w:rPr>
        <w:t>O Centro de Pesquisas e Análise Fiscal</w:t>
      </w:r>
      <w:r w:rsidR="00E31448" w:rsidRPr="00B91931">
        <w:rPr>
          <w:rFonts w:ascii="Times New Roman" w:hAnsi="Times New Roman"/>
          <w:bCs/>
          <w:iCs/>
          <w:sz w:val="24"/>
          <w:szCs w:val="24"/>
        </w:rPr>
        <w:t xml:space="preserve"> – CPAF,</w:t>
      </w:r>
      <w:r w:rsidR="00B91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91931">
        <w:rPr>
          <w:rFonts w:ascii="Times New Roman" w:hAnsi="Times New Roman"/>
          <w:sz w:val="24"/>
          <w:szCs w:val="24"/>
        </w:rPr>
        <w:t xml:space="preserve">tem a missão de combater e inibir a prática de ilícitos contra a ordem tributária e </w:t>
      </w:r>
      <w:r w:rsidR="00B91931" w:rsidRPr="00B91931">
        <w:rPr>
          <w:rFonts w:ascii="Times New Roman" w:hAnsi="Times New Roman"/>
          <w:sz w:val="24"/>
          <w:szCs w:val="24"/>
        </w:rPr>
        <w:t>não tributária</w:t>
      </w:r>
      <w:r w:rsidRPr="00B91931">
        <w:rPr>
          <w:rFonts w:ascii="Times New Roman" w:hAnsi="Times New Roman"/>
          <w:sz w:val="24"/>
          <w:szCs w:val="24"/>
        </w:rPr>
        <w:t xml:space="preserve">, através da geração de informações para tomadas de decisões. </w:t>
      </w:r>
      <w:r w:rsidR="00FF6812" w:rsidRPr="00B91931">
        <w:rPr>
          <w:rFonts w:ascii="Times New Roman" w:hAnsi="Times New Roman"/>
          <w:sz w:val="24"/>
          <w:szCs w:val="24"/>
        </w:rPr>
        <w:t xml:space="preserve">O </w:t>
      </w:r>
      <w:r w:rsidR="00FF6812" w:rsidRPr="00B91931">
        <w:rPr>
          <w:rFonts w:ascii="Times New Roman" w:hAnsi="Times New Roman"/>
          <w:bCs/>
          <w:iCs/>
          <w:sz w:val="24"/>
          <w:szCs w:val="24"/>
        </w:rPr>
        <w:t>Projeto</w:t>
      </w:r>
      <w:r w:rsidR="00E319FD" w:rsidRPr="00B91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91931">
        <w:rPr>
          <w:rFonts w:ascii="Times New Roman" w:hAnsi="Times New Roman"/>
          <w:bCs/>
          <w:iCs/>
          <w:sz w:val="24"/>
          <w:szCs w:val="24"/>
        </w:rPr>
        <w:t xml:space="preserve">específico, contemplado no PROGEFAZ, </w:t>
      </w:r>
      <w:r w:rsidR="00E319FD" w:rsidRPr="00B91931">
        <w:rPr>
          <w:rFonts w:ascii="Times New Roman" w:hAnsi="Times New Roman"/>
          <w:bCs/>
          <w:iCs/>
          <w:sz w:val="24"/>
          <w:szCs w:val="24"/>
        </w:rPr>
        <w:t>foi concebido para o aperfeiçoamento do modelo</w:t>
      </w:r>
      <w:r w:rsidR="00E319FD" w:rsidRPr="00B91931">
        <w:rPr>
          <w:rFonts w:ascii="Times New Roman" w:eastAsia="Times New Roman" w:hAnsi="Times New Roman"/>
          <w:sz w:val="24"/>
          <w:szCs w:val="24"/>
        </w:rPr>
        <w:t xml:space="preserve"> de pesquisas, investigações e análises de ilícitos fiscais</w:t>
      </w:r>
      <w:r w:rsidR="00C2776D" w:rsidRPr="00B91931">
        <w:rPr>
          <w:rFonts w:ascii="Times New Roman" w:eastAsia="Times New Roman" w:hAnsi="Times New Roman"/>
          <w:sz w:val="24"/>
          <w:szCs w:val="24"/>
        </w:rPr>
        <w:t>.</w:t>
      </w:r>
    </w:p>
    <w:p w:rsidR="00261375" w:rsidRPr="00B91931" w:rsidRDefault="00261375" w:rsidP="00261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776D" w:rsidRPr="00B91931" w:rsidRDefault="00451A51" w:rsidP="00261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1931">
        <w:rPr>
          <w:rFonts w:ascii="Times New Roman" w:eastAsia="Times New Roman" w:hAnsi="Times New Roman"/>
          <w:sz w:val="24"/>
          <w:szCs w:val="24"/>
        </w:rPr>
        <w:t>No início do Projeto, ainda em</w:t>
      </w:r>
      <w:r w:rsidR="00C2776D" w:rsidRPr="00B91931">
        <w:rPr>
          <w:rFonts w:ascii="Times New Roman" w:eastAsia="Times New Roman" w:hAnsi="Times New Roman"/>
          <w:sz w:val="24"/>
          <w:szCs w:val="24"/>
        </w:rPr>
        <w:t xml:space="preserve"> 2011, o setor se reuniu com a Coordenação de Modernização da Gestão Fazendária</w:t>
      </w:r>
      <w:r w:rsidR="00244F06" w:rsidRPr="00B91931">
        <w:rPr>
          <w:rFonts w:ascii="Times New Roman" w:eastAsia="Times New Roman" w:hAnsi="Times New Roman"/>
          <w:sz w:val="24"/>
          <w:szCs w:val="24"/>
        </w:rPr>
        <w:t xml:space="preserve"> - CMGF</w:t>
      </w:r>
      <w:r w:rsidR="00C2776D" w:rsidRPr="00B91931">
        <w:rPr>
          <w:rFonts w:ascii="Times New Roman" w:eastAsia="Times New Roman" w:hAnsi="Times New Roman"/>
          <w:sz w:val="24"/>
          <w:szCs w:val="24"/>
        </w:rPr>
        <w:t>, para redefinir a estrutura da Unidade de Inteligência Fiscal, bem como suas atribuições. O referido trabalho, juntamente com propostas das demais unidades fazendárias, resultaram na elaboração de um Projeto de Lei que, atualmente, encontra-se em análise pelo Sr. Secretário da Fazenda, para implementação futura.</w:t>
      </w:r>
    </w:p>
    <w:p w:rsidR="00261375" w:rsidRPr="00B91931" w:rsidRDefault="00261375" w:rsidP="00261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776D" w:rsidRPr="00B91931" w:rsidRDefault="00C2776D" w:rsidP="00261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1931">
        <w:rPr>
          <w:rFonts w:ascii="Times New Roman" w:eastAsia="Times New Roman" w:hAnsi="Times New Roman"/>
          <w:sz w:val="24"/>
          <w:szCs w:val="24"/>
        </w:rPr>
        <w:t xml:space="preserve">Durante o desenvolvimento do Projeto, o setor passou por profundas transformações. </w:t>
      </w:r>
      <w:r w:rsidRPr="005E4FBD">
        <w:rPr>
          <w:rFonts w:ascii="Times New Roman" w:eastAsia="Times New Roman" w:hAnsi="Times New Roman"/>
          <w:b/>
          <w:sz w:val="24"/>
          <w:szCs w:val="24"/>
        </w:rPr>
        <w:t xml:space="preserve">De uma equipe de apenas 03 (três) servidores, </w:t>
      </w:r>
      <w:r w:rsidR="002E03FB" w:rsidRPr="005E4FBD">
        <w:rPr>
          <w:rFonts w:ascii="Times New Roman" w:eastAsia="Times New Roman" w:hAnsi="Times New Roman"/>
          <w:b/>
          <w:sz w:val="24"/>
          <w:szCs w:val="24"/>
        </w:rPr>
        <w:t>o C</w:t>
      </w:r>
      <w:r w:rsidR="00E31448" w:rsidRPr="005E4FBD">
        <w:rPr>
          <w:rFonts w:ascii="Times New Roman" w:eastAsia="Times New Roman" w:hAnsi="Times New Roman"/>
          <w:b/>
          <w:sz w:val="24"/>
          <w:szCs w:val="24"/>
        </w:rPr>
        <w:t>entro</w:t>
      </w:r>
      <w:r w:rsidR="00FF6812" w:rsidRPr="005E4F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D2D61" w:rsidRPr="005E4FBD">
        <w:rPr>
          <w:rFonts w:ascii="Times New Roman" w:eastAsia="Times New Roman" w:hAnsi="Times New Roman"/>
          <w:b/>
          <w:sz w:val="24"/>
          <w:szCs w:val="24"/>
        </w:rPr>
        <w:t xml:space="preserve">passou a </w:t>
      </w:r>
      <w:r w:rsidRPr="005E4FBD">
        <w:rPr>
          <w:rFonts w:ascii="Times New Roman" w:eastAsia="Times New Roman" w:hAnsi="Times New Roman"/>
          <w:b/>
          <w:sz w:val="24"/>
          <w:szCs w:val="24"/>
        </w:rPr>
        <w:t>conta</w:t>
      </w:r>
      <w:r w:rsidR="00DD2D61" w:rsidRPr="005E4FBD">
        <w:rPr>
          <w:rFonts w:ascii="Times New Roman" w:eastAsia="Times New Roman" w:hAnsi="Times New Roman"/>
          <w:b/>
          <w:sz w:val="24"/>
          <w:szCs w:val="24"/>
        </w:rPr>
        <w:t>r</w:t>
      </w:r>
      <w:r w:rsidRPr="005E4FBD">
        <w:rPr>
          <w:rFonts w:ascii="Times New Roman" w:eastAsia="Times New Roman" w:hAnsi="Times New Roman"/>
          <w:b/>
          <w:sz w:val="24"/>
          <w:szCs w:val="24"/>
        </w:rPr>
        <w:t xml:space="preserve"> com </w:t>
      </w:r>
      <w:r w:rsidR="002E03FB" w:rsidRPr="005E4FBD">
        <w:rPr>
          <w:rFonts w:ascii="Times New Roman" w:eastAsia="Times New Roman" w:hAnsi="Times New Roman"/>
          <w:b/>
          <w:sz w:val="24"/>
          <w:szCs w:val="24"/>
        </w:rPr>
        <w:t>06 (seis) servidores, todos capacitados através d</w:t>
      </w:r>
      <w:r w:rsidR="003C4DCC" w:rsidRPr="005E4FBD">
        <w:rPr>
          <w:rFonts w:ascii="Times New Roman" w:eastAsia="Times New Roman" w:hAnsi="Times New Roman"/>
          <w:b/>
          <w:sz w:val="24"/>
          <w:szCs w:val="24"/>
        </w:rPr>
        <w:t>o</w:t>
      </w:r>
      <w:r w:rsidR="00FF6812" w:rsidRPr="005E4F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C4DCC" w:rsidRPr="005E4FBD">
        <w:rPr>
          <w:rFonts w:ascii="Times New Roman" w:eastAsia="Times New Roman" w:hAnsi="Times New Roman"/>
          <w:b/>
          <w:sz w:val="24"/>
          <w:szCs w:val="24"/>
        </w:rPr>
        <w:t>“C</w:t>
      </w:r>
      <w:r w:rsidR="002E03FB" w:rsidRPr="005E4FBD">
        <w:rPr>
          <w:rFonts w:ascii="Times New Roman" w:eastAsia="Times New Roman" w:hAnsi="Times New Roman"/>
          <w:b/>
          <w:sz w:val="24"/>
          <w:szCs w:val="24"/>
        </w:rPr>
        <w:t>urso</w:t>
      </w:r>
      <w:r w:rsidR="003C4DCC" w:rsidRPr="005E4FBD">
        <w:rPr>
          <w:rFonts w:ascii="Times New Roman" w:eastAsia="Times New Roman" w:hAnsi="Times New Roman"/>
          <w:b/>
          <w:sz w:val="24"/>
          <w:szCs w:val="24"/>
        </w:rPr>
        <w:t xml:space="preserve"> Básico de Inteligência”, promovido pelo Instituto de Segurança Pública do Pará (IESP), em 2011 ou pelo “1º Ciclo de Palestras de Pesquisa e Análise Fiscal”</w:t>
      </w:r>
      <w:r w:rsidR="002E03FB" w:rsidRPr="005E4FBD">
        <w:rPr>
          <w:rFonts w:ascii="Times New Roman" w:eastAsia="Times New Roman" w:hAnsi="Times New Roman"/>
          <w:b/>
          <w:sz w:val="24"/>
          <w:szCs w:val="24"/>
        </w:rPr>
        <w:t>, promovido pela Escola Fazendária</w:t>
      </w:r>
      <w:r w:rsidR="003C4DCC" w:rsidRPr="005E4FBD">
        <w:rPr>
          <w:rFonts w:ascii="Times New Roman" w:eastAsia="Times New Roman" w:hAnsi="Times New Roman"/>
          <w:b/>
          <w:sz w:val="24"/>
          <w:szCs w:val="24"/>
        </w:rPr>
        <w:t xml:space="preserve"> do Pará (EFAZ)</w:t>
      </w:r>
      <w:r w:rsidR="002E03FB" w:rsidRPr="005E4FB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61375" w:rsidRPr="00B91931" w:rsidRDefault="00261375" w:rsidP="00261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9FD" w:rsidRPr="00B91931" w:rsidRDefault="005E280C" w:rsidP="00261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4FBD">
        <w:rPr>
          <w:rFonts w:ascii="Times New Roman" w:eastAsia="Times New Roman" w:hAnsi="Times New Roman"/>
          <w:b/>
          <w:sz w:val="24"/>
          <w:szCs w:val="24"/>
        </w:rPr>
        <w:t>Por orientação do setor, a Secretaria da Fazenda, aderiu, no ano de 2011, ao Protocolo ICMS nº 66/2009, que instituiu o Sistema de Inteligência Fiscal – SIF</w:t>
      </w:r>
      <w:r w:rsidR="00A65644" w:rsidRPr="00B91931">
        <w:rPr>
          <w:rFonts w:ascii="Times New Roman" w:eastAsia="Times New Roman" w:hAnsi="Times New Roman"/>
          <w:sz w:val="24"/>
          <w:szCs w:val="24"/>
        </w:rPr>
        <w:t xml:space="preserve"> e a Doutrina de Inteligência Fiscal</w:t>
      </w:r>
      <w:r w:rsidRPr="00B91931">
        <w:rPr>
          <w:rFonts w:ascii="Times New Roman" w:eastAsia="Times New Roman" w:hAnsi="Times New Roman"/>
          <w:sz w:val="24"/>
          <w:szCs w:val="24"/>
        </w:rPr>
        <w:t>, estabelecendo uma rede permanente de interação entre as Unidades de Inteligência Fiscal das diver</w:t>
      </w:r>
      <w:r w:rsidR="00B91931">
        <w:rPr>
          <w:rFonts w:ascii="Times New Roman" w:eastAsia="Times New Roman" w:hAnsi="Times New Roman"/>
          <w:sz w:val="24"/>
          <w:szCs w:val="24"/>
        </w:rPr>
        <w:t>sas Secretarias de Fazenda dos E</w:t>
      </w:r>
      <w:r w:rsidRPr="00B91931">
        <w:rPr>
          <w:rFonts w:ascii="Times New Roman" w:eastAsia="Times New Roman" w:hAnsi="Times New Roman"/>
          <w:sz w:val="24"/>
          <w:szCs w:val="24"/>
        </w:rPr>
        <w:t>stados, através da manutenção de fluxo de informações ágil, seguro e institucional, de interesse da atividade, facilitando o desenvolvimento de ações de Inteligência Fiscal, conjuntas e integradas, entre as unidades afins, além de promover a cooperação técnica entre as mesmas, através da permuta de experiências, métodos, técnicas e da realização de eventos voltados à capacitação dos profissionais de Inteligência Fiscal.</w:t>
      </w:r>
      <w:r w:rsidR="003C51B8" w:rsidRPr="00B9193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r w:rsidR="003C51B8" w:rsidRPr="00044620">
        <w:rPr>
          <w:rFonts w:ascii="Times New Roman" w:eastAsia="Times New Roman" w:hAnsi="Times New Roman"/>
          <w:b/>
          <w:sz w:val="24"/>
          <w:szCs w:val="24"/>
        </w:rPr>
        <w:t xml:space="preserve">Desde a adesão da unidade do Pará, o setor participou de todos os encontros </w:t>
      </w:r>
      <w:r w:rsidR="003C4DCC" w:rsidRPr="00044620">
        <w:rPr>
          <w:rFonts w:ascii="Times New Roman" w:eastAsia="Times New Roman" w:hAnsi="Times New Roman"/>
          <w:b/>
          <w:sz w:val="24"/>
          <w:szCs w:val="24"/>
        </w:rPr>
        <w:t xml:space="preserve">anuais </w:t>
      </w:r>
      <w:r w:rsidR="003C51B8" w:rsidRPr="00044620">
        <w:rPr>
          <w:rFonts w:ascii="Times New Roman" w:eastAsia="Times New Roman" w:hAnsi="Times New Roman"/>
          <w:b/>
          <w:sz w:val="24"/>
          <w:szCs w:val="24"/>
        </w:rPr>
        <w:t>promovidos pelo SIF</w:t>
      </w:r>
      <w:r w:rsidR="003C4DCC" w:rsidRPr="00B91931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3C4DCC" w:rsidRPr="00B91931">
        <w:rPr>
          <w:rFonts w:ascii="Times New Roman" w:eastAsia="Times New Roman" w:hAnsi="Times New Roman"/>
          <w:sz w:val="24"/>
          <w:szCs w:val="24"/>
        </w:rPr>
        <w:t>(Fortaleza 2011, Recife 2012, Brasília 2013 e Campo Grande 2014)</w:t>
      </w:r>
      <w:r w:rsidR="003C51B8" w:rsidRPr="00B91931">
        <w:rPr>
          <w:rFonts w:ascii="Times New Roman" w:eastAsia="Times New Roman" w:hAnsi="Times New Roman"/>
          <w:sz w:val="24"/>
          <w:szCs w:val="24"/>
        </w:rPr>
        <w:t xml:space="preserve">, bem como realizou duas visitas técnicas, às unidades </w:t>
      </w:r>
      <w:r w:rsidR="00DD2D61" w:rsidRPr="00B91931">
        <w:rPr>
          <w:rFonts w:ascii="Times New Roman" w:eastAsia="Times New Roman" w:hAnsi="Times New Roman"/>
          <w:sz w:val="24"/>
          <w:szCs w:val="24"/>
        </w:rPr>
        <w:t xml:space="preserve">de Inteligência </w:t>
      </w:r>
      <w:r w:rsidR="003C51B8" w:rsidRPr="00B91931">
        <w:rPr>
          <w:rFonts w:ascii="Times New Roman" w:eastAsia="Times New Roman" w:hAnsi="Times New Roman"/>
          <w:sz w:val="24"/>
          <w:szCs w:val="24"/>
        </w:rPr>
        <w:t>de Goiás e Santa Catarina, que auxiliaram</w:t>
      </w:r>
      <w:r w:rsidR="00DD2D61" w:rsidRPr="00B91931">
        <w:rPr>
          <w:rFonts w:ascii="Times New Roman" w:eastAsia="Times New Roman" w:hAnsi="Times New Roman"/>
          <w:sz w:val="24"/>
          <w:szCs w:val="24"/>
        </w:rPr>
        <w:t>,</w:t>
      </w:r>
      <w:r w:rsidR="00B91931">
        <w:rPr>
          <w:rFonts w:ascii="Times New Roman" w:eastAsia="Times New Roman" w:hAnsi="Times New Roman"/>
          <w:sz w:val="24"/>
          <w:szCs w:val="24"/>
        </w:rPr>
        <w:t xml:space="preserve"> </w:t>
      </w:r>
      <w:r w:rsidR="00DD2D61" w:rsidRPr="00B91931">
        <w:rPr>
          <w:rFonts w:ascii="Times New Roman" w:eastAsia="Times New Roman" w:hAnsi="Times New Roman"/>
          <w:sz w:val="24"/>
          <w:szCs w:val="24"/>
        </w:rPr>
        <w:t xml:space="preserve">sobremaneira, </w:t>
      </w:r>
      <w:r w:rsidR="003C51B8" w:rsidRPr="00B91931">
        <w:rPr>
          <w:rFonts w:ascii="Times New Roman" w:eastAsia="Times New Roman" w:hAnsi="Times New Roman"/>
          <w:sz w:val="24"/>
          <w:szCs w:val="24"/>
        </w:rPr>
        <w:t>no já citado trabalho de redefinição da estrutura e atribuições do Centro.</w:t>
      </w:r>
      <w:r w:rsidR="00B91931">
        <w:rPr>
          <w:rFonts w:ascii="Times New Roman" w:eastAsia="Times New Roman" w:hAnsi="Times New Roman"/>
          <w:sz w:val="24"/>
          <w:szCs w:val="24"/>
        </w:rPr>
        <w:t xml:space="preserve"> </w:t>
      </w:r>
      <w:r w:rsidR="00244F06" w:rsidRPr="00B91931">
        <w:rPr>
          <w:rFonts w:ascii="Times New Roman" w:eastAsia="Times New Roman" w:hAnsi="Times New Roman"/>
          <w:sz w:val="24"/>
          <w:szCs w:val="24"/>
        </w:rPr>
        <w:t>Para isso, foram utilizados, tanto recursos do BID,</w:t>
      </w:r>
      <w:r w:rsidR="00B91931">
        <w:rPr>
          <w:rFonts w:ascii="Times New Roman" w:eastAsia="Times New Roman" w:hAnsi="Times New Roman"/>
          <w:sz w:val="24"/>
          <w:szCs w:val="24"/>
        </w:rPr>
        <w:t xml:space="preserve"> como recursos do orçamento do E</w:t>
      </w:r>
      <w:r w:rsidR="00244F06" w:rsidRPr="00B91931">
        <w:rPr>
          <w:rFonts w:ascii="Times New Roman" w:eastAsia="Times New Roman" w:hAnsi="Times New Roman"/>
          <w:sz w:val="24"/>
          <w:szCs w:val="24"/>
        </w:rPr>
        <w:t>stado.</w:t>
      </w:r>
    </w:p>
    <w:p w:rsidR="00261375" w:rsidRPr="00B91931" w:rsidRDefault="00261375" w:rsidP="00261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4DCC" w:rsidRPr="00B91931" w:rsidRDefault="00DD2D61" w:rsidP="002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1931">
        <w:rPr>
          <w:rFonts w:ascii="Times New Roman" w:eastAsia="Times New Roman" w:hAnsi="Times New Roman"/>
          <w:sz w:val="24"/>
          <w:szCs w:val="24"/>
        </w:rPr>
        <w:t xml:space="preserve">Conforme previsto, foi elaborado e apresentado ao Sr. Secretário de Fazenda, </w:t>
      </w:r>
      <w:r w:rsidR="00A65644" w:rsidRPr="00B91931">
        <w:rPr>
          <w:rFonts w:ascii="Times New Roman" w:eastAsia="Times New Roman" w:hAnsi="Times New Roman"/>
          <w:sz w:val="24"/>
          <w:szCs w:val="24"/>
        </w:rPr>
        <w:t xml:space="preserve">o Manual de Procedimentos, </w:t>
      </w:r>
      <w:r w:rsidR="003C4DCC" w:rsidRPr="00B91931">
        <w:rPr>
          <w:rFonts w:ascii="Times New Roman" w:eastAsia="Times New Roman" w:hAnsi="Times New Roman"/>
          <w:sz w:val="24"/>
          <w:szCs w:val="24"/>
        </w:rPr>
        <w:t xml:space="preserve">que </w:t>
      </w:r>
      <w:r w:rsidR="00A65644" w:rsidRPr="00B91931">
        <w:rPr>
          <w:rFonts w:ascii="Times New Roman" w:hAnsi="Times New Roman"/>
          <w:sz w:val="24"/>
          <w:szCs w:val="24"/>
          <w:lang w:eastAsia="pt-BR"/>
        </w:rPr>
        <w:t>estabelece</w:t>
      </w:r>
      <w:r w:rsidR="003C4DCC" w:rsidRPr="00B91931">
        <w:rPr>
          <w:rFonts w:ascii="Times New Roman" w:hAnsi="Times New Roman"/>
          <w:sz w:val="24"/>
          <w:szCs w:val="24"/>
          <w:lang w:eastAsia="pt-BR"/>
        </w:rPr>
        <w:t>:</w:t>
      </w:r>
    </w:p>
    <w:p w:rsidR="00261375" w:rsidRPr="00B91931" w:rsidRDefault="00261375" w:rsidP="002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4DCC" w:rsidRPr="00B91931" w:rsidRDefault="00A65644" w:rsidP="003C4DC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91931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91931">
        <w:rPr>
          <w:rFonts w:ascii="Times New Roman" w:hAnsi="Times New Roman"/>
          <w:sz w:val="24"/>
          <w:szCs w:val="24"/>
          <w:lang w:eastAsia="pt-BR"/>
        </w:rPr>
        <w:t xml:space="preserve"> metodologia de trabalho a ser seguida pelos integrantes da unidade, apresentando o Siste</w:t>
      </w:r>
      <w:r w:rsidR="003C4DCC" w:rsidRPr="00B91931">
        <w:rPr>
          <w:rFonts w:ascii="Times New Roman" w:hAnsi="Times New Roman"/>
          <w:sz w:val="24"/>
          <w:szCs w:val="24"/>
          <w:lang w:eastAsia="pt-BR"/>
        </w:rPr>
        <w:t>ma de Inteligência Fiscal – SIF;</w:t>
      </w:r>
    </w:p>
    <w:p w:rsidR="003C4DCC" w:rsidRPr="00B91931" w:rsidRDefault="00A65644" w:rsidP="003C4DC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91931">
        <w:rPr>
          <w:rFonts w:ascii="Times New Roman" w:hAnsi="Times New Roman"/>
          <w:sz w:val="24"/>
          <w:szCs w:val="24"/>
          <w:lang w:eastAsia="pt-BR"/>
        </w:rPr>
        <w:t>as</w:t>
      </w:r>
      <w:proofErr w:type="gramEnd"/>
      <w:r w:rsidRPr="00B91931">
        <w:rPr>
          <w:rFonts w:ascii="Times New Roman" w:hAnsi="Times New Roman"/>
          <w:sz w:val="24"/>
          <w:szCs w:val="24"/>
          <w:lang w:eastAsia="pt-BR"/>
        </w:rPr>
        <w:t xml:space="preserve"> diretrizes da atividade de inteligência contidas na Doutrina de Inteligência Fiscal</w:t>
      </w:r>
      <w:r w:rsidR="003C4DCC" w:rsidRPr="00B91931">
        <w:rPr>
          <w:rFonts w:ascii="Times New Roman" w:hAnsi="Times New Roman"/>
          <w:sz w:val="24"/>
          <w:szCs w:val="24"/>
          <w:lang w:eastAsia="pt-BR"/>
        </w:rPr>
        <w:t>;</w:t>
      </w:r>
    </w:p>
    <w:p w:rsidR="003C4DCC" w:rsidRPr="00B91931" w:rsidRDefault="00A65644" w:rsidP="0026137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91931">
        <w:rPr>
          <w:rFonts w:ascii="Times New Roman" w:hAnsi="Times New Roman"/>
          <w:sz w:val="24"/>
          <w:szCs w:val="24"/>
          <w:lang w:eastAsia="pt-BR"/>
        </w:rPr>
        <w:t>os</w:t>
      </w:r>
      <w:proofErr w:type="gramEnd"/>
      <w:r w:rsidRPr="00B91931">
        <w:rPr>
          <w:rFonts w:ascii="Times New Roman" w:hAnsi="Times New Roman"/>
          <w:sz w:val="24"/>
          <w:szCs w:val="24"/>
          <w:lang w:eastAsia="pt-BR"/>
        </w:rPr>
        <w:t xml:space="preserve"> aspectos relacionados a produção do </w:t>
      </w:r>
      <w:r w:rsidR="00FF6812" w:rsidRPr="00B91931">
        <w:rPr>
          <w:rFonts w:ascii="Times New Roman" w:hAnsi="Times New Roman"/>
          <w:sz w:val="24"/>
          <w:szCs w:val="24"/>
          <w:lang w:eastAsia="pt-BR"/>
        </w:rPr>
        <w:t xml:space="preserve">conhecimento: </w:t>
      </w:r>
      <w:r w:rsidRPr="00B91931">
        <w:rPr>
          <w:rFonts w:ascii="Times New Roman" w:hAnsi="Times New Roman"/>
          <w:sz w:val="24"/>
          <w:szCs w:val="24"/>
          <w:lang w:eastAsia="pt-BR"/>
        </w:rPr>
        <w:t>as técnicas operacionais, a contrainteligência e a segurança orgânica</w:t>
      </w:r>
      <w:r w:rsidR="003C4DCC" w:rsidRPr="00B91931">
        <w:rPr>
          <w:rFonts w:ascii="Times New Roman" w:hAnsi="Times New Roman"/>
          <w:sz w:val="24"/>
          <w:szCs w:val="24"/>
          <w:lang w:eastAsia="pt-BR"/>
        </w:rPr>
        <w:t>.</w:t>
      </w:r>
    </w:p>
    <w:p w:rsidR="007A7AAB" w:rsidRPr="00B91931" w:rsidRDefault="007A7AAB" w:rsidP="003C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4DCC" w:rsidRPr="00B91931" w:rsidRDefault="00A65644" w:rsidP="003C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91931">
        <w:rPr>
          <w:rFonts w:ascii="Times New Roman" w:hAnsi="Times New Roman"/>
          <w:sz w:val="24"/>
          <w:szCs w:val="24"/>
          <w:lang w:eastAsia="pt-BR"/>
        </w:rPr>
        <w:t>visando</w:t>
      </w:r>
      <w:proofErr w:type="gramEnd"/>
      <w:r w:rsidRPr="00B91931">
        <w:rPr>
          <w:rFonts w:ascii="Times New Roman" w:hAnsi="Times New Roman"/>
          <w:sz w:val="24"/>
          <w:szCs w:val="24"/>
          <w:lang w:eastAsia="pt-BR"/>
        </w:rPr>
        <w:t xml:space="preserve"> proporcionar</w:t>
      </w:r>
      <w:r w:rsidR="003C4DCC" w:rsidRPr="00B91931">
        <w:rPr>
          <w:rFonts w:ascii="Times New Roman" w:hAnsi="Times New Roman"/>
          <w:sz w:val="24"/>
          <w:szCs w:val="24"/>
          <w:lang w:eastAsia="pt-BR"/>
        </w:rPr>
        <w:t>:</w:t>
      </w:r>
    </w:p>
    <w:p w:rsidR="007A7AAB" w:rsidRPr="00B91931" w:rsidRDefault="007A7AAB" w:rsidP="003C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4DCC" w:rsidRPr="00B91931" w:rsidRDefault="00A65644" w:rsidP="003C4DCC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91931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91931">
        <w:rPr>
          <w:rFonts w:ascii="Times New Roman" w:hAnsi="Times New Roman"/>
          <w:sz w:val="24"/>
          <w:szCs w:val="24"/>
          <w:lang w:eastAsia="pt-BR"/>
        </w:rPr>
        <w:t xml:space="preserve"> adequação das ações de inteligência aos fundamentos que regem a atividade</w:t>
      </w:r>
      <w:r w:rsidR="003C4DCC" w:rsidRPr="00B91931">
        <w:rPr>
          <w:rFonts w:ascii="Times New Roman" w:hAnsi="Times New Roman"/>
          <w:sz w:val="24"/>
          <w:szCs w:val="24"/>
          <w:lang w:eastAsia="pt-BR"/>
        </w:rPr>
        <w:t>;</w:t>
      </w:r>
    </w:p>
    <w:p w:rsidR="003C4DCC" w:rsidRPr="00B91931" w:rsidRDefault="00A65644" w:rsidP="003C4DCC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91931">
        <w:rPr>
          <w:rFonts w:ascii="Times New Roman" w:hAnsi="Times New Roman"/>
          <w:sz w:val="24"/>
          <w:szCs w:val="24"/>
          <w:lang w:eastAsia="pt-BR"/>
        </w:rPr>
        <w:t>padronizar</w:t>
      </w:r>
      <w:proofErr w:type="gramEnd"/>
      <w:r w:rsidRPr="00B91931">
        <w:rPr>
          <w:rFonts w:ascii="Times New Roman" w:hAnsi="Times New Roman"/>
          <w:sz w:val="24"/>
          <w:szCs w:val="24"/>
          <w:lang w:eastAsia="pt-BR"/>
        </w:rPr>
        <w:t xml:space="preserve"> os procedimentos</w:t>
      </w:r>
      <w:r w:rsidR="003C4DCC" w:rsidRPr="00B91931">
        <w:rPr>
          <w:rFonts w:ascii="Times New Roman" w:hAnsi="Times New Roman"/>
          <w:sz w:val="24"/>
          <w:szCs w:val="24"/>
          <w:lang w:eastAsia="pt-BR"/>
        </w:rPr>
        <w:t>;</w:t>
      </w:r>
    </w:p>
    <w:p w:rsidR="00362F5F" w:rsidRPr="00B91931" w:rsidRDefault="00A65644" w:rsidP="003C4DCC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91931">
        <w:rPr>
          <w:rFonts w:ascii="Times New Roman" w:hAnsi="Times New Roman"/>
          <w:sz w:val="24"/>
          <w:szCs w:val="24"/>
          <w:lang w:eastAsia="pt-BR"/>
        </w:rPr>
        <w:t>difundir</w:t>
      </w:r>
      <w:proofErr w:type="gramEnd"/>
      <w:r w:rsidRPr="00B91931">
        <w:rPr>
          <w:rFonts w:ascii="Times New Roman" w:hAnsi="Times New Roman"/>
          <w:sz w:val="24"/>
          <w:szCs w:val="24"/>
          <w:lang w:eastAsia="pt-BR"/>
        </w:rPr>
        <w:t xml:space="preserve"> os conceitos e</w:t>
      </w:r>
      <w:r w:rsidR="00362F5F" w:rsidRPr="00B91931">
        <w:rPr>
          <w:rFonts w:ascii="Times New Roman" w:hAnsi="Times New Roman"/>
          <w:sz w:val="24"/>
          <w:szCs w:val="24"/>
          <w:lang w:eastAsia="pt-BR"/>
        </w:rPr>
        <w:t>,</w:t>
      </w:r>
    </w:p>
    <w:p w:rsidR="00DD2D61" w:rsidRPr="00B91931" w:rsidRDefault="00A65644" w:rsidP="003C4DCC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91931">
        <w:rPr>
          <w:rFonts w:ascii="Times New Roman" w:hAnsi="Times New Roman"/>
          <w:sz w:val="24"/>
          <w:szCs w:val="24"/>
          <w:lang w:eastAsia="pt-BR"/>
        </w:rPr>
        <w:t>consolidar</w:t>
      </w:r>
      <w:proofErr w:type="gramEnd"/>
      <w:r w:rsidRPr="00B91931">
        <w:rPr>
          <w:rFonts w:ascii="Times New Roman" w:hAnsi="Times New Roman"/>
          <w:sz w:val="24"/>
          <w:szCs w:val="24"/>
          <w:lang w:eastAsia="pt-BR"/>
        </w:rPr>
        <w:t xml:space="preserve"> o plano de implantação da unidade, proporcionando maior eficácia no combate às fraudes fiscais e na proteção das informações protegidas pelo sigilo fiscal.</w:t>
      </w:r>
    </w:p>
    <w:p w:rsidR="00A65644" w:rsidRPr="00B91931" w:rsidRDefault="00A65644" w:rsidP="00A6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26D59" w:rsidRPr="00B91931" w:rsidRDefault="00E26D59" w:rsidP="002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1931">
        <w:rPr>
          <w:rFonts w:ascii="Times New Roman" w:hAnsi="Times New Roman"/>
          <w:sz w:val="24"/>
          <w:szCs w:val="24"/>
          <w:lang w:eastAsia="pt-BR"/>
        </w:rPr>
        <w:lastRenderedPageBreak/>
        <w:t>Durante o desenvolvimento do Projeto, foram ampliados os acessos a bancos de dados de outros órgãos,</w:t>
      </w:r>
      <w:r w:rsidR="00B40966" w:rsidRPr="00B91931">
        <w:rPr>
          <w:rFonts w:ascii="Times New Roman" w:hAnsi="Times New Roman"/>
          <w:sz w:val="24"/>
          <w:szCs w:val="24"/>
          <w:lang w:eastAsia="pt-BR"/>
        </w:rPr>
        <w:t xml:space="preserve"> como: Secretaria da Receita Federal do Brasil (SRFB), Junta Comercial do Estado do Pará (JUCEPA) e Departamento Estadual de Trânsito (DETRAN),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 possibilitando maior amplitude na pesquisa e análise dos ilícitos e fraudes fiscais</w:t>
      </w:r>
      <w:r w:rsidR="00244F06" w:rsidRPr="00B91931">
        <w:rPr>
          <w:rFonts w:ascii="Times New Roman" w:hAnsi="Times New Roman"/>
          <w:sz w:val="24"/>
          <w:szCs w:val="24"/>
          <w:lang w:eastAsia="pt-BR"/>
        </w:rPr>
        <w:t>, melhorando, dessa forma, as informações geradas para tomadas de decisões.</w:t>
      </w:r>
    </w:p>
    <w:p w:rsidR="00261375" w:rsidRPr="00B91931" w:rsidRDefault="00261375" w:rsidP="002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D46E3" w:rsidRPr="00B91931" w:rsidRDefault="00244F06" w:rsidP="002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1931">
        <w:rPr>
          <w:rFonts w:ascii="Times New Roman" w:hAnsi="Times New Roman"/>
          <w:sz w:val="24"/>
          <w:szCs w:val="24"/>
          <w:lang w:eastAsia="pt-BR"/>
        </w:rPr>
        <w:t xml:space="preserve">O setor foi amplamente equipado com recursos do BID, através de aquisições de </w:t>
      </w:r>
      <w:r w:rsidR="008F04E4" w:rsidRPr="00B91931">
        <w:rPr>
          <w:rFonts w:ascii="Times New Roman" w:hAnsi="Times New Roman"/>
          <w:sz w:val="24"/>
          <w:szCs w:val="24"/>
          <w:lang w:eastAsia="pt-BR"/>
        </w:rPr>
        <w:t xml:space="preserve">veículo, </w:t>
      </w:r>
      <w:r w:rsidR="00B40966" w:rsidRPr="00B91931">
        <w:rPr>
          <w:rFonts w:ascii="Times New Roman" w:hAnsi="Times New Roman"/>
          <w:sz w:val="24"/>
          <w:szCs w:val="24"/>
          <w:lang w:eastAsia="pt-BR"/>
        </w:rPr>
        <w:t xml:space="preserve">05 (cinco) 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computadores, </w:t>
      </w:r>
      <w:r w:rsidR="00B40966" w:rsidRPr="00B91931">
        <w:rPr>
          <w:rFonts w:ascii="Times New Roman" w:hAnsi="Times New Roman"/>
          <w:sz w:val="24"/>
          <w:szCs w:val="24"/>
          <w:lang w:eastAsia="pt-BR"/>
        </w:rPr>
        <w:t xml:space="preserve">notebook, </w:t>
      </w:r>
      <w:r w:rsidRPr="00B91931">
        <w:rPr>
          <w:rFonts w:ascii="Times New Roman" w:hAnsi="Times New Roman"/>
          <w:sz w:val="24"/>
          <w:szCs w:val="24"/>
          <w:lang w:eastAsia="pt-BR"/>
        </w:rPr>
        <w:t>máquina</w:t>
      </w:r>
      <w:r w:rsidR="00B40966" w:rsidRPr="00B91931">
        <w:rPr>
          <w:rFonts w:ascii="Times New Roman" w:hAnsi="Times New Roman"/>
          <w:sz w:val="24"/>
          <w:szCs w:val="24"/>
          <w:lang w:eastAsia="pt-BR"/>
        </w:rPr>
        <w:t xml:space="preserve"> fotográfica, filmadora, fragmentadora, impressora colorida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40966" w:rsidRPr="00B91931">
        <w:rPr>
          <w:rFonts w:ascii="Times New Roman" w:hAnsi="Times New Roman"/>
          <w:sz w:val="24"/>
          <w:szCs w:val="24"/>
          <w:lang w:eastAsia="pt-BR"/>
        </w:rPr>
        <w:t>projetor multimídia,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 voltados para a otimização dos trabalhos, dotando </w:t>
      </w:r>
      <w:r w:rsidR="00B40966" w:rsidRPr="00B91931">
        <w:rPr>
          <w:rFonts w:ascii="Times New Roman" w:hAnsi="Times New Roman"/>
          <w:sz w:val="24"/>
          <w:szCs w:val="24"/>
          <w:lang w:eastAsia="pt-BR"/>
        </w:rPr>
        <w:t xml:space="preserve">assim </w:t>
      </w:r>
      <w:r w:rsidRPr="00B91931">
        <w:rPr>
          <w:rFonts w:ascii="Times New Roman" w:hAnsi="Times New Roman"/>
          <w:sz w:val="24"/>
          <w:szCs w:val="24"/>
          <w:lang w:eastAsia="pt-BR"/>
        </w:rPr>
        <w:t>a unidade de eficientes mecanismos de apoio à geração de conhecimento.</w:t>
      </w:r>
    </w:p>
    <w:p w:rsidR="00087A06" w:rsidRPr="00B91931" w:rsidRDefault="00087A06" w:rsidP="00FF6812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1931">
        <w:rPr>
          <w:rFonts w:ascii="Times New Roman" w:hAnsi="Times New Roman"/>
          <w:b/>
          <w:color w:val="000000"/>
          <w:sz w:val="24"/>
          <w:szCs w:val="24"/>
        </w:rPr>
        <w:t>ALCANCE DA META ACORDADA NA MATRIZ DE RESULTADOS</w:t>
      </w:r>
    </w:p>
    <w:p w:rsidR="00087A06" w:rsidRPr="00B91931" w:rsidRDefault="00732BFC" w:rsidP="00FF68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4FBD">
        <w:rPr>
          <w:rFonts w:ascii="Times New Roman" w:hAnsi="Times New Roman"/>
          <w:b/>
          <w:bCs/>
          <w:sz w:val="24"/>
          <w:szCs w:val="24"/>
        </w:rPr>
        <w:t>Com a implantação de melhorias no decorrer do Projeto, o setor se organiz</w:t>
      </w:r>
      <w:r w:rsidR="00B40966" w:rsidRPr="005E4FBD">
        <w:rPr>
          <w:rFonts w:ascii="Times New Roman" w:hAnsi="Times New Roman"/>
          <w:b/>
          <w:bCs/>
          <w:sz w:val="24"/>
          <w:szCs w:val="24"/>
        </w:rPr>
        <w:t>ou e passou</w:t>
      </w:r>
      <w:r w:rsidRPr="005E4FBD">
        <w:rPr>
          <w:rFonts w:ascii="Times New Roman" w:hAnsi="Times New Roman"/>
          <w:b/>
          <w:bCs/>
          <w:sz w:val="24"/>
          <w:szCs w:val="24"/>
        </w:rPr>
        <w:t xml:space="preserve"> a contar com 06 (seis) servidores dedicados e treinados para as atividades especializadas, o que fez com que a meta </w:t>
      </w:r>
      <w:r w:rsidR="00B40966" w:rsidRPr="005E4FBD">
        <w:rPr>
          <w:rFonts w:ascii="Times New Roman" w:hAnsi="Times New Roman"/>
          <w:b/>
          <w:bCs/>
          <w:sz w:val="24"/>
          <w:szCs w:val="24"/>
        </w:rPr>
        <w:t xml:space="preserve">inicialmente estabelecida </w:t>
      </w:r>
      <w:r w:rsidRPr="005E4FBD">
        <w:rPr>
          <w:rFonts w:ascii="Times New Roman" w:hAnsi="Times New Roman"/>
          <w:b/>
          <w:bCs/>
          <w:sz w:val="24"/>
          <w:szCs w:val="24"/>
        </w:rPr>
        <w:t>fosse rapidamente alcançada e superada, chegando-se à elaboração de um total de 17 (dezessete) Relatórios de Inteligência</w:t>
      </w:r>
      <w:r w:rsidR="00F75D02" w:rsidRPr="005E4FBD">
        <w:rPr>
          <w:rFonts w:ascii="Times New Roman" w:hAnsi="Times New Roman"/>
          <w:b/>
          <w:bCs/>
          <w:sz w:val="24"/>
          <w:szCs w:val="24"/>
        </w:rPr>
        <w:t xml:space="preserve"> em 2013</w:t>
      </w:r>
      <w:r w:rsidRPr="005E4FBD">
        <w:rPr>
          <w:rFonts w:ascii="Times New Roman" w:hAnsi="Times New Roman"/>
          <w:b/>
          <w:bCs/>
          <w:sz w:val="24"/>
          <w:szCs w:val="24"/>
        </w:rPr>
        <w:t>, difundidos para tomadas de decisões</w:t>
      </w:r>
      <w:r w:rsidRPr="00B91931">
        <w:rPr>
          <w:rFonts w:ascii="Times New Roman" w:hAnsi="Times New Roman"/>
          <w:bCs/>
          <w:sz w:val="24"/>
          <w:szCs w:val="24"/>
        </w:rPr>
        <w:t xml:space="preserve">. </w:t>
      </w:r>
    </w:p>
    <w:p w:rsidR="00087A06" w:rsidRPr="00B91931" w:rsidRDefault="00087A06" w:rsidP="00FF6812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1931">
        <w:rPr>
          <w:rFonts w:ascii="Times New Roman" w:hAnsi="Times New Roman"/>
          <w:b/>
          <w:color w:val="000000"/>
          <w:sz w:val="24"/>
          <w:szCs w:val="24"/>
        </w:rPr>
        <w:t>SUSTENTABILIDADE DA SOLUÇÃO</w:t>
      </w:r>
    </w:p>
    <w:p w:rsidR="00087A06" w:rsidRPr="00B91931" w:rsidRDefault="00CC30B0" w:rsidP="00FF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1931">
        <w:rPr>
          <w:rFonts w:ascii="Times New Roman" w:hAnsi="Times New Roman"/>
          <w:sz w:val="24"/>
          <w:szCs w:val="24"/>
          <w:lang w:eastAsia="pt-BR"/>
        </w:rPr>
        <w:t>O aperfeiçoamento do modelo de pesquisas, investigações e análises de ilícitos fiscais</w:t>
      </w:r>
      <w:r w:rsidR="00E5065E" w:rsidRPr="00B91931">
        <w:rPr>
          <w:rFonts w:ascii="Times New Roman" w:hAnsi="Times New Roman"/>
          <w:sz w:val="24"/>
          <w:szCs w:val="24"/>
          <w:lang w:eastAsia="pt-BR"/>
        </w:rPr>
        <w:t xml:space="preserve"> não trouxe impactos ou riscos potenciais de sustentabilidade, visto a restringir-se mais </w:t>
      </w:r>
      <w:r w:rsidR="00FB308A" w:rsidRPr="00B91931">
        <w:rPr>
          <w:rFonts w:ascii="Times New Roman" w:hAnsi="Times New Roman"/>
          <w:sz w:val="24"/>
          <w:szCs w:val="24"/>
          <w:lang w:eastAsia="pt-BR"/>
        </w:rPr>
        <w:t>em ações de natureza procedimental.</w:t>
      </w:r>
    </w:p>
    <w:p w:rsidR="00B609CC" w:rsidRPr="00B91931" w:rsidRDefault="0084745F" w:rsidP="00FF6812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1931">
        <w:rPr>
          <w:rFonts w:ascii="Times New Roman" w:hAnsi="Times New Roman"/>
          <w:b/>
          <w:color w:val="000000"/>
          <w:sz w:val="24"/>
          <w:szCs w:val="24"/>
        </w:rPr>
        <w:t>BENEFÍ</w:t>
      </w:r>
      <w:r w:rsidR="00B609CC" w:rsidRPr="00B91931">
        <w:rPr>
          <w:rFonts w:ascii="Times New Roman" w:hAnsi="Times New Roman"/>
          <w:b/>
          <w:color w:val="000000"/>
          <w:sz w:val="24"/>
          <w:szCs w:val="24"/>
        </w:rPr>
        <w:t xml:space="preserve">CIOS </w:t>
      </w:r>
      <w:r w:rsidR="00087A06" w:rsidRPr="00B91931">
        <w:rPr>
          <w:rFonts w:ascii="Times New Roman" w:hAnsi="Times New Roman"/>
          <w:b/>
          <w:color w:val="000000"/>
          <w:sz w:val="24"/>
          <w:szCs w:val="24"/>
        </w:rPr>
        <w:t>E RESULTADOS PARA ALÉM DA MATRIZ DE RESULTADOS</w:t>
      </w:r>
    </w:p>
    <w:p w:rsidR="00087A06" w:rsidRPr="00B91931" w:rsidRDefault="00EB503D" w:rsidP="00FF6812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1931">
        <w:rPr>
          <w:rFonts w:ascii="Times New Roman" w:hAnsi="Times New Roman"/>
          <w:b/>
          <w:bCs/>
          <w:sz w:val="24"/>
          <w:szCs w:val="24"/>
        </w:rPr>
        <w:t>4</w:t>
      </w:r>
      <w:r w:rsidR="00087A06" w:rsidRPr="00B91931">
        <w:rPr>
          <w:rFonts w:ascii="Times New Roman" w:hAnsi="Times New Roman"/>
          <w:b/>
          <w:bCs/>
          <w:sz w:val="24"/>
          <w:szCs w:val="24"/>
        </w:rPr>
        <w:t>.1</w:t>
      </w:r>
      <w:r w:rsidR="00087A06" w:rsidRPr="00B91931">
        <w:rPr>
          <w:rFonts w:ascii="Times New Roman" w:hAnsi="Times New Roman"/>
          <w:b/>
          <w:bCs/>
          <w:sz w:val="24"/>
          <w:szCs w:val="24"/>
        </w:rPr>
        <w:tab/>
        <w:t>Benefícios qualitativos</w:t>
      </w:r>
    </w:p>
    <w:p w:rsidR="008F4217" w:rsidRPr="00B91931" w:rsidRDefault="008F4217" w:rsidP="00FF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1931">
        <w:rPr>
          <w:rFonts w:ascii="Times New Roman" w:hAnsi="Times New Roman"/>
          <w:sz w:val="24"/>
          <w:szCs w:val="24"/>
          <w:lang w:eastAsia="pt-BR"/>
        </w:rPr>
        <w:t xml:space="preserve">As diversas ações realizadas para o aperfeiçoamento do modelo de pesquisa, análise e investigação de ilícitos fiscais, como a capacitação dos servidores e dotação do setor com modernos recursos tecnológicos, possibilitou um ambiente de trabalho equilibrado e </w:t>
      </w:r>
      <w:proofErr w:type="spellStart"/>
      <w:r w:rsidRPr="00B91931">
        <w:rPr>
          <w:rFonts w:ascii="Times New Roman" w:hAnsi="Times New Roman"/>
          <w:sz w:val="24"/>
          <w:szCs w:val="24"/>
          <w:lang w:eastAsia="pt-BR"/>
        </w:rPr>
        <w:t>motivante</w:t>
      </w:r>
      <w:proofErr w:type="spellEnd"/>
      <w:r w:rsidRPr="00B91931">
        <w:rPr>
          <w:rFonts w:ascii="Times New Roman" w:hAnsi="Times New Roman"/>
          <w:sz w:val="24"/>
          <w:szCs w:val="24"/>
          <w:lang w:eastAsia="pt-BR"/>
        </w:rPr>
        <w:t>. Além disso,</w:t>
      </w:r>
      <w:r w:rsidR="00EC0A95" w:rsidRPr="00B91931">
        <w:rPr>
          <w:rFonts w:ascii="Times New Roman" w:hAnsi="Times New Roman"/>
          <w:sz w:val="24"/>
          <w:szCs w:val="24"/>
          <w:lang w:eastAsia="pt-BR"/>
        </w:rPr>
        <w:t xml:space="preserve"> a Doutrina de Inteligência Fiscal e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 a ampliação dos ac</w:t>
      </w:r>
      <w:r w:rsidR="00B91931">
        <w:rPr>
          <w:rFonts w:ascii="Times New Roman" w:hAnsi="Times New Roman"/>
          <w:sz w:val="24"/>
          <w:szCs w:val="24"/>
          <w:lang w:eastAsia="pt-BR"/>
        </w:rPr>
        <w:t xml:space="preserve">essos a outros bancos de dados, 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possibilitaram gerações de informações mais completas e precisas, possibilitando </w:t>
      </w:r>
      <w:r w:rsidR="00B91931">
        <w:rPr>
          <w:rFonts w:ascii="Times New Roman" w:hAnsi="Times New Roman"/>
          <w:sz w:val="24"/>
          <w:szCs w:val="24"/>
          <w:lang w:eastAsia="pt-BR"/>
        </w:rPr>
        <w:t xml:space="preserve">também 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a execução </w:t>
      </w:r>
      <w:r w:rsidR="00EC0A95" w:rsidRPr="00B91931">
        <w:rPr>
          <w:rFonts w:ascii="Times New Roman" w:hAnsi="Times New Roman"/>
          <w:sz w:val="24"/>
          <w:szCs w:val="24"/>
          <w:lang w:eastAsia="pt-BR"/>
        </w:rPr>
        <w:t>de ações fiscais a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os contribuintes </w:t>
      </w:r>
      <w:r w:rsidR="00EC0A95" w:rsidRPr="00B91931">
        <w:rPr>
          <w:rFonts w:ascii="Times New Roman" w:hAnsi="Times New Roman"/>
          <w:sz w:val="24"/>
          <w:szCs w:val="24"/>
          <w:lang w:eastAsia="pt-BR"/>
        </w:rPr>
        <w:t xml:space="preserve">fraudadores </w:t>
      </w:r>
      <w:r w:rsidRPr="00B91931">
        <w:rPr>
          <w:rFonts w:ascii="Times New Roman" w:hAnsi="Times New Roman"/>
          <w:sz w:val="24"/>
          <w:szCs w:val="24"/>
          <w:lang w:eastAsia="pt-BR"/>
        </w:rPr>
        <w:t>de forma</w:t>
      </w:r>
      <w:r w:rsidR="00EC0A95" w:rsidRPr="00B9193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F6812" w:rsidRPr="00B91931">
        <w:rPr>
          <w:rFonts w:ascii="Times New Roman" w:hAnsi="Times New Roman"/>
          <w:sz w:val="24"/>
          <w:szCs w:val="24"/>
          <w:lang w:eastAsia="pt-BR"/>
        </w:rPr>
        <w:t>mais eficiente</w:t>
      </w:r>
      <w:r w:rsidR="00EC0A95" w:rsidRPr="00B91931">
        <w:rPr>
          <w:rFonts w:ascii="Times New Roman" w:hAnsi="Times New Roman"/>
          <w:sz w:val="24"/>
          <w:szCs w:val="24"/>
          <w:lang w:eastAsia="pt-BR"/>
        </w:rPr>
        <w:t>.</w:t>
      </w:r>
    </w:p>
    <w:p w:rsidR="00EB503D" w:rsidRPr="00B91931" w:rsidRDefault="00EB503D" w:rsidP="00FF6812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1931">
        <w:rPr>
          <w:rFonts w:ascii="Times New Roman" w:hAnsi="Times New Roman"/>
          <w:b/>
          <w:bCs/>
          <w:sz w:val="24"/>
          <w:szCs w:val="24"/>
        </w:rPr>
        <w:t>4.2</w:t>
      </w:r>
      <w:r w:rsidRPr="00B91931">
        <w:rPr>
          <w:rFonts w:ascii="Times New Roman" w:hAnsi="Times New Roman"/>
          <w:b/>
          <w:bCs/>
          <w:sz w:val="24"/>
          <w:szCs w:val="24"/>
        </w:rPr>
        <w:tab/>
        <w:t>Outros resultados</w:t>
      </w:r>
      <w:r w:rsidR="00FF6812" w:rsidRPr="00B919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1931">
        <w:rPr>
          <w:rFonts w:ascii="Times New Roman" w:hAnsi="Times New Roman"/>
          <w:b/>
          <w:bCs/>
          <w:sz w:val="24"/>
          <w:szCs w:val="24"/>
        </w:rPr>
        <w:t>quantificados</w:t>
      </w:r>
    </w:p>
    <w:p w:rsidR="00224BB4" w:rsidRPr="00B91931" w:rsidRDefault="004B4B64" w:rsidP="00FF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1931">
        <w:rPr>
          <w:rFonts w:ascii="Times New Roman" w:hAnsi="Times New Roman"/>
          <w:sz w:val="24"/>
          <w:szCs w:val="24"/>
          <w:lang w:eastAsia="pt-BR"/>
        </w:rPr>
        <w:t xml:space="preserve">Como a unidade desenvolve atividades especializadas de Inteligência Fiscal, necessário </w:t>
      </w:r>
      <w:r w:rsidR="00224BB4" w:rsidRPr="00B91931">
        <w:rPr>
          <w:rFonts w:ascii="Times New Roman" w:hAnsi="Times New Roman"/>
          <w:sz w:val="24"/>
          <w:szCs w:val="24"/>
          <w:lang w:eastAsia="pt-BR"/>
        </w:rPr>
        <w:t>s</w:t>
      </w:r>
      <w:r w:rsidRPr="00B91931">
        <w:rPr>
          <w:rFonts w:ascii="Times New Roman" w:hAnsi="Times New Roman"/>
          <w:sz w:val="24"/>
          <w:szCs w:val="24"/>
          <w:lang w:eastAsia="pt-BR"/>
        </w:rPr>
        <w:t>e faz que seus servidores estejam qualificados e capacitados para o desenvolvimento eficiente e eficaz de suas açõe</w:t>
      </w:r>
      <w:r w:rsidR="00224BB4" w:rsidRPr="00B91931">
        <w:rPr>
          <w:rFonts w:ascii="Times New Roman" w:hAnsi="Times New Roman"/>
          <w:sz w:val="24"/>
          <w:szCs w:val="24"/>
          <w:lang w:eastAsia="pt-BR"/>
        </w:rPr>
        <w:t xml:space="preserve">s. Assim, podemos </w:t>
      </w:r>
      <w:r w:rsidR="00672150" w:rsidRPr="00B91931">
        <w:rPr>
          <w:rFonts w:ascii="Times New Roman" w:hAnsi="Times New Roman"/>
          <w:sz w:val="24"/>
          <w:szCs w:val="24"/>
          <w:lang w:eastAsia="pt-BR"/>
        </w:rPr>
        <w:t>mensurar a quantidade de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 servidores</w:t>
      </w:r>
      <w:r w:rsidR="00224BB4" w:rsidRPr="00B91931">
        <w:rPr>
          <w:rFonts w:ascii="Times New Roman" w:hAnsi="Times New Roman"/>
          <w:sz w:val="24"/>
          <w:szCs w:val="24"/>
          <w:lang w:eastAsia="pt-BR"/>
        </w:rPr>
        <w:t xml:space="preserve"> da unidade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 que se qualificaram</w:t>
      </w:r>
      <w:r w:rsidR="00224BB4" w:rsidRPr="00B91931">
        <w:rPr>
          <w:rFonts w:ascii="Times New Roman" w:hAnsi="Times New Roman"/>
          <w:sz w:val="24"/>
          <w:szCs w:val="24"/>
          <w:lang w:eastAsia="pt-BR"/>
        </w:rPr>
        <w:t>, ao longo do Projeto,</w:t>
      </w:r>
      <w:r w:rsidRPr="00B91931">
        <w:rPr>
          <w:rFonts w:ascii="Times New Roman" w:hAnsi="Times New Roman"/>
          <w:sz w:val="24"/>
          <w:szCs w:val="24"/>
          <w:lang w:eastAsia="pt-BR"/>
        </w:rPr>
        <w:t xml:space="preserve"> com o treinamento básico em Inteligência Fiscal</w:t>
      </w:r>
      <w:r w:rsidR="00224BB4" w:rsidRPr="00B91931">
        <w:rPr>
          <w:rFonts w:ascii="Times New Roman" w:hAnsi="Times New Roman"/>
          <w:sz w:val="24"/>
          <w:szCs w:val="24"/>
          <w:lang w:eastAsia="pt-BR"/>
        </w:rPr>
        <w:t>.</w:t>
      </w:r>
    </w:p>
    <w:p w:rsidR="00FF6812" w:rsidRPr="00B91931" w:rsidRDefault="00FF6812" w:rsidP="00FF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24BB4" w:rsidRPr="00B91931" w:rsidRDefault="00672150" w:rsidP="005A4F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91931">
        <w:rPr>
          <w:rFonts w:ascii="Times New Roman" w:hAnsi="Times New Roman"/>
          <w:bCs/>
          <w:sz w:val="24"/>
          <w:szCs w:val="24"/>
          <w:u w:val="single"/>
        </w:rPr>
        <w:t>Número de Servidores na Unidade</w:t>
      </w:r>
      <w:r w:rsidR="005A4F9C" w:rsidRPr="00B91931">
        <w:rPr>
          <w:rFonts w:ascii="Times New Roman" w:hAnsi="Times New Roman"/>
          <w:bCs/>
          <w:sz w:val="24"/>
          <w:szCs w:val="24"/>
          <w:u w:val="single"/>
        </w:rPr>
        <w:t xml:space="preserve"> x 100</w:t>
      </w:r>
    </w:p>
    <w:p w:rsidR="00672150" w:rsidRPr="00B91931" w:rsidRDefault="00672150" w:rsidP="005A4F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1931">
        <w:rPr>
          <w:rFonts w:ascii="Times New Roman" w:hAnsi="Times New Roman"/>
          <w:bCs/>
          <w:sz w:val="24"/>
          <w:szCs w:val="24"/>
        </w:rPr>
        <w:t xml:space="preserve">Número de Servidores </w:t>
      </w:r>
      <w:r w:rsidR="005A4F9C" w:rsidRPr="00B91931">
        <w:rPr>
          <w:rFonts w:ascii="Times New Roman" w:hAnsi="Times New Roman"/>
          <w:bCs/>
          <w:sz w:val="24"/>
          <w:szCs w:val="24"/>
        </w:rPr>
        <w:t xml:space="preserve">da Unidade </w:t>
      </w:r>
      <w:r w:rsidRPr="00B91931">
        <w:rPr>
          <w:rFonts w:ascii="Times New Roman" w:hAnsi="Times New Roman"/>
          <w:bCs/>
          <w:sz w:val="24"/>
          <w:szCs w:val="24"/>
        </w:rPr>
        <w:t xml:space="preserve">Capacitados </w:t>
      </w:r>
      <w:r w:rsidR="005A4F9C" w:rsidRPr="00B91931">
        <w:rPr>
          <w:rFonts w:ascii="Times New Roman" w:hAnsi="Times New Roman"/>
          <w:bCs/>
          <w:sz w:val="24"/>
          <w:szCs w:val="24"/>
        </w:rPr>
        <w:t>em Inteligência Fiscal</w:t>
      </w:r>
    </w:p>
    <w:p w:rsidR="005A4F9C" w:rsidRPr="00B91931" w:rsidRDefault="005A4F9C" w:rsidP="005A4F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1613"/>
        <w:gridCol w:w="1613"/>
        <w:gridCol w:w="1509"/>
        <w:gridCol w:w="1509"/>
        <w:gridCol w:w="1509"/>
      </w:tblGrid>
      <w:tr w:rsidR="005A4F9C" w:rsidRPr="00B91931" w:rsidTr="005A4F9C">
        <w:trPr>
          <w:jc w:val="center"/>
        </w:trPr>
        <w:tc>
          <w:tcPr>
            <w:tcW w:w="1597" w:type="dxa"/>
          </w:tcPr>
          <w:p w:rsidR="005A4F9C" w:rsidRPr="00B91931" w:rsidRDefault="005A4F9C" w:rsidP="005A4F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>Ano</w:t>
            </w:r>
          </w:p>
        </w:tc>
        <w:tc>
          <w:tcPr>
            <w:tcW w:w="1613" w:type="dxa"/>
          </w:tcPr>
          <w:p w:rsidR="005A4F9C" w:rsidRPr="00B91931" w:rsidRDefault="005A4F9C" w:rsidP="005A4F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613" w:type="dxa"/>
          </w:tcPr>
          <w:p w:rsidR="005A4F9C" w:rsidRPr="00B91931" w:rsidRDefault="005A4F9C" w:rsidP="005A4F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09" w:type="dxa"/>
          </w:tcPr>
          <w:p w:rsidR="005A4F9C" w:rsidRPr="00B91931" w:rsidRDefault="005A4F9C" w:rsidP="005A4F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509" w:type="dxa"/>
          </w:tcPr>
          <w:p w:rsidR="005A4F9C" w:rsidRPr="00B91931" w:rsidRDefault="005A4F9C" w:rsidP="005A4F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09" w:type="dxa"/>
          </w:tcPr>
          <w:p w:rsidR="005A4F9C" w:rsidRPr="00B91931" w:rsidRDefault="005A4F9C" w:rsidP="005A4F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</w:tr>
      <w:tr w:rsidR="005A4F9C" w:rsidRPr="00B91931" w:rsidTr="005A4F9C">
        <w:trPr>
          <w:jc w:val="center"/>
        </w:trPr>
        <w:tc>
          <w:tcPr>
            <w:tcW w:w="1597" w:type="dxa"/>
          </w:tcPr>
          <w:p w:rsidR="005A4F9C" w:rsidRPr="00B91931" w:rsidRDefault="005A4F9C" w:rsidP="005A4F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>Resultado</w:t>
            </w:r>
          </w:p>
        </w:tc>
        <w:tc>
          <w:tcPr>
            <w:tcW w:w="1613" w:type="dxa"/>
          </w:tcPr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 = 0,00%</w:t>
            </w:r>
          </w:p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613" w:type="dxa"/>
          </w:tcPr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 = 60,00%</w:t>
            </w:r>
          </w:p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09" w:type="dxa"/>
          </w:tcPr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 = 50,00%</w:t>
            </w:r>
          </w:p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509" w:type="dxa"/>
          </w:tcPr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 = 50,00%</w:t>
            </w:r>
          </w:p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509" w:type="dxa"/>
          </w:tcPr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</w:t>
            </w: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 = 100,00%</w:t>
            </w:r>
          </w:p>
          <w:p w:rsidR="005A4F9C" w:rsidRPr="00B91931" w:rsidRDefault="005A4F9C" w:rsidP="005A4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31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</w:tr>
    </w:tbl>
    <w:p w:rsidR="00224BB4" w:rsidRPr="00B91931" w:rsidRDefault="00224BB4" w:rsidP="00EB503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1863" w:rsidRPr="00B91931" w:rsidRDefault="00441863" w:rsidP="00EB503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03D" w:rsidRPr="00B91931" w:rsidRDefault="00EB503D" w:rsidP="00FF6812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1931">
        <w:rPr>
          <w:rFonts w:ascii="Times New Roman" w:hAnsi="Times New Roman"/>
          <w:b/>
          <w:bCs/>
          <w:sz w:val="24"/>
          <w:szCs w:val="24"/>
        </w:rPr>
        <w:lastRenderedPageBreak/>
        <w:t>4.3</w:t>
      </w:r>
      <w:r w:rsidRPr="00B91931">
        <w:rPr>
          <w:rFonts w:ascii="Times New Roman" w:hAnsi="Times New Roman"/>
          <w:b/>
          <w:bCs/>
          <w:sz w:val="24"/>
          <w:szCs w:val="24"/>
        </w:rPr>
        <w:tab/>
        <w:t>Resultados</w:t>
      </w:r>
      <w:r w:rsidR="00FF6812" w:rsidRPr="00B919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1931">
        <w:rPr>
          <w:rFonts w:ascii="Times New Roman" w:hAnsi="Times New Roman"/>
          <w:b/>
          <w:bCs/>
          <w:sz w:val="24"/>
          <w:szCs w:val="24"/>
        </w:rPr>
        <w:t>para o aumento da arrecadação</w:t>
      </w:r>
    </w:p>
    <w:p w:rsidR="007E75C8" w:rsidRPr="00B91931" w:rsidRDefault="002754C8" w:rsidP="00FF6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1931">
        <w:rPr>
          <w:rFonts w:ascii="Times New Roman" w:hAnsi="Times New Roman"/>
          <w:bCs/>
          <w:sz w:val="24"/>
          <w:szCs w:val="24"/>
        </w:rPr>
        <w:t>As</w:t>
      </w:r>
      <w:r w:rsidR="00FF6812" w:rsidRPr="00B91931">
        <w:rPr>
          <w:rFonts w:ascii="Times New Roman" w:hAnsi="Times New Roman"/>
          <w:bCs/>
          <w:sz w:val="24"/>
          <w:szCs w:val="24"/>
        </w:rPr>
        <w:t xml:space="preserve"> </w:t>
      </w:r>
      <w:r w:rsidRPr="00B91931">
        <w:rPr>
          <w:rFonts w:ascii="Times New Roman" w:hAnsi="Times New Roman"/>
          <w:bCs/>
          <w:sz w:val="24"/>
          <w:szCs w:val="24"/>
        </w:rPr>
        <w:t xml:space="preserve">atividades desenvolvidas pela Unidade de Inteligência visam, primordialmente, </w:t>
      </w:r>
      <w:r w:rsidR="0087383F" w:rsidRPr="00B91931">
        <w:rPr>
          <w:rFonts w:ascii="Times New Roman" w:hAnsi="Times New Roman"/>
          <w:bCs/>
          <w:sz w:val="24"/>
          <w:szCs w:val="24"/>
        </w:rPr>
        <w:t>a geração</w:t>
      </w:r>
      <w:r w:rsidRPr="00B91931">
        <w:rPr>
          <w:rFonts w:ascii="Times New Roman" w:hAnsi="Times New Roman"/>
          <w:bCs/>
          <w:sz w:val="24"/>
          <w:szCs w:val="24"/>
        </w:rPr>
        <w:t xml:space="preserve"> conhecimento para tomadas de decisões pela Administração Superior, desde a fase de triagem, pesquisa, análise, operações de inteligência e difusão dos resultados, podendo ainda abranger o planejamento das ações fiscais, quando assim convocada, não chegando</w:t>
      </w:r>
      <w:r w:rsidR="00D077E3" w:rsidRPr="00B91931">
        <w:rPr>
          <w:rFonts w:ascii="Times New Roman" w:hAnsi="Times New Roman"/>
          <w:bCs/>
          <w:sz w:val="24"/>
          <w:szCs w:val="24"/>
        </w:rPr>
        <w:t xml:space="preserve">, porém, </w:t>
      </w:r>
      <w:r w:rsidRPr="00B91931">
        <w:rPr>
          <w:rFonts w:ascii="Times New Roman" w:hAnsi="Times New Roman"/>
          <w:bCs/>
          <w:sz w:val="24"/>
          <w:szCs w:val="24"/>
        </w:rPr>
        <w:t>à fase de execução das ações fiscais</w:t>
      </w:r>
      <w:r w:rsidR="00D077E3" w:rsidRPr="00B91931">
        <w:rPr>
          <w:rFonts w:ascii="Times New Roman" w:hAnsi="Times New Roman"/>
          <w:bCs/>
          <w:sz w:val="24"/>
          <w:szCs w:val="24"/>
        </w:rPr>
        <w:t>, que implicam em trabalhos de fiscalizações pontuais e auditorias contábeis. Portanto, não é uma unidade geradora diretamente de créditos tributários, mas que, mesmo que indiretamente, contribui significativamente, para a consecução de créditos tributários decorrentes de seus Relatórios de Inteligência gerados.</w:t>
      </w:r>
    </w:p>
    <w:p w:rsidR="00FF6812" w:rsidRPr="00B91931" w:rsidRDefault="00FF6812" w:rsidP="00FF6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383F" w:rsidRPr="00B91931" w:rsidRDefault="00D077E3" w:rsidP="00FF6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1931">
        <w:rPr>
          <w:rFonts w:ascii="Times New Roman" w:hAnsi="Times New Roman"/>
          <w:bCs/>
          <w:sz w:val="24"/>
          <w:szCs w:val="24"/>
        </w:rPr>
        <w:t>Ao longo desses anos, vários foram os trabalhos gerados e difundidos, de forma reservada, tanto no âmbito interno da Secretaria de Fazenda, quanto em parcerias com Órgãos parceiros e que redundaram em ações fiscais, entre os quais podemos citar</w:t>
      </w:r>
      <w:r w:rsidR="00FF6812" w:rsidRPr="00B91931">
        <w:rPr>
          <w:rFonts w:ascii="Times New Roman" w:hAnsi="Times New Roman"/>
          <w:bCs/>
          <w:sz w:val="24"/>
          <w:szCs w:val="24"/>
        </w:rPr>
        <w:t xml:space="preserve"> </w:t>
      </w:r>
      <w:r w:rsidR="00893FDF" w:rsidRPr="00B91931">
        <w:rPr>
          <w:rFonts w:ascii="Times New Roman" w:hAnsi="Times New Roman"/>
          <w:bCs/>
          <w:sz w:val="24"/>
          <w:szCs w:val="24"/>
        </w:rPr>
        <w:t>o trabalho</w:t>
      </w:r>
      <w:r w:rsidR="0087383F" w:rsidRPr="00B91931">
        <w:rPr>
          <w:rFonts w:ascii="Times New Roman" w:hAnsi="Times New Roman"/>
          <w:bCs/>
          <w:sz w:val="24"/>
          <w:szCs w:val="24"/>
        </w:rPr>
        <w:t xml:space="preserve"> feito em uma rede supermercadista onde </w:t>
      </w:r>
      <w:r w:rsidR="00F5617F" w:rsidRPr="00B91931">
        <w:rPr>
          <w:rFonts w:ascii="Times New Roman" w:hAnsi="Times New Roman"/>
          <w:bCs/>
          <w:sz w:val="24"/>
          <w:szCs w:val="24"/>
        </w:rPr>
        <w:t>se verificou</w:t>
      </w:r>
      <w:r w:rsidR="00893FDF" w:rsidRPr="00B91931">
        <w:rPr>
          <w:rFonts w:ascii="Times New Roman" w:hAnsi="Times New Roman"/>
          <w:bCs/>
          <w:sz w:val="24"/>
          <w:szCs w:val="24"/>
        </w:rPr>
        <w:t>,</w:t>
      </w:r>
      <w:r w:rsidR="0087383F" w:rsidRPr="00B91931">
        <w:rPr>
          <w:rFonts w:ascii="Times New Roman" w:hAnsi="Times New Roman"/>
          <w:bCs/>
          <w:sz w:val="24"/>
          <w:szCs w:val="24"/>
        </w:rPr>
        <w:t xml:space="preserve"> “in loco”</w:t>
      </w:r>
      <w:r w:rsidR="00893FDF" w:rsidRPr="00B91931">
        <w:rPr>
          <w:rFonts w:ascii="Times New Roman" w:hAnsi="Times New Roman"/>
          <w:bCs/>
          <w:sz w:val="24"/>
          <w:szCs w:val="24"/>
        </w:rPr>
        <w:t>,</w:t>
      </w:r>
      <w:r w:rsidR="0087383F" w:rsidRPr="00B91931">
        <w:rPr>
          <w:rFonts w:ascii="Times New Roman" w:hAnsi="Times New Roman"/>
          <w:bCs/>
          <w:sz w:val="24"/>
          <w:szCs w:val="24"/>
        </w:rPr>
        <w:t xml:space="preserve"> que suas lojas estavam tributando a menor determinado segmento de produtos. Um dos próprios servidores da unidade,</w:t>
      </w:r>
      <w:r w:rsidR="00F5617F">
        <w:rPr>
          <w:rFonts w:ascii="Times New Roman" w:hAnsi="Times New Roman"/>
          <w:bCs/>
          <w:sz w:val="24"/>
          <w:szCs w:val="24"/>
        </w:rPr>
        <w:t xml:space="preserve"> </w:t>
      </w:r>
      <w:r w:rsidR="0087383F" w:rsidRPr="00B91931">
        <w:rPr>
          <w:rFonts w:ascii="Times New Roman" w:hAnsi="Times New Roman"/>
          <w:bCs/>
          <w:sz w:val="24"/>
          <w:szCs w:val="24"/>
        </w:rPr>
        <w:t xml:space="preserve">desenvolveu um aplicativo de extração de dados das memórias dos Emissores de Cupom Fiscal, </w:t>
      </w:r>
      <w:r w:rsidR="00893FDF" w:rsidRPr="00B91931">
        <w:rPr>
          <w:rFonts w:ascii="Times New Roman" w:hAnsi="Times New Roman"/>
          <w:bCs/>
          <w:sz w:val="24"/>
          <w:szCs w:val="24"/>
        </w:rPr>
        <w:t xml:space="preserve">o </w:t>
      </w:r>
      <w:r w:rsidR="0087383F" w:rsidRPr="00B91931">
        <w:rPr>
          <w:rFonts w:ascii="Times New Roman" w:hAnsi="Times New Roman"/>
          <w:bCs/>
          <w:sz w:val="24"/>
          <w:szCs w:val="24"/>
        </w:rPr>
        <w:t xml:space="preserve">que possibilitou </w:t>
      </w:r>
      <w:r w:rsidR="00893FDF" w:rsidRPr="00B91931">
        <w:rPr>
          <w:rFonts w:ascii="Times New Roman" w:hAnsi="Times New Roman"/>
          <w:bCs/>
          <w:sz w:val="24"/>
          <w:szCs w:val="24"/>
        </w:rPr>
        <w:t>à equipe de Auditores convocados para a ação fiscal, a lavratura de diversos Autos de Infração e Notificações Fiscais, que redundaram em Créditos Tributários na ordem de R$</w:t>
      </w:r>
      <w:r w:rsidR="00FF6812" w:rsidRPr="00B91931">
        <w:rPr>
          <w:rFonts w:ascii="Times New Roman" w:hAnsi="Times New Roman"/>
          <w:bCs/>
          <w:sz w:val="24"/>
          <w:szCs w:val="24"/>
        </w:rPr>
        <w:t xml:space="preserve"> </w:t>
      </w:r>
      <w:r w:rsidR="00893FDF" w:rsidRPr="00B91931">
        <w:rPr>
          <w:rFonts w:ascii="Times New Roman" w:hAnsi="Times New Roman"/>
          <w:bCs/>
          <w:sz w:val="24"/>
          <w:szCs w:val="24"/>
        </w:rPr>
        <w:t>5.000.000,00 (cinco milhões de reais).</w:t>
      </w:r>
    </w:p>
    <w:sectPr w:rsidR="0087383F" w:rsidRPr="00B91931" w:rsidSect="00410E10">
      <w:footerReference w:type="default" r:id="rId8"/>
      <w:pgSz w:w="11907" w:h="16840" w:code="9"/>
      <w:pgMar w:top="1418" w:right="1134" w:bottom="1134" w:left="141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B2" w:rsidRDefault="00785FB2" w:rsidP="00261375">
      <w:pPr>
        <w:spacing w:after="0" w:line="240" w:lineRule="auto"/>
      </w:pPr>
      <w:r>
        <w:separator/>
      </w:r>
    </w:p>
  </w:endnote>
  <w:endnote w:type="continuationSeparator" w:id="0">
    <w:p w:rsidR="00785FB2" w:rsidRDefault="00785FB2" w:rsidP="0026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19511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CA6B9C" w:rsidRPr="00261375" w:rsidRDefault="00CA6B9C" w:rsidP="00261375">
            <w:pPr>
              <w:pStyle w:val="Rodap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375">
              <w:rPr>
                <w:rFonts w:ascii="Times New Roman" w:hAnsi="Times New Roman"/>
                <w:sz w:val="20"/>
                <w:szCs w:val="20"/>
              </w:rPr>
              <w:t xml:space="preserve">Página </w:t>
            </w:r>
            <w:r w:rsidR="00C41901" w:rsidRPr="0026137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261375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C41901" w:rsidRPr="002613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462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C41901" w:rsidRPr="002613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6137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C41901" w:rsidRPr="0026137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261375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C41901" w:rsidRPr="002613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462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C41901" w:rsidRPr="0026137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B2" w:rsidRDefault="00785FB2" w:rsidP="00261375">
      <w:pPr>
        <w:spacing w:after="0" w:line="240" w:lineRule="auto"/>
      </w:pPr>
      <w:r>
        <w:separator/>
      </w:r>
    </w:p>
  </w:footnote>
  <w:footnote w:type="continuationSeparator" w:id="0">
    <w:p w:rsidR="00785FB2" w:rsidRDefault="00785FB2" w:rsidP="0026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BF1"/>
    <w:multiLevelType w:val="hybridMultilevel"/>
    <w:tmpl w:val="46B04B6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82032"/>
    <w:multiLevelType w:val="hybridMultilevel"/>
    <w:tmpl w:val="AF6C75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2B6"/>
    <w:multiLevelType w:val="hybridMultilevel"/>
    <w:tmpl w:val="7E340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76B1A"/>
    <w:multiLevelType w:val="hybridMultilevel"/>
    <w:tmpl w:val="0D908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3A75"/>
    <w:multiLevelType w:val="hybridMultilevel"/>
    <w:tmpl w:val="C868EC8E"/>
    <w:lvl w:ilvl="0" w:tplc="4B7C32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277867B8"/>
    <w:multiLevelType w:val="multilevel"/>
    <w:tmpl w:val="336ABD72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2AA53F33"/>
    <w:multiLevelType w:val="hybridMultilevel"/>
    <w:tmpl w:val="0F42CE2C"/>
    <w:lvl w:ilvl="0" w:tplc="C23E35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1072C8"/>
    <w:multiLevelType w:val="hybridMultilevel"/>
    <w:tmpl w:val="E7C4F8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06EB2"/>
    <w:multiLevelType w:val="hybridMultilevel"/>
    <w:tmpl w:val="09C2C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704117"/>
    <w:multiLevelType w:val="hybridMultilevel"/>
    <w:tmpl w:val="81A8961A"/>
    <w:lvl w:ilvl="0" w:tplc="4C0CF952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453F3CD3"/>
    <w:multiLevelType w:val="hybridMultilevel"/>
    <w:tmpl w:val="86F61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142B"/>
    <w:multiLevelType w:val="hybridMultilevel"/>
    <w:tmpl w:val="AF4EF2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2B014E"/>
    <w:multiLevelType w:val="hybridMultilevel"/>
    <w:tmpl w:val="5A3E6A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66572B"/>
    <w:multiLevelType w:val="hybridMultilevel"/>
    <w:tmpl w:val="89865E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520418FB"/>
    <w:multiLevelType w:val="multilevel"/>
    <w:tmpl w:val="BC0EF7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87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521127A3"/>
    <w:multiLevelType w:val="hybridMultilevel"/>
    <w:tmpl w:val="98CEC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6F8F"/>
    <w:multiLevelType w:val="hybridMultilevel"/>
    <w:tmpl w:val="2D322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3DFA"/>
    <w:multiLevelType w:val="hybridMultilevel"/>
    <w:tmpl w:val="A586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60D7B"/>
    <w:multiLevelType w:val="hybridMultilevel"/>
    <w:tmpl w:val="C6C2A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275B39"/>
    <w:multiLevelType w:val="multilevel"/>
    <w:tmpl w:val="0416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83189C"/>
    <w:multiLevelType w:val="hybridMultilevel"/>
    <w:tmpl w:val="A92EC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4"/>
  </w:num>
  <w:num w:numId="20">
    <w:abstractNumId w:val="6"/>
  </w:num>
  <w:num w:numId="21">
    <w:abstractNumId w:val="19"/>
  </w:num>
  <w:num w:numId="22">
    <w:abstractNumId w:val="9"/>
  </w:num>
  <w:num w:numId="23">
    <w:abstractNumId w:val="18"/>
  </w:num>
  <w:num w:numId="24">
    <w:abstractNumId w:val="13"/>
  </w:num>
  <w:num w:numId="25">
    <w:abstractNumId w:val="4"/>
  </w:num>
  <w:num w:numId="26">
    <w:abstractNumId w:val="17"/>
  </w:num>
  <w:num w:numId="27">
    <w:abstractNumId w:val="3"/>
  </w:num>
  <w:num w:numId="28">
    <w:abstractNumId w:val="16"/>
  </w:num>
  <w:num w:numId="29">
    <w:abstractNumId w:val="20"/>
  </w:num>
  <w:num w:numId="30">
    <w:abstractNumId w:val="15"/>
  </w:num>
  <w:num w:numId="31">
    <w:abstractNumId w:val="8"/>
  </w:num>
  <w:num w:numId="32">
    <w:abstractNumId w:val="7"/>
  </w:num>
  <w:num w:numId="33">
    <w:abstractNumId w:val="12"/>
  </w:num>
  <w:num w:numId="34">
    <w:abstractNumId w:val="0"/>
  </w:num>
  <w:num w:numId="35">
    <w:abstractNumId w:val="11"/>
  </w:num>
  <w:num w:numId="36">
    <w:abstractNumId w:val="2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39"/>
    <w:rsid w:val="00013877"/>
    <w:rsid w:val="00022446"/>
    <w:rsid w:val="000279E8"/>
    <w:rsid w:val="00044620"/>
    <w:rsid w:val="00053E0A"/>
    <w:rsid w:val="00075ABB"/>
    <w:rsid w:val="00087A06"/>
    <w:rsid w:val="00097B09"/>
    <w:rsid w:val="000B2BE5"/>
    <w:rsid w:val="000F5973"/>
    <w:rsid w:val="001214F8"/>
    <w:rsid w:val="0014029B"/>
    <w:rsid w:val="001419D3"/>
    <w:rsid w:val="00154203"/>
    <w:rsid w:val="00164257"/>
    <w:rsid w:val="00165355"/>
    <w:rsid w:val="00181BA3"/>
    <w:rsid w:val="00182995"/>
    <w:rsid w:val="00183363"/>
    <w:rsid w:val="001928B2"/>
    <w:rsid w:val="001A284D"/>
    <w:rsid w:val="001A5303"/>
    <w:rsid w:val="001A55CB"/>
    <w:rsid w:val="001A63DC"/>
    <w:rsid w:val="001A73E2"/>
    <w:rsid w:val="001D46E3"/>
    <w:rsid w:val="001E282F"/>
    <w:rsid w:val="001E3D42"/>
    <w:rsid w:val="001F649A"/>
    <w:rsid w:val="002053D4"/>
    <w:rsid w:val="00220FB1"/>
    <w:rsid w:val="00224BB4"/>
    <w:rsid w:val="00240613"/>
    <w:rsid w:val="00243CEF"/>
    <w:rsid w:val="00244F06"/>
    <w:rsid w:val="00246634"/>
    <w:rsid w:val="00253308"/>
    <w:rsid w:val="00261375"/>
    <w:rsid w:val="002754C8"/>
    <w:rsid w:val="00282A19"/>
    <w:rsid w:val="00290AF8"/>
    <w:rsid w:val="002A3E3B"/>
    <w:rsid w:val="002B1A1A"/>
    <w:rsid w:val="002D73B6"/>
    <w:rsid w:val="002E03FB"/>
    <w:rsid w:val="002E58AF"/>
    <w:rsid w:val="00301ABC"/>
    <w:rsid w:val="00306BB1"/>
    <w:rsid w:val="00311223"/>
    <w:rsid w:val="00311ECD"/>
    <w:rsid w:val="003373AC"/>
    <w:rsid w:val="00343114"/>
    <w:rsid w:val="00346407"/>
    <w:rsid w:val="00350337"/>
    <w:rsid w:val="00352980"/>
    <w:rsid w:val="003606BD"/>
    <w:rsid w:val="00362F5F"/>
    <w:rsid w:val="00365F64"/>
    <w:rsid w:val="0039201E"/>
    <w:rsid w:val="003B1B9D"/>
    <w:rsid w:val="003C4DCC"/>
    <w:rsid w:val="003C51B8"/>
    <w:rsid w:val="003D323E"/>
    <w:rsid w:val="003F6EEA"/>
    <w:rsid w:val="004109E6"/>
    <w:rsid w:val="00410E10"/>
    <w:rsid w:val="004345A2"/>
    <w:rsid w:val="004416D2"/>
    <w:rsid w:val="00441863"/>
    <w:rsid w:val="00441BC8"/>
    <w:rsid w:val="00442A32"/>
    <w:rsid w:val="004452B9"/>
    <w:rsid w:val="00451A51"/>
    <w:rsid w:val="004715DF"/>
    <w:rsid w:val="0048796C"/>
    <w:rsid w:val="00490898"/>
    <w:rsid w:val="00494A44"/>
    <w:rsid w:val="004A2B8A"/>
    <w:rsid w:val="004B4B64"/>
    <w:rsid w:val="004D1C40"/>
    <w:rsid w:val="004D4569"/>
    <w:rsid w:val="004E02A2"/>
    <w:rsid w:val="004F2111"/>
    <w:rsid w:val="00512B63"/>
    <w:rsid w:val="005264B3"/>
    <w:rsid w:val="00552CE7"/>
    <w:rsid w:val="00567A79"/>
    <w:rsid w:val="00573E8A"/>
    <w:rsid w:val="0058243B"/>
    <w:rsid w:val="00585C3E"/>
    <w:rsid w:val="005A2439"/>
    <w:rsid w:val="005A4F9C"/>
    <w:rsid w:val="005E280C"/>
    <w:rsid w:val="005E3C3B"/>
    <w:rsid w:val="005E4FBD"/>
    <w:rsid w:val="005E763D"/>
    <w:rsid w:val="005F6592"/>
    <w:rsid w:val="006149BB"/>
    <w:rsid w:val="00622E73"/>
    <w:rsid w:val="0064342E"/>
    <w:rsid w:val="00671B5C"/>
    <w:rsid w:val="00672150"/>
    <w:rsid w:val="006740B6"/>
    <w:rsid w:val="006860ED"/>
    <w:rsid w:val="006B402F"/>
    <w:rsid w:val="006C1E1D"/>
    <w:rsid w:val="006C325F"/>
    <w:rsid w:val="006C50E6"/>
    <w:rsid w:val="006D1659"/>
    <w:rsid w:val="006E2C55"/>
    <w:rsid w:val="006F4752"/>
    <w:rsid w:val="007147F7"/>
    <w:rsid w:val="00723196"/>
    <w:rsid w:val="00732BFC"/>
    <w:rsid w:val="00773185"/>
    <w:rsid w:val="00785FB2"/>
    <w:rsid w:val="00793984"/>
    <w:rsid w:val="007A7AAB"/>
    <w:rsid w:val="007C4BA8"/>
    <w:rsid w:val="007D4185"/>
    <w:rsid w:val="007E4049"/>
    <w:rsid w:val="007E75C8"/>
    <w:rsid w:val="007F2860"/>
    <w:rsid w:val="0081265B"/>
    <w:rsid w:val="00812F24"/>
    <w:rsid w:val="00817A69"/>
    <w:rsid w:val="0082310E"/>
    <w:rsid w:val="008358EE"/>
    <w:rsid w:val="0084745F"/>
    <w:rsid w:val="0085194A"/>
    <w:rsid w:val="008626EC"/>
    <w:rsid w:val="0087383F"/>
    <w:rsid w:val="00884B7C"/>
    <w:rsid w:val="008870A3"/>
    <w:rsid w:val="00887E35"/>
    <w:rsid w:val="00893FDF"/>
    <w:rsid w:val="008B03C6"/>
    <w:rsid w:val="008D5166"/>
    <w:rsid w:val="008D5281"/>
    <w:rsid w:val="008D6D7B"/>
    <w:rsid w:val="008E104E"/>
    <w:rsid w:val="008E36B7"/>
    <w:rsid w:val="008F04E4"/>
    <w:rsid w:val="008F4217"/>
    <w:rsid w:val="00907BCC"/>
    <w:rsid w:val="00936087"/>
    <w:rsid w:val="0096187A"/>
    <w:rsid w:val="00966002"/>
    <w:rsid w:val="00983E9C"/>
    <w:rsid w:val="00993E0E"/>
    <w:rsid w:val="009B492B"/>
    <w:rsid w:val="009F5103"/>
    <w:rsid w:val="00A22923"/>
    <w:rsid w:val="00A32D39"/>
    <w:rsid w:val="00A436EE"/>
    <w:rsid w:val="00A65644"/>
    <w:rsid w:val="00A71DEC"/>
    <w:rsid w:val="00A81BED"/>
    <w:rsid w:val="00A81E29"/>
    <w:rsid w:val="00A828A4"/>
    <w:rsid w:val="00A82B3E"/>
    <w:rsid w:val="00A907E0"/>
    <w:rsid w:val="00A90D6D"/>
    <w:rsid w:val="00AA476F"/>
    <w:rsid w:val="00AA67B4"/>
    <w:rsid w:val="00AD139D"/>
    <w:rsid w:val="00AD5B5D"/>
    <w:rsid w:val="00AF6A8B"/>
    <w:rsid w:val="00B04F49"/>
    <w:rsid w:val="00B329D7"/>
    <w:rsid w:val="00B40966"/>
    <w:rsid w:val="00B52579"/>
    <w:rsid w:val="00B52937"/>
    <w:rsid w:val="00B609CC"/>
    <w:rsid w:val="00B612C0"/>
    <w:rsid w:val="00B6561B"/>
    <w:rsid w:val="00B709C9"/>
    <w:rsid w:val="00B73E11"/>
    <w:rsid w:val="00B91931"/>
    <w:rsid w:val="00B94ADD"/>
    <w:rsid w:val="00B96935"/>
    <w:rsid w:val="00BB55BC"/>
    <w:rsid w:val="00BD6B4B"/>
    <w:rsid w:val="00BF2916"/>
    <w:rsid w:val="00C04025"/>
    <w:rsid w:val="00C2776D"/>
    <w:rsid w:val="00C35F88"/>
    <w:rsid w:val="00C41901"/>
    <w:rsid w:val="00C4572F"/>
    <w:rsid w:val="00C564C5"/>
    <w:rsid w:val="00C865CD"/>
    <w:rsid w:val="00CA6B9C"/>
    <w:rsid w:val="00CC30B0"/>
    <w:rsid w:val="00CC365D"/>
    <w:rsid w:val="00CC421E"/>
    <w:rsid w:val="00CC6364"/>
    <w:rsid w:val="00CC77B9"/>
    <w:rsid w:val="00CD02BF"/>
    <w:rsid w:val="00CD6EB3"/>
    <w:rsid w:val="00CD7B99"/>
    <w:rsid w:val="00CE2C73"/>
    <w:rsid w:val="00CE35A1"/>
    <w:rsid w:val="00D03639"/>
    <w:rsid w:val="00D0735B"/>
    <w:rsid w:val="00D077E3"/>
    <w:rsid w:val="00D22D3C"/>
    <w:rsid w:val="00D4670F"/>
    <w:rsid w:val="00D507EF"/>
    <w:rsid w:val="00D55684"/>
    <w:rsid w:val="00D561FD"/>
    <w:rsid w:val="00D62548"/>
    <w:rsid w:val="00D903A8"/>
    <w:rsid w:val="00D93C1A"/>
    <w:rsid w:val="00DA6B88"/>
    <w:rsid w:val="00DC69AE"/>
    <w:rsid w:val="00DD2D61"/>
    <w:rsid w:val="00DD45FA"/>
    <w:rsid w:val="00DE4512"/>
    <w:rsid w:val="00DF636A"/>
    <w:rsid w:val="00E12ECA"/>
    <w:rsid w:val="00E26D59"/>
    <w:rsid w:val="00E31448"/>
    <w:rsid w:val="00E319FD"/>
    <w:rsid w:val="00E32AF4"/>
    <w:rsid w:val="00E34938"/>
    <w:rsid w:val="00E4300A"/>
    <w:rsid w:val="00E5065E"/>
    <w:rsid w:val="00E51531"/>
    <w:rsid w:val="00E53310"/>
    <w:rsid w:val="00E540AB"/>
    <w:rsid w:val="00E80F1D"/>
    <w:rsid w:val="00E82EFF"/>
    <w:rsid w:val="00E86A14"/>
    <w:rsid w:val="00E95AA4"/>
    <w:rsid w:val="00EA0432"/>
    <w:rsid w:val="00EB39E8"/>
    <w:rsid w:val="00EB503D"/>
    <w:rsid w:val="00EC0A95"/>
    <w:rsid w:val="00EE2A07"/>
    <w:rsid w:val="00EF373B"/>
    <w:rsid w:val="00F05D26"/>
    <w:rsid w:val="00F31560"/>
    <w:rsid w:val="00F33154"/>
    <w:rsid w:val="00F5617F"/>
    <w:rsid w:val="00F6534B"/>
    <w:rsid w:val="00F72010"/>
    <w:rsid w:val="00F75D02"/>
    <w:rsid w:val="00F83FD0"/>
    <w:rsid w:val="00F85B28"/>
    <w:rsid w:val="00F868E7"/>
    <w:rsid w:val="00F9278F"/>
    <w:rsid w:val="00FA1A2C"/>
    <w:rsid w:val="00FB304E"/>
    <w:rsid w:val="00FB308A"/>
    <w:rsid w:val="00FE53B9"/>
    <w:rsid w:val="00FF1F0C"/>
    <w:rsid w:val="00FF6812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524EC9-F634-47C8-B859-3626FB7A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39"/>
    <w:pPr>
      <w:spacing w:after="200" w:line="276" w:lineRule="auto"/>
    </w:pPr>
    <w:rPr>
      <w:lang w:eastAsia="en-US"/>
    </w:rPr>
  </w:style>
  <w:style w:type="paragraph" w:styleId="Ttulo1">
    <w:name w:val="heading 1"/>
    <w:aliases w:val="Heading 1-Agriteam"/>
    <w:basedOn w:val="Normal"/>
    <w:next w:val="Normal"/>
    <w:link w:val="Ttulo1Char"/>
    <w:uiPriority w:val="99"/>
    <w:qFormat/>
    <w:rsid w:val="00C865CD"/>
    <w:pPr>
      <w:keepNext/>
      <w:numPr>
        <w:numId w:val="18"/>
      </w:numPr>
      <w:pBdr>
        <w:bottom w:val="single" w:sz="12" w:space="12" w:color="auto"/>
      </w:pBdr>
      <w:spacing w:after="240" w:line="240" w:lineRule="auto"/>
      <w:outlineLvl w:val="0"/>
    </w:pPr>
    <w:rPr>
      <w:rFonts w:eastAsia="Times New Roman"/>
      <w:b/>
      <w:caps/>
      <w:sz w:val="32"/>
    </w:rPr>
  </w:style>
  <w:style w:type="paragraph" w:styleId="Ttulo2">
    <w:name w:val="heading 2"/>
    <w:aliases w:val="Heading 2-Agriteam"/>
    <w:basedOn w:val="Normal"/>
    <w:next w:val="Normal"/>
    <w:link w:val="Ttulo2Char"/>
    <w:uiPriority w:val="99"/>
    <w:qFormat/>
    <w:rsid w:val="00C865CD"/>
    <w:pPr>
      <w:keepNext/>
      <w:numPr>
        <w:ilvl w:val="1"/>
        <w:numId w:val="18"/>
      </w:numPr>
      <w:spacing w:before="120" w:after="120"/>
      <w:outlineLvl w:val="1"/>
    </w:pPr>
    <w:rPr>
      <w:rFonts w:eastAsia="Times New Roman"/>
      <w:b/>
      <w:sz w:val="26"/>
    </w:rPr>
  </w:style>
  <w:style w:type="paragraph" w:styleId="Ttulo3">
    <w:name w:val="heading 3"/>
    <w:aliases w:val="Heading 3-Agriteam"/>
    <w:basedOn w:val="Normal"/>
    <w:next w:val="Normal"/>
    <w:link w:val="Ttulo3Char"/>
    <w:uiPriority w:val="99"/>
    <w:qFormat/>
    <w:rsid w:val="00C865CD"/>
    <w:pPr>
      <w:keepNext/>
      <w:numPr>
        <w:ilvl w:val="2"/>
        <w:numId w:val="18"/>
      </w:numPr>
      <w:spacing w:before="120"/>
      <w:outlineLvl w:val="2"/>
    </w:pPr>
    <w:rPr>
      <w:rFonts w:eastAsia="Times New Roman"/>
      <w:b/>
      <w:color w:val="000000"/>
    </w:rPr>
  </w:style>
  <w:style w:type="paragraph" w:styleId="Ttulo4">
    <w:name w:val="heading 4"/>
    <w:basedOn w:val="Normal"/>
    <w:next w:val="Normal"/>
    <w:link w:val="Ttulo4Char"/>
    <w:uiPriority w:val="99"/>
    <w:qFormat/>
    <w:rsid w:val="00C865CD"/>
    <w:pPr>
      <w:keepNext/>
      <w:numPr>
        <w:ilvl w:val="3"/>
        <w:numId w:val="18"/>
      </w:numPr>
      <w:spacing w:before="120"/>
      <w:outlineLvl w:val="3"/>
    </w:pPr>
    <w:rPr>
      <w:rFonts w:eastAsia="Times New Roman"/>
      <w:b/>
      <w:i/>
    </w:rPr>
  </w:style>
  <w:style w:type="paragraph" w:styleId="Ttulo5">
    <w:name w:val="heading 5"/>
    <w:basedOn w:val="Normal"/>
    <w:next w:val="Normal"/>
    <w:link w:val="Ttulo5Char"/>
    <w:uiPriority w:val="99"/>
    <w:qFormat/>
    <w:rsid w:val="00C865CD"/>
    <w:pPr>
      <w:keepNext/>
      <w:numPr>
        <w:ilvl w:val="4"/>
        <w:numId w:val="18"/>
      </w:numPr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C865CD"/>
    <w:pPr>
      <w:numPr>
        <w:ilvl w:val="5"/>
        <w:numId w:val="18"/>
      </w:numPr>
      <w:spacing w:before="240" w:after="60"/>
      <w:outlineLvl w:val="5"/>
    </w:pPr>
    <w:rPr>
      <w:rFonts w:eastAsia="Times New Roman"/>
      <w:i/>
    </w:rPr>
  </w:style>
  <w:style w:type="paragraph" w:styleId="Ttulo7">
    <w:name w:val="heading 7"/>
    <w:basedOn w:val="Normal"/>
    <w:next w:val="Normal"/>
    <w:link w:val="Ttulo7Char"/>
    <w:uiPriority w:val="99"/>
    <w:qFormat/>
    <w:rsid w:val="00C865CD"/>
    <w:pPr>
      <w:numPr>
        <w:ilvl w:val="6"/>
        <w:numId w:val="18"/>
      </w:numPr>
      <w:spacing w:before="240" w:after="60"/>
      <w:outlineLvl w:val="6"/>
    </w:pPr>
    <w:rPr>
      <w:rFonts w:eastAsia="Times New Roman"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865CD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sz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865CD"/>
    <w:pPr>
      <w:numPr>
        <w:ilvl w:val="8"/>
        <w:numId w:val="18"/>
      </w:numPr>
      <w:spacing w:before="240" w:after="60"/>
      <w:outlineLvl w:val="8"/>
    </w:pPr>
    <w:rPr>
      <w:rFonts w:eastAsia="Times New Roman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-Agriteam Char"/>
    <w:basedOn w:val="Fontepargpadro"/>
    <w:link w:val="Ttulo1"/>
    <w:uiPriority w:val="99"/>
    <w:locked/>
    <w:rsid w:val="00C865CD"/>
    <w:rPr>
      <w:rFonts w:ascii="Times New Roman" w:hAnsi="Times New Roman" w:cs="Times New Roman"/>
      <w:b/>
      <w:caps/>
      <w:sz w:val="32"/>
    </w:rPr>
  </w:style>
  <w:style w:type="character" w:customStyle="1" w:styleId="Ttulo2Char">
    <w:name w:val="Título 2 Char"/>
    <w:aliases w:val="Heading 2-Agriteam Char"/>
    <w:basedOn w:val="Fontepargpadro"/>
    <w:link w:val="Ttulo2"/>
    <w:uiPriority w:val="99"/>
    <w:locked/>
    <w:rsid w:val="00C865CD"/>
    <w:rPr>
      <w:rFonts w:ascii="Times New Roman" w:hAnsi="Times New Roman" w:cs="Times New Roman"/>
      <w:b/>
      <w:sz w:val="26"/>
    </w:rPr>
  </w:style>
  <w:style w:type="character" w:customStyle="1" w:styleId="Ttulo3Char">
    <w:name w:val="Título 3 Char"/>
    <w:aliases w:val="Heading 3-Agriteam Char"/>
    <w:basedOn w:val="Fontepargpadro"/>
    <w:link w:val="Ttulo3"/>
    <w:uiPriority w:val="99"/>
    <w:locked/>
    <w:rsid w:val="00C865CD"/>
    <w:rPr>
      <w:rFonts w:ascii="Times New Roman" w:hAnsi="Times New Roman" w:cs="Times New Roman"/>
      <w:b/>
      <w:snapToGrid w:val="0"/>
      <w:color w:val="000000"/>
      <w:sz w:val="22"/>
    </w:rPr>
  </w:style>
  <w:style w:type="character" w:customStyle="1" w:styleId="Ttulo4Char">
    <w:name w:val="Título 4 Char"/>
    <w:basedOn w:val="Fontepargpadro"/>
    <w:link w:val="Ttulo4"/>
    <w:uiPriority w:val="99"/>
    <w:locked/>
    <w:rsid w:val="00C865CD"/>
    <w:rPr>
      <w:rFonts w:ascii="Times New Roman" w:hAnsi="Times New Roman" w:cs="Times New Roman"/>
      <w:b/>
      <w:i/>
      <w:sz w:val="22"/>
    </w:rPr>
  </w:style>
  <w:style w:type="character" w:customStyle="1" w:styleId="Ttulo5Char">
    <w:name w:val="Título 5 Char"/>
    <w:basedOn w:val="Fontepargpadro"/>
    <w:link w:val="Ttulo5"/>
    <w:uiPriority w:val="99"/>
    <w:locked/>
    <w:rsid w:val="00C865CD"/>
    <w:rPr>
      <w:rFonts w:ascii="Times New Roman" w:hAnsi="Times New Roman" w:cs="Times New Roman"/>
      <w:sz w:val="22"/>
    </w:rPr>
  </w:style>
  <w:style w:type="character" w:customStyle="1" w:styleId="Ttulo6Char">
    <w:name w:val="Título 6 Char"/>
    <w:basedOn w:val="Fontepargpadro"/>
    <w:link w:val="Ttulo6"/>
    <w:uiPriority w:val="99"/>
    <w:locked/>
    <w:rsid w:val="00C865CD"/>
    <w:rPr>
      <w:rFonts w:ascii="Times New Roman" w:hAnsi="Times New Roman" w:cs="Times New Roman"/>
      <w:i/>
      <w:sz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865CD"/>
    <w:rPr>
      <w:rFonts w:ascii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uiPriority w:val="99"/>
    <w:locked/>
    <w:rsid w:val="00C865CD"/>
    <w:rPr>
      <w:rFonts w:ascii="Times New Roman" w:hAnsi="Times New Roman" w:cs="Times New Roman"/>
      <w:i/>
    </w:rPr>
  </w:style>
  <w:style w:type="character" w:customStyle="1" w:styleId="Ttulo9Char">
    <w:name w:val="Título 9 Char"/>
    <w:basedOn w:val="Fontepargpadro"/>
    <w:link w:val="Ttulo9"/>
    <w:uiPriority w:val="99"/>
    <w:locked/>
    <w:rsid w:val="00C865CD"/>
    <w:rPr>
      <w:rFonts w:ascii="Times New Roman" w:hAnsi="Times New Roman" w:cs="Times New Roman"/>
      <w:i/>
      <w:sz w:val="18"/>
    </w:rPr>
  </w:style>
  <w:style w:type="paragraph" w:styleId="Sumrio1">
    <w:name w:val="toc 1"/>
    <w:basedOn w:val="Normal"/>
    <w:next w:val="Normal"/>
    <w:autoRedefine/>
    <w:uiPriority w:val="99"/>
    <w:rsid w:val="00C865CD"/>
    <w:pPr>
      <w:spacing w:after="100"/>
    </w:pPr>
    <w:rPr>
      <w:rFonts w:eastAsia="Times New Roman"/>
    </w:rPr>
  </w:style>
  <w:style w:type="paragraph" w:styleId="Sumrio2">
    <w:name w:val="toc 2"/>
    <w:basedOn w:val="Normal"/>
    <w:next w:val="Normal"/>
    <w:autoRedefine/>
    <w:uiPriority w:val="99"/>
    <w:rsid w:val="00C865CD"/>
    <w:pPr>
      <w:spacing w:after="100"/>
      <w:ind w:left="22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99"/>
    <w:rsid w:val="00C865CD"/>
    <w:pPr>
      <w:spacing w:after="100"/>
      <w:ind w:left="440"/>
    </w:pPr>
    <w:rPr>
      <w:rFonts w:eastAsia="Times New Roman"/>
    </w:rPr>
  </w:style>
  <w:style w:type="character" w:styleId="Forte">
    <w:name w:val="Strong"/>
    <w:basedOn w:val="Fontepargpadro"/>
    <w:uiPriority w:val="99"/>
    <w:qFormat/>
    <w:rsid w:val="00C865CD"/>
    <w:rPr>
      <w:rFonts w:cs="Times New Roman"/>
      <w:b/>
      <w:bCs/>
    </w:rPr>
  </w:style>
  <w:style w:type="paragraph" w:styleId="SemEspaamento">
    <w:name w:val="No Spacing"/>
    <w:link w:val="SemEspaamentoChar"/>
    <w:uiPriority w:val="99"/>
    <w:qFormat/>
    <w:rsid w:val="00C86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CA"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C865CD"/>
    <w:rPr>
      <w:rFonts w:ascii="Times New Roman" w:hAnsi="Times New Roman" w:cs="Times New Roman"/>
      <w:lang w:val="en-CA" w:eastAsia="en-US" w:bidi="ar-SA"/>
    </w:rPr>
  </w:style>
  <w:style w:type="paragraph" w:styleId="PargrafodaLista">
    <w:name w:val="List Paragraph"/>
    <w:basedOn w:val="Normal"/>
    <w:uiPriority w:val="99"/>
    <w:qFormat/>
    <w:rsid w:val="00C865CD"/>
    <w:pPr>
      <w:ind w:left="720"/>
    </w:pPr>
    <w:rPr>
      <w:rFonts w:eastAsia="Times New Roman"/>
    </w:rPr>
  </w:style>
  <w:style w:type="paragraph" w:styleId="CabealhodoSumrio">
    <w:name w:val="TOC Heading"/>
    <w:basedOn w:val="Ttulo1"/>
    <w:next w:val="Normal"/>
    <w:uiPriority w:val="99"/>
    <w:qFormat/>
    <w:rsid w:val="00C865CD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rsid w:val="00C865CD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5A2439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5A2439"/>
    <w:rPr>
      <w:rFonts w:ascii="Times New Roman" w:hAnsi="Times New Roman" w:cs="Times New Roman"/>
      <w:sz w:val="24"/>
      <w:szCs w:val="24"/>
      <w:lang w:val="es-ES"/>
    </w:rPr>
  </w:style>
  <w:style w:type="paragraph" w:styleId="Textodebalo">
    <w:name w:val="Balloon Text"/>
    <w:basedOn w:val="Normal"/>
    <w:link w:val="TextodebaloChar"/>
    <w:uiPriority w:val="99"/>
    <w:semiHidden/>
    <w:rsid w:val="00D5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55684"/>
    <w:rPr>
      <w:rFonts w:ascii="Tahoma" w:hAnsi="Tahoma" w:cs="Tahoma"/>
      <w:noProof/>
      <w:sz w:val="16"/>
      <w:szCs w:val="16"/>
      <w:lang w:val="es-ES"/>
    </w:rPr>
  </w:style>
  <w:style w:type="paragraph" w:styleId="Corpodetexto2">
    <w:name w:val="Body Text 2"/>
    <w:basedOn w:val="Normal"/>
    <w:link w:val="Corpodetexto2Char"/>
    <w:uiPriority w:val="99"/>
    <w:rsid w:val="00494A4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A5303"/>
    <w:rPr>
      <w:rFonts w:cs="Times New Roman"/>
      <w:noProof/>
      <w:lang w:val="es-ES" w:eastAsia="en-US"/>
    </w:rPr>
  </w:style>
  <w:style w:type="paragraph" w:styleId="NormalWeb">
    <w:name w:val="Normal (Web)"/>
    <w:basedOn w:val="Normal"/>
    <w:uiPriority w:val="99"/>
    <w:rsid w:val="00246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A71DE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locked/>
    <w:rsid w:val="00A71DEC"/>
    <w:rPr>
      <w:rFonts w:cs="Times New Roman"/>
      <w:color w:val="0000FF"/>
      <w:u w:val="single"/>
    </w:rPr>
  </w:style>
  <w:style w:type="paragraph" w:customStyle="1" w:styleId="Default">
    <w:name w:val="Default"/>
    <w:rsid w:val="00F92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locked/>
    <w:rsid w:val="00261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1375"/>
    <w:rPr>
      <w:noProof/>
      <w:lang w:val="es-ES"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261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375"/>
    <w:rPr>
      <w:noProof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17" Type="http://schemas.openxmlformats.org/officeDocument/2006/relationships/customXml" Target="../customXml/item8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39845562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IFD/FMM</Division_x0020_or_x0020_Unit>
    <Approval_x0020_Number xmlns="cdc7663a-08f0-4737-9e8c-148ce897a09c">2078/OC-BR</Approval_x0020_Number>
    <Document_x0020_Author xmlns="cdc7663a-08f0-4737-9e8c-148ce897a09c">Bakaj, Patricia Goes</Document_x0020_Author>
    <Fiscal_x0020_Year_x0020_IDB xmlns="cdc7663a-08f0-4737-9e8c-148ce897a09c">2015</Fiscal_x0020_Year_x0020_IDB>
    <Other_x0020_Author xmlns="cdc7663a-08f0-4737-9e8c-148ce897a09c" xsi:nil="true"/>
    <Project_x0020_Number xmlns="cdc7663a-08f0-4737-9e8c-148ce897a09c">BR-L1093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WORDPCRProject Completion Report0NPO-BR-L1093-Rpt-Perm98543070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Portuguese</Document_x0020_Language_x0020_IDB>
    <Identifier xmlns="cdc7663a-08f0-4737-9e8c-148ce897a09c"> TECFILE</Identifier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EZSHARE-1190195958-405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https://idbg.sharepoint.com/teams/EZ-BR-LON/BR-L1093/_layouts/15/DocIdRedir.aspx?ID=EZSHARE-1190195958-405</Url>
      <Description>EZSHARE-1190195958-405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662674344DE0D64186FD665076CB71F3" ma:contentTypeVersion="22" ma:contentTypeDescription="The base project type from which other project content types inherit their information." ma:contentTypeScope="" ma:versionID="8bb6c458a56a6ecb0bd4f7a3bc4f8e3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97385b3f34e90f95ff30cda528b638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EEC49A9E-F336-4C8B-8C62-E6D954237BEB}"/>
</file>

<file path=customXml/itemProps2.xml><?xml version="1.0" encoding="utf-8"?>
<ds:datastoreItem xmlns:ds="http://schemas.openxmlformats.org/officeDocument/2006/customXml" ds:itemID="{FB4C15C6-4714-4DFC-BF7C-94A7FD2DB861}"/>
</file>

<file path=customXml/itemProps3.xml><?xml version="1.0" encoding="utf-8"?>
<ds:datastoreItem xmlns:ds="http://schemas.openxmlformats.org/officeDocument/2006/customXml" ds:itemID="{8ADE6135-F267-4517-8E2C-4A344FF183EA}"/>
</file>

<file path=customXml/itemProps4.xml><?xml version="1.0" encoding="utf-8"?>
<ds:datastoreItem xmlns:ds="http://schemas.openxmlformats.org/officeDocument/2006/customXml" ds:itemID="{AE823C18-B89D-40D6-9396-470B07655CE4}"/>
</file>

<file path=customXml/itemProps5.xml><?xml version="1.0" encoding="utf-8"?>
<ds:datastoreItem xmlns:ds="http://schemas.openxmlformats.org/officeDocument/2006/customXml" ds:itemID="{94EC5297-1A97-466A-BC49-3F885C6E8208}"/>
</file>

<file path=customXml/itemProps6.xml><?xml version="1.0" encoding="utf-8"?>
<ds:datastoreItem xmlns:ds="http://schemas.openxmlformats.org/officeDocument/2006/customXml" ds:itemID="{1108C3A5-5C65-4F9D-A534-0693517642E0}"/>
</file>

<file path=customXml/itemProps7.xml><?xml version="1.0" encoding="utf-8"?>
<ds:datastoreItem xmlns:ds="http://schemas.openxmlformats.org/officeDocument/2006/customXml" ds:itemID="{C55F51E0-ADA1-48FC-9978-C314E55FCC48}"/>
</file>

<file path=customXml/itemProps8.xml><?xml version="1.0" encoding="utf-8"?>
<ds:datastoreItem xmlns:ds="http://schemas.openxmlformats.org/officeDocument/2006/customXml" ds:itemID="{28327746-755D-4E21-B8C5-94CE1DD67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1260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- PCR</vt:lpstr>
    </vt:vector>
  </TitlesOfParts>
  <Company>Grizli777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NTec CPAF Pesq-Análise Fiscal</dc:title>
  <dc:creator>Familia Cracel</dc:creator>
  <cp:lastModifiedBy>LUCIANA PIMENTEL</cp:lastModifiedBy>
  <cp:revision>41</cp:revision>
  <cp:lastPrinted>2015-05-07T15:43:00Z</cp:lastPrinted>
  <dcterms:created xsi:type="dcterms:W3CDTF">2015-04-16T12:47:00Z</dcterms:created>
  <dcterms:modified xsi:type="dcterms:W3CDTF">2015-06-01T17:31:00Z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0x010100ACF722E9F6B0B149B0CD8BE2560A667200662674344DE0D64186FD665076CB71F3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25;#Report|873abde9-d18a-4026-95d4-5687f3b4d845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25;#Report|873abde9-d18a-4026-95d4-5687f3b4d845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40500</vt:r8>
  </property>
  <property fmtid="{D5CDD505-2E9C-101B-9397-08002B2CF9AE}" pid="17" name="ATI Undisclose Document Workflow">
    <vt:lpwstr/>
  </property>
  <property fmtid="{D5CDD505-2E9C-101B-9397-08002B2CF9AE}" pid="18" name="ATI Disclose Document Workflow v5">
    <vt:lpwstr/>
  </property>
  <property fmtid="{D5CDD505-2E9C-101B-9397-08002B2CF9AE}" pid="20" name="Disclosure Activity">
    <vt:lpwstr>Project Completion Report</vt:lpwstr>
  </property>
  <property fmtid="{D5CDD505-2E9C-101B-9397-08002B2CF9AE}" pid="24" name="Webtopic">
    <vt:lpwstr>Urban Development</vt:lpwstr>
  </property>
  <property fmtid="{D5CDD505-2E9C-101B-9397-08002B2CF9AE}" pid="26" name="Disclosed">
    <vt:bool>false</vt:bool>
  </property>
  <property fmtid="{D5CDD505-2E9C-101B-9397-08002B2CF9AE}" pid="27" name="_dlc_DocIdItemGuid">
    <vt:lpwstr>7b3d6f17-7b13-4195-9e88-f65a7cabec97</vt:lpwstr>
  </property>
</Properties>
</file>