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E3" w:rsidRPr="002E5980" w:rsidRDefault="00076EE3" w:rsidP="00076EE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2E5980">
        <w:rPr>
          <w:rFonts w:ascii="Times New Roman" w:hAnsi="Times New Roman"/>
          <w:b/>
          <w:sz w:val="52"/>
          <w:szCs w:val="52"/>
        </w:rPr>
        <w:t>Nota Técnica para Elaboração do PCR</w:t>
      </w:r>
    </w:p>
    <w:p w:rsidR="00076EE3" w:rsidRPr="002E5980" w:rsidRDefault="00076EE3" w:rsidP="00076EE3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076EE3" w:rsidRPr="002E5980" w:rsidRDefault="00076EE3" w:rsidP="00076EE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5980">
        <w:rPr>
          <w:rFonts w:ascii="Times New Roman" w:hAnsi="Times New Roman"/>
          <w:b/>
          <w:sz w:val="44"/>
          <w:szCs w:val="44"/>
        </w:rPr>
        <w:t>Brasil</w:t>
      </w:r>
    </w:p>
    <w:p w:rsidR="00076EE3" w:rsidRPr="002E5980" w:rsidRDefault="00076EE3" w:rsidP="00076E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76EE3" w:rsidRPr="002E5980" w:rsidRDefault="00076EE3" w:rsidP="00076E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5980">
        <w:rPr>
          <w:rFonts w:ascii="Times New Roman" w:hAnsi="Times New Roman"/>
          <w:b/>
          <w:sz w:val="40"/>
          <w:szCs w:val="40"/>
        </w:rPr>
        <w:t>Projeto de Apoio à Modernização e Transparência da Gestão Fiscal do Estado do Pará (BR-L1093)</w:t>
      </w:r>
    </w:p>
    <w:p w:rsidR="00076EE3" w:rsidRPr="002E5980" w:rsidRDefault="00076EE3" w:rsidP="00076EE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76EE3" w:rsidRPr="002E5980" w:rsidRDefault="00165355" w:rsidP="00076EE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E5980">
        <w:rPr>
          <w:rFonts w:ascii="Times New Roman" w:hAnsi="Times New Roman"/>
          <w:b/>
          <w:sz w:val="40"/>
          <w:szCs w:val="40"/>
        </w:rPr>
        <w:t>Produto</w:t>
      </w:r>
      <w:r w:rsidR="002E48EC" w:rsidRPr="002E5980">
        <w:rPr>
          <w:rFonts w:ascii="Times New Roman" w:hAnsi="Times New Roman"/>
          <w:b/>
          <w:sz w:val="40"/>
          <w:szCs w:val="40"/>
        </w:rPr>
        <w:t>:</w:t>
      </w:r>
    </w:p>
    <w:p w:rsidR="002E48EC" w:rsidRPr="002E5980" w:rsidRDefault="002E48EC" w:rsidP="00076EE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E5980">
        <w:rPr>
          <w:rFonts w:ascii="Times New Roman" w:hAnsi="Times New Roman"/>
          <w:sz w:val="40"/>
          <w:szCs w:val="40"/>
        </w:rPr>
        <w:t>Nota Fiscal Cidadã implantada</w:t>
      </w:r>
    </w:p>
    <w:p w:rsidR="00076EE3" w:rsidRPr="002E5980" w:rsidRDefault="00076EE3" w:rsidP="00076EE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76EE3" w:rsidRPr="002E5980" w:rsidRDefault="00165355" w:rsidP="00076EE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E5980">
        <w:rPr>
          <w:rFonts w:ascii="Times New Roman" w:hAnsi="Times New Roman"/>
          <w:b/>
          <w:sz w:val="40"/>
          <w:szCs w:val="40"/>
        </w:rPr>
        <w:t>Resultado</w:t>
      </w:r>
      <w:r w:rsidR="00B609CC" w:rsidRPr="002E5980">
        <w:rPr>
          <w:rFonts w:ascii="Times New Roman" w:hAnsi="Times New Roman"/>
          <w:b/>
          <w:sz w:val="40"/>
          <w:szCs w:val="40"/>
        </w:rPr>
        <w:t xml:space="preserve">: </w:t>
      </w:r>
    </w:p>
    <w:p w:rsidR="00B609CC" w:rsidRPr="002E5980" w:rsidRDefault="008B1EF8" w:rsidP="00076EE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E5980">
        <w:rPr>
          <w:rFonts w:ascii="Times New Roman" w:hAnsi="Times New Roman"/>
          <w:sz w:val="40"/>
          <w:szCs w:val="40"/>
        </w:rPr>
        <w:t>Incremento da arrecadação proveniente do segmento de comércio varejista</w:t>
      </w:r>
    </w:p>
    <w:p w:rsidR="00076EE3" w:rsidRPr="002E5980" w:rsidRDefault="00076EE3" w:rsidP="00076E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6EE3" w:rsidRPr="002E5980" w:rsidRDefault="00076EE3" w:rsidP="00076E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5980">
        <w:rPr>
          <w:rFonts w:ascii="Times New Roman" w:hAnsi="Times New Roman"/>
          <w:b/>
          <w:color w:val="000000"/>
          <w:sz w:val="24"/>
          <w:szCs w:val="24"/>
        </w:rPr>
        <w:t xml:space="preserve">Responsáveis: </w:t>
      </w:r>
    </w:p>
    <w:p w:rsidR="00076EE3" w:rsidRPr="002E5980" w:rsidRDefault="00076EE3" w:rsidP="00076E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300"/>
        <w:gridCol w:w="2222"/>
        <w:gridCol w:w="2309"/>
        <w:gridCol w:w="2608"/>
      </w:tblGrid>
      <w:tr w:rsidR="00076EE3" w:rsidRPr="002E5980" w:rsidTr="00DE166A">
        <w:tc>
          <w:tcPr>
            <w:tcW w:w="2300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2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309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Unidade Organizacional (sigla e nome)</w:t>
            </w:r>
          </w:p>
        </w:tc>
        <w:tc>
          <w:tcPr>
            <w:tcW w:w="2608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076EE3" w:rsidRPr="002E5980" w:rsidTr="00DE166A">
        <w:tc>
          <w:tcPr>
            <w:tcW w:w="2300" w:type="dxa"/>
          </w:tcPr>
          <w:p w:rsidR="00076EE3" w:rsidRPr="002E5980" w:rsidRDefault="00076EE3" w:rsidP="00DE1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Gerente do Projeto:</w:t>
            </w:r>
          </w:p>
          <w:p w:rsidR="00076EE3" w:rsidRPr="002E5980" w:rsidRDefault="00076EE3" w:rsidP="00DE1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hAnsi="Times New Roman"/>
                <w:sz w:val="20"/>
                <w:szCs w:val="20"/>
              </w:rPr>
              <w:t>Rutilene de Fátima da Fonseca Garcia</w:t>
            </w:r>
          </w:p>
        </w:tc>
        <w:tc>
          <w:tcPr>
            <w:tcW w:w="2222" w:type="dxa"/>
            <w:vAlign w:val="center"/>
          </w:tcPr>
          <w:p w:rsidR="00076EE3" w:rsidRPr="002E5980" w:rsidRDefault="00076EE3" w:rsidP="00076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hAnsi="Times New Roman"/>
              </w:rPr>
              <w:t>Assessor Fazendário</w:t>
            </w:r>
          </w:p>
        </w:tc>
        <w:tc>
          <w:tcPr>
            <w:tcW w:w="2309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hAnsi="Times New Roman"/>
              </w:rPr>
              <w:t>CAFE - Coordenação de Assuntos Fazendários Estratégicos/Programa Nota Fiscal Cidadã</w:t>
            </w:r>
          </w:p>
        </w:tc>
        <w:tc>
          <w:tcPr>
            <w:tcW w:w="2608" w:type="dxa"/>
            <w:vAlign w:val="center"/>
          </w:tcPr>
          <w:p w:rsidR="00076EE3" w:rsidRPr="002E5980" w:rsidRDefault="00076EE3" w:rsidP="00076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hAnsi="Times New Roman"/>
              </w:rPr>
              <w:t>rgarcia@sefa.pa.gov.br</w:t>
            </w:r>
          </w:p>
        </w:tc>
      </w:tr>
      <w:tr w:rsidR="00076EE3" w:rsidRPr="002E5980" w:rsidTr="00DE166A">
        <w:trPr>
          <w:trHeight w:val="624"/>
        </w:trPr>
        <w:tc>
          <w:tcPr>
            <w:tcW w:w="2300" w:type="dxa"/>
            <w:tcBorders>
              <w:bottom w:val="single" w:sz="4" w:space="0" w:color="auto"/>
            </w:tcBorders>
          </w:tcPr>
          <w:p w:rsidR="00076EE3" w:rsidRPr="002E5980" w:rsidRDefault="00076EE3" w:rsidP="00DE1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Diretor:</w:t>
            </w:r>
          </w:p>
          <w:p w:rsidR="00076EE3" w:rsidRPr="002E5980" w:rsidRDefault="00076EE3" w:rsidP="00DE1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Emanoel Borges Moreira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Diretor Fazendário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hAnsi="Times New Roman"/>
              </w:rPr>
              <w:t>CAFE - Coordenação de Assuntos Fazendários Estratégicos/Programa Nota Fiscal Cidadã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76EE3" w:rsidRPr="002E5980" w:rsidTr="004802A8">
        <w:trPr>
          <w:trHeight w:val="567"/>
        </w:trPr>
        <w:tc>
          <w:tcPr>
            <w:tcW w:w="2300" w:type="dxa"/>
            <w:tcBorders>
              <w:right w:val="nil"/>
            </w:tcBorders>
          </w:tcPr>
          <w:p w:rsidR="00076EE3" w:rsidRPr="002E5980" w:rsidRDefault="00076EE3" w:rsidP="00DE1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Diretor</w:t>
            </w:r>
          </w:p>
        </w:tc>
        <w:tc>
          <w:tcPr>
            <w:tcW w:w="2222" w:type="dxa"/>
            <w:tcBorders>
              <w:left w:val="nil"/>
            </w:tcBorders>
          </w:tcPr>
          <w:p w:rsidR="00076EE3" w:rsidRPr="002E5980" w:rsidRDefault="00076EE3" w:rsidP="00DE1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nil"/>
            </w:tcBorders>
          </w:tcPr>
          <w:p w:rsidR="00076EE3" w:rsidRPr="002E5980" w:rsidRDefault="00076EE3" w:rsidP="00DE1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Gerente</w:t>
            </w:r>
          </w:p>
        </w:tc>
        <w:tc>
          <w:tcPr>
            <w:tcW w:w="2608" w:type="dxa"/>
            <w:tcBorders>
              <w:left w:val="nil"/>
            </w:tcBorders>
          </w:tcPr>
          <w:p w:rsidR="00076EE3" w:rsidRPr="002E5980" w:rsidRDefault="00076EE3" w:rsidP="00DE1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76EE3" w:rsidRPr="002E5980" w:rsidRDefault="00076EE3" w:rsidP="00076E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300"/>
        <w:gridCol w:w="2222"/>
        <w:gridCol w:w="2309"/>
        <w:gridCol w:w="2608"/>
      </w:tblGrid>
      <w:tr w:rsidR="00076EE3" w:rsidRPr="002E5980" w:rsidTr="00DE166A">
        <w:tc>
          <w:tcPr>
            <w:tcW w:w="2300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2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309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Unidade Organizacional (sigla e nome)</w:t>
            </w:r>
          </w:p>
        </w:tc>
        <w:tc>
          <w:tcPr>
            <w:tcW w:w="2608" w:type="dxa"/>
            <w:vAlign w:val="center"/>
          </w:tcPr>
          <w:p w:rsidR="00076EE3" w:rsidRPr="002E5980" w:rsidRDefault="00076EE3" w:rsidP="00DE1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076EE3" w:rsidRPr="002E5980" w:rsidTr="004802A8">
        <w:tc>
          <w:tcPr>
            <w:tcW w:w="2300" w:type="dxa"/>
            <w:tcBorders>
              <w:bottom w:val="single" w:sz="4" w:space="0" w:color="auto"/>
            </w:tcBorders>
          </w:tcPr>
          <w:p w:rsidR="00076EE3" w:rsidRPr="002E5980" w:rsidRDefault="00076EE3" w:rsidP="009D5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980">
              <w:rPr>
                <w:rFonts w:ascii="Times New Roman" w:hAnsi="Times New Roman"/>
                <w:sz w:val="20"/>
                <w:szCs w:val="20"/>
              </w:rPr>
              <w:t>Edna Farage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076EE3" w:rsidRPr="002E5980" w:rsidRDefault="00076EE3" w:rsidP="000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80">
              <w:rPr>
                <w:rFonts w:ascii="Times New Roman" w:hAnsi="Times New Roman"/>
                <w:sz w:val="20"/>
                <w:szCs w:val="20"/>
              </w:rPr>
              <w:t>Diretora de Arrecadação e Informações Fazendárias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76EE3" w:rsidRPr="002E5980" w:rsidRDefault="00076EE3" w:rsidP="000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80">
              <w:rPr>
                <w:rFonts w:ascii="Times New Roman" w:hAnsi="Times New Roman"/>
                <w:sz w:val="20"/>
                <w:szCs w:val="20"/>
              </w:rPr>
              <w:t>DAIF - Diretoria de Arrecadação e Informações Fazendárias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76EE3" w:rsidRPr="002E5980" w:rsidRDefault="00076EE3" w:rsidP="000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80">
              <w:rPr>
                <w:rFonts w:ascii="Times New Roman" w:hAnsi="Times New Roman"/>
                <w:sz w:val="20"/>
                <w:szCs w:val="20"/>
              </w:rPr>
              <w:t>farage@sefa.pa.gov.br</w:t>
            </w:r>
          </w:p>
        </w:tc>
      </w:tr>
      <w:tr w:rsidR="004802A8" w:rsidRPr="002E5980" w:rsidTr="004802A8">
        <w:trPr>
          <w:trHeight w:val="567"/>
        </w:trPr>
        <w:tc>
          <w:tcPr>
            <w:tcW w:w="2300" w:type="dxa"/>
            <w:tcBorders>
              <w:right w:val="nil"/>
            </w:tcBorders>
          </w:tcPr>
          <w:p w:rsidR="004802A8" w:rsidRPr="002E5980" w:rsidRDefault="004802A8" w:rsidP="0048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9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da Diretora</w:t>
            </w:r>
          </w:p>
        </w:tc>
        <w:tc>
          <w:tcPr>
            <w:tcW w:w="2222" w:type="dxa"/>
            <w:tcBorders>
              <w:left w:val="nil"/>
              <w:right w:val="nil"/>
            </w:tcBorders>
          </w:tcPr>
          <w:p w:rsidR="004802A8" w:rsidRPr="002E5980" w:rsidRDefault="004802A8" w:rsidP="000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nil"/>
              <w:right w:val="nil"/>
            </w:tcBorders>
          </w:tcPr>
          <w:p w:rsidR="004802A8" w:rsidRPr="002E5980" w:rsidRDefault="004802A8" w:rsidP="000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nil"/>
            </w:tcBorders>
          </w:tcPr>
          <w:p w:rsidR="004802A8" w:rsidRPr="002E5980" w:rsidRDefault="004802A8" w:rsidP="000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EE3" w:rsidRPr="002E5980" w:rsidRDefault="00076EE3" w:rsidP="00076E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EE3" w:rsidRPr="002E5980" w:rsidRDefault="00076EE3" w:rsidP="00076EE3">
      <w:pPr>
        <w:tabs>
          <w:tab w:val="center" w:pos="4677"/>
          <w:tab w:val="left" w:pos="71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980">
        <w:rPr>
          <w:rFonts w:ascii="Times New Roman" w:hAnsi="Times New Roman"/>
          <w:b/>
          <w:sz w:val="24"/>
          <w:szCs w:val="24"/>
        </w:rPr>
        <w:t>Data versão: (04/05/2015)</w:t>
      </w:r>
    </w:p>
    <w:p w:rsidR="00076EE3" w:rsidRPr="002E5980" w:rsidRDefault="00076EE3" w:rsidP="00076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EE3" w:rsidRPr="002E5980" w:rsidRDefault="00076EE3" w:rsidP="00076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980">
        <w:rPr>
          <w:rFonts w:ascii="Times New Roman" w:hAnsi="Times New Roman"/>
          <w:b/>
          <w:sz w:val="24"/>
          <w:szCs w:val="24"/>
        </w:rPr>
        <w:br w:type="page"/>
      </w:r>
    </w:p>
    <w:p w:rsidR="00B609CC" w:rsidRPr="002E5980" w:rsidRDefault="0078110D" w:rsidP="00076EE3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E5980">
        <w:rPr>
          <w:rFonts w:ascii="Times New Roman" w:hAnsi="Times New Roman"/>
          <w:b/>
          <w:color w:val="000000"/>
          <w:sz w:val="24"/>
          <w:szCs w:val="24"/>
        </w:rPr>
        <w:lastRenderedPageBreak/>
        <w:t>DESCRIÇÃO DO PRODUTO/</w:t>
      </w:r>
      <w:r w:rsidR="00165355" w:rsidRPr="002E5980">
        <w:rPr>
          <w:rFonts w:ascii="Times New Roman" w:hAnsi="Times New Roman"/>
          <w:b/>
          <w:color w:val="000000"/>
          <w:sz w:val="24"/>
          <w:szCs w:val="24"/>
        </w:rPr>
        <w:t>RESULTADO</w:t>
      </w:r>
    </w:p>
    <w:p w:rsidR="005201DB" w:rsidRPr="002E5980" w:rsidRDefault="005201DB" w:rsidP="007B037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O </w:t>
      </w:r>
      <w:r w:rsidRPr="000955DE">
        <w:rPr>
          <w:rFonts w:ascii="Times New Roman" w:hAnsi="Times New Roman"/>
          <w:bCs/>
          <w:sz w:val="24"/>
          <w:szCs w:val="24"/>
        </w:rPr>
        <w:t>Programa Nota Fiscal Cidadã, instituído pela Lei nº 7.632, de 22 de maio de 2012 e regulamentado pelo Decreto nº 490, de 1º de agosto de 2012</w:t>
      </w:r>
      <w:r w:rsidRPr="002E5980">
        <w:rPr>
          <w:rFonts w:ascii="Times New Roman" w:hAnsi="Times New Roman"/>
          <w:bCs/>
          <w:sz w:val="24"/>
          <w:szCs w:val="24"/>
        </w:rPr>
        <w:t xml:space="preserve">, foi concebido com base em programas similares desenvolvidos por </w:t>
      </w:r>
      <w:r w:rsidR="00DE78D5" w:rsidRPr="002E5980">
        <w:rPr>
          <w:rFonts w:ascii="Times New Roman" w:hAnsi="Times New Roman"/>
          <w:bCs/>
          <w:sz w:val="24"/>
          <w:szCs w:val="24"/>
        </w:rPr>
        <w:t xml:space="preserve">outras unidades da Federação </w:t>
      </w:r>
      <w:r w:rsidRPr="002E5980">
        <w:rPr>
          <w:rFonts w:ascii="Times New Roman" w:hAnsi="Times New Roman"/>
          <w:bCs/>
          <w:sz w:val="24"/>
          <w:szCs w:val="24"/>
        </w:rPr>
        <w:t xml:space="preserve">tem como objetivo estimular a cidadania fiscal no </w:t>
      </w:r>
      <w:r w:rsidR="00F5773D">
        <w:rPr>
          <w:rFonts w:ascii="Times New Roman" w:hAnsi="Times New Roman"/>
          <w:bCs/>
          <w:sz w:val="24"/>
          <w:szCs w:val="24"/>
        </w:rPr>
        <w:t>estado</w:t>
      </w:r>
      <w:r w:rsidRPr="002E5980">
        <w:rPr>
          <w:rFonts w:ascii="Times New Roman" w:hAnsi="Times New Roman"/>
          <w:bCs/>
          <w:sz w:val="24"/>
          <w:szCs w:val="24"/>
        </w:rPr>
        <w:t xml:space="preserve"> do Pará, mediante a realização das seguintes ações:</w:t>
      </w:r>
      <w:r w:rsidR="007B0371" w:rsidRPr="002E5980">
        <w:rPr>
          <w:rFonts w:ascii="Times New Roman" w:hAnsi="Times New Roman"/>
          <w:bCs/>
          <w:sz w:val="24"/>
          <w:szCs w:val="24"/>
        </w:rPr>
        <w:t xml:space="preserve"> c</w:t>
      </w:r>
      <w:r w:rsidRPr="002E5980">
        <w:rPr>
          <w:rFonts w:ascii="Times New Roman" w:hAnsi="Times New Roman"/>
          <w:bCs/>
          <w:sz w:val="24"/>
          <w:szCs w:val="24"/>
        </w:rPr>
        <w:t>onscientização da sociedade sobre a gestão fiscal;</w:t>
      </w:r>
      <w:r w:rsidR="007B0371" w:rsidRPr="002E5980">
        <w:rPr>
          <w:rFonts w:ascii="Times New Roman" w:hAnsi="Times New Roman"/>
          <w:bCs/>
          <w:sz w:val="24"/>
          <w:szCs w:val="24"/>
        </w:rPr>
        <w:t xml:space="preserve"> v</w:t>
      </w:r>
      <w:r w:rsidRPr="002E5980">
        <w:rPr>
          <w:rFonts w:ascii="Times New Roman" w:hAnsi="Times New Roman"/>
          <w:bCs/>
          <w:sz w:val="24"/>
          <w:szCs w:val="24"/>
        </w:rPr>
        <w:t xml:space="preserve">alorização de iniciativas cidadãs de apoio </w:t>
      </w:r>
      <w:r w:rsidR="007B0371" w:rsidRPr="002E5980">
        <w:rPr>
          <w:rFonts w:ascii="Times New Roman" w:hAnsi="Times New Roman"/>
          <w:bCs/>
          <w:sz w:val="24"/>
          <w:szCs w:val="24"/>
        </w:rPr>
        <w:t>e exercício da cidadania fiscal; e p</w:t>
      </w:r>
      <w:r w:rsidRPr="002E5980">
        <w:rPr>
          <w:rFonts w:ascii="Times New Roman" w:hAnsi="Times New Roman"/>
          <w:bCs/>
          <w:sz w:val="24"/>
          <w:szCs w:val="24"/>
        </w:rPr>
        <w:t>remiação, na forma de crédito do Tesouro do Estado, ao consumidor que exigir do fornecedor de mercadorias e bens a emissão de documento fiscal hábil, com a identificação do consumidor, observado o disposto em lei e em seu regulamento.</w:t>
      </w:r>
    </w:p>
    <w:p w:rsidR="00C0494F" w:rsidRPr="002E5980" w:rsidRDefault="00C0494F" w:rsidP="005201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O Programa abrange todo o </w:t>
      </w:r>
      <w:r w:rsidR="00F5773D">
        <w:rPr>
          <w:rFonts w:ascii="Times New Roman" w:hAnsi="Times New Roman"/>
          <w:bCs/>
          <w:sz w:val="24"/>
          <w:szCs w:val="24"/>
        </w:rPr>
        <w:t>estado</w:t>
      </w:r>
      <w:r w:rsidRPr="002E5980">
        <w:rPr>
          <w:rFonts w:ascii="Times New Roman" w:hAnsi="Times New Roman"/>
          <w:bCs/>
          <w:sz w:val="24"/>
          <w:szCs w:val="24"/>
        </w:rPr>
        <w:t xml:space="preserve"> do Pará e tem seus </w:t>
      </w:r>
      <w:r w:rsidR="009E517E" w:rsidRPr="002E5980">
        <w:rPr>
          <w:rFonts w:ascii="Times New Roman" w:hAnsi="Times New Roman"/>
          <w:bCs/>
          <w:sz w:val="24"/>
          <w:szCs w:val="24"/>
        </w:rPr>
        <w:t>serviços disponíveis n</w:t>
      </w:r>
      <w:r w:rsidRPr="002E5980">
        <w:rPr>
          <w:rFonts w:ascii="Times New Roman" w:hAnsi="Times New Roman"/>
          <w:bCs/>
          <w:sz w:val="24"/>
          <w:szCs w:val="24"/>
        </w:rPr>
        <w:t xml:space="preserve">a Internet, desde o cadastro dos diversos usuários do sistema de gestão e operacionalização do Programa até a disponibilização para o público dos resultados alcançados. As informações e serviços </w:t>
      </w:r>
      <w:r w:rsidR="009E517E" w:rsidRPr="002E5980">
        <w:rPr>
          <w:rFonts w:ascii="Times New Roman" w:hAnsi="Times New Roman"/>
          <w:bCs/>
          <w:sz w:val="24"/>
          <w:szCs w:val="24"/>
        </w:rPr>
        <w:t xml:space="preserve">podem ser acessados através de </w:t>
      </w:r>
      <w:r w:rsidRPr="002E5980">
        <w:rPr>
          <w:rFonts w:ascii="Times New Roman" w:hAnsi="Times New Roman"/>
          <w:bCs/>
          <w:sz w:val="24"/>
          <w:szCs w:val="24"/>
        </w:rPr>
        <w:t>site no endereço eletrônico www.sefa.pa.gov.br/nfc.</w:t>
      </w:r>
    </w:p>
    <w:p w:rsidR="005201DB" w:rsidRPr="002E5980" w:rsidRDefault="005201DB" w:rsidP="005201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O valor global da premiação, que poderá alcançar o montante equivalente a 5% do valor do Imposto sobre Operações Relativas à Circulação de Mercadorias e sobre Prestação de Serviços de Transporte Interestadual e Intermunici</w:t>
      </w:r>
      <w:r w:rsidR="00F94024">
        <w:rPr>
          <w:rFonts w:ascii="Times New Roman" w:hAnsi="Times New Roman"/>
          <w:bCs/>
          <w:sz w:val="24"/>
          <w:szCs w:val="24"/>
        </w:rPr>
        <w:t xml:space="preserve">pal e de Comunicação – ICMS, é </w:t>
      </w:r>
      <w:r w:rsidRPr="002E5980">
        <w:rPr>
          <w:rFonts w:ascii="Times New Roman" w:hAnsi="Times New Roman"/>
          <w:bCs/>
          <w:sz w:val="24"/>
          <w:szCs w:val="24"/>
        </w:rPr>
        <w:t>distribuído em sorteios trimestrais, aos consum</w:t>
      </w:r>
      <w:r w:rsidR="009E517E" w:rsidRPr="002E5980">
        <w:rPr>
          <w:rFonts w:ascii="Times New Roman" w:hAnsi="Times New Roman"/>
          <w:bCs/>
          <w:sz w:val="24"/>
          <w:szCs w:val="24"/>
        </w:rPr>
        <w:t>idores cadastrados no Programa</w:t>
      </w:r>
      <w:r w:rsidRPr="002E5980">
        <w:rPr>
          <w:rFonts w:ascii="Times New Roman" w:hAnsi="Times New Roman"/>
          <w:bCs/>
          <w:sz w:val="24"/>
          <w:szCs w:val="24"/>
        </w:rPr>
        <w:t xml:space="preserve"> que tenham cumprido os requisitos especificados em legislação. O montante da premiação é variável e proporcional à relação existente entre o valor das vendas com identificação do CPF/CNPJ do consumidor e o valor total das vendas realizadas pelo estabelecimento fornecedor enquadrado no Programa.  </w:t>
      </w:r>
    </w:p>
    <w:p w:rsidR="00E96F6F" w:rsidRPr="002E5980" w:rsidRDefault="00B15823" w:rsidP="000347D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 realização do sorteio acontece conforme regras especificadas em legislação e a concessão do benefício ao consumidor dar-se-á quando cumpridas as seguintes condições:</w:t>
      </w:r>
      <w:r w:rsidR="00370942" w:rsidRPr="002E5980">
        <w:rPr>
          <w:rFonts w:ascii="Times New Roman" w:hAnsi="Times New Roman"/>
          <w:bCs/>
          <w:sz w:val="24"/>
          <w:szCs w:val="24"/>
        </w:rPr>
        <w:t xml:space="preserve"> q</w:t>
      </w:r>
      <w:r w:rsidRPr="002E5980">
        <w:rPr>
          <w:rFonts w:ascii="Times New Roman" w:hAnsi="Times New Roman"/>
          <w:bCs/>
          <w:sz w:val="24"/>
          <w:szCs w:val="24"/>
        </w:rPr>
        <w:t>uando o consumidor estiver adimplente em relação aos tributos estaduais;</w:t>
      </w:r>
      <w:r w:rsidR="00370942" w:rsidRPr="002E5980">
        <w:rPr>
          <w:rFonts w:ascii="Times New Roman" w:hAnsi="Times New Roman"/>
          <w:bCs/>
          <w:sz w:val="24"/>
          <w:szCs w:val="24"/>
        </w:rPr>
        <w:t xml:space="preserve"> q</w:t>
      </w:r>
      <w:r w:rsidRPr="002E5980">
        <w:rPr>
          <w:rFonts w:ascii="Times New Roman" w:hAnsi="Times New Roman"/>
          <w:bCs/>
          <w:sz w:val="24"/>
          <w:szCs w:val="24"/>
        </w:rPr>
        <w:t xml:space="preserve">uando o estabelecimento fornecedor for contribuinte do ICMS e estiver localizado no </w:t>
      </w:r>
      <w:r w:rsidR="00F5773D">
        <w:rPr>
          <w:rFonts w:ascii="Times New Roman" w:hAnsi="Times New Roman"/>
          <w:bCs/>
          <w:sz w:val="24"/>
          <w:szCs w:val="24"/>
        </w:rPr>
        <w:t>estado</w:t>
      </w:r>
      <w:r w:rsidRPr="002E5980">
        <w:rPr>
          <w:rFonts w:ascii="Times New Roman" w:hAnsi="Times New Roman"/>
          <w:bCs/>
          <w:sz w:val="24"/>
          <w:szCs w:val="24"/>
        </w:rPr>
        <w:t xml:space="preserve"> do Pará e possuir atividade econômica principal</w:t>
      </w:r>
      <w:r w:rsidR="009E517E" w:rsidRPr="002E5980">
        <w:rPr>
          <w:rFonts w:ascii="Times New Roman" w:hAnsi="Times New Roman"/>
          <w:bCs/>
          <w:sz w:val="24"/>
          <w:szCs w:val="24"/>
        </w:rPr>
        <w:t xml:space="preserve"> ou secundária</w:t>
      </w:r>
      <w:r w:rsidRPr="002E5980">
        <w:rPr>
          <w:rFonts w:ascii="Times New Roman" w:hAnsi="Times New Roman"/>
          <w:bCs/>
          <w:sz w:val="24"/>
          <w:szCs w:val="24"/>
        </w:rPr>
        <w:t xml:space="preserve"> (CNAE) </w:t>
      </w:r>
      <w:r w:rsidR="009E517E" w:rsidRPr="002E5980">
        <w:rPr>
          <w:rFonts w:ascii="Times New Roman" w:hAnsi="Times New Roman"/>
          <w:bCs/>
          <w:sz w:val="24"/>
          <w:szCs w:val="24"/>
        </w:rPr>
        <w:t>enquadrada</w:t>
      </w:r>
      <w:r w:rsidRPr="002E5980">
        <w:rPr>
          <w:rFonts w:ascii="Times New Roman" w:hAnsi="Times New Roman"/>
          <w:bCs/>
          <w:sz w:val="24"/>
          <w:szCs w:val="24"/>
        </w:rPr>
        <w:t>;</w:t>
      </w:r>
      <w:r w:rsidR="00370942" w:rsidRPr="002E5980">
        <w:rPr>
          <w:rFonts w:ascii="Times New Roman" w:hAnsi="Times New Roman"/>
          <w:bCs/>
          <w:sz w:val="24"/>
          <w:szCs w:val="24"/>
        </w:rPr>
        <w:t xml:space="preserve"> q</w:t>
      </w:r>
      <w:r w:rsidRPr="002E5980">
        <w:rPr>
          <w:rFonts w:ascii="Times New Roman" w:hAnsi="Times New Roman"/>
          <w:bCs/>
          <w:sz w:val="24"/>
          <w:szCs w:val="24"/>
        </w:rPr>
        <w:t>uando o documento relativo à aquisição for um documento fiscal hábil</w:t>
      </w:r>
      <w:r w:rsidR="00370942" w:rsidRPr="002E5980">
        <w:rPr>
          <w:rFonts w:ascii="Times New Roman" w:hAnsi="Times New Roman"/>
          <w:bCs/>
          <w:sz w:val="24"/>
          <w:szCs w:val="24"/>
        </w:rPr>
        <w:t>.</w:t>
      </w:r>
      <w:r w:rsidR="00DE78D5" w:rsidRPr="002E5980">
        <w:rPr>
          <w:rFonts w:ascii="Times New Roman" w:hAnsi="Times New Roman"/>
          <w:bCs/>
          <w:sz w:val="24"/>
          <w:szCs w:val="24"/>
        </w:rPr>
        <w:t xml:space="preserve"> </w:t>
      </w:r>
      <w:r w:rsidR="007759A3" w:rsidRPr="002E5980">
        <w:rPr>
          <w:rFonts w:ascii="Times New Roman" w:hAnsi="Times New Roman"/>
          <w:bCs/>
          <w:sz w:val="24"/>
          <w:szCs w:val="24"/>
        </w:rPr>
        <w:t xml:space="preserve">Em cada sorteio é contemplado um bilhete eletrônico </w:t>
      </w:r>
      <w:r w:rsidR="009E517E" w:rsidRPr="002E5980">
        <w:rPr>
          <w:rFonts w:ascii="Times New Roman" w:hAnsi="Times New Roman"/>
          <w:bCs/>
          <w:sz w:val="24"/>
          <w:szCs w:val="24"/>
        </w:rPr>
        <w:t>para</w:t>
      </w:r>
      <w:r w:rsidR="007759A3" w:rsidRPr="002E5980">
        <w:rPr>
          <w:rFonts w:ascii="Times New Roman" w:hAnsi="Times New Roman"/>
          <w:bCs/>
          <w:sz w:val="24"/>
          <w:szCs w:val="24"/>
        </w:rPr>
        <w:t xml:space="preserve"> cada uma das três primeiras faixas de premiação. Para as demais faixas (quarta a sétima) o saldo do valor global da premiação é distribuído da seguinte forma: 4% para quarta faixa; 6% para quinta faixa; 15% para sexta faixa e 75% para sétima faixa. Os valores dos prêmios por faixa de premiação são os seguintes:primeira faixa: R$ 20.000,00 (vinte mil reais);segunda faixa: R$ 12.000,00 (doze mil reais);terceira faixa: R$ 5.000,00 (cinco mil reais);quarta faixa: R$ 500,00 (quinhentos reais);quinta faixa: R$ 200,00 (duzentos reais);sex</w:t>
      </w:r>
      <w:r w:rsidR="003B3E0D" w:rsidRPr="002E5980">
        <w:rPr>
          <w:rFonts w:ascii="Times New Roman" w:hAnsi="Times New Roman"/>
          <w:bCs/>
          <w:sz w:val="24"/>
          <w:szCs w:val="24"/>
        </w:rPr>
        <w:t xml:space="preserve">ta faixa: R$ 100,00 (cem reais), e </w:t>
      </w:r>
      <w:r w:rsidR="007759A3" w:rsidRPr="002E5980">
        <w:rPr>
          <w:rFonts w:ascii="Times New Roman" w:hAnsi="Times New Roman"/>
          <w:bCs/>
          <w:sz w:val="24"/>
          <w:szCs w:val="24"/>
        </w:rPr>
        <w:t>sétima faixa: R$ 50,00 (cinquenta reais).</w:t>
      </w:r>
    </w:p>
    <w:p w:rsidR="00E96F6F" w:rsidRPr="002E5980" w:rsidRDefault="00E96F6F" w:rsidP="0079790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O Fluxo dos sorteio ocorre de acordo com a imagem reproduzida no </w:t>
      </w:r>
      <w:r w:rsidR="008C0866" w:rsidRPr="002E5980">
        <w:rPr>
          <w:rFonts w:ascii="Times New Roman" w:hAnsi="Times New Roman"/>
          <w:bCs/>
          <w:sz w:val="24"/>
          <w:szCs w:val="24"/>
        </w:rPr>
        <w:t>A</w:t>
      </w:r>
      <w:r w:rsidRPr="002E5980">
        <w:rPr>
          <w:rFonts w:ascii="Times New Roman" w:hAnsi="Times New Roman"/>
          <w:bCs/>
          <w:sz w:val="24"/>
          <w:szCs w:val="24"/>
        </w:rPr>
        <w:t>nexo I deste documento.</w:t>
      </w:r>
    </w:p>
    <w:p w:rsidR="005201DB" w:rsidRPr="002E5980" w:rsidRDefault="005201DB" w:rsidP="0079790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O modelo de gestão do Programa Nota Fiscal Cidadã contempla um Conselho Consultivo formado por representantes de órgãos</w:t>
      </w:r>
      <w:r w:rsidR="009E517E" w:rsidRPr="002E5980">
        <w:rPr>
          <w:rFonts w:ascii="Times New Roman" w:hAnsi="Times New Roman"/>
          <w:bCs/>
          <w:sz w:val="24"/>
          <w:szCs w:val="24"/>
        </w:rPr>
        <w:t xml:space="preserve"> estaduais e entidades da sociedade civil, quais sejam:</w:t>
      </w:r>
      <w:r w:rsidRPr="002E5980">
        <w:rPr>
          <w:rFonts w:ascii="Times New Roman" w:hAnsi="Times New Roman"/>
          <w:bCs/>
          <w:sz w:val="24"/>
          <w:szCs w:val="24"/>
        </w:rPr>
        <w:t xml:space="preserve"> Secretaria de Estado de </w:t>
      </w:r>
      <w:r w:rsidR="00797906" w:rsidRPr="002E5980">
        <w:rPr>
          <w:rFonts w:ascii="Times New Roman" w:hAnsi="Times New Roman"/>
          <w:bCs/>
          <w:sz w:val="24"/>
          <w:szCs w:val="24"/>
        </w:rPr>
        <w:t>Planejamento - SEPLAN</w:t>
      </w:r>
      <w:r w:rsidRPr="002E5980">
        <w:rPr>
          <w:rFonts w:ascii="Times New Roman" w:hAnsi="Times New Roman"/>
          <w:bCs/>
          <w:sz w:val="24"/>
          <w:szCs w:val="24"/>
        </w:rPr>
        <w:t>; Procuradoria Geral do Estado - PGE; Programa Estadual de Educação Fiscal (PEFI); Grupo Executivo de Proteção e Defesa do Consumidor - Procon; Associação Comercial do Estado do Pará - ACP, Ordem dos Advogados do Brasil (OAB), Observatório Social de Belém, e Associações das Micro e Pequenas Empresas do Estado do Pará - Fampep.  E</w:t>
      </w:r>
      <w:r w:rsidR="009E517E" w:rsidRPr="002E5980">
        <w:rPr>
          <w:rFonts w:ascii="Times New Roman" w:hAnsi="Times New Roman"/>
          <w:bCs/>
          <w:sz w:val="24"/>
          <w:szCs w:val="24"/>
        </w:rPr>
        <w:t>ntre outras competências, cabe</w:t>
      </w:r>
      <w:r w:rsidRPr="002E5980">
        <w:rPr>
          <w:rFonts w:ascii="Times New Roman" w:hAnsi="Times New Roman"/>
          <w:bCs/>
          <w:sz w:val="24"/>
          <w:szCs w:val="24"/>
        </w:rPr>
        <w:t xml:space="preserve"> ao Conselho Consultivo a atribuição de avaliar as ações do Programa Nota Fiscal Cidadã. A Coordenação Operacional do Programa é da </w:t>
      </w:r>
      <w:r w:rsidR="00B3237F" w:rsidRPr="002E5980">
        <w:rPr>
          <w:rFonts w:ascii="Times New Roman" w:hAnsi="Times New Roman"/>
          <w:bCs/>
          <w:sz w:val="24"/>
          <w:szCs w:val="24"/>
        </w:rPr>
        <w:t xml:space="preserve">Secretaria de Estado da Fazenda por meio de uma equipe formada </w:t>
      </w:r>
      <w:r w:rsidR="009E517E" w:rsidRPr="002E5980">
        <w:rPr>
          <w:rFonts w:ascii="Times New Roman" w:hAnsi="Times New Roman"/>
          <w:bCs/>
          <w:sz w:val="24"/>
          <w:szCs w:val="24"/>
        </w:rPr>
        <w:t xml:space="preserve">por </w:t>
      </w:r>
      <w:r w:rsidR="00B3237F" w:rsidRPr="002E5980">
        <w:rPr>
          <w:rFonts w:ascii="Times New Roman" w:hAnsi="Times New Roman"/>
          <w:bCs/>
          <w:sz w:val="24"/>
          <w:szCs w:val="24"/>
        </w:rPr>
        <w:t>5 (cinco) servidores efetivos e 1 estagiário da área de publicidade.</w:t>
      </w:r>
      <w:r w:rsidR="00BF2349" w:rsidRPr="002E5980">
        <w:rPr>
          <w:rFonts w:ascii="Times New Roman" w:hAnsi="Times New Roman"/>
          <w:bCs/>
          <w:sz w:val="24"/>
          <w:szCs w:val="24"/>
        </w:rPr>
        <w:t xml:space="preserve"> Essa equipe conta ainda com o apoio do serviço de call center que é operado por cinco atendentes que atuam em turnos, no horário de 08 às 20hs</w:t>
      </w:r>
      <w:r w:rsidR="00BE1696" w:rsidRPr="002E5980">
        <w:rPr>
          <w:rFonts w:ascii="Times New Roman" w:hAnsi="Times New Roman"/>
          <w:bCs/>
          <w:sz w:val="24"/>
          <w:szCs w:val="24"/>
        </w:rPr>
        <w:t>, de segunda a sexta-feira</w:t>
      </w:r>
      <w:r w:rsidR="00BF2349" w:rsidRPr="002E5980">
        <w:rPr>
          <w:rFonts w:ascii="Times New Roman" w:hAnsi="Times New Roman"/>
          <w:bCs/>
          <w:sz w:val="24"/>
          <w:szCs w:val="24"/>
        </w:rPr>
        <w:t>.</w:t>
      </w:r>
    </w:p>
    <w:p w:rsidR="005201DB" w:rsidRPr="002E5980" w:rsidRDefault="005201DB" w:rsidP="005201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lastRenderedPageBreak/>
        <w:t xml:space="preserve">O Programa foi financiado  com recursos </w:t>
      </w:r>
      <w:r w:rsidR="009E517E" w:rsidRPr="002E5980">
        <w:rPr>
          <w:rFonts w:ascii="Times New Roman" w:hAnsi="Times New Roman"/>
          <w:bCs/>
          <w:sz w:val="24"/>
          <w:szCs w:val="24"/>
        </w:rPr>
        <w:t xml:space="preserve">provenientes </w:t>
      </w:r>
      <w:r w:rsidRPr="002E5980">
        <w:rPr>
          <w:rFonts w:ascii="Times New Roman" w:hAnsi="Times New Roman"/>
          <w:bCs/>
          <w:sz w:val="24"/>
          <w:szCs w:val="24"/>
        </w:rPr>
        <w:t xml:space="preserve">do BID e </w:t>
      </w:r>
      <w:r w:rsidR="009E517E" w:rsidRPr="002E5980">
        <w:rPr>
          <w:rFonts w:ascii="Times New Roman" w:hAnsi="Times New Roman"/>
          <w:bCs/>
          <w:sz w:val="24"/>
          <w:szCs w:val="24"/>
        </w:rPr>
        <w:t>do Tesouro Estadual</w:t>
      </w:r>
      <w:r w:rsidRPr="002E5980">
        <w:rPr>
          <w:rFonts w:ascii="Times New Roman" w:hAnsi="Times New Roman"/>
          <w:bCs/>
          <w:sz w:val="24"/>
          <w:szCs w:val="24"/>
        </w:rPr>
        <w:t>, especialmente quanto</w:t>
      </w:r>
      <w:r w:rsidR="00DE78D5" w:rsidRPr="002E5980">
        <w:rPr>
          <w:rFonts w:ascii="Times New Roman" w:hAnsi="Times New Roman"/>
          <w:bCs/>
          <w:sz w:val="24"/>
          <w:szCs w:val="24"/>
        </w:rPr>
        <w:t xml:space="preserve"> </w:t>
      </w:r>
      <w:r w:rsidRPr="002E5980">
        <w:rPr>
          <w:rFonts w:ascii="Times New Roman" w:hAnsi="Times New Roman"/>
          <w:bCs/>
          <w:sz w:val="24"/>
          <w:szCs w:val="24"/>
        </w:rPr>
        <w:t>à publicidade e confeção de brindes distribuídos nas ações de orientação e de educação fiscal destinada ao público externo.</w:t>
      </w:r>
    </w:p>
    <w:p w:rsidR="003C269C" w:rsidRPr="002E5980" w:rsidRDefault="003C269C" w:rsidP="003C269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As infringências, por parte do fornecedor, das regras do programa Nota fiscal Cidadã, sem prejuízo das sanções cabíveis por infração à legislação tributária</w:t>
      </w:r>
      <w:r w:rsidR="00370942" w:rsidRPr="002E5980">
        <w:rPr>
          <w:rFonts w:ascii="Times New Roman" w:hAnsi="Times New Roman"/>
          <w:bCs/>
          <w:sz w:val="24"/>
          <w:szCs w:val="24"/>
        </w:rPr>
        <w:t xml:space="preserve"> (não envio para processamento na SEFA dos arquivos com dados das notas e cupons fiscais emitidas)</w:t>
      </w:r>
      <w:r w:rsidRPr="002E5980">
        <w:rPr>
          <w:rFonts w:ascii="Times New Roman" w:hAnsi="Times New Roman"/>
          <w:bCs/>
          <w:sz w:val="24"/>
          <w:szCs w:val="24"/>
        </w:rPr>
        <w:t xml:space="preserve">, são também penalizadas no âmbito do Direito do Consumidor, sendo de responsabilidade do PROCON/PA as atividades de fiscalização. </w:t>
      </w:r>
      <w:r w:rsidR="00A034B2" w:rsidRPr="002E5980">
        <w:rPr>
          <w:rFonts w:ascii="Times New Roman" w:hAnsi="Times New Roman"/>
          <w:bCs/>
          <w:sz w:val="24"/>
          <w:szCs w:val="24"/>
        </w:rPr>
        <w:t xml:space="preserve">A SEFA utiliza massivamente o recurso de lavratura </w:t>
      </w:r>
      <w:r w:rsidR="00477EAD" w:rsidRPr="002E5980">
        <w:rPr>
          <w:rFonts w:ascii="Times New Roman" w:hAnsi="Times New Roman"/>
          <w:bCs/>
          <w:sz w:val="24"/>
          <w:szCs w:val="24"/>
        </w:rPr>
        <w:t xml:space="preserve">de forma automatizada </w:t>
      </w:r>
      <w:r w:rsidR="00A034B2" w:rsidRPr="002E5980">
        <w:rPr>
          <w:rFonts w:ascii="Times New Roman" w:hAnsi="Times New Roman"/>
          <w:bCs/>
          <w:sz w:val="24"/>
          <w:szCs w:val="24"/>
        </w:rPr>
        <w:t>de autos de infração à legislação tributária, no âmbito do Programa.</w:t>
      </w:r>
    </w:p>
    <w:p w:rsidR="003C269C" w:rsidRPr="002E5980" w:rsidRDefault="003C269C" w:rsidP="003C269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Desde 2013</w:t>
      </w:r>
      <w:r w:rsidR="004E450F" w:rsidRPr="002E5980">
        <w:rPr>
          <w:rFonts w:ascii="Times New Roman" w:hAnsi="Times New Roman"/>
          <w:bCs/>
          <w:sz w:val="24"/>
          <w:szCs w:val="24"/>
        </w:rPr>
        <w:t>,</w:t>
      </w:r>
      <w:r w:rsidRPr="002E5980">
        <w:rPr>
          <w:rFonts w:ascii="Times New Roman" w:hAnsi="Times New Roman"/>
          <w:bCs/>
          <w:sz w:val="24"/>
          <w:szCs w:val="24"/>
        </w:rPr>
        <w:t xml:space="preserve"> a </w:t>
      </w:r>
      <w:r w:rsidR="00DE78D5" w:rsidRPr="002E5980">
        <w:rPr>
          <w:rFonts w:ascii="Times New Roman" w:hAnsi="Times New Roman"/>
          <w:bCs/>
          <w:sz w:val="24"/>
          <w:szCs w:val="24"/>
        </w:rPr>
        <w:t>SEFA</w:t>
      </w:r>
      <w:r w:rsidRPr="002E5980">
        <w:rPr>
          <w:rFonts w:ascii="Times New Roman" w:hAnsi="Times New Roman"/>
          <w:bCs/>
          <w:sz w:val="24"/>
          <w:szCs w:val="24"/>
        </w:rPr>
        <w:t xml:space="preserve"> vem divulgando os conceitos da cidadania fiscal de forma lúdica junto aos consumidores. A ação utiliza bonecos da nota e do cupom fiscal, animados por  arte-educadores, que apresentam peças e fazem paródias </w:t>
      </w:r>
      <w:r w:rsidR="00290AB8" w:rsidRPr="002E5980">
        <w:rPr>
          <w:rFonts w:ascii="Times New Roman" w:hAnsi="Times New Roman"/>
          <w:bCs/>
          <w:sz w:val="24"/>
          <w:szCs w:val="24"/>
        </w:rPr>
        <w:t>musicais</w:t>
      </w:r>
      <w:r w:rsidRPr="002E5980">
        <w:rPr>
          <w:rFonts w:ascii="Times New Roman" w:hAnsi="Times New Roman"/>
          <w:bCs/>
          <w:sz w:val="24"/>
          <w:szCs w:val="24"/>
        </w:rPr>
        <w:t xml:space="preserve">. </w:t>
      </w:r>
      <w:r w:rsidR="00290AB8" w:rsidRPr="002E5980">
        <w:rPr>
          <w:rFonts w:ascii="Times New Roman" w:hAnsi="Times New Roman"/>
          <w:bCs/>
          <w:sz w:val="24"/>
          <w:szCs w:val="24"/>
        </w:rPr>
        <w:t>Os</w:t>
      </w:r>
      <w:r w:rsidRPr="002E5980">
        <w:rPr>
          <w:rFonts w:ascii="Times New Roman" w:hAnsi="Times New Roman"/>
          <w:bCs/>
          <w:sz w:val="24"/>
          <w:szCs w:val="24"/>
        </w:rPr>
        <w:t xml:space="preserve"> eventos d</w:t>
      </w:r>
      <w:r w:rsidR="00290AB8" w:rsidRPr="002E5980">
        <w:rPr>
          <w:rFonts w:ascii="Times New Roman" w:hAnsi="Times New Roman"/>
          <w:bCs/>
          <w:sz w:val="24"/>
          <w:szCs w:val="24"/>
        </w:rPr>
        <w:t>e sensibilização da sociedade  são realizados em</w:t>
      </w:r>
      <w:r w:rsidRPr="002E5980">
        <w:rPr>
          <w:rFonts w:ascii="Times New Roman" w:hAnsi="Times New Roman"/>
          <w:bCs/>
          <w:sz w:val="24"/>
          <w:szCs w:val="24"/>
        </w:rPr>
        <w:t xml:space="preserve"> praças e outros logradouros públicos, escolas e órgãos públicos.</w:t>
      </w:r>
    </w:p>
    <w:p w:rsidR="00087A06" w:rsidRPr="002E5980" w:rsidRDefault="00087A06" w:rsidP="00E60CB2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980">
        <w:rPr>
          <w:rFonts w:ascii="Times New Roman" w:hAnsi="Times New Roman"/>
          <w:b/>
          <w:color w:val="000000"/>
          <w:sz w:val="24"/>
          <w:szCs w:val="24"/>
        </w:rPr>
        <w:t>ALCANCE DA META ACORDADA NA MATRIZ DE RESULTADOS</w:t>
      </w:r>
    </w:p>
    <w:p w:rsidR="00053DB3" w:rsidRPr="002E5980" w:rsidRDefault="00603F59" w:rsidP="00603F5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4024">
        <w:rPr>
          <w:rFonts w:ascii="Times New Roman" w:hAnsi="Times New Roman"/>
          <w:b/>
          <w:bCs/>
          <w:sz w:val="24"/>
          <w:szCs w:val="24"/>
        </w:rPr>
        <w:t>O Programa alcançou no período compreendido entre 2012 a 2014 todos os estabelecimentos varejistas do Pará, sendo a inclusão do segmento econômico e de seus respectivos contribuintes com base em cronograma definido pela Secretaria de Estado da Fazenda</w:t>
      </w:r>
      <w:r w:rsidRPr="002E5980">
        <w:rPr>
          <w:rFonts w:ascii="Times New Roman" w:hAnsi="Times New Roman"/>
          <w:bCs/>
          <w:sz w:val="24"/>
          <w:szCs w:val="24"/>
        </w:rPr>
        <w:t>. Na primeira fase (setembro/2012 a março/2013) foram enquadrados, para fins de participação no Programa, 17.958 estabelecimentos comerciais das atividades econômicas de alimentação, vestuário e acessórios, lojas de departamentos ou magazines e comércio varejista de móveis, estabelecidos nos municípios de Belém, Ananindeua, Marituba, Benevides, Marabá e Santarém. A partir de janeiro de 2013 foram incluídos estabelecimentos comerciais de todos os municípios paraenses.</w:t>
      </w:r>
      <w:r w:rsidR="004746C9" w:rsidRPr="002E5980">
        <w:rPr>
          <w:rFonts w:ascii="Times New Roman" w:hAnsi="Times New Roman"/>
          <w:bCs/>
          <w:sz w:val="24"/>
          <w:szCs w:val="24"/>
        </w:rPr>
        <w:t xml:space="preserve"> Atualmente estão enquadrados </w:t>
      </w:r>
      <w:r w:rsidR="004746C9" w:rsidRPr="00F94024">
        <w:rPr>
          <w:rFonts w:ascii="Times New Roman" w:hAnsi="Times New Roman"/>
          <w:b/>
          <w:bCs/>
          <w:sz w:val="24"/>
          <w:szCs w:val="24"/>
        </w:rPr>
        <w:t>mais de 190 mil estabelecimento comerciais</w:t>
      </w:r>
      <w:r w:rsidR="002E5980" w:rsidRPr="00F94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3C69" w:rsidRPr="00F94024">
        <w:rPr>
          <w:rFonts w:ascii="Times New Roman" w:hAnsi="Times New Roman"/>
          <w:b/>
          <w:bCs/>
          <w:sz w:val="24"/>
          <w:szCs w:val="24"/>
        </w:rPr>
        <w:t>de vinte segmentos econômicos,</w:t>
      </w:r>
      <w:r w:rsidR="005C3C69" w:rsidRPr="002E5980">
        <w:rPr>
          <w:rFonts w:ascii="Times New Roman" w:hAnsi="Times New Roman"/>
          <w:bCs/>
          <w:sz w:val="24"/>
          <w:szCs w:val="24"/>
        </w:rPr>
        <w:t xml:space="preserve"> de acordo com o cronograma disponível em </w:t>
      </w:r>
      <w:hyperlink r:id="rId8" w:history="1">
        <w:r w:rsidR="005C3C69" w:rsidRPr="002E5980">
          <w:rPr>
            <w:rStyle w:val="Hyperlink"/>
            <w:rFonts w:ascii="Times New Roman" w:hAnsi="Times New Roman"/>
            <w:bCs/>
            <w:sz w:val="24"/>
            <w:szCs w:val="24"/>
          </w:rPr>
          <w:t>http://nfc.sefa.pa.gov.br/attachments/article/92/Cartaz%20Cronograma%20de%20Enquadramento.pdf</w:t>
        </w:r>
      </w:hyperlink>
      <w:r w:rsidR="004746C9" w:rsidRPr="002E5980">
        <w:rPr>
          <w:rFonts w:ascii="Times New Roman" w:hAnsi="Times New Roman"/>
          <w:bCs/>
          <w:sz w:val="24"/>
          <w:szCs w:val="24"/>
        </w:rPr>
        <w:t xml:space="preserve">. </w:t>
      </w:r>
    </w:p>
    <w:p w:rsidR="00BB18AE" w:rsidRPr="002E5980" w:rsidRDefault="00217CEB" w:rsidP="00603F5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O quadro </w:t>
      </w:r>
      <w:r w:rsidR="004746C9" w:rsidRPr="002E5980">
        <w:rPr>
          <w:rFonts w:ascii="Times New Roman" w:hAnsi="Times New Roman"/>
          <w:bCs/>
          <w:sz w:val="24"/>
          <w:szCs w:val="24"/>
        </w:rPr>
        <w:t>apresenta</w:t>
      </w:r>
      <w:r w:rsidRPr="002E5980">
        <w:rPr>
          <w:rFonts w:ascii="Times New Roman" w:hAnsi="Times New Roman"/>
          <w:bCs/>
          <w:sz w:val="24"/>
          <w:szCs w:val="24"/>
        </w:rPr>
        <w:t>do no Anexo II contém</w:t>
      </w:r>
      <w:r w:rsidR="004746C9" w:rsidRPr="002E5980">
        <w:rPr>
          <w:rFonts w:ascii="Times New Roman" w:hAnsi="Times New Roman"/>
          <w:bCs/>
          <w:sz w:val="24"/>
          <w:szCs w:val="24"/>
        </w:rPr>
        <w:t xml:space="preserve"> os </w:t>
      </w:r>
      <w:r w:rsidRPr="002E5980">
        <w:rPr>
          <w:rFonts w:ascii="Times New Roman" w:hAnsi="Times New Roman"/>
          <w:bCs/>
          <w:sz w:val="24"/>
          <w:szCs w:val="24"/>
        </w:rPr>
        <w:t>dados de evolução do Programa</w:t>
      </w:r>
      <w:r w:rsidR="004746C9" w:rsidRPr="002E5980">
        <w:rPr>
          <w:rFonts w:ascii="Times New Roman" w:hAnsi="Times New Roman"/>
          <w:bCs/>
          <w:sz w:val="24"/>
          <w:szCs w:val="24"/>
        </w:rPr>
        <w:t xml:space="preserve"> até</w:t>
      </w:r>
      <w:r w:rsidR="00BB18AE" w:rsidRPr="002E5980">
        <w:rPr>
          <w:rFonts w:ascii="Times New Roman" w:hAnsi="Times New Roman"/>
          <w:bCs/>
          <w:sz w:val="24"/>
          <w:szCs w:val="24"/>
        </w:rPr>
        <w:t xml:space="preserve"> a realização do décimo </w:t>
      </w:r>
      <w:r w:rsidRPr="002E5980">
        <w:rPr>
          <w:rFonts w:ascii="Times New Roman" w:hAnsi="Times New Roman"/>
          <w:bCs/>
          <w:sz w:val="24"/>
          <w:szCs w:val="24"/>
        </w:rPr>
        <w:t xml:space="preserve">sorteio </w:t>
      </w:r>
      <w:r w:rsidR="00BB18AE" w:rsidRPr="002E5980">
        <w:rPr>
          <w:rFonts w:ascii="Times New Roman" w:hAnsi="Times New Roman"/>
          <w:bCs/>
          <w:sz w:val="24"/>
          <w:szCs w:val="24"/>
        </w:rPr>
        <w:t>em 30/03/2015.</w:t>
      </w:r>
    </w:p>
    <w:p w:rsidR="00053DB3" w:rsidRPr="002E5980" w:rsidRDefault="00BB18AE" w:rsidP="00053DB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O </w:t>
      </w:r>
      <w:r w:rsidR="008D1800" w:rsidRPr="002E5980">
        <w:rPr>
          <w:rFonts w:ascii="Times New Roman" w:hAnsi="Times New Roman"/>
          <w:bCs/>
          <w:sz w:val="24"/>
          <w:szCs w:val="24"/>
        </w:rPr>
        <w:t xml:space="preserve">quadro acima </w:t>
      </w:r>
      <w:r w:rsidR="00217CEB" w:rsidRPr="002E5980">
        <w:rPr>
          <w:rFonts w:ascii="Times New Roman" w:hAnsi="Times New Roman"/>
          <w:bCs/>
          <w:sz w:val="24"/>
          <w:szCs w:val="24"/>
        </w:rPr>
        <w:t xml:space="preserve">citado </w:t>
      </w:r>
      <w:r w:rsidR="008D1800" w:rsidRPr="002E5980">
        <w:rPr>
          <w:rFonts w:ascii="Times New Roman" w:hAnsi="Times New Roman"/>
          <w:bCs/>
          <w:sz w:val="24"/>
          <w:szCs w:val="24"/>
        </w:rPr>
        <w:t xml:space="preserve">e o </w:t>
      </w:r>
      <w:r w:rsidRPr="002E5980">
        <w:rPr>
          <w:rFonts w:ascii="Times New Roman" w:hAnsi="Times New Roman"/>
          <w:bCs/>
          <w:sz w:val="24"/>
          <w:szCs w:val="24"/>
        </w:rPr>
        <w:t>placar com as estatí</w:t>
      </w:r>
      <w:r w:rsidR="002E5980">
        <w:rPr>
          <w:rFonts w:ascii="Times New Roman" w:hAnsi="Times New Roman"/>
          <w:bCs/>
          <w:sz w:val="24"/>
          <w:szCs w:val="24"/>
        </w:rPr>
        <w:t>sti</w:t>
      </w:r>
      <w:r w:rsidRPr="002E5980">
        <w:rPr>
          <w:rFonts w:ascii="Times New Roman" w:hAnsi="Times New Roman"/>
          <w:bCs/>
          <w:sz w:val="24"/>
          <w:szCs w:val="24"/>
        </w:rPr>
        <w:t xml:space="preserve">cas, </w:t>
      </w:r>
      <w:r w:rsidR="000347D7" w:rsidRPr="002E5980">
        <w:rPr>
          <w:rFonts w:ascii="Times New Roman" w:hAnsi="Times New Roman"/>
          <w:bCs/>
          <w:sz w:val="24"/>
          <w:szCs w:val="24"/>
        </w:rPr>
        <w:t xml:space="preserve">disponível no site do Programa indicam </w:t>
      </w:r>
      <w:r w:rsidR="008D1800" w:rsidRPr="002E5980">
        <w:rPr>
          <w:rFonts w:ascii="Times New Roman" w:hAnsi="Times New Roman"/>
          <w:bCs/>
          <w:sz w:val="24"/>
          <w:szCs w:val="24"/>
        </w:rPr>
        <w:t>que o Programa foi bem recebido pela sociedade e que está em fase de expansão com relação ao número de consumidores participante</w:t>
      </w:r>
      <w:r w:rsidR="000347D7" w:rsidRPr="002E5980">
        <w:rPr>
          <w:rFonts w:ascii="Times New Roman" w:hAnsi="Times New Roman"/>
          <w:bCs/>
          <w:sz w:val="24"/>
          <w:szCs w:val="24"/>
        </w:rPr>
        <w:t xml:space="preserve">s e volume de documentos fiscais registrados </w:t>
      </w:r>
      <w:r w:rsidR="002E5980" w:rsidRPr="002E5980">
        <w:rPr>
          <w:rFonts w:ascii="Times New Roman" w:hAnsi="Times New Roman"/>
          <w:bCs/>
          <w:sz w:val="24"/>
          <w:szCs w:val="24"/>
        </w:rPr>
        <w:t>eletronicamente</w:t>
      </w:r>
      <w:r w:rsidR="000347D7" w:rsidRPr="002E5980">
        <w:rPr>
          <w:rFonts w:ascii="Times New Roman" w:hAnsi="Times New Roman"/>
          <w:bCs/>
          <w:sz w:val="24"/>
          <w:szCs w:val="24"/>
        </w:rPr>
        <w:t>.</w:t>
      </w:r>
    </w:p>
    <w:p w:rsidR="004465BD" w:rsidRPr="002E5980" w:rsidRDefault="000347D7" w:rsidP="000955D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D</w:t>
      </w:r>
      <w:r w:rsidR="00BE1696" w:rsidRPr="002E5980">
        <w:rPr>
          <w:rFonts w:ascii="Times New Roman" w:hAnsi="Times New Roman"/>
          <w:bCs/>
          <w:sz w:val="24"/>
          <w:szCs w:val="24"/>
        </w:rPr>
        <w:t>estaca</w:t>
      </w:r>
      <w:r w:rsidR="008D1800" w:rsidRPr="002E5980">
        <w:rPr>
          <w:rFonts w:ascii="Times New Roman" w:hAnsi="Times New Roman"/>
          <w:bCs/>
          <w:sz w:val="24"/>
          <w:szCs w:val="24"/>
        </w:rPr>
        <w:t>-se</w:t>
      </w:r>
      <w:r w:rsidRPr="002E5980">
        <w:rPr>
          <w:rFonts w:ascii="Times New Roman" w:hAnsi="Times New Roman"/>
          <w:bCs/>
          <w:sz w:val="24"/>
          <w:szCs w:val="24"/>
        </w:rPr>
        <w:t>, ainda,</w:t>
      </w:r>
      <w:r w:rsidR="008D1800" w:rsidRPr="002E5980">
        <w:rPr>
          <w:rFonts w:ascii="Times New Roman" w:hAnsi="Times New Roman"/>
          <w:bCs/>
          <w:sz w:val="24"/>
          <w:szCs w:val="24"/>
        </w:rPr>
        <w:t xml:space="preserve"> que a</w:t>
      </w:r>
      <w:r w:rsidR="002E5980">
        <w:rPr>
          <w:rFonts w:ascii="Times New Roman" w:hAnsi="Times New Roman"/>
          <w:bCs/>
          <w:sz w:val="24"/>
          <w:szCs w:val="24"/>
        </w:rPr>
        <w:t xml:space="preserve">s </w:t>
      </w:r>
      <w:r w:rsidR="00053DB3" w:rsidRPr="002E5980">
        <w:rPr>
          <w:rFonts w:ascii="Times New Roman" w:hAnsi="Times New Roman"/>
          <w:bCs/>
          <w:sz w:val="24"/>
          <w:szCs w:val="24"/>
        </w:rPr>
        <w:t xml:space="preserve">metas do indicador do Resultado </w:t>
      </w:r>
      <w:r w:rsidR="00BE1696" w:rsidRPr="002E5980">
        <w:rPr>
          <w:rFonts w:ascii="Times New Roman" w:hAnsi="Times New Roman"/>
          <w:bCs/>
          <w:sz w:val="24"/>
          <w:szCs w:val="24"/>
        </w:rPr>
        <w:t>“</w:t>
      </w:r>
      <w:bookmarkStart w:id="0" w:name="_GoBack"/>
      <w:r w:rsidR="00053DB3" w:rsidRPr="00F94024">
        <w:rPr>
          <w:rFonts w:ascii="Times New Roman" w:hAnsi="Times New Roman"/>
          <w:b/>
          <w:bCs/>
          <w:sz w:val="24"/>
          <w:szCs w:val="24"/>
        </w:rPr>
        <w:t>Incremento da arrecadação proveniente do segmento de comércio varejista</w:t>
      </w:r>
      <w:r w:rsidR="00BE1696" w:rsidRPr="00F94024">
        <w:rPr>
          <w:rFonts w:ascii="Times New Roman" w:hAnsi="Times New Roman"/>
          <w:b/>
          <w:bCs/>
          <w:sz w:val="24"/>
          <w:szCs w:val="24"/>
        </w:rPr>
        <w:t>”</w:t>
      </w:r>
      <w:r w:rsidR="00053DB3" w:rsidRPr="00F94024">
        <w:rPr>
          <w:rFonts w:ascii="Times New Roman" w:hAnsi="Times New Roman"/>
          <w:b/>
          <w:bCs/>
          <w:sz w:val="24"/>
          <w:szCs w:val="24"/>
        </w:rPr>
        <w:t xml:space="preserve"> e do produto </w:t>
      </w:r>
      <w:r w:rsidR="00BE1696" w:rsidRPr="00F94024">
        <w:rPr>
          <w:rFonts w:ascii="Times New Roman" w:hAnsi="Times New Roman"/>
          <w:b/>
          <w:bCs/>
          <w:sz w:val="24"/>
          <w:szCs w:val="24"/>
        </w:rPr>
        <w:t>“</w:t>
      </w:r>
      <w:r w:rsidR="00053DB3" w:rsidRPr="00F94024">
        <w:rPr>
          <w:rFonts w:ascii="Times New Roman" w:hAnsi="Times New Roman"/>
          <w:b/>
          <w:bCs/>
          <w:sz w:val="24"/>
          <w:szCs w:val="24"/>
        </w:rPr>
        <w:t>Nota Fiscal Cidadã implantada</w:t>
      </w:r>
      <w:r w:rsidR="00BE1696" w:rsidRPr="00F94024">
        <w:rPr>
          <w:rFonts w:ascii="Times New Roman" w:hAnsi="Times New Roman"/>
          <w:b/>
          <w:bCs/>
          <w:sz w:val="24"/>
          <w:szCs w:val="24"/>
        </w:rPr>
        <w:t>”</w:t>
      </w:r>
      <w:r w:rsidR="00F9402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53DB3" w:rsidRPr="00F94024">
        <w:rPr>
          <w:rFonts w:ascii="Times New Roman" w:hAnsi="Times New Roman"/>
          <w:b/>
          <w:bCs/>
          <w:sz w:val="24"/>
          <w:szCs w:val="24"/>
        </w:rPr>
        <w:t>acordadas com o BID, respectivamente, 870 milhões de reais e 17 segmentos econômicos, foram superadas, no caso do indicador</w:t>
      </w:r>
      <w:r w:rsidR="00BE1696" w:rsidRPr="00F94024">
        <w:rPr>
          <w:rFonts w:ascii="Times New Roman" w:hAnsi="Times New Roman"/>
          <w:b/>
          <w:bCs/>
          <w:sz w:val="24"/>
          <w:szCs w:val="24"/>
        </w:rPr>
        <w:t xml:space="preserve"> de resultado</w:t>
      </w:r>
      <w:r w:rsidR="00053DB3" w:rsidRPr="00F94024">
        <w:rPr>
          <w:rFonts w:ascii="Times New Roman" w:hAnsi="Times New Roman"/>
          <w:b/>
          <w:bCs/>
          <w:sz w:val="24"/>
          <w:szCs w:val="24"/>
        </w:rPr>
        <w:t xml:space="preserve">, em 4,6% e 18%, </w:t>
      </w:r>
      <w:r w:rsidRPr="00F94024">
        <w:rPr>
          <w:rFonts w:ascii="Times New Roman" w:hAnsi="Times New Roman"/>
          <w:b/>
          <w:bCs/>
          <w:sz w:val="24"/>
          <w:szCs w:val="24"/>
        </w:rPr>
        <w:t xml:space="preserve">em relação ao enquadramento </w:t>
      </w:r>
      <w:r w:rsidR="00053DB3" w:rsidRPr="00F94024">
        <w:rPr>
          <w:rFonts w:ascii="Times New Roman" w:hAnsi="Times New Roman"/>
          <w:b/>
          <w:bCs/>
          <w:sz w:val="24"/>
          <w:szCs w:val="24"/>
        </w:rPr>
        <w:t>de segmentos econômicos no Programa</w:t>
      </w:r>
      <w:r w:rsidR="00053DB3" w:rsidRPr="002E5980">
        <w:rPr>
          <w:rFonts w:ascii="Times New Roman" w:hAnsi="Times New Roman"/>
          <w:bCs/>
          <w:sz w:val="24"/>
          <w:szCs w:val="24"/>
        </w:rPr>
        <w:t>.</w:t>
      </w:r>
      <w:r w:rsidR="00F05390">
        <w:rPr>
          <w:rFonts w:ascii="Times New Roman" w:hAnsi="Times New Roman"/>
          <w:bCs/>
          <w:sz w:val="24"/>
          <w:szCs w:val="24"/>
        </w:rPr>
        <w:t xml:space="preserve"> </w:t>
      </w:r>
      <w:r w:rsidR="00BE1696" w:rsidRPr="002E5980">
        <w:rPr>
          <w:rFonts w:ascii="Times New Roman" w:hAnsi="Times New Roman"/>
          <w:bCs/>
          <w:sz w:val="24"/>
          <w:szCs w:val="24"/>
        </w:rPr>
        <w:t>Os fatores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BE1696" w:rsidRPr="002E5980">
        <w:rPr>
          <w:rFonts w:ascii="Times New Roman" w:hAnsi="Times New Roman"/>
          <w:bCs/>
          <w:sz w:val="24"/>
          <w:szCs w:val="24"/>
        </w:rPr>
        <w:t xml:space="preserve">que </w:t>
      </w:r>
      <w:r w:rsidR="00052C35" w:rsidRPr="002E5980">
        <w:rPr>
          <w:rFonts w:ascii="Times New Roman" w:hAnsi="Times New Roman"/>
          <w:bCs/>
          <w:sz w:val="24"/>
          <w:szCs w:val="24"/>
        </w:rPr>
        <w:t xml:space="preserve">mais </w:t>
      </w:r>
      <w:r w:rsidR="002E5980" w:rsidRPr="002E5980">
        <w:rPr>
          <w:rFonts w:ascii="Times New Roman" w:hAnsi="Times New Roman"/>
          <w:bCs/>
          <w:sz w:val="24"/>
          <w:szCs w:val="24"/>
        </w:rPr>
        <w:t>contribuíram</w:t>
      </w:r>
      <w:r w:rsidR="00F87805" w:rsidRPr="002E5980">
        <w:rPr>
          <w:rFonts w:ascii="Times New Roman" w:hAnsi="Times New Roman"/>
          <w:bCs/>
          <w:sz w:val="24"/>
          <w:szCs w:val="24"/>
        </w:rPr>
        <w:t xml:space="preserve"> para </w:t>
      </w:r>
      <w:r w:rsidR="00BE1696" w:rsidRPr="002E5980">
        <w:rPr>
          <w:rFonts w:ascii="Times New Roman" w:hAnsi="Times New Roman"/>
          <w:bCs/>
          <w:sz w:val="24"/>
          <w:szCs w:val="24"/>
        </w:rPr>
        <w:t>a superação das metas foram</w:t>
      </w:r>
      <w:r w:rsidR="00217237" w:rsidRPr="002E5980">
        <w:rPr>
          <w:rFonts w:ascii="Times New Roman" w:hAnsi="Times New Roman"/>
          <w:bCs/>
          <w:sz w:val="24"/>
          <w:szCs w:val="24"/>
        </w:rPr>
        <w:t>:</w:t>
      </w:r>
      <w:r w:rsidR="000955DE">
        <w:rPr>
          <w:rFonts w:ascii="Times New Roman" w:hAnsi="Times New Roman"/>
          <w:bCs/>
          <w:sz w:val="24"/>
          <w:szCs w:val="24"/>
        </w:rPr>
        <w:t xml:space="preserve"> (1) </w:t>
      </w:r>
      <w:r w:rsidR="00217237" w:rsidRPr="002E5980">
        <w:rPr>
          <w:rFonts w:ascii="Times New Roman" w:hAnsi="Times New Roman"/>
          <w:bCs/>
          <w:sz w:val="24"/>
          <w:szCs w:val="24"/>
        </w:rPr>
        <w:t>R</w:t>
      </w:r>
      <w:r w:rsidR="00052C35" w:rsidRPr="002E5980">
        <w:rPr>
          <w:rFonts w:ascii="Times New Roman" w:hAnsi="Times New Roman"/>
          <w:bCs/>
          <w:sz w:val="24"/>
          <w:szCs w:val="24"/>
        </w:rPr>
        <w:t>elativamente ao enquadramento dos segmentos</w:t>
      </w:r>
      <w:r w:rsidR="00217237" w:rsidRPr="002E5980">
        <w:rPr>
          <w:rFonts w:ascii="Times New Roman" w:hAnsi="Times New Roman"/>
          <w:bCs/>
          <w:sz w:val="24"/>
          <w:szCs w:val="24"/>
        </w:rPr>
        <w:t>:</w:t>
      </w:r>
      <w:r w:rsidR="00052C35" w:rsidRPr="002E5980">
        <w:rPr>
          <w:rFonts w:ascii="Times New Roman" w:hAnsi="Times New Roman"/>
          <w:bCs/>
          <w:sz w:val="24"/>
          <w:szCs w:val="24"/>
        </w:rPr>
        <w:t xml:space="preserve"> i</w:t>
      </w:r>
      <w:r w:rsidR="00BE1696" w:rsidRPr="002E5980">
        <w:rPr>
          <w:rFonts w:ascii="Times New Roman" w:hAnsi="Times New Roman"/>
          <w:bCs/>
          <w:sz w:val="24"/>
          <w:szCs w:val="24"/>
        </w:rPr>
        <w:t>mplantação da NFC-e (Nota Fiscal de Consumidor Eletrônica), uma vez que ficou estabelecido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BE1696" w:rsidRPr="002E5980">
        <w:rPr>
          <w:rFonts w:ascii="Times New Roman" w:hAnsi="Times New Roman"/>
          <w:bCs/>
          <w:sz w:val="24"/>
          <w:szCs w:val="24"/>
        </w:rPr>
        <w:t xml:space="preserve">que, no </w:t>
      </w:r>
      <w:r w:rsidR="00F5773D">
        <w:rPr>
          <w:rFonts w:ascii="Times New Roman" w:hAnsi="Times New Roman"/>
          <w:bCs/>
          <w:sz w:val="24"/>
          <w:szCs w:val="24"/>
        </w:rPr>
        <w:t>estado</w:t>
      </w:r>
      <w:r w:rsidR="00BE1696" w:rsidRPr="002E5980">
        <w:rPr>
          <w:rFonts w:ascii="Times New Roman" w:hAnsi="Times New Roman"/>
          <w:bCs/>
          <w:sz w:val="24"/>
          <w:szCs w:val="24"/>
        </w:rPr>
        <w:t xml:space="preserve"> do Pará, um estabelecimento comercial somente poderia ser autorizado a emitir esse novo modelo de nota fiscal caso estivesse cadastrado no sistema do Nota Fiscal Cidadã</w:t>
      </w:r>
      <w:r w:rsidRPr="002E5980">
        <w:rPr>
          <w:rFonts w:ascii="Times New Roman" w:hAnsi="Times New Roman"/>
          <w:bCs/>
          <w:sz w:val="24"/>
          <w:szCs w:val="24"/>
        </w:rPr>
        <w:t xml:space="preserve">. A estratégia tem por finalidade minimizar o risco de não emissão </w:t>
      </w:r>
      <w:r w:rsidR="008933A2" w:rsidRPr="002E5980">
        <w:rPr>
          <w:rFonts w:ascii="Times New Roman" w:hAnsi="Times New Roman"/>
          <w:bCs/>
          <w:sz w:val="24"/>
          <w:szCs w:val="24"/>
        </w:rPr>
        <w:t>da nota eletrônica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8933A2" w:rsidRPr="002E5980">
        <w:rPr>
          <w:rFonts w:ascii="Times New Roman" w:hAnsi="Times New Roman"/>
          <w:bCs/>
          <w:sz w:val="24"/>
          <w:szCs w:val="24"/>
        </w:rPr>
        <w:t xml:space="preserve">mediante concessão de estímulo para que o consumidor exija a emissão do documento; </w:t>
      </w:r>
      <w:r w:rsidR="000955DE">
        <w:rPr>
          <w:rFonts w:ascii="Times New Roman" w:hAnsi="Times New Roman"/>
          <w:bCs/>
          <w:sz w:val="24"/>
          <w:szCs w:val="24"/>
        </w:rPr>
        <w:t xml:space="preserve">(2) </w:t>
      </w:r>
      <w:r w:rsidR="00CB1827" w:rsidRPr="002E5980">
        <w:rPr>
          <w:rFonts w:ascii="Times New Roman" w:hAnsi="Times New Roman"/>
          <w:bCs/>
          <w:sz w:val="24"/>
          <w:szCs w:val="24"/>
        </w:rPr>
        <w:t xml:space="preserve">Para </w:t>
      </w:r>
      <w:r w:rsidR="00052C35" w:rsidRPr="002E5980">
        <w:rPr>
          <w:rFonts w:ascii="Times New Roman" w:hAnsi="Times New Roman"/>
          <w:bCs/>
          <w:sz w:val="24"/>
          <w:szCs w:val="24"/>
        </w:rPr>
        <w:t>o incremento da arrecadação</w:t>
      </w:r>
      <w:r w:rsidR="00217237" w:rsidRPr="002E5980">
        <w:rPr>
          <w:rFonts w:ascii="Times New Roman" w:hAnsi="Times New Roman"/>
          <w:bCs/>
          <w:sz w:val="24"/>
          <w:szCs w:val="24"/>
        </w:rPr>
        <w:t xml:space="preserve">: ações de fiscalização </w:t>
      </w:r>
      <w:r w:rsidR="00A949A0" w:rsidRPr="002E5980">
        <w:rPr>
          <w:rFonts w:ascii="Times New Roman" w:hAnsi="Times New Roman"/>
          <w:bCs/>
          <w:sz w:val="24"/>
          <w:szCs w:val="24"/>
        </w:rPr>
        <w:t>com a finalidade de verificação de obrigações acessórias por parte de contribuintes do setor varejista</w:t>
      </w:r>
      <w:r w:rsidR="00217237" w:rsidRPr="002E5980">
        <w:rPr>
          <w:rFonts w:ascii="Times New Roman" w:hAnsi="Times New Roman"/>
          <w:bCs/>
          <w:sz w:val="24"/>
          <w:szCs w:val="24"/>
        </w:rPr>
        <w:t xml:space="preserve">, </w:t>
      </w:r>
      <w:r w:rsidR="00A949A0" w:rsidRPr="002E5980">
        <w:rPr>
          <w:rFonts w:ascii="Times New Roman" w:hAnsi="Times New Roman"/>
          <w:bCs/>
          <w:sz w:val="24"/>
          <w:szCs w:val="24"/>
        </w:rPr>
        <w:t>denominadas de</w:t>
      </w:r>
      <w:r w:rsidR="00217237" w:rsidRPr="002E5980">
        <w:rPr>
          <w:rFonts w:ascii="Times New Roman" w:hAnsi="Times New Roman"/>
          <w:bCs/>
          <w:sz w:val="24"/>
          <w:szCs w:val="24"/>
        </w:rPr>
        <w:t xml:space="preserve"> operações porta-a-porta</w:t>
      </w:r>
      <w:r w:rsidR="00A949A0" w:rsidRPr="002E5980">
        <w:rPr>
          <w:rFonts w:ascii="Times New Roman" w:hAnsi="Times New Roman"/>
          <w:bCs/>
          <w:sz w:val="24"/>
          <w:szCs w:val="24"/>
        </w:rPr>
        <w:t xml:space="preserve"> (em 2014 foram realizadas 79)</w:t>
      </w:r>
      <w:r w:rsidR="00052C35" w:rsidRPr="002E5980">
        <w:rPr>
          <w:rFonts w:ascii="Times New Roman" w:hAnsi="Times New Roman"/>
          <w:bCs/>
          <w:sz w:val="24"/>
          <w:szCs w:val="24"/>
        </w:rPr>
        <w:t>;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052C35" w:rsidRPr="002E5980">
        <w:rPr>
          <w:rFonts w:ascii="Times New Roman" w:hAnsi="Times New Roman"/>
          <w:bCs/>
          <w:sz w:val="24"/>
          <w:szCs w:val="24"/>
        </w:rPr>
        <w:t xml:space="preserve">ampliação das ações de cobrança </w:t>
      </w:r>
      <w:r w:rsidR="00052C35" w:rsidRPr="002E5980">
        <w:rPr>
          <w:rFonts w:ascii="Times New Roman" w:hAnsi="Times New Roman"/>
          <w:bCs/>
          <w:sz w:val="24"/>
          <w:szCs w:val="24"/>
        </w:rPr>
        <w:lastRenderedPageBreak/>
        <w:t>administrativa;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217237" w:rsidRPr="002E5980">
        <w:rPr>
          <w:rFonts w:ascii="Times New Roman" w:hAnsi="Times New Roman"/>
          <w:bCs/>
          <w:sz w:val="24"/>
          <w:szCs w:val="24"/>
        </w:rPr>
        <w:t xml:space="preserve">melhoria do processo de </w:t>
      </w:r>
      <w:r w:rsidR="00052C35" w:rsidRPr="002E5980">
        <w:rPr>
          <w:rFonts w:ascii="Times New Roman" w:hAnsi="Times New Roman"/>
          <w:bCs/>
          <w:sz w:val="24"/>
          <w:szCs w:val="24"/>
        </w:rPr>
        <w:t>monitoramento</w:t>
      </w:r>
      <w:r w:rsidR="00217237" w:rsidRPr="002E5980">
        <w:rPr>
          <w:rFonts w:ascii="Times New Roman" w:hAnsi="Times New Roman"/>
          <w:bCs/>
          <w:sz w:val="24"/>
          <w:szCs w:val="24"/>
        </w:rPr>
        <w:t xml:space="preserve"> fiscal de contribuintes, em decorrência do cruzamento das informações constantes n</w:t>
      </w:r>
      <w:r w:rsidR="00052C35" w:rsidRPr="002E5980">
        <w:rPr>
          <w:rFonts w:ascii="Times New Roman" w:hAnsi="Times New Roman"/>
          <w:bCs/>
          <w:sz w:val="24"/>
          <w:szCs w:val="24"/>
        </w:rPr>
        <w:t>os documentos fiscais eletrônicos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CB1827" w:rsidRPr="002E5980">
        <w:rPr>
          <w:rFonts w:ascii="Times New Roman" w:hAnsi="Times New Roman"/>
          <w:bCs/>
          <w:sz w:val="24"/>
          <w:szCs w:val="24"/>
        </w:rPr>
        <w:t xml:space="preserve">processados pela SEFA </w:t>
      </w:r>
      <w:r w:rsidR="00217237" w:rsidRPr="002E5980">
        <w:rPr>
          <w:rFonts w:ascii="Times New Roman" w:hAnsi="Times New Roman"/>
          <w:bCs/>
          <w:sz w:val="24"/>
          <w:szCs w:val="24"/>
        </w:rPr>
        <w:t xml:space="preserve">com outras </w:t>
      </w:r>
      <w:r w:rsidR="00CB1827" w:rsidRPr="002E5980">
        <w:rPr>
          <w:rFonts w:ascii="Times New Roman" w:hAnsi="Times New Roman"/>
          <w:bCs/>
          <w:sz w:val="24"/>
          <w:szCs w:val="24"/>
        </w:rPr>
        <w:t xml:space="preserve">informações </w:t>
      </w:r>
      <w:r w:rsidR="00217237" w:rsidRPr="002E5980">
        <w:rPr>
          <w:rFonts w:ascii="Times New Roman" w:hAnsi="Times New Roman"/>
          <w:bCs/>
          <w:sz w:val="24"/>
          <w:szCs w:val="24"/>
        </w:rPr>
        <w:t xml:space="preserve">constantes na base de dados da </w:t>
      </w:r>
      <w:r w:rsidR="00CB1827" w:rsidRPr="002E5980">
        <w:rPr>
          <w:rFonts w:ascii="Times New Roman" w:hAnsi="Times New Roman"/>
          <w:bCs/>
          <w:sz w:val="24"/>
          <w:szCs w:val="24"/>
        </w:rPr>
        <w:t>SEFA</w:t>
      </w:r>
      <w:bookmarkEnd w:id="0"/>
      <w:r w:rsidR="00CB1827" w:rsidRPr="002E5980">
        <w:rPr>
          <w:rFonts w:ascii="Times New Roman" w:hAnsi="Times New Roman"/>
          <w:bCs/>
          <w:sz w:val="24"/>
          <w:szCs w:val="24"/>
        </w:rPr>
        <w:t>.</w:t>
      </w:r>
    </w:p>
    <w:p w:rsidR="00087A06" w:rsidRPr="002E5980" w:rsidRDefault="00087A06" w:rsidP="00E60CB2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980">
        <w:rPr>
          <w:rFonts w:ascii="Times New Roman" w:hAnsi="Times New Roman"/>
          <w:b/>
          <w:color w:val="000000"/>
          <w:sz w:val="24"/>
          <w:szCs w:val="24"/>
        </w:rPr>
        <w:t>SUSTENTABILIDADE DA SOLUÇÃO</w:t>
      </w:r>
    </w:p>
    <w:p w:rsidR="00175997" w:rsidRPr="002E5980" w:rsidRDefault="003E0019" w:rsidP="00DA63C4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sz w:val="24"/>
          <w:szCs w:val="24"/>
        </w:rPr>
        <w:t>Existe o</w:t>
      </w:r>
      <w:r w:rsidR="002D456C" w:rsidRPr="002E5980">
        <w:rPr>
          <w:rFonts w:ascii="Times New Roman" w:hAnsi="Times New Roman"/>
          <w:sz w:val="24"/>
          <w:szCs w:val="24"/>
        </w:rPr>
        <w:t xml:space="preserve"> risco </w:t>
      </w:r>
      <w:r w:rsidR="002D456C" w:rsidRPr="002E5980">
        <w:rPr>
          <w:rFonts w:ascii="Times New Roman" w:hAnsi="Times New Roman"/>
          <w:bCs/>
          <w:sz w:val="24"/>
          <w:szCs w:val="24"/>
        </w:rPr>
        <w:t xml:space="preserve">de </w:t>
      </w:r>
      <w:r w:rsidR="00175997" w:rsidRPr="002E5980">
        <w:rPr>
          <w:rFonts w:ascii="Times New Roman" w:hAnsi="Times New Roman"/>
          <w:bCs/>
          <w:sz w:val="24"/>
          <w:szCs w:val="24"/>
        </w:rPr>
        <w:t>que</w:t>
      </w:r>
      <w:r w:rsidRPr="002E5980">
        <w:rPr>
          <w:rFonts w:ascii="Times New Roman" w:hAnsi="Times New Roman"/>
          <w:bCs/>
          <w:sz w:val="24"/>
          <w:szCs w:val="24"/>
        </w:rPr>
        <w:t>,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BD39AC" w:rsidRPr="002E5980">
        <w:rPr>
          <w:rFonts w:ascii="Times New Roman" w:hAnsi="Times New Roman"/>
          <w:bCs/>
          <w:sz w:val="24"/>
          <w:szCs w:val="24"/>
        </w:rPr>
        <w:t>a</w:t>
      </w:r>
      <w:r w:rsidR="002E5980">
        <w:rPr>
          <w:rFonts w:ascii="Times New Roman" w:hAnsi="Times New Roman"/>
          <w:bCs/>
          <w:sz w:val="24"/>
          <w:szCs w:val="24"/>
        </w:rPr>
        <w:t xml:space="preserve"> curto </w:t>
      </w:r>
      <w:r w:rsidR="002D456C" w:rsidRPr="002E5980">
        <w:rPr>
          <w:rFonts w:ascii="Times New Roman" w:hAnsi="Times New Roman"/>
          <w:bCs/>
          <w:sz w:val="24"/>
          <w:szCs w:val="24"/>
        </w:rPr>
        <w:t>prazo</w:t>
      </w:r>
      <w:r w:rsidR="001011B5" w:rsidRPr="002E5980">
        <w:rPr>
          <w:rFonts w:ascii="Times New Roman" w:hAnsi="Times New Roman"/>
          <w:bCs/>
          <w:sz w:val="24"/>
          <w:szCs w:val="24"/>
        </w:rPr>
        <w:t xml:space="preserve">, a quantidade de consumidores interessados no Programa </w:t>
      </w:r>
      <w:r w:rsidR="00175997" w:rsidRPr="002E5980">
        <w:rPr>
          <w:rFonts w:ascii="Times New Roman" w:hAnsi="Times New Roman"/>
          <w:bCs/>
          <w:sz w:val="24"/>
          <w:szCs w:val="24"/>
        </w:rPr>
        <w:t>sofra estagnação,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2D456C" w:rsidRPr="002E5980">
        <w:rPr>
          <w:rFonts w:ascii="Times New Roman" w:hAnsi="Times New Roman"/>
          <w:bCs/>
          <w:sz w:val="24"/>
          <w:szCs w:val="24"/>
        </w:rPr>
        <w:t xml:space="preserve">tendo em vista </w:t>
      </w:r>
      <w:r w:rsidR="00BD39AC" w:rsidRPr="002E5980">
        <w:rPr>
          <w:rFonts w:ascii="Times New Roman" w:hAnsi="Times New Roman"/>
          <w:bCs/>
          <w:sz w:val="24"/>
          <w:szCs w:val="24"/>
        </w:rPr>
        <w:t>os resultados dos indicadores de desempenho operacional apurados no</w:t>
      </w:r>
      <w:r w:rsidR="002D456C" w:rsidRPr="002E5980">
        <w:rPr>
          <w:rFonts w:ascii="Times New Roman" w:hAnsi="Times New Roman"/>
          <w:bCs/>
          <w:sz w:val="24"/>
          <w:szCs w:val="24"/>
        </w:rPr>
        <w:t xml:space="preserve"> exercício de 2014</w:t>
      </w:r>
      <w:r w:rsidRPr="002E5980">
        <w:rPr>
          <w:rFonts w:ascii="Times New Roman" w:hAnsi="Times New Roman"/>
          <w:bCs/>
          <w:sz w:val="24"/>
          <w:szCs w:val="24"/>
        </w:rPr>
        <w:t xml:space="preserve">. </w:t>
      </w:r>
    </w:p>
    <w:p w:rsidR="003E0019" w:rsidRPr="002E5980" w:rsidRDefault="003E0019" w:rsidP="00DA63C4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As ações propostas </w:t>
      </w:r>
      <w:r w:rsidR="00175997" w:rsidRPr="002E5980">
        <w:rPr>
          <w:rFonts w:ascii="Times New Roman" w:hAnsi="Times New Roman"/>
          <w:bCs/>
          <w:sz w:val="24"/>
          <w:szCs w:val="24"/>
        </w:rPr>
        <w:t>para minimizar esses riscos são:</w:t>
      </w:r>
    </w:p>
    <w:p w:rsidR="003E0019" w:rsidRPr="002E5980" w:rsidRDefault="003E0019" w:rsidP="00E608CE">
      <w:pPr>
        <w:pStyle w:val="PargrafodaLista"/>
        <w:numPr>
          <w:ilvl w:val="0"/>
          <w:numId w:val="38"/>
        </w:numPr>
        <w:tabs>
          <w:tab w:val="left" w:pos="709"/>
        </w:tabs>
        <w:spacing w:before="120"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articulação</w:t>
      </w:r>
      <w:r w:rsidR="002D456C" w:rsidRPr="002E5980">
        <w:rPr>
          <w:rFonts w:ascii="Times New Roman" w:hAnsi="Times New Roman"/>
          <w:bCs/>
          <w:sz w:val="24"/>
          <w:szCs w:val="24"/>
        </w:rPr>
        <w:t xml:space="preserve"> com a Secretaria de Estado de Comunicação - SECOM visando a realização de ampla campanha publicitária para elevar o total de documentos com a identificação do consumidor</w:t>
      </w:r>
      <w:r w:rsidRPr="002E5980">
        <w:rPr>
          <w:rFonts w:ascii="Times New Roman" w:hAnsi="Times New Roman"/>
          <w:bCs/>
          <w:sz w:val="24"/>
          <w:szCs w:val="24"/>
        </w:rPr>
        <w:t>;</w:t>
      </w:r>
    </w:p>
    <w:p w:rsidR="003E0019" w:rsidRPr="002E5980" w:rsidRDefault="003E0019" w:rsidP="009B4036">
      <w:pPr>
        <w:pStyle w:val="PargrafodaLista"/>
        <w:numPr>
          <w:ilvl w:val="0"/>
          <w:numId w:val="38"/>
        </w:numPr>
        <w:tabs>
          <w:tab w:val="left" w:pos="709"/>
        </w:tabs>
        <w:spacing w:before="120"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2E5980">
        <w:rPr>
          <w:rFonts w:ascii="Times New Roman" w:hAnsi="Times New Roman"/>
          <w:sz w:val="24"/>
          <w:szCs w:val="24"/>
        </w:rPr>
        <w:t>Ampliação d</w:t>
      </w:r>
      <w:r w:rsidR="00DA63C4" w:rsidRPr="002E5980">
        <w:rPr>
          <w:rFonts w:ascii="Times New Roman" w:hAnsi="Times New Roman"/>
          <w:sz w:val="24"/>
          <w:szCs w:val="24"/>
        </w:rPr>
        <w:t>as ações de sensibilização da sociedade no interior do Estado</w:t>
      </w:r>
      <w:r w:rsidRPr="002E5980">
        <w:rPr>
          <w:rFonts w:ascii="Times New Roman" w:hAnsi="Times New Roman"/>
          <w:sz w:val="24"/>
          <w:szCs w:val="24"/>
        </w:rPr>
        <w:t>;</w:t>
      </w:r>
    </w:p>
    <w:p w:rsidR="00DA63C4" w:rsidRPr="002E5980" w:rsidRDefault="003E0019" w:rsidP="003E0019">
      <w:pPr>
        <w:pStyle w:val="PargrafodaLista"/>
        <w:numPr>
          <w:ilvl w:val="0"/>
          <w:numId w:val="38"/>
        </w:numPr>
        <w:tabs>
          <w:tab w:val="left" w:pos="709"/>
        </w:tabs>
        <w:spacing w:before="120"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2E5980">
        <w:rPr>
          <w:rFonts w:ascii="Times New Roman" w:hAnsi="Times New Roman"/>
          <w:sz w:val="24"/>
          <w:szCs w:val="24"/>
        </w:rPr>
        <w:t xml:space="preserve">Intensificação do uso das mídias </w:t>
      </w:r>
      <w:r w:rsidR="00E06AB6" w:rsidRPr="002E5980">
        <w:rPr>
          <w:rFonts w:ascii="Times New Roman" w:hAnsi="Times New Roman"/>
          <w:sz w:val="24"/>
          <w:szCs w:val="24"/>
        </w:rPr>
        <w:t>sociais e</w:t>
      </w:r>
      <w:r w:rsidR="00BD39AC" w:rsidRPr="002E5980">
        <w:rPr>
          <w:rFonts w:ascii="Times New Roman" w:hAnsi="Times New Roman"/>
          <w:sz w:val="24"/>
          <w:szCs w:val="24"/>
        </w:rPr>
        <w:t xml:space="preserve"> outro</w:t>
      </w:r>
      <w:r w:rsidRPr="002E5980">
        <w:rPr>
          <w:rFonts w:ascii="Times New Roman" w:hAnsi="Times New Roman"/>
          <w:sz w:val="24"/>
          <w:szCs w:val="24"/>
        </w:rPr>
        <w:t xml:space="preserve">s </w:t>
      </w:r>
      <w:r w:rsidR="00BD39AC" w:rsidRPr="002E5980">
        <w:rPr>
          <w:rFonts w:ascii="Times New Roman" w:hAnsi="Times New Roman"/>
          <w:sz w:val="24"/>
          <w:szCs w:val="24"/>
        </w:rPr>
        <w:t>meios de comunicação</w:t>
      </w:r>
      <w:r w:rsidR="004C1FCF" w:rsidRPr="002E5980">
        <w:rPr>
          <w:rFonts w:ascii="Times New Roman" w:hAnsi="Times New Roman"/>
          <w:sz w:val="24"/>
          <w:szCs w:val="24"/>
        </w:rPr>
        <w:t xml:space="preserve"> para divulgação do Programa. E</w:t>
      </w:r>
      <w:r w:rsidRPr="002E5980">
        <w:rPr>
          <w:rFonts w:ascii="Times New Roman" w:hAnsi="Times New Roman"/>
          <w:sz w:val="24"/>
          <w:szCs w:val="24"/>
        </w:rPr>
        <w:t xml:space="preserve">ntre as ações propostas destacam-se: </w:t>
      </w:r>
      <w:r w:rsidR="00BD39AC" w:rsidRPr="002E5980">
        <w:rPr>
          <w:rFonts w:ascii="Times New Roman" w:hAnsi="Times New Roman"/>
          <w:sz w:val="24"/>
          <w:szCs w:val="24"/>
        </w:rPr>
        <w:t>o</w:t>
      </w:r>
      <w:r w:rsidRPr="002E5980">
        <w:rPr>
          <w:rFonts w:ascii="Times New Roman" w:hAnsi="Times New Roman"/>
          <w:sz w:val="24"/>
          <w:szCs w:val="24"/>
        </w:rPr>
        <w:t xml:space="preserve"> portal da cidadania fiscal; </w:t>
      </w:r>
      <w:r w:rsidR="00DA63C4" w:rsidRPr="002E5980">
        <w:rPr>
          <w:rFonts w:ascii="Times New Roman" w:hAnsi="Times New Roman"/>
          <w:sz w:val="24"/>
          <w:szCs w:val="24"/>
        </w:rPr>
        <w:t>vlog da cidadania fiscal</w:t>
      </w:r>
      <w:r w:rsidRPr="002E5980">
        <w:rPr>
          <w:rFonts w:ascii="Times New Roman" w:hAnsi="Times New Roman"/>
          <w:sz w:val="24"/>
          <w:szCs w:val="24"/>
        </w:rPr>
        <w:t>; criação de jogos sobre o tema do Programa; publicação de</w:t>
      </w:r>
      <w:r w:rsidR="00DA63C4" w:rsidRPr="002E5980">
        <w:rPr>
          <w:rFonts w:ascii="Times New Roman" w:hAnsi="Times New Roman"/>
          <w:sz w:val="24"/>
          <w:szCs w:val="24"/>
        </w:rPr>
        <w:t xml:space="preserve"> revista eletrônica</w:t>
      </w:r>
      <w:r w:rsidR="00BD39AC" w:rsidRPr="002E5980">
        <w:rPr>
          <w:rFonts w:ascii="Times New Roman" w:hAnsi="Times New Roman"/>
          <w:sz w:val="24"/>
          <w:szCs w:val="24"/>
        </w:rPr>
        <w:t xml:space="preserve"> e </w:t>
      </w:r>
      <w:r w:rsidR="00AA1D99" w:rsidRPr="002E5980">
        <w:rPr>
          <w:rFonts w:ascii="Times New Roman" w:hAnsi="Times New Roman"/>
          <w:sz w:val="24"/>
          <w:szCs w:val="24"/>
        </w:rPr>
        <w:t>ações artísticas educativas.</w:t>
      </w:r>
    </w:p>
    <w:p w:rsidR="00B609CC" w:rsidRPr="002E5980" w:rsidRDefault="0084745F" w:rsidP="00E60CB2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980">
        <w:rPr>
          <w:rFonts w:ascii="Times New Roman" w:hAnsi="Times New Roman"/>
          <w:b/>
          <w:color w:val="000000"/>
          <w:sz w:val="24"/>
          <w:szCs w:val="24"/>
        </w:rPr>
        <w:t>BENEFÍ</w:t>
      </w:r>
      <w:r w:rsidR="00B609CC" w:rsidRPr="002E5980">
        <w:rPr>
          <w:rFonts w:ascii="Times New Roman" w:hAnsi="Times New Roman"/>
          <w:b/>
          <w:color w:val="000000"/>
          <w:sz w:val="24"/>
          <w:szCs w:val="24"/>
        </w:rPr>
        <w:t xml:space="preserve">CIOS </w:t>
      </w:r>
      <w:r w:rsidR="00087A06" w:rsidRPr="002E5980">
        <w:rPr>
          <w:rFonts w:ascii="Times New Roman" w:hAnsi="Times New Roman"/>
          <w:b/>
          <w:color w:val="000000"/>
          <w:sz w:val="24"/>
          <w:szCs w:val="24"/>
        </w:rPr>
        <w:t>E RESULTADOS PARA ALÉM DA MATRIZ DE RESULTADOS</w:t>
      </w:r>
    </w:p>
    <w:p w:rsidR="00087A06" w:rsidRPr="002E5980" w:rsidRDefault="00EB503D" w:rsidP="00E60CB2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5980">
        <w:rPr>
          <w:rFonts w:ascii="Times New Roman" w:hAnsi="Times New Roman"/>
          <w:b/>
          <w:bCs/>
          <w:sz w:val="24"/>
          <w:szCs w:val="24"/>
        </w:rPr>
        <w:t>4</w:t>
      </w:r>
      <w:r w:rsidR="00087A06" w:rsidRPr="002E5980">
        <w:rPr>
          <w:rFonts w:ascii="Times New Roman" w:hAnsi="Times New Roman"/>
          <w:b/>
          <w:bCs/>
          <w:sz w:val="24"/>
          <w:szCs w:val="24"/>
        </w:rPr>
        <w:t>.1</w:t>
      </w:r>
      <w:r w:rsidR="00087A06" w:rsidRPr="002E5980">
        <w:rPr>
          <w:rFonts w:ascii="Times New Roman" w:hAnsi="Times New Roman"/>
          <w:b/>
          <w:bCs/>
          <w:sz w:val="24"/>
          <w:szCs w:val="24"/>
        </w:rPr>
        <w:tab/>
        <w:t>Benefícios qualitativos</w:t>
      </w:r>
    </w:p>
    <w:p w:rsidR="00E80BD4" w:rsidRPr="002E5980" w:rsidRDefault="00637337" w:rsidP="0005311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4024">
        <w:rPr>
          <w:rFonts w:ascii="Times New Roman" w:hAnsi="Times New Roman"/>
          <w:b/>
          <w:bCs/>
          <w:sz w:val="24"/>
          <w:szCs w:val="24"/>
        </w:rPr>
        <w:t>Um dos principais benefícios obtidos</w:t>
      </w:r>
      <w:r w:rsidR="002E5980" w:rsidRPr="00F94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024">
        <w:rPr>
          <w:rFonts w:ascii="Times New Roman" w:hAnsi="Times New Roman"/>
          <w:b/>
          <w:bCs/>
          <w:sz w:val="24"/>
          <w:szCs w:val="24"/>
        </w:rPr>
        <w:t>foi a sensibilização da sociedade para a importância social do tributo</w:t>
      </w:r>
      <w:r w:rsidRPr="002E5980">
        <w:rPr>
          <w:rFonts w:ascii="Times New Roman" w:hAnsi="Times New Roman"/>
          <w:bCs/>
          <w:sz w:val="24"/>
          <w:szCs w:val="24"/>
        </w:rPr>
        <w:t xml:space="preserve">. Para </w:t>
      </w:r>
      <w:r w:rsidR="002A7085" w:rsidRPr="002E5980">
        <w:rPr>
          <w:rFonts w:ascii="Times New Roman" w:hAnsi="Times New Roman"/>
          <w:bCs/>
          <w:sz w:val="24"/>
          <w:szCs w:val="24"/>
        </w:rPr>
        <w:t>capacita</w:t>
      </w:r>
      <w:r w:rsidRPr="002E5980">
        <w:rPr>
          <w:rFonts w:ascii="Times New Roman" w:hAnsi="Times New Roman"/>
          <w:bCs/>
          <w:sz w:val="24"/>
          <w:szCs w:val="24"/>
        </w:rPr>
        <w:t xml:space="preserve">r </w:t>
      </w:r>
      <w:r w:rsidR="002A7085" w:rsidRPr="002E5980">
        <w:rPr>
          <w:rFonts w:ascii="Times New Roman" w:hAnsi="Times New Roman"/>
          <w:bCs/>
          <w:sz w:val="24"/>
          <w:szCs w:val="24"/>
        </w:rPr>
        <w:t>os usuários dos sistemas do Programa e prestar esclarecimentos sobre os requisitos do mesmo, bem</w:t>
      </w:r>
      <w:r w:rsidR="009B2B20" w:rsidRPr="002E5980">
        <w:rPr>
          <w:rFonts w:ascii="Times New Roman" w:hAnsi="Times New Roman"/>
          <w:bCs/>
          <w:sz w:val="24"/>
          <w:szCs w:val="24"/>
        </w:rPr>
        <w:t xml:space="preserve"> como sobre conceitos relaciona</w:t>
      </w:r>
      <w:r w:rsidR="002A7085" w:rsidRPr="002E5980">
        <w:rPr>
          <w:rFonts w:ascii="Times New Roman" w:hAnsi="Times New Roman"/>
          <w:bCs/>
          <w:sz w:val="24"/>
          <w:szCs w:val="24"/>
        </w:rPr>
        <w:t>dos à cidadania fiscal a SEFA realizou, com apoio de arte-educadores contratados, 171 eventos de sensibilização de consumidores e sociedade em geral, em mais de 100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2A7085" w:rsidRPr="002E5980">
        <w:rPr>
          <w:rFonts w:ascii="Times New Roman" w:hAnsi="Times New Roman"/>
          <w:bCs/>
          <w:sz w:val="24"/>
          <w:szCs w:val="24"/>
        </w:rPr>
        <w:t>(cem) espaços públicos e de instituições públicas e privadas, além de palestras e cursos p</w:t>
      </w:r>
      <w:r w:rsidR="00385770" w:rsidRPr="002E5980">
        <w:rPr>
          <w:rFonts w:ascii="Times New Roman" w:hAnsi="Times New Roman"/>
          <w:bCs/>
          <w:sz w:val="24"/>
          <w:szCs w:val="24"/>
        </w:rPr>
        <w:t>ara o público interno e externo no total de 8</w:t>
      </w:r>
      <w:r w:rsidR="009B2B20" w:rsidRPr="002E5980">
        <w:rPr>
          <w:rFonts w:ascii="Times New Roman" w:hAnsi="Times New Roman"/>
          <w:bCs/>
          <w:sz w:val="24"/>
          <w:szCs w:val="24"/>
        </w:rPr>
        <w:t xml:space="preserve">8 eventos </w:t>
      </w:r>
      <w:r w:rsidR="00385770" w:rsidRPr="002E5980">
        <w:rPr>
          <w:rFonts w:ascii="Times New Roman" w:hAnsi="Times New Roman"/>
          <w:bCs/>
          <w:sz w:val="24"/>
          <w:szCs w:val="24"/>
        </w:rPr>
        <w:t>(palestras e cursos)</w:t>
      </w:r>
      <w:r w:rsidR="009B2B20" w:rsidRPr="002E5980">
        <w:rPr>
          <w:rFonts w:ascii="Times New Roman" w:hAnsi="Times New Roman"/>
          <w:bCs/>
          <w:sz w:val="24"/>
          <w:szCs w:val="24"/>
        </w:rPr>
        <w:t xml:space="preserve"> para</w:t>
      </w:r>
      <w:r w:rsidR="002E5980">
        <w:rPr>
          <w:rFonts w:ascii="Times New Roman" w:hAnsi="Times New Roman"/>
          <w:bCs/>
          <w:sz w:val="24"/>
          <w:szCs w:val="24"/>
        </w:rPr>
        <w:t xml:space="preserve"> </w:t>
      </w:r>
      <w:r w:rsidR="00385770" w:rsidRPr="002E5980">
        <w:rPr>
          <w:rFonts w:ascii="Times New Roman" w:hAnsi="Times New Roman"/>
          <w:bCs/>
          <w:sz w:val="24"/>
          <w:szCs w:val="24"/>
        </w:rPr>
        <w:t xml:space="preserve">5.327 </w:t>
      </w:r>
      <w:r w:rsidR="002A7085" w:rsidRPr="002E5980">
        <w:rPr>
          <w:rFonts w:ascii="Times New Roman" w:hAnsi="Times New Roman"/>
          <w:bCs/>
          <w:sz w:val="24"/>
          <w:szCs w:val="24"/>
        </w:rPr>
        <w:t>pessoas</w:t>
      </w:r>
      <w:r w:rsidR="00385770" w:rsidRPr="002E5980">
        <w:rPr>
          <w:rFonts w:ascii="Times New Roman" w:hAnsi="Times New Roman"/>
          <w:bCs/>
          <w:sz w:val="24"/>
          <w:szCs w:val="24"/>
        </w:rPr>
        <w:t>.</w:t>
      </w:r>
      <w:r w:rsidR="00053117" w:rsidRPr="002E5980">
        <w:rPr>
          <w:rFonts w:ascii="Times New Roman" w:hAnsi="Times New Roman"/>
          <w:bCs/>
          <w:sz w:val="24"/>
          <w:szCs w:val="24"/>
        </w:rPr>
        <w:t xml:space="preserve"> Essas ações</w:t>
      </w:r>
      <w:r w:rsidR="00E80BD4" w:rsidRPr="002E5980">
        <w:rPr>
          <w:rFonts w:ascii="Times New Roman" w:hAnsi="Times New Roman"/>
          <w:bCs/>
          <w:sz w:val="24"/>
          <w:szCs w:val="24"/>
        </w:rPr>
        <w:t xml:space="preserve"> </w:t>
      </w:r>
      <w:r w:rsidR="002E5980" w:rsidRPr="002E5980">
        <w:rPr>
          <w:rFonts w:ascii="Times New Roman" w:hAnsi="Times New Roman"/>
          <w:bCs/>
          <w:sz w:val="24"/>
          <w:szCs w:val="24"/>
        </w:rPr>
        <w:t>contribuíram</w:t>
      </w:r>
      <w:r w:rsidR="00F94024">
        <w:rPr>
          <w:rFonts w:ascii="Times New Roman" w:hAnsi="Times New Roman"/>
          <w:bCs/>
          <w:sz w:val="24"/>
          <w:szCs w:val="24"/>
        </w:rPr>
        <w:t xml:space="preserve"> para um</w:t>
      </w:r>
      <w:r w:rsidR="00E80BD4" w:rsidRPr="002E5980">
        <w:rPr>
          <w:rFonts w:ascii="Times New Roman" w:hAnsi="Times New Roman"/>
          <w:bCs/>
          <w:sz w:val="24"/>
          <w:szCs w:val="24"/>
        </w:rPr>
        <w:t xml:space="preserve"> maior conhecimento do Programa, por parte da sociedade, conforme resultados de pesquisas externas realizadas pela SEFA</w:t>
      </w:r>
      <w:r w:rsidR="00E20541" w:rsidRPr="002E5980">
        <w:rPr>
          <w:rFonts w:ascii="Times New Roman" w:hAnsi="Times New Roman"/>
          <w:bCs/>
          <w:sz w:val="24"/>
          <w:szCs w:val="24"/>
        </w:rPr>
        <w:t xml:space="preserve"> em 2013 e 2014</w:t>
      </w:r>
      <w:r w:rsidR="00E80BD4" w:rsidRPr="002E5980">
        <w:rPr>
          <w:rFonts w:ascii="Times New Roman" w:hAnsi="Times New Roman"/>
          <w:bCs/>
          <w:sz w:val="24"/>
          <w:szCs w:val="24"/>
        </w:rPr>
        <w:t>, onde se destacam os números apresentados no Anexo I</w:t>
      </w:r>
      <w:r w:rsidR="00DC6E95" w:rsidRPr="002E5980">
        <w:rPr>
          <w:rFonts w:ascii="Times New Roman" w:hAnsi="Times New Roman"/>
          <w:bCs/>
          <w:sz w:val="24"/>
          <w:szCs w:val="24"/>
        </w:rPr>
        <w:t>I</w:t>
      </w:r>
      <w:r w:rsidR="00E80BD4" w:rsidRPr="002E5980">
        <w:rPr>
          <w:rFonts w:ascii="Times New Roman" w:hAnsi="Times New Roman"/>
          <w:bCs/>
          <w:sz w:val="24"/>
          <w:szCs w:val="24"/>
        </w:rPr>
        <w:t>I desta nota.</w:t>
      </w:r>
    </w:p>
    <w:p w:rsidR="00EB503D" w:rsidRPr="002E5980" w:rsidRDefault="00A949A0" w:rsidP="00087A0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4024">
        <w:rPr>
          <w:rFonts w:ascii="Times New Roman" w:hAnsi="Times New Roman"/>
          <w:b/>
          <w:bCs/>
          <w:sz w:val="24"/>
          <w:szCs w:val="24"/>
        </w:rPr>
        <w:t>E</w:t>
      </w:r>
      <w:r w:rsidR="00AA7675" w:rsidRPr="00F94024">
        <w:rPr>
          <w:rFonts w:ascii="Times New Roman" w:hAnsi="Times New Roman"/>
          <w:b/>
          <w:bCs/>
          <w:sz w:val="24"/>
          <w:szCs w:val="24"/>
        </w:rPr>
        <w:t>ntende</w:t>
      </w:r>
      <w:r w:rsidR="00E20541" w:rsidRPr="00F94024">
        <w:rPr>
          <w:rFonts w:ascii="Times New Roman" w:hAnsi="Times New Roman"/>
          <w:b/>
          <w:bCs/>
          <w:sz w:val="24"/>
          <w:szCs w:val="24"/>
        </w:rPr>
        <w:t>-se</w:t>
      </w:r>
      <w:r w:rsidR="00053117" w:rsidRPr="00F94024">
        <w:rPr>
          <w:rFonts w:ascii="Times New Roman" w:hAnsi="Times New Roman"/>
          <w:b/>
          <w:bCs/>
          <w:sz w:val="24"/>
          <w:szCs w:val="24"/>
        </w:rPr>
        <w:t xml:space="preserve"> que o </w:t>
      </w:r>
      <w:r w:rsidR="00B40389" w:rsidRPr="00F94024">
        <w:rPr>
          <w:rFonts w:ascii="Times New Roman" w:hAnsi="Times New Roman"/>
          <w:b/>
          <w:bCs/>
          <w:sz w:val="24"/>
          <w:szCs w:val="24"/>
        </w:rPr>
        <w:t xml:space="preserve">Programa </w:t>
      </w:r>
      <w:r w:rsidR="00053117" w:rsidRPr="00F94024">
        <w:rPr>
          <w:rFonts w:ascii="Times New Roman" w:hAnsi="Times New Roman"/>
          <w:b/>
          <w:bCs/>
          <w:sz w:val="24"/>
          <w:szCs w:val="24"/>
        </w:rPr>
        <w:t>tamb</w:t>
      </w:r>
      <w:r w:rsidR="00B40389" w:rsidRPr="00F94024">
        <w:rPr>
          <w:rFonts w:ascii="Times New Roman" w:hAnsi="Times New Roman"/>
          <w:b/>
          <w:bCs/>
          <w:sz w:val="24"/>
          <w:szCs w:val="24"/>
        </w:rPr>
        <w:t xml:space="preserve">ém contribuiu para o </w:t>
      </w:r>
      <w:r w:rsidR="00AA7675" w:rsidRPr="00F94024">
        <w:rPr>
          <w:rFonts w:ascii="Times New Roman" w:hAnsi="Times New Roman"/>
          <w:b/>
          <w:bCs/>
          <w:sz w:val="24"/>
          <w:szCs w:val="24"/>
        </w:rPr>
        <w:t>a</w:t>
      </w:r>
      <w:r w:rsidR="0051061D" w:rsidRPr="00F94024">
        <w:rPr>
          <w:rFonts w:ascii="Times New Roman" w:hAnsi="Times New Roman"/>
          <w:b/>
          <w:bCs/>
          <w:sz w:val="24"/>
          <w:szCs w:val="24"/>
        </w:rPr>
        <w:t>umento do risco subjetivo do contribuinte varejista</w:t>
      </w:r>
      <w:r w:rsidR="001428DA" w:rsidRPr="00F94024">
        <w:rPr>
          <w:rFonts w:ascii="Times New Roman" w:hAnsi="Times New Roman"/>
          <w:b/>
          <w:bCs/>
          <w:sz w:val="24"/>
          <w:szCs w:val="24"/>
        </w:rPr>
        <w:t xml:space="preserve">, uma vez que </w:t>
      </w:r>
      <w:r w:rsidR="0051061D" w:rsidRPr="00F94024">
        <w:rPr>
          <w:rFonts w:ascii="Times New Roman" w:hAnsi="Times New Roman"/>
          <w:b/>
          <w:bCs/>
          <w:sz w:val="24"/>
          <w:szCs w:val="24"/>
        </w:rPr>
        <w:t>o mesmo</w:t>
      </w:r>
      <w:r w:rsidR="00221ECB" w:rsidRPr="00F94024">
        <w:rPr>
          <w:rFonts w:ascii="Times New Roman" w:hAnsi="Times New Roman"/>
          <w:b/>
          <w:bCs/>
          <w:sz w:val="24"/>
          <w:szCs w:val="24"/>
        </w:rPr>
        <w:t xml:space="preserve"> est</w:t>
      </w:r>
      <w:r w:rsidR="0051061D" w:rsidRPr="00F94024">
        <w:rPr>
          <w:rFonts w:ascii="Times New Roman" w:hAnsi="Times New Roman"/>
          <w:b/>
          <w:bCs/>
          <w:sz w:val="24"/>
          <w:szCs w:val="24"/>
        </w:rPr>
        <w:t>á obrigado</w:t>
      </w:r>
      <w:r w:rsidR="00221ECB" w:rsidRPr="00F94024">
        <w:rPr>
          <w:rFonts w:ascii="Times New Roman" w:hAnsi="Times New Roman"/>
          <w:b/>
          <w:bCs/>
          <w:sz w:val="24"/>
          <w:szCs w:val="24"/>
        </w:rPr>
        <w:t xml:space="preserve"> a enviar para a SEFA </w:t>
      </w:r>
      <w:r w:rsidR="001428DA" w:rsidRPr="00F94024">
        <w:rPr>
          <w:rFonts w:ascii="Times New Roman" w:hAnsi="Times New Roman"/>
          <w:b/>
          <w:bCs/>
          <w:sz w:val="24"/>
          <w:szCs w:val="24"/>
        </w:rPr>
        <w:t>os dados das notas e cupons fiscais emitidos</w:t>
      </w:r>
      <w:r w:rsidR="0051061D" w:rsidRPr="00F94024">
        <w:rPr>
          <w:rFonts w:ascii="Times New Roman" w:hAnsi="Times New Roman"/>
          <w:b/>
          <w:bCs/>
          <w:sz w:val="24"/>
          <w:szCs w:val="24"/>
        </w:rPr>
        <w:t>, sendo</w:t>
      </w:r>
      <w:r w:rsidR="002E5980" w:rsidRPr="00F94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ECB" w:rsidRPr="00F94024">
        <w:rPr>
          <w:rFonts w:ascii="Times New Roman" w:hAnsi="Times New Roman"/>
          <w:b/>
          <w:bCs/>
          <w:sz w:val="24"/>
          <w:szCs w:val="24"/>
        </w:rPr>
        <w:t xml:space="preserve">que na hipótese de descumprimento da obrigação o mesmo </w:t>
      </w:r>
      <w:r w:rsidR="0051061D" w:rsidRPr="00F94024">
        <w:rPr>
          <w:rFonts w:ascii="Times New Roman" w:hAnsi="Times New Roman"/>
          <w:b/>
          <w:bCs/>
          <w:sz w:val="24"/>
          <w:szCs w:val="24"/>
        </w:rPr>
        <w:t>poderá ser objeto</w:t>
      </w:r>
      <w:r w:rsidR="001428DA" w:rsidRPr="00F94024">
        <w:rPr>
          <w:rFonts w:ascii="Times New Roman" w:hAnsi="Times New Roman"/>
          <w:b/>
          <w:bCs/>
          <w:sz w:val="24"/>
          <w:szCs w:val="24"/>
        </w:rPr>
        <w:t xml:space="preserve"> de reclamações </w:t>
      </w:r>
      <w:r w:rsidR="0051061D" w:rsidRPr="00F94024">
        <w:rPr>
          <w:rFonts w:ascii="Times New Roman" w:hAnsi="Times New Roman"/>
          <w:b/>
          <w:bCs/>
          <w:sz w:val="24"/>
          <w:szCs w:val="24"/>
        </w:rPr>
        <w:t xml:space="preserve">registradas por </w:t>
      </w:r>
      <w:r w:rsidR="001428DA" w:rsidRPr="00F94024">
        <w:rPr>
          <w:rFonts w:ascii="Times New Roman" w:hAnsi="Times New Roman"/>
          <w:b/>
          <w:bCs/>
          <w:sz w:val="24"/>
          <w:szCs w:val="24"/>
        </w:rPr>
        <w:t xml:space="preserve">consumidores </w:t>
      </w:r>
      <w:r w:rsidR="0051061D" w:rsidRPr="00F94024">
        <w:rPr>
          <w:rFonts w:ascii="Times New Roman" w:hAnsi="Times New Roman"/>
          <w:b/>
          <w:bCs/>
          <w:sz w:val="24"/>
          <w:szCs w:val="24"/>
        </w:rPr>
        <w:t>no sistema do Programa, além de estar sujeito à lavratura de auto de infração automatizado</w:t>
      </w:r>
      <w:r w:rsidR="0051061D" w:rsidRPr="002E5980">
        <w:rPr>
          <w:rFonts w:ascii="Times New Roman" w:hAnsi="Times New Roman"/>
          <w:bCs/>
          <w:sz w:val="24"/>
          <w:szCs w:val="24"/>
        </w:rPr>
        <w:t xml:space="preserve">. </w:t>
      </w:r>
      <w:r w:rsidR="00276374" w:rsidRPr="002E5980">
        <w:rPr>
          <w:rFonts w:ascii="Times New Roman" w:hAnsi="Times New Roman"/>
          <w:bCs/>
          <w:sz w:val="24"/>
          <w:szCs w:val="24"/>
        </w:rPr>
        <w:t xml:space="preserve">O </w:t>
      </w:r>
      <w:r w:rsidR="00E20541" w:rsidRPr="002E5980">
        <w:rPr>
          <w:rFonts w:ascii="Times New Roman" w:hAnsi="Times New Roman"/>
          <w:bCs/>
          <w:sz w:val="24"/>
          <w:szCs w:val="24"/>
        </w:rPr>
        <w:t>A</w:t>
      </w:r>
      <w:r w:rsidR="00DC6E95" w:rsidRPr="002E5980">
        <w:rPr>
          <w:rFonts w:ascii="Times New Roman" w:hAnsi="Times New Roman"/>
          <w:bCs/>
          <w:sz w:val="24"/>
          <w:szCs w:val="24"/>
        </w:rPr>
        <w:t>nexo IV</w:t>
      </w:r>
      <w:r w:rsidR="00FD17E2" w:rsidRPr="002E5980">
        <w:rPr>
          <w:rFonts w:ascii="Times New Roman" w:hAnsi="Times New Roman"/>
          <w:bCs/>
          <w:sz w:val="24"/>
          <w:szCs w:val="24"/>
        </w:rPr>
        <w:t xml:space="preserve"> demons</w:t>
      </w:r>
      <w:r w:rsidR="00276374" w:rsidRPr="002E5980">
        <w:rPr>
          <w:rFonts w:ascii="Times New Roman" w:hAnsi="Times New Roman"/>
          <w:bCs/>
          <w:sz w:val="24"/>
          <w:szCs w:val="24"/>
        </w:rPr>
        <w:t>tra o percentual de pagamento do</w:t>
      </w:r>
      <w:r w:rsidR="002E5980">
        <w:rPr>
          <w:rFonts w:ascii="Times New Roman" w:hAnsi="Times New Roman"/>
          <w:bCs/>
          <w:sz w:val="24"/>
          <w:szCs w:val="24"/>
        </w:rPr>
        <w:t>s</w:t>
      </w:r>
      <w:r w:rsidR="00276374" w:rsidRPr="002E5980">
        <w:rPr>
          <w:rFonts w:ascii="Times New Roman" w:hAnsi="Times New Roman"/>
          <w:bCs/>
          <w:sz w:val="24"/>
          <w:szCs w:val="24"/>
        </w:rPr>
        <w:t xml:space="preserve"> autos de infração tributária </w:t>
      </w:r>
      <w:r w:rsidR="00FD17E2" w:rsidRPr="002E5980">
        <w:rPr>
          <w:rFonts w:ascii="Times New Roman" w:hAnsi="Times New Roman"/>
          <w:bCs/>
          <w:sz w:val="24"/>
          <w:szCs w:val="24"/>
        </w:rPr>
        <w:t>referentes ao período de setembro/2012 a março/2013</w:t>
      </w:r>
      <w:r w:rsidR="00E20541" w:rsidRPr="002E5980">
        <w:rPr>
          <w:rFonts w:ascii="Times New Roman" w:hAnsi="Times New Roman"/>
          <w:bCs/>
          <w:sz w:val="24"/>
          <w:szCs w:val="24"/>
        </w:rPr>
        <w:t>.</w:t>
      </w:r>
    </w:p>
    <w:p w:rsidR="00EB503D" w:rsidRPr="002E5980" w:rsidRDefault="00EB503D" w:rsidP="00EB503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E5980">
        <w:rPr>
          <w:rFonts w:ascii="Times New Roman" w:hAnsi="Times New Roman"/>
          <w:b/>
          <w:bCs/>
          <w:sz w:val="24"/>
          <w:szCs w:val="24"/>
        </w:rPr>
        <w:t>4.2</w:t>
      </w:r>
      <w:r w:rsidRPr="002E5980">
        <w:rPr>
          <w:rFonts w:ascii="Times New Roman" w:hAnsi="Times New Roman"/>
          <w:b/>
          <w:bCs/>
          <w:sz w:val="24"/>
          <w:szCs w:val="24"/>
        </w:rPr>
        <w:tab/>
        <w:t>Outros resultados</w:t>
      </w:r>
      <w:r w:rsidR="002E59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5980">
        <w:rPr>
          <w:rFonts w:ascii="Times New Roman" w:hAnsi="Times New Roman"/>
          <w:b/>
          <w:bCs/>
          <w:sz w:val="24"/>
          <w:szCs w:val="24"/>
        </w:rPr>
        <w:t>quantificados</w:t>
      </w:r>
    </w:p>
    <w:p w:rsidR="00E651E4" w:rsidRPr="002E5980" w:rsidRDefault="00E651E4" w:rsidP="00831C7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A SEFA utiliza </w:t>
      </w:r>
      <w:r w:rsidR="003F7328" w:rsidRPr="002E5980">
        <w:rPr>
          <w:rFonts w:ascii="Times New Roman" w:hAnsi="Times New Roman"/>
          <w:bCs/>
          <w:sz w:val="24"/>
          <w:szCs w:val="24"/>
        </w:rPr>
        <w:t>em seu planejamento estratégico, associado ao Objetivo Estratégico “Promover a Cidadania Fiscal”</w:t>
      </w:r>
      <w:r w:rsidR="00A47350" w:rsidRPr="002E5980">
        <w:rPr>
          <w:rFonts w:ascii="Times New Roman" w:hAnsi="Times New Roman"/>
          <w:bCs/>
          <w:sz w:val="24"/>
          <w:szCs w:val="24"/>
        </w:rPr>
        <w:t xml:space="preserve"> (que envolve a implementação de soluções que contribuam para a melhoria da compreensão da importância social dos tributos e para o aperfeiçoamento dos instrumentos de controle social e fiscal)</w:t>
      </w:r>
      <w:r w:rsidR="003F7328" w:rsidRPr="002E5980">
        <w:rPr>
          <w:rFonts w:ascii="Times New Roman" w:hAnsi="Times New Roman"/>
          <w:bCs/>
          <w:sz w:val="24"/>
          <w:szCs w:val="24"/>
        </w:rPr>
        <w:t xml:space="preserve">, </w:t>
      </w:r>
      <w:r w:rsidRPr="002E5980">
        <w:rPr>
          <w:rFonts w:ascii="Times New Roman" w:hAnsi="Times New Roman"/>
          <w:bCs/>
          <w:sz w:val="24"/>
          <w:szCs w:val="24"/>
        </w:rPr>
        <w:t>o indicador “Taxa de Consumidores Habilitados”</w:t>
      </w:r>
      <w:r w:rsidR="003F7328" w:rsidRPr="002E5980">
        <w:rPr>
          <w:rFonts w:ascii="Times New Roman" w:hAnsi="Times New Roman"/>
          <w:bCs/>
          <w:sz w:val="24"/>
          <w:szCs w:val="24"/>
        </w:rPr>
        <w:t xml:space="preserve">, que </w:t>
      </w:r>
      <w:r w:rsidR="0017737D" w:rsidRPr="002E5980">
        <w:rPr>
          <w:rFonts w:ascii="Times New Roman" w:hAnsi="Times New Roman"/>
          <w:bCs/>
          <w:sz w:val="24"/>
          <w:szCs w:val="24"/>
        </w:rPr>
        <w:t xml:space="preserve">é medido </w:t>
      </w:r>
      <w:r w:rsidR="002E5980" w:rsidRPr="002E5980">
        <w:rPr>
          <w:rFonts w:ascii="Times New Roman" w:hAnsi="Times New Roman"/>
          <w:bCs/>
          <w:sz w:val="24"/>
          <w:szCs w:val="24"/>
        </w:rPr>
        <w:t>trimestralmente</w:t>
      </w:r>
      <w:r w:rsidR="0017737D" w:rsidRPr="002E5980">
        <w:rPr>
          <w:rFonts w:ascii="Times New Roman" w:hAnsi="Times New Roman"/>
          <w:bCs/>
          <w:sz w:val="24"/>
          <w:szCs w:val="24"/>
        </w:rPr>
        <w:t xml:space="preserve"> e </w:t>
      </w:r>
      <w:r w:rsidR="003F7328" w:rsidRPr="002E5980">
        <w:rPr>
          <w:rFonts w:ascii="Times New Roman" w:hAnsi="Times New Roman"/>
          <w:bCs/>
          <w:sz w:val="24"/>
          <w:szCs w:val="24"/>
        </w:rPr>
        <w:t>tem por objetivo demonstrar a evolução da quantidade de consumidores habilitados para os sorteios do Programa Nota Fiscal Cidadã.</w:t>
      </w:r>
      <w:r w:rsidR="00CB0438" w:rsidRPr="002E5980">
        <w:rPr>
          <w:rFonts w:ascii="Times New Roman" w:hAnsi="Times New Roman"/>
          <w:bCs/>
          <w:sz w:val="24"/>
          <w:szCs w:val="24"/>
        </w:rPr>
        <w:t xml:space="preserve"> O indicador é medido com base na seguinte fórmula: Total de consumidores habilitados até a data do último sorteio - Total de </w:t>
      </w:r>
      <w:r w:rsidR="00CB0438" w:rsidRPr="002E5980">
        <w:rPr>
          <w:rFonts w:ascii="Times New Roman" w:hAnsi="Times New Roman"/>
          <w:bCs/>
          <w:sz w:val="24"/>
          <w:szCs w:val="24"/>
        </w:rPr>
        <w:lastRenderedPageBreak/>
        <w:t>consumidores habilitados até a data do penúltimo sorteio) / Total de consumidores habilitados até a data do penúltimo sorteio.</w:t>
      </w:r>
    </w:p>
    <w:p w:rsidR="007D7EEB" w:rsidRPr="002E5980" w:rsidRDefault="007D7EEB" w:rsidP="007D7EE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 expectativa de crescimento positivo do indicador projetava-se para uma evolução positiva constante, fato que não ocorreu, em virtude da quantidade de consumidores habilitados ter se mantido estável passando de 84.541 no oitavo sorteio em setembro/2014, para 84.729 no nono sorteio realizado em dezembro/2014. Considerando-se que essa variável sofre impacto de três fatores: n</w:t>
      </w:r>
      <w:r w:rsidR="002E5980">
        <w:rPr>
          <w:rFonts w:ascii="Times New Roman" w:hAnsi="Times New Roman"/>
          <w:bCs/>
          <w:sz w:val="24"/>
          <w:szCs w:val="24"/>
        </w:rPr>
        <w:t xml:space="preserve">úmero consumidores cadastrados, </w:t>
      </w:r>
      <w:r w:rsidRPr="002E5980">
        <w:rPr>
          <w:rFonts w:ascii="Times New Roman" w:hAnsi="Times New Roman"/>
          <w:bCs/>
          <w:sz w:val="24"/>
          <w:szCs w:val="24"/>
        </w:rPr>
        <w:t xml:space="preserve">índice de cobrança de notas fiscais </w:t>
      </w:r>
      <w:r w:rsidR="00F94024" w:rsidRPr="002E5980">
        <w:rPr>
          <w:rFonts w:ascii="Times New Roman" w:hAnsi="Times New Roman"/>
          <w:bCs/>
          <w:sz w:val="24"/>
          <w:szCs w:val="24"/>
        </w:rPr>
        <w:t>com identificação</w:t>
      </w:r>
      <w:r w:rsidRPr="002E5980">
        <w:rPr>
          <w:rFonts w:ascii="Times New Roman" w:hAnsi="Times New Roman"/>
          <w:bCs/>
          <w:sz w:val="24"/>
          <w:szCs w:val="24"/>
        </w:rPr>
        <w:t xml:space="preserve"> do consumidor e volume de compras realizadas no período por esses consumidores, esclarecemos que</w:t>
      </w:r>
      <w:r w:rsidR="00E71BBA" w:rsidRPr="002E5980">
        <w:rPr>
          <w:rFonts w:ascii="Times New Roman" w:hAnsi="Times New Roman"/>
          <w:bCs/>
          <w:sz w:val="24"/>
          <w:szCs w:val="24"/>
        </w:rPr>
        <w:t xml:space="preserve"> os resultados relativos a sua última medição </w:t>
      </w:r>
      <w:r w:rsidR="00F94024" w:rsidRPr="002E5980">
        <w:rPr>
          <w:rFonts w:ascii="Times New Roman" w:hAnsi="Times New Roman"/>
          <w:bCs/>
          <w:sz w:val="24"/>
          <w:szCs w:val="24"/>
        </w:rPr>
        <w:t>(janeiro</w:t>
      </w:r>
      <w:r w:rsidR="00E71BBA" w:rsidRPr="002E5980">
        <w:rPr>
          <w:rFonts w:ascii="Times New Roman" w:hAnsi="Times New Roman"/>
          <w:bCs/>
          <w:sz w:val="24"/>
          <w:szCs w:val="24"/>
        </w:rPr>
        <w:t>/2015) foram impactados em razão de</w:t>
      </w:r>
      <w:r w:rsidRPr="002E5980">
        <w:rPr>
          <w:rFonts w:ascii="Times New Roman" w:hAnsi="Times New Roman"/>
          <w:bCs/>
          <w:sz w:val="24"/>
          <w:szCs w:val="24"/>
        </w:rPr>
        <w:t>:</w:t>
      </w:r>
    </w:p>
    <w:p w:rsidR="007D7EEB" w:rsidRPr="002E5980" w:rsidRDefault="007D7EEB" w:rsidP="008F41C3">
      <w:pPr>
        <w:pStyle w:val="PargrafodaLista"/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O número de consumidores embora tenha se mantido em crescimento a tendência é de estagnação a </w:t>
      </w:r>
      <w:r w:rsidR="00F94024" w:rsidRPr="002E5980">
        <w:rPr>
          <w:rFonts w:ascii="Times New Roman" w:hAnsi="Times New Roman"/>
          <w:bCs/>
          <w:sz w:val="24"/>
          <w:szCs w:val="24"/>
        </w:rPr>
        <w:t>curto prazo</w:t>
      </w:r>
      <w:r w:rsidRPr="002E5980">
        <w:rPr>
          <w:rFonts w:ascii="Times New Roman" w:hAnsi="Times New Roman"/>
          <w:bCs/>
          <w:sz w:val="24"/>
          <w:szCs w:val="24"/>
        </w:rPr>
        <w:t xml:space="preserve"> tendo em vistas as taxas verificadas nos sorteios do exercício de 2014 (5%, 4%, 2% e 1%);</w:t>
      </w:r>
    </w:p>
    <w:p w:rsidR="007D7EEB" w:rsidRPr="002E5980" w:rsidRDefault="00F94024" w:rsidP="008F41C3">
      <w:pPr>
        <w:pStyle w:val="PargrafodaLista"/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</w:t>
      </w:r>
      <w:r w:rsidR="007D7EEB" w:rsidRPr="002E5980">
        <w:rPr>
          <w:rFonts w:ascii="Times New Roman" w:hAnsi="Times New Roman"/>
          <w:bCs/>
          <w:sz w:val="24"/>
          <w:szCs w:val="24"/>
        </w:rPr>
        <w:t xml:space="preserve"> quantidade de consumidores cadastrados que informaram o CPF em suas compras e participaram do nono sorteio se manteve na média observada nos demais sorteios (66%) sem </w:t>
      </w:r>
      <w:r w:rsidRPr="002E5980">
        <w:rPr>
          <w:rFonts w:ascii="Times New Roman" w:hAnsi="Times New Roman"/>
          <w:bCs/>
          <w:sz w:val="24"/>
          <w:szCs w:val="24"/>
        </w:rPr>
        <w:t>crescimento significativo</w:t>
      </w:r>
      <w:r w:rsidR="007D7EEB" w:rsidRPr="002E5980">
        <w:rPr>
          <w:rFonts w:ascii="Times New Roman" w:hAnsi="Times New Roman"/>
          <w:bCs/>
          <w:sz w:val="24"/>
          <w:szCs w:val="24"/>
        </w:rPr>
        <w:t xml:space="preserve"> o que pode ser atribuído a baixa agressividade publicitária na divulgação do Programa; </w:t>
      </w:r>
    </w:p>
    <w:p w:rsidR="007D7EEB" w:rsidRPr="002E5980" w:rsidRDefault="00F94024" w:rsidP="008F41C3">
      <w:pPr>
        <w:pStyle w:val="PargrafodaLista"/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No</w:t>
      </w:r>
      <w:r w:rsidR="007D7EEB" w:rsidRPr="002E5980">
        <w:rPr>
          <w:rFonts w:ascii="Times New Roman" w:hAnsi="Times New Roman"/>
          <w:bCs/>
          <w:sz w:val="24"/>
          <w:szCs w:val="24"/>
        </w:rPr>
        <w:t xml:space="preserve"> período de compras considerado para o </w:t>
      </w:r>
      <w:r w:rsidR="00E71BBA" w:rsidRPr="002E5980">
        <w:rPr>
          <w:rFonts w:ascii="Times New Roman" w:hAnsi="Times New Roman"/>
          <w:bCs/>
          <w:sz w:val="24"/>
          <w:szCs w:val="24"/>
        </w:rPr>
        <w:t>nono</w:t>
      </w:r>
      <w:r w:rsidR="007D7EEB" w:rsidRPr="002E5980">
        <w:rPr>
          <w:rFonts w:ascii="Times New Roman" w:hAnsi="Times New Roman"/>
          <w:bCs/>
          <w:sz w:val="24"/>
          <w:szCs w:val="24"/>
        </w:rPr>
        <w:t xml:space="preserve"> sorteio (julho a setembro) não ocorreu nenhuma data ou período especial com impacto direto no comércio.</w:t>
      </w:r>
    </w:p>
    <w:p w:rsidR="00622A22" w:rsidRPr="002E5980" w:rsidRDefault="00622A22" w:rsidP="00622A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6D41" w:rsidRPr="002E5980" w:rsidRDefault="00622A22" w:rsidP="00622A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 coordenação do Programa</w:t>
      </w:r>
      <w:r w:rsidR="00C46D41" w:rsidRPr="002E5980">
        <w:rPr>
          <w:rFonts w:ascii="Times New Roman" w:hAnsi="Times New Roman"/>
          <w:bCs/>
          <w:sz w:val="24"/>
          <w:szCs w:val="24"/>
        </w:rPr>
        <w:t>, com objetivo de demonstrar a evolução da quantidade de consumidores cadastrados para os sorteios do Programa Nota Fiscal Cidadã,</w:t>
      </w:r>
      <w:r w:rsidRPr="002E5980">
        <w:rPr>
          <w:rFonts w:ascii="Times New Roman" w:hAnsi="Times New Roman"/>
          <w:bCs/>
          <w:sz w:val="24"/>
          <w:szCs w:val="24"/>
        </w:rPr>
        <w:t xml:space="preserve"> utiliza ainda o</w:t>
      </w:r>
      <w:r w:rsidR="00C46D41" w:rsidRPr="002E5980">
        <w:rPr>
          <w:rFonts w:ascii="Times New Roman" w:hAnsi="Times New Roman"/>
          <w:bCs/>
          <w:sz w:val="24"/>
          <w:szCs w:val="24"/>
        </w:rPr>
        <w:t>s</w:t>
      </w:r>
      <w:r w:rsidRPr="002E5980">
        <w:rPr>
          <w:rFonts w:ascii="Times New Roman" w:hAnsi="Times New Roman"/>
          <w:bCs/>
          <w:sz w:val="24"/>
          <w:szCs w:val="24"/>
        </w:rPr>
        <w:t xml:space="preserve"> indicador</w:t>
      </w:r>
      <w:r w:rsidR="00C46D41" w:rsidRPr="002E5980">
        <w:rPr>
          <w:rFonts w:ascii="Times New Roman" w:hAnsi="Times New Roman"/>
          <w:bCs/>
          <w:sz w:val="24"/>
          <w:szCs w:val="24"/>
        </w:rPr>
        <w:t>es</w:t>
      </w:r>
      <w:r w:rsidRPr="002E5980">
        <w:rPr>
          <w:rFonts w:ascii="Times New Roman" w:hAnsi="Times New Roman"/>
          <w:bCs/>
          <w:sz w:val="24"/>
          <w:szCs w:val="24"/>
        </w:rPr>
        <w:t xml:space="preserve"> “Taxa de Consumidores Cadastrados”</w:t>
      </w:r>
      <w:r w:rsidR="00C46D41" w:rsidRPr="002E5980">
        <w:rPr>
          <w:rFonts w:ascii="Times New Roman" w:hAnsi="Times New Roman"/>
          <w:bCs/>
          <w:sz w:val="24"/>
          <w:szCs w:val="24"/>
        </w:rPr>
        <w:t xml:space="preserve"> e “Taxa de Arquivos Processados”</w:t>
      </w:r>
      <w:r w:rsidR="0017737D" w:rsidRPr="002E5980">
        <w:rPr>
          <w:rFonts w:ascii="Times New Roman" w:hAnsi="Times New Roman"/>
          <w:bCs/>
          <w:sz w:val="24"/>
          <w:szCs w:val="24"/>
        </w:rPr>
        <w:t>, também medido</w:t>
      </w:r>
      <w:r w:rsidR="00C46D41" w:rsidRPr="002E5980">
        <w:rPr>
          <w:rFonts w:ascii="Times New Roman" w:hAnsi="Times New Roman"/>
          <w:bCs/>
          <w:sz w:val="24"/>
          <w:szCs w:val="24"/>
        </w:rPr>
        <w:t>s</w:t>
      </w:r>
      <w:r w:rsidR="0017737D" w:rsidRPr="002E5980">
        <w:rPr>
          <w:rFonts w:ascii="Times New Roman" w:hAnsi="Times New Roman"/>
          <w:bCs/>
          <w:sz w:val="24"/>
          <w:szCs w:val="24"/>
        </w:rPr>
        <w:t xml:space="preserve"> trimestralmente, </w:t>
      </w:r>
      <w:r w:rsidRPr="002E5980">
        <w:rPr>
          <w:rFonts w:ascii="Times New Roman" w:hAnsi="Times New Roman"/>
          <w:bCs/>
          <w:sz w:val="24"/>
          <w:szCs w:val="24"/>
        </w:rPr>
        <w:t>através da</w:t>
      </w:r>
      <w:r w:rsidR="00C46D41" w:rsidRPr="002E5980">
        <w:rPr>
          <w:rFonts w:ascii="Times New Roman" w:hAnsi="Times New Roman"/>
          <w:bCs/>
          <w:sz w:val="24"/>
          <w:szCs w:val="24"/>
        </w:rPr>
        <w:t>s</w:t>
      </w:r>
      <w:r w:rsidRPr="002E5980">
        <w:rPr>
          <w:rFonts w:ascii="Times New Roman" w:hAnsi="Times New Roman"/>
          <w:bCs/>
          <w:sz w:val="24"/>
          <w:szCs w:val="24"/>
        </w:rPr>
        <w:t xml:space="preserve"> fórmula</w:t>
      </w:r>
      <w:r w:rsidR="00C46D41" w:rsidRPr="002E5980">
        <w:rPr>
          <w:rFonts w:ascii="Times New Roman" w:hAnsi="Times New Roman"/>
          <w:bCs/>
          <w:sz w:val="24"/>
          <w:szCs w:val="24"/>
        </w:rPr>
        <w:t>s</w:t>
      </w:r>
      <w:r w:rsidRPr="002E5980">
        <w:rPr>
          <w:rFonts w:ascii="Times New Roman" w:hAnsi="Times New Roman"/>
          <w:bCs/>
          <w:sz w:val="24"/>
          <w:szCs w:val="24"/>
        </w:rPr>
        <w:t>: (Total de consumidores cadastrados até a data do último sorteio - Total de consumidores cadastrados até a data do penúltimo sorteio) / Total de consumidores cadastrados até a data do penúltimo sorteio</w:t>
      </w:r>
      <w:r w:rsidR="00C46D41" w:rsidRPr="002E5980">
        <w:rPr>
          <w:rFonts w:ascii="Times New Roman" w:hAnsi="Times New Roman"/>
          <w:bCs/>
          <w:sz w:val="24"/>
          <w:szCs w:val="24"/>
        </w:rPr>
        <w:t>, e (Total de arquivos processados no período avaliado - Total de arquivos processados no período anterior) / Total de arquivos processados no período anterior</w:t>
      </w:r>
      <w:r w:rsidR="00084461" w:rsidRPr="002E5980">
        <w:rPr>
          <w:rFonts w:ascii="Times New Roman" w:hAnsi="Times New Roman"/>
          <w:bCs/>
          <w:sz w:val="24"/>
          <w:szCs w:val="24"/>
        </w:rPr>
        <w:t xml:space="preserve">, sendo que esse último indicador mede o nível de cumprimento de obrigação tributária referente ao Programa. </w:t>
      </w:r>
    </w:p>
    <w:p w:rsidR="000E4F7C" w:rsidRPr="002E5980" w:rsidRDefault="000E4F7C" w:rsidP="00622A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7C" w:rsidRPr="002E5980" w:rsidRDefault="000E4F7C" w:rsidP="000E4F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Na segunda medição do indicador “Taxa de Arquivos Processados”, que é semestral, verificou-se que no período de jul a dez/2014 </w:t>
      </w:r>
      <w:r w:rsidR="00F94024" w:rsidRPr="002E5980">
        <w:rPr>
          <w:rFonts w:ascii="Times New Roman" w:hAnsi="Times New Roman"/>
          <w:bCs/>
          <w:sz w:val="24"/>
          <w:szCs w:val="24"/>
        </w:rPr>
        <w:t>foram processados</w:t>
      </w:r>
      <w:r w:rsidRPr="002E5980">
        <w:rPr>
          <w:rFonts w:ascii="Times New Roman" w:hAnsi="Times New Roman"/>
          <w:bCs/>
          <w:sz w:val="24"/>
          <w:szCs w:val="24"/>
        </w:rPr>
        <w:t xml:space="preserve"> 104.950 arquivos o que representa um crescimento de 54% em relação ao mesmo período do exercício de 2013 no qual foram processados  68.158 arquivos. O resultado mostra um cre</w:t>
      </w:r>
      <w:r w:rsidR="002E5980">
        <w:rPr>
          <w:rFonts w:ascii="Times New Roman" w:hAnsi="Times New Roman"/>
          <w:bCs/>
          <w:sz w:val="24"/>
          <w:szCs w:val="24"/>
        </w:rPr>
        <w:t>s</w:t>
      </w:r>
      <w:r w:rsidRPr="002E5980">
        <w:rPr>
          <w:rFonts w:ascii="Times New Roman" w:hAnsi="Times New Roman"/>
          <w:bCs/>
          <w:sz w:val="24"/>
          <w:szCs w:val="24"/>
        </w:rPr>
        <w:t>cimento elevado, causado principalmente pela inclusão obrigatória de novo segmentos econômicos no período.</w:t>
      </w:r>
    </w:p>
    <w:p w:rsidR="000E4F7C" w:rsidRPr="002E5980" w:rsidRDefault="000E4F7C" w:rsidP="00622A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7C" w:rsidRPr="002E5980" w:rsidRDefault="000E4F7C" w:rsidP="000E4F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Os resultados do</w:t>
      </w:r>
      <w:r w:rsidR="00C35272">
        <w:rPr>
          <w:rFonts w:ascii="Times New Roman" w:hAnsi="Times New Roman"/>
          <w:bCs/>
          <w:sz w:val="24"/>
          <w:szCs w:val="24"/>
        </w:rPr>
        <w:t>s</w:t>
      </w:r>
      <w:r w:rsidRPr="002E5980">
        <w:rPr>
          <w:rFonts w:ascii="Times New Roman" w:hAnsi="Times New Roman"/>
          <w:bCs/>
          <w:sz w:val="24"/>
          <w:szCs w:val="24"/>
        </w:rPr>
        <w:t xml:space="preserve"> indicador</w:t>
      </w:r>
      <w:r w:rsidR="00E82A15" w:rsidRPr="002E5980">
        <w:rPr>
          <w:rFonts w:ascii="Times New Roman" w:hAnsi="Times New Roman"/>
          <w:bCs/>
          <w:sz w:val="24"/>
          <w:szCs w:val="24"/>
        </w:rPr>
        <w:t>es citados</w:t>
      </w:r>
      <w:r w:rsidRPr="002E5980">
        <w:rPr>
          <w:rFonts w:ascii="Times New Roman" w:hAnsi="Times New Roman"/>
          <w:bCs/>
          <w:sz w:val="24"/>
          <w:szCs w:val="24"/>
        </w:rPr>
        <w:t xml:space="preserve"> foram os seguintes: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376"/>
      </w:tblGrid>
      <w:tr w:rsidR="00AD50AB" w:rsidRPr="002E5980" w:rsidTr="00AD50AB">
        <w:trPr>
          <w:jc w:val="center"/>
        </w:trPr>
        <w:tc>
          <w:tcPr>
            <w:tcW w:w="4237" w:type="dxa"/>
          </w:tcPr>
          <w:p w:rsidR="00AD50AB" w:rsidRPr="002E5980" w:rsidRDefault="00AD50AB" w:rsidP="00AD50A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980">
              <w:rPr>
                <w:rFonts w:ascii="Times New Roman" w:hAnsi="Times New Roman"/>
                <w:bCs/>
                <w:sz w:val="24"/>
                <w:szCs w:val="24"/>
              </w:rPr>
              <w:t>Taxa de Consumidores Habilitados:</w:t>
            </w:r>
          </w:p>
          <w:p w:rsidR="00AD50AB" w:rsidRPr="002E5980" w:rsidRDefault="00AD50AB" w:rsidP="000E4F7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980">
              <w:rPr>
                <w:noProof/>
                <w:lang w:eastAsia="pt-BR"/>
              </w:rPr>
              <w:drawing>
                <wp:inline distT="0" distB="0" distL="0" distR="0">
                  <wp:extent cx="2552700" cy="85725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AD50AB" w:rsidRPr="002E5980" w:rsidRDefault="00AD50AB" w:rsidP="00AD50A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980">
              <w:rPr>
                <w:rFonts w:ascii="Times New Roman" w:hAnsi="Times New Roman"/>
                <w:bCs/>
                <w:sz w:val="24"/>
                <w:szCs w:val="24"/>
              </w:rPr>
              <w:t>Taxa de Consumidores Cadastrados:</w:t>
            </w:r>
          </w:p>
          <w:p w:rsidR="00AD50AB" w:rsidRPr="002E5980" w:rsidRDefault="00AD50AB" w:rsidP="00AD50A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980">
              <w:rPr>
                <w:rFonts w:ascii="Times New Roman" w:hAnsi="Times New Roman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52700" cy="85725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0AB" w:rsidRPr="002E5980" w:rsidRDefault="00AD50AB" w:rsidP="000E4F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03D" w:rsidRPr="002E5980" w:rsidRDefault="00EB503D" w:rsidP="00EB503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E5980">
        <w:rPr>
          <w:rFonts w:ascii="Times New Roman" w:hAnsi="Times New Roman"/>
          <w:b/>
          <w:bCs/>
          <w:sz w:val="24"/>
          <w:szCs w:val="24"/>
        </w:rPr>
        <w:t>4.3</w:t>
      </w:r>
      <w:r w:rsidRPr="002E5980">
        <w:rPr>
          <w:rFonts w:ascii="Times New Roman" w:hAnsi="Times New Roman"/>
          <w:b/>
          <w:bCs/>
          <w:sz w:val="24"/>
          <w:szCs w:val="24"/>
        </w:rPr>
        <w:tab/>
        <w:t>Resultados</w:t>
      </w:r>
      <w:r w:rsidR="00C352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5980">
        <w:rPr>
          <w:rFonts w:ascii="Times New Roman" w:hAnsi="Times New Roman"/>
          <w:b/>
          <w:bCs/>
          <w:sz w:val="24"/>
          <w:szCs w:val="24"/>
        </w:rPr>
        <w:t>para o aumento da arrecadação</w:t>
      </w:r>
    </w:p>
    <w:p w:rsidR="001827C3" w:rsidRPr="002E5980" w:rsidRDefault="002B6940" w:rsidP="00ED5D4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DA8">
        <w:rPr>
          <w:rFonts w:ascii="Times New Roman" w:hAnsi="Times New Roman"/>
          <w:b/>
          <w:bCs/>
          <w:sz w:val="24"/>
          <w:szCs w:val="24"/>
        </w:rPr>
        <w:lastRenderedPageBreak/>
        <w:t>A Arrecadação Própria do Estado cresceu 45,4% em valores reais no período de 2010 a 2014, passando em termos correntes de R$ 6,3 bilhões em 2010 para R$ 11,7 bilhões, em 2014</w:t>
      </w:r>
      <w:r w:rsidR="00DE3E60" w:rsidRPr="002E5980">
        <w:rPr>
          <w:rFonts w:ascii="Times New Roman" w:hAnsi="Times New Roman"/>
          <w:bCs/>
          <w:sz w:val="24"/>
          <w:szCs w:val="24"/>
        </w:rPr>
        <w:t xml:space="preserve">, sendo que </w:t>
      </w:r>
      <w:r w:rsidRPr="002E5980">
        <w:rPr>
          <w:rFonts w:ascii="Times New Roman" w:hAnsi="Times New Roman"/>
          <w:bCs/>
          <w:sz w:val="24"/>
          <w:szCs w:val="24"/>
        </w:rPr>
        <w:t xml:space="preserve">R$ 573 milhões de ICMS </w:t>
      </w:r>
      <w:r w:rsidR="00DE3E60" w:rsidRPr="002E5980">
        <w:rPr>
          <w:rFonts w:ascii="Times New Roman" w:hAnsi="Times New Roman"/>
          <w:bCs/>
          <w:sz w:val="24"/>
          <w:szCs w:val="24"/>
        </w:rPr>
        <w:t>foram decorrentes das</w:t>
      </w:r>
      <w:r w:rsidRPr="002E5980">
        <w:rPr>
          <w:rFonts w:ascii="Times New Roman" w:hAnsi="Times New Roman"/>
          <w:bCs/>
          <w:sz w:val="24"/>
          <w:szCs w:val="24"/>
        </w:rPr>
        <w:t xml:space="preserve"> vendas do comércio varejista</w:t>
      </w:r>
      <w:r w:rsidR="00DE3E60" w:rsidRPr="002E5980">
        <w:rPr>
          <w:rFonts w:ascii="Times New Roman" w:hAnsi="Times New Roman"/>
          <w:bCs/>
          <w:sz w:val="24"/>
          <w:szCs w:val="24"/>
        </w:rPr>
        <w:t xml:space="preserve"> realizadas em 2010, </w:t>
      </w:r>
      <w:r w:rsidRPr="002E5980">
        <w:rPr>
          <w:rFonts w:ascii="Times New Roman" w:hAnsi="Times New Roman"/>
          <w:bCs/>
          <w:sz w:val="24"/>
          <w:szCs w:val="24"/>
        </w:rPr>
        <w:t>e</w:t>
      </w:r>
      <w:r w:rsidR="00DE3E60" w:rsidRPr="002E5980">
        <w:rPr>
          <w:rFonts w:ascii="Times New Roman" w:hAnsi="Times New Roman"/>
          <w:bCs/>
          <w:sz w:val="24"/>
          <w:szCs w:val="24"/>
        </w:rPr>
        <w:t>xcluindo-se</w:t>
      </w:r>
      <w:r w:rsidR="00B04289" w:rsidRPr="002E5980">
        <w:rPr>
          <w:rFonts w:ascii="Times New Roman" w:hAnsi="Times New Roman"/>
          <w:bCs/>
          <w:sz w:val="24"/>
          <w:szCs w:val="24"/>
        </w:rPr>
        <w:t>,</w:t>
      </w:r>
      <w:r w:rsidR="00C35272">
        <w:rPr>
          <w:rFonts w:ascii="Times New Roman" w:hAnsi="Times New Roman"/>
          <w:bCs/>
          <w:sz w:val="24"/>
          <w:szCs w:val="24"/>
        </w:rPr>
        <w:t xml:space="preserve"> </w:t>
      </w:r>
      <w:r w:rsidR="00B04289" w:rsidRPr="002E5980">
        <w:rPr>
          <w:rFonts w:ascii="Times New Roman" w:hAnsi="Times New Roman"/>
          <w:bCs/>
          <w:sz w:val="24"/>
          <w:szCs w:val="24"/>
        </w:rPr>
        <w:t>desse montante os valores inerentes à</w:t>
      </w:r>
      <w:r w:rsidR="00DE3E60" w:rsidRPr="002E5980">
        <w:rPr>
          <w:rFonts w:ascii="Times New Roman" w:hAnsi="Times New Roman"/>
          <w:bCs/>
          <w:sz w:val="24"/>
          <w:szCs w:val="24"/>
        </w:rPr>
        <w:t>s operações com substituição tributária (</w:t>
      </w:r>
      <w:r w:rsidRPr="002E5980">
        <w:rPr>
          <w:rFonts w:ascii="Times New Roman" w:hAnsi="Times New Roman"/>
          <w:bCs/>
          <w:sz w:val="24"/>
          <w:szCs w:val="24"/>
        </w:rPr>
        <w:t>combustíveis, bebidas, veículos, peças, pneus</w:t>
      </w:r>
      <w:r w:rsidR="00DE3E60" w:rsidRPr="002E5980">
        <w:rPr>
          <w:rFonts w:ascii="Times New Roman" w:hAnsi="Times New Roman"/>
          <w:bCs/>
          <w:sz w:val="24"/>
          <w:szCs w:val="24"/>
        </w:rPr>
        <w:t xml:space="preserve">, </w:t>
      </w:r>
      <w:r w:rsidRPr="002E5980">
        <w:rPr>
          <w:rFonts w:ascii="Times New Roman" w:hAnsi="Times New Roman"/>
          <w:bCs/>
          <w:sz w:val="24"/>
          <w:szCs w:val="24"/>
        </w:rPr>
        <w:t>medicamentos e cigarros</w:t>
      </w:r>
      <w:r w:rsidR="00DE3E60" w:rsidRPr="002E5980">
        <w:rPr>
          <w:rFonts w:ascii="Times New Roman" w:hAnsi="Times New Roman"/>
          <w:bCs/>
          <w:sz w:val="24"/>
          <w:szCs w:val="24"/>
        </w:rPr>
        <w:t>), além de minérios e madeira</w:t>
      </w:r>
      <w:r w:rsidR="00B04289" w:rsidRPr="002E5980">
        <w:rPr>
          <w:rFonts w:ascii="Times New Roman" w:hAnsi="Times New Roman"/>
          <w:bCs/>
          <w:sz w:val="24"/>
          <w:szCs w:val="24"/>
        </w:rPr>
        <w:t xml:space="preserve">, visto que a receita do imposto desses segmentos não são consideradas para efeito de apuração da premiação do Programa Nota Fiscal Cidadã. </w:t>
      </w:r>
      <w:r w:rsidR="00DE3E60" w:rsidRPr="00A67DA8">
        <w:rPr>
          <w:rFonts w:ascii="Times New Roman" w:hAnsi="Times New Roman"/>
          <w:b/>
          <w:bCs/>
          <w:sz w:val="24"/>
          <w:szCs w:val="24"/>
        </w:rPr>
        <w:t>Em</w:t>
      </w:r>
      <w:r w:rsidRPr="00A67DA8">
        <w:rPr>
          <w:rFonts w:ascii="Times New Roman" w:hAnsi="Times New Roman"/>
          <w:b/>
          <w:bCs/>
          <w:sz w:val="24"/>
          <w:szCs w:val="24"/>
        </w:rPr>
        <w:t xml:space="preserve"> 2014</w:t>
      </w:r>
      <w:r w:rsidR="00DE3E60" w:rsidRPr="00A67DA8">
        <w:rPr>
          <w:rFonts w:ascii="Times New Roman" w:hAnsi="Times New Roman"/>
          <w:b/>
          <w:bCs/>
          <w:sz w:val="24"/>
          <w:szCs w:val="24"/>
        </w:rPr>
        <w:t>,</w:t>
      </w:r>
      <w:r w:rsidR="00C35272" w:rsidRPr="00A67D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E60" w:rsidRPr="00A67DA8">
        <w:rPr>
          <w:rFonts w:ascii="Times New Roman" w:hAnsi="Times New Roman"/>
          <w:b/>
          <w:bCs/>
          <w:sz w:val="24"/>
          <w:szCs w:val="24"/>
        </w:rPr>
        <w:t>foram arrecadados</w:t>
      </w:r>
      <w:r w:rsidR="00C35272" w:rsidRPr="00A67D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4289" w:rsidRPr="00A67DA8">
        <w:rPr>
          <w:rFonts w:ascii="Times New Roman" w:hAnsi="Times New Roman"/>
          <w:b/>
          <w:bCs/>
          <w:sz w:val="24"/>
          <w:szCs w:val="24"/>
        </w:rPr>
        <w:t>pelo comércio varejista</w:t>
      </w:r>
      <w:r w:rsidR="00C35272" w:rsidRPr="00A67D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7DA8">
        <w:rPr>
          <w:rFonts w:ascii="Times New Roman" w:hAnsi="Times New Roman"/>
          <w:b/>
          <w:bCs/>
          <w:sz w:val="24"/>
          <w:szCs w:val="24"/>
        </w:rPr>
        <w:t>901 milhões</w:t>
      </w:r>
      <w:r w:rsidR="00DE3E60" w:rsidRPr="00A67DA8">
        <w:rPr>
          <w:rFonts w:ascii="Times New Roman" w:hAnsi="Times New Roman"/>
          <w:b/>
          <w:bCs/>
          <w:sz w:val="24"/>
          <w:szCs w:val="24"/>
        </w:rPr>
        <w:t xml:space="preserve"> de reais</w:t>
      </w:r>
      <w:r w:rsidR="00E0147F" w:rsidRPr="00A67D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5272" w:rsidRPr="00A67DA8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E0147F" w:rsidRPr="00A67DA8">
        <w:rPr>
          <w:rFonts w:ascii="Times New Roman" w:hAnsi="Times New Roman"/>
          <w:b/>
          <w:bCs/>
          <w:sz w:val="24"/>
          <w:szCs w:val="24"/>
        </w:rPr>
        <w:t>ICMS</w:t>
      </w:r>
      <w:r w:rsidR="00ED5D4F" w:rsidRPr="00A67DA8">
        <w:rPr>
          <w:rFonts w:ascii="Times New Roman" w:hAnsi="Times New Roman"/>
          <w:b/>
          <w:bCs/>
          <w:sz w:val="24"/>
          <w:szCs w:val="24"/>
        </w:rPr>
        <w:t>, sendo que</w:t>
      </w:r>
      <w:r w:rsidR="001827C3" w:rsidRPr="00A67DA8">
        <w:rPr>
          <w:rFonts w:ascii="Times New Roman" w:hAnsi="Times New Roman"/>
          <w:b/>
          <w:bCs/>
          <w:sz w:val="24"/>
          <w:szCs w:val="24"/>
        </w:rPr>
        <w:t xml:space="preserve"> do montante arrecadado entre todos os setores, </w:t>
      </w:r>
      <w:r w:rsidR="00ED5D4F" w:rsidRPr="00A67DA8">
        <w:rPr>
          <w:rFonts w:ascii="Times New Roman" w:hAnsi="Times New Roman"/>
          <w:b/>
          <w:bCs/>
          <w:sz w:val="24"/>
          <w:szCs w:val="24"/>
        </w:rPr>
        <w:t>nesse exercício</w:t>
      </w:r>
      <w:r w:rsidR="001827C3" w:rsidRPr="00A67DA8">
        <w:rPr>
          <w:rFonts w:ascii="Times New Roman" w:hAnsi="Times New Roman"/>
          <w:b/>
          <w:bCs/>
          <w:sz w:val="24"/>
          <w:szCs w:val="24"/>
        </w:rPr>
        <w:t>, o comércio varejista participou com 9,9 % na arrecadação de ICMS do E</w:t>
      </w:r>
      <w:r w:rsidR="00ED5D4F" w:rsidRPr="00A67DA8">
        <w:rPr>
          <w:rFonts w:ascii="Times New Roman" w:hAnsi="Times New Roman"/>
          <w:b/>
          <w:bCs/>
          <w:sz w:val="24"/>
          <w:szCs w:val="24"/>
        </w:rPr>
        <w:t>stado.</w:t>
      </w:r>
    </w:p>
    <w:p w:rsidR="00ED5D4F" w:rsidRPr="002E5980" w:rsidRDefault="006B4642" w:rsidP="00ED5D4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No ano de 2013, período de enquadramento no programa Nota fiscal Cidadã</w:t>
      </w:r>
      <w:r w:rsidR="00173EDF">
        <w:rPr>
          <w:rFonts w:ascii="Times New Roman" w:hAnsi="Times New Roman"/>
          <w:bCs/>
          <w:sz w:val="24"/>
          <w:szCs w:val="24"/>
        </w:rPr>
        <w:t xml:space="preserve"> </w:t>
      </w:r>
      <w:r w:rsidRPr="002E5980">
        <w:rPr>
          <w:rFonts w:ascii="Times New Roman" w:hAnsi="Times New Roman"/>
          <w:bCs/>
          <w:sz w:val="24"/>
          <w:szCs w:val="24"/>
        </w:rPr>
        <w:t>das atividades econômicas de alimentação, vestuário e acessórios, lojas de departamentos ou magazines e comércio varejista de móveis, estabelecidos nos municípios de Belém, Ananindeua, Marituba, Benevides, Marabá e Santarém, a arrecadação de ICMS do comércio varejista teve um crescimento em termos reais de 10,3%, destacando-se o comércio varejista de móveis aumentou 28,8%, o comércio varejista de mercadorias em geral, com predominância de produtos alimentícios e supermercados aumentou 105,5% no período, o setor de artigos do vestuário e acessórios cresceu 15,8%. No entanto, os setores</w:t>
      </w:r>
      <w:r w:rsidR="00173EDF">
        <w:rPr>
          <w:rFonts w:ascii="Times New Roman" w:hAnsi="Times New Roman"/>
          <w:bCs/>
          <w:sz w:val="24"/>
          <w:szCs w:val="24"/>
        </w:rPr>
        <w:t xml:space="preserve"> </w:t>
      </w:r>
      <w:r w:rsidRPr="002E5980">
        <w:rPr>
          <w:rFonts w:ascii="Times New Roman" w:hAnsi="Times New Roman"/>
          <w:bCs/>
          <w:sz w:val="24"/>
          <w:szCs w:val="24"/>
        </w:rPr>
        <w:t>de comércio varejista de mercadorias em geral, com predominância de produtos alimentícios - hipermercados e de departamentos e magazines sofreram uma queda de -31,1% e - 5,5% respectivamente, com crescimento no período seguinte.</w:t>
      </w:r>
    </w:p>
    <w:p w:rsidR="006B4642" w:rsidRPr="002E5980" w:rsidRDefault="006B4642" w:rsidP="00ED5D4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 xml:space="preserve">O quadro </w:t>
      </w:r>
      <w:r w:rsidR="00ED5D4F" w:rsidRPr="002E5980">
        <w:rPr>
          <w:rFonts w:ascii="Times New Roman" w:hAnsi="Times New Roman"/>
          <w:bCs/>
          <w:sz w:val="24"/>
          <w:szCs w:val="24"/>
        </w:rPr>
        <w:t xml:space="preserve">e gráficos </w:t>
      </w:r>
      <w:r w:rsidRPr="002E5980">
        <w:rPr>
          <w:rFonts w:ascii="Times New Roman" w:hAnsi="Times New Roman"/>
          <w:bCs/>
          <w:sz w:val="24"/>
          <w:szCs w:val="24"/>
        </w:rPr>
        <w:t>a seguir apresenta</w:t>
      </w:r>
      <w:r w:rsidR="00ED5D4F" w:rsidRPr="002E5980">
        <w:rPr>
          <w:rFonts w:ascii="Times New Roman" w:hAnsi="Times New Roman"/>
          <w:bCs/>
          <w:sz w:val="24"/>
          <w:szCs w:val="24"/>
        </w:rPr>
        <w:t xml:space="preserve">m os </w:t>
      </w:r>
      <w:r w:rsidRPr="002E5980">
        <w:rPr>
          <w:rFonts w:ascii="Times New Roman" w:hAnsi="Times New Roman"/>
          <w:bCs/>
          <w:sz w:val="24"/>
          <w:szCs w:val="24"/>
        </w:rPr>
        <w:t xml:space="preserve">dados </w:t>
      </w:r>
      <w:r w:rsidR="00ED5D4F" w:rsidRPr="002E5980">
        <w:rPr>
          <w:rFonts w:ascii="Times New Roman" w:hAnsi="Times New Roman"/>
          <w:bCs/>
          <w:sz w:val="24"/>
          <w:szCs w:val="24"/>
        </w:rPr>
        <w:t xml:space="preserve">da evolução da </w:t>
      </w:r>
      <w:r w:rsidRPr="002E5980">
        <w:rPr>
          <w:rFonts w:ascii="Times New Roman" w:hAnsi="Times New Roman"/>
          <w:bCs/>
          <w:sz w:val="24"/>
          <w:szCs w:val="24"/>
        </w:rPr>
        <w:t xml:space="preserve">arrecadação </w:t>
      </w:r>
      <w:r w:rsidR="00ED5D4F" w:rsidRPr="002E5980">
        <w:rPr>
          <w:rFonts w:ascii="Times New Roman" w:hAnsi="Times New Roman"/>
          <w:bCs/>
          <w:sz w:val="24"/>
          <w:szCs w:val="24"/>
        </w:rPr>
        <w:t>do ICMS pelo</w:t>
      </w:r>
      <w:r w:rsidRPr="002E5980">
        <w:rPr>
          <w:rFonts w:ascii="Times New Roman" w:hAnsi="Times New Roman"/>
          <w:bCs/>
          <w:sz w:val="24"/>
          <w:szCs w:val="24"/>
        </w:rPr>
        <w:t xml:space="preserve"> comércio varejista </w:t>
      </w:r>
      <w:r w:rsidR="00ED5D4F" w:rsidRPr="002E5980">
        <w:rPr>
          <w:rFonts w:ascii="Times New Roman" w:hAnsi="Times New Roman"/>
          <w:bCs/>
          <w:sz w:val="24"/>
          <w:szCs w:val="24"/>
        </w:rPr>
        <w:t xml:space="preserve">do Pará </w:t>
      </w:r>
      <w:r w:rsidRPr="002E5980">
        <w:rPr>
          <w:rFonts w:ascii="Times New Roman" w:hAnsi="Times New Roman"/>
          <w:bCs/>
          <w:sz w:val="24"/>
          <w:szCs w:val="24"/>
        </w:rPr>
        <w:t>em valores correntes nos anos de 2010 a 2014.</w:t>
      </w:r>
    </w:p>
    <w:p w:rsidR="002B6940" w:rsidRPr="002E5980" w:rsidRDefault="00AC4268" w:rsidP="00AC4268">
      <w:pPr>
        <w:spacing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B6940" w:rsidRPr="002E5980">
        <w:rPr>
          <w:rFonts w:ascii="Times New Roman" w:hAnsi="Times New Roman"/>
          <w:bCs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5689600" cy="281133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41" cy="28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B2" w:rsidRPr="002E5980" w:rsidRDefault="00E60CB2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268" w:rsidRDefault="00AC42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E60CB2" w:rsidRPr="002E5980" w:rsidRDefault="00E60CB2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6940" w:rsidRPr="002E5980" w:rsidRDefault="0065476C" w:rsidP="002A6F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Gráfico I - Desempenho da Arrecadação no Período 2010/2014.</w:t>
      </w:r>
    </w:p>
    <w:p w:rsidR="00017FFE" w:rsidRPr="002E5980" w:rsidRDefault="00017FFE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476C" w:rsidRPr="002E5980" w:rsidRDefault="0065476C" w:rsidP="0065476C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2E5980">
        <w:rPr>
          <w:rFonts w:ascii="Times New Roman" w:hAnsi="Times New Roman"/>
          <w:bCs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5612156" cy="2082800"/>
            <wp:effectExtent l="19050" t="1905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66" cy="208684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7FFE" w:rsidRPr="002E5980" w:rsidRDefault="00017FFE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476C" w:rsidRPr="002E5980" w:rsidRDefault="0065476C" w:rsidP="002A6F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Gráfico II–Participação na Arrecadação no Período 2010/2014</w:t>
      </w:r>
    </w:p>
    <w:p w:rsidR="00017FFE" w:rsidRPr="002E5980" w:rsidRDefault="00017FFE" w:rsidP="0065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6940" w:rsidRPr="002E5980" w:rsidRDefault="002B6940" w:rsidP="0065476C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2E5980">
        <w:rPr>
          <w:rFonts w:ascii="Times New Roman" w:hAnsi="Times New Roman"/>
          <w:bCs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5599580" cy="1922423"/>
            <wp:effectExtent l="19050" t="19050" r="127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1"/>
                    <a:stretch/>
                  </pic:blipFill>
                  <pic:spPr bwMode="auto">
                    <a:xfrm>
                      <a:off x="0" y="0"/>
                      <a:ext cx="5627480" cy="1932001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993" w:rsidRPr="002E5980" w:rsidRDefault="00F519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br w:type="page"/>
      </w:r>
    </w:p>
    <w:p w:rsidR="00E60CB2" w:rsidRPr="002E5980" w:rsidRDefault="00E60CB2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0A43FE" w:rsidRPr="002E5980" w:rsidRDefault="00E96F6F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ANEXO</w:t>
      </w:r>
      <w:r w:rsidR="00F51993" w:rsidRPr="002E5980">
        <w:rPr>
          <w:rFonts w:ascii="Times New Roman" w:hAnsi="Times New Roman"/>
          <w:bCs/>
          <w:sz w:val="24"/>
          <w:szCs w:val="24"/>
        </w:rPr>
        <w:t xml:space="preserve"> </w:t>
      </w:r>
      <w:r w:rsidRPr="002E5980">
        <w:rPr>
          <w:rFonts w:ascii="Times New Roman" w:hAnsi="Times New Roman"/>
          <w:bCs/>
          <w:sz w:val="24"/>
          <w:szCs w:val="24"/>
        </w:rPr>
        <w:t>I</w:t>
      </w:r>
      <w:r w:rsidR="00E20541" w:rsidRPr="002E5980">
        <w:rPr>
          <w:rFonts w:ascii="Times New Roman" w:hAnsi="Times New Roman"/>
          <w:bCs/>
          <w:sz w:val="24"/>
          <w:szCs w:val="24"/>
        </w:rPr>
        <w:t xml:space="preserve"> – Fluxo do Sistema de Premiação</w:t>
      </w:r>
    </w:p>
    <w:p w:rsidR="000A43FE" w:rsidRPr="002E5980" w:rsidRDefault="000A43FE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0A43FE" w:rsidRPr="002E5980" w:rsidRDefault="000A43FE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noProof/>
          <w:sz w:val="24"/>
          <w:szCs w:val="24"/>
          <w:lang w:eastAsia="pt-BR"/>
        </w:rPr>
        <w:drawing>
          <wp:inline distT="0" distB="0" distL="0" distR="0">
            <wp:extent cx="4196715" cy="2786601"/>
            <wp:effectExtent l="0" t="0" r="0" b="0"/>
            <wp:docPr id="8" name="Picture 2" descr="F:\Premiacao-sorteio_007\Fluxo Premi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Premiacao-sorteio_007\Fluxo Premiaca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53" cy="279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CEB" w:rsidRPr="002E5980" w:rsidRDefault="00217CEB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217CEB" w:rsidRPr="002E5980" w:rsidRDefault="00217CEB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ANEXO II – Resultados de Pesquisas Externas</w:t>
      </w:r>
    </w:p>
    <w:p w:rsidR="00F72B88" w:rsidRPr="002E5980" w:rsidRDefault="00F72B88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E20541" w:rsidRPr="002E5980" w:rsidRDefault="00217CEB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noProof/>
          <w:sz w:val="24"/>
          <w:szCs w:val="24"/>
          <w:lang w:eastAsia="pt-BR"/>
        </w:rPr>
        <w:drawing>
          <wp:inline distT="0" distB="0" distL="0" distR="0">
            <wp:extent cx="5029190" cy="2634952"/>
            <wp:effectExtent l="0" t="0" r="63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377" cy="263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2E" w:rsidRPr="002E5980" w:rsidRDefault="00CF6E2E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E20541" w:rsidRPr="002E5980" w:rsidRDefault="00E20541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ANEXO II</w:t>
      </w:r>
      <w:r w:rsidR="00217CEB" w:rsidRPr="002E5980">
        <w:rPr>
          <w:rFonts w:ascii="Times New Roman" w:hAnsi="Times New Roman"/>
          <w:bCs/>
          <w:sz w:val="24"/>
          <w:szCs w:val="24"/>
        </w:rPr>
        <w:t>I</w:t>
      </w:r>
      <w:r w:rsidRPr="002E5980">
        <w:rPr>
          <w:rFonts w:ascii="Times New Roman" w:hAnsi="Times New Roman"/>
          <w:bCs/>
          <w:sz w:val="24"/>
          <w:szCs w:val="24"/>
        </w:rPr>
        <w:t xml:space="preserve"> – Resultados de Pesquisas </w:t>
      </w:r>
      <w:r w:rsidR="004D3F2A" w:rsidRPr="002E5980">
        <w:rPr>
          <w:rFonts w:ascii="Times New Roman" w:hAnsi="Times New Roman"/>
          <w:bCs/>
          <w:sz w:val="24"/>
          <w:szCs w:val="24"/>
        </w:rPr>
        <w:t>Externas</w:t>
      </w:r>
    </w:p>
    <w:p w:rsidR="00E20541" w:rsidRPr="002E5980" w:rsidRDefault="00E20541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E20541" w:rsidRPr="002E5980" w:rsidRDefault="00E20541" w:rsidP="00E60CB2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43600" cy="2740389"/>
            <wp:effectExtent l="0" t="0" r="0" b="3175"/>
            <wp:docPr id="1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3F" w:rsidRPr="002E5980" w:rsidRDefault="00C93B3F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541" w:rsidRPr="002E5980" w:rsidRDefault="00217CEB" w:rsidP="00E60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980">
        <w:rPr>
          <w:rFonts w:ascii="Times New Roman" w:hAnsi="Times New Roman"/>
          <w:bCs/>
          <w:sz w:val="24"/>
          <w:szCs w:val="24"/>
        </w:rPr>
        <w:t>ANEXO IV</w:t>
      </w:r>
    </w:p>
    <w:p w:rsidR="00E60CB2" w:rsidRPr="002E5980" w:rsidRDefault="00E60CB2" w:rsidP="00E60C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CB2" w:rsidRPr="002E5980" w:rsidRDefault="00E60CB2" w:rsidP="00E60C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56AB" w:rsidRPr="002E5980" w:rsidRDefault="00D11F6F" w:rsidP="00CF6E2E">
      <w:pPr>
        <w:pStyle w:val="PargrafodaList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9.85pt;margin-top:-21.75pt;width:368pt;height:222.5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">
            <v:textbox style="mso-next-textbox:#Caixa de Texto 2">
              <w:txbxContent>
                <w:p w:rsidR="00E20541" w:rsidRDefault="00E20541" w:rsidP="00E20541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191000" cy="2619375"/>
                        <wp:effectExtent l="19050" t="0" r="0" b="0"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/>
                                <pic:cNvPicPr/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812" t="10445" r="21047" b="113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96402" cy="26227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72B88" w:rsidRPr="002E5980">
        <w:rPr>
          <w:rFonts w:ascii="Times New Roman" w:hAnsi="Times New Roman"/>
          <w:bCs/>
          <w:noProof/>
          <w:sz w:val="24"/>
          <w:szCs w:val="24"/>
          <w:lang w:eastAsia="pt-BR"/>
        </w:rPr>
        <w:drawing>
          <wp:inline distT="0" distB="0" distL="0" distR="0">
            <wp:extent cx="5937250" cy="2933700"/>
            <wp:effectExtent l="0" t="0" r="6350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6AB" w:rsidRPr="002E5980" w:rsidSect="00546C1E">
      <w:footerReference w:type="default" r:id="rId18"/>
      <w:pgSz w:w="11907" w:h="16840" w:code="9"/>
      <w:pgMar w:top="1418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6F" w:rsidRDefault="00D11F6F" w:rsidP="00900AA9">
      <w:pPr>
        <w:spacing w:after="0" w:line="240" w:lineRule="auto"/>
      </w:pPr>
      <w:r>
        <w:separator/>
      </w:r>
    </w:p>
  </w:endnote>
  <w:endnote w:type="continuationSeparator" w:id="0">
    <w:p w:rsidR="00D11F6F" w:rsidRDefault="00D11F6F" w:rsidP="0090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275549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46C1E" w:rsidRPr="00546C1E" w:rsidRDefault="00546C1E">
            <w:pPr>
              <w:pStyle w:val="Rodap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6C1E">
              <w:rPr>
                <w:rFonts w:ascii="Times New Roman" w:hAnsi="Times New Roman"/>
                <w:sz w:val="20"/>
                <w:szCs w:val="20"/>
              </w:rPr>
              <w:t xml:space="preserve">Página </w:t>
            </w:r>
            <w:r w:rsidR="00182B76" w:rsidRPr="00546C1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46C1E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182B76" w:rsidRPr="00546C1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644BD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="00182B76" w:rsidRPr="00546C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46C1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182B76" w:rsidRPr="00546C1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46C1E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182B76" w:rsidRPr="00546C1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644BD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="00182B76" w:rsidRPr="00546C1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546C1E" w:rsidRDefault="00546C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6F" w:rsidRDefault="00D11F6F" w:rsidP="00900AA9">
      <w:pPr>
        <w:spacing w:after="0" w:line="240" w:lineRule="auto"/>
      </w:pPr>
      <w:r>
        <w:separator/>
      </w:r>
    </w:p>
  </w:footnote>
  <w:footnote w:type="continuationSeparator" w:id="0">
    <w:p w:rsidR="00D11F6F" w:rsidRDefault="00D11F6F" w:rsidP="0090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BB5"/>
    <w:multiLevelType w:val="hybridMultilevel"/>
    <w:tmpl w:val="6FA46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F2F"/>
    <w:multiLevelType w:val="hybridMultilevel"/>
    <w:tmpl w:val="3112C6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5E3BF1"/>
    <w:multiLevelType w:val="hybridMultilevel"/>
    <w:tmpl w:val="46B04B6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A02B6"/>
    <w:multiLevelType w:val="hybridMultilevel"/>
    <w:tmpl w:val="7E340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76B1A"/>
    <w:multiLevelType w:val="hybridMultilevel"/>
    <w:tmpl w:val="0D908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3A75"/>
    <w:multiLevelType w:val="hybridMultilevel"/>
    <w:tmpl w:val="C868EC8E"/>
    <w:lvl w:ilvl="0" w:tplc="4B7C32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277867B8"/>
    <w:multiLevelType w:val="multilevel"/>
    <w:tmpl w:val="336ABD72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AA53F33"/>
    <w:multiLevelType w:val="hybridMultilevel"/>
    <w:tmpl w:val="0F42CE2C"/>
    <w:lvl w:ilvl="0" w:tplc="C23E35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1072C8"/>
    <w:multiLevelType w:val="hybridMultilevel"/>
    <w:tmpl w:val="E7C4F8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F7053E"/>
    <w:multiLevelType w:val="hybridMultilevel"/>
    <w:tmpl w:val="870C5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06EB2"/>
    <w:multiLevelType w:val="hybridMultilevel"/>
    <w:tmpl w:val="09C2C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04117"/>
    <w:multiLevelType w:val="hybridMultilevel"/>
    <w:tmpl w:val="81A8961A"/>
    <w:lvl w:ilvl="0" w:tplc="4C0CF952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 w15:restartNumberingAfterBreak="0">
    <w:nsid w:val="45CD142B"/>
    <w:multiLevelType w:val="hybridMultilevel"/>
    <w:tmpl w:val="AF4EF2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F5A0B"/>
    <w:multiLevelType w:val="hybridMultilevel"/>
    <w:tmpl w:val="3FDAEA44"/>
    <w:lvl w:ilvl="0" w:tplc="DF984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0DA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A10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66FC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0CF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411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17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8EF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60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B014E"/>
    <w:multiLevelType w:val="hybridMultilevel"/>
    <w:tmpl w:val="5A3E6A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6572B"/>
    <w:multiLevelType w:val="hybridMultilevel"/>
    <w:tmpl w:val="89865E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520418FB"/>
    <w:multiLevelType w:val="multilevel"/>
    <w:tmpl w:val="BC0EF7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87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7" w15:restartNumberingAfterBreak="0">
    <w:nsid w:val="521127A3"/>
    <w:multiLevelType w:val="hybridMultilevel"/>
    <w:tmpl w:val="98CEC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A19C0"/>
    <w:multiLevelType w:val="hybridMultilevel"/>
    <w:tmpl w:val="BF6285E4"/>
    <w:lvl w:ilvl="0" w:tplc="81728F9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6F8F"/>
    <w:multiLevelType w:val="hybridMultilevel"/>
    <w:tmpl w:val="2D322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3DFA"/>
    <w:multiLevelType w:val="hybridMultilevel"/>
    <w:tmpl w:val="A586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C6913"/>
    <w:multiLevelType w:val="hybridMultilevel"/>
    <w:tmpl w:val="BCAE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60D7B"/>
    <w:multiLevelType w:val="hybridMultilevel"/>
    <w:tmpl w:val="C6C2A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EF0E0E"/>
    <w:multiLevelType w:val="hybridMultilevel"/>
    <w:tmpl w:val="DD74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75B39"/>
    <w:multiLevelType w:val="multilevel"/>
    <w:tmpl w:val="0416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83189C"/>
    <w:multiLevelType w:val="hybridMultilevel"/>
    <w:tmpl w:val="A92EC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1F89"/>
    <w:multiLevelType w:val="hybridMultilevel"/>
    <w:tmpl w:val="2612C8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6"/>
  </w:num>
  <w:num w:numId="20">
    <w:abstractNumId w:val="7"/>
  </w:num>
  <w:num w:numId="21">
    <w:abstractNumId w:val="24"/>
  </w:num>
  <w:num w:numId="22">
    <w:abstractNumId w:val="11"/>
  </w:num>
  <w:num w:numId="23">
    <w:abstractNumId w:val="22"/>
  </w:num>
  <w:num w:numId="24">
    <w:abstractNumId w:val="15"/>
  </w:num>
  <w:num w:numId="25">
    <w:abstractNumId w:val="5"/>
  </w:num>
  <w:num w:numId="26">
    <w:abstractNumId w:val="20"/>
  </w:num>
  <w:num w:numId="27">
    <w:abstractNumId w:val="4"/>
  </w:num>
  <w:num w:numId="28">
    <w:abstractNumId w:val="19"/>
  </w:num>
  <w:num w:numId="29">
    <w:abstractNumId w:val="25"/>
  </w:num>
  <w:num w:numId="30">
    <w:abstractNumId w:val="17"/>
  </w:num>
  <w:num w:numId="31">
    <w:abstractNumId w:val="10"/>
  </w:num>
  <w:num w:numId="32">
    <w:abstractNumId w:val="8"/>
  </w:num>
  <w:num w:numId="33">
    <w:abstractNumId w:val="14"/>
  </w:num>
  <w:num w:numId="34">
    <w:abstractNumId w:val="2"/>
  </w:num>
  <w:num w:numId="35">
    <w:abstractNumId w:val="12"/>
  </w:num>
  <w:num w:numId="36">
    <w:abstractNumId w:val="3"/>
  </w:num>
  <w:num w:numId="37">
    <w:abstractNumId w:val="23"/>
  </w:num>
  <w:num w:numId="38">
    <w:abstractNumId w:val="18"/>
  </w:num>
  <w:num w:numId="39">
    <w:abstractNumId w:val="0"/>
  </w:num>
  <w:num w:numId="40">
    <w:abstractNumId w:val="26"/>
  </w:num>
  <w:num w:numId="41">
    <w:abstractNumId w:val="13"/>
  </w:num>
  <w:num w:numId="42">
    <w:abstractNumId w:val="21"/>
  </w:num>
  <w:num w:numId="43">
    <w:abstractNumId w:val="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39"/>
    <w:rsid w:val="00013877"/>
    <w:rsid w:val="00017FFE"/>
    <w:rsid w:val="00022446"/>
    <w:rsid w:val="000279E8"/>
    <w:rsid w:val="000347D7"/>
    <w:rsid w:val="00052C35"/>
    <w:rsid w:val="00053117"/>
    <w:rsid w:val="00053DB3"/>
    <w:rsid w:val="00053E0A"/>
    <w:rsid w:val="00075ABB"/>
    <w:rsid w:val="0007666B"/>
    <w:rsid w:val="00076EE3"/>
    <w:rsid w:val="000824CE"/>
    <w:rsid w:val="00084461"/>
    <w:rsid w:val="00086AFC"/>
    <w:rsid w:val="00087A06"/>
    <w:rsid w:val="000955DE"/>
    <w:rsid w:val="00097B09"/>
    <w:rsid w:val="000A4157"/>
    <w:rsid w:val="000A43FE"/>
    <w:rsid w:val="000B2BE5"/>
    <w:rsid w:val="000E4F7C"/>
    <w:rsid w:val="000F15B3"/>
    <w:rsid w:val="001011B5"/>
    <w:rsid w:val="00105536"/>
    <w:rsid w:val="001154DB"/>
    <w:rsid w:val="001214F8"/>
    <w:rsid w:val="0014029B"/>
    <w:rsid w:val="001419D3"/>
    <w:rsid w:val="001428DA"/>
    <w:rsid w:val="00146DFA"/>
    <w:rsid w:val="001515C6"/>
    <w:rsid w:val="00154203"/>
    <w:rsid w:val="00164257"/>
    <w:rsid w:val="00165355"/>
    <w:rsid w:val="00173EDF"/>
    <w:rsid w:val="001756AB"/>
    <w:rsid w:val="00175997"/>
    <w:rsid w:val="0017737D"/>
    <w:rsid w:val="00180294"/>
    <w:rsid w:val="00181BA3"/>
    <w:rsid w:val="001827C3"/>
    <w:rsid w:val="00182995"/>
    <w:rsid w:val="00182B76"/>
    <w:rsid w:val="00183363"/>
    <w:rsid w:val="001928B2"/>
    <w:rsid w:val="00197709"/>
    <w:rsid w:val="001A284D"/>
    <w:rsid w:val="001A5303"/>
    <w:rsid w:val="001A55CB"/>
    <w:rsid w:val="001A63DC"/>
    <w:rsid w:val="001A73E2"/>
    <w:rsid w:val="001C1004"/>
    <w:rsid w:val="001C5F32"/>
    <w:rsid w:val="001D46E3"/>
    <w:rsid w:val="001E282F"/>
    <w:rsid w:val="001E3D42"/>
    <w:rsid w:val="001F649A"/>
    <w:rsid w:val="00217237"/>
    <w:rsid w:val="00217CEB"/>
    <w:rsid w:val="00220FB1"/>
    <w:rsid w:val="00221ECB"/>
    <w:rsid w:val="00240613"/>
    <w:rsid w:val="00243697"/>
    <w:rsid w:val="00243CEF"/>
    <w:rsid w:val="00246634"/>
    <w:rsid w:val="00253308"/>
    <w:rsid w:val="00276374"/>
    <w:rsid w:val="00282A19"/>
    <w:rsid w:val="00290AB8"/>
    <w:rsid w:val="002A3E3B"/>
    <w:rsid w:val="002A6FBB"/>
    <w:rsid w:val="002A7085"/>
    <w:rsid w:val="002A7210"/>
    <w:rsid w:val="002B1A1A"/>
    <w:rsid w:val="002B6940"/>
    <w:rsid w:val="002D456C"/>
    <w:rsid w:val="002D73B6"/>
    <w:rsid w:val="002E48EC"/>
    <w:rsid w:val="002E58AF"/>
    <w:rsid w:val="002E5980"/>
    <w:rsid w:val="00301ABC"/>
    <w:rsid w:val="00306BB1"/>
    <w:rsid w:val="00311223"/>
    <w:rsid w:val="00311ECD"/>
    <w:rsid w:val="00343114"/>
    <w:rsid w:val="00346407"/>
    <w:rsid w:val="00350337"/>
    <w:rsid w:val="00352980"/>
    <w:rsid w:val="00357040"/>
    <w:rsid w:val="003606BD"/>
    <w:rsid w:val="00361604"/>
    <w:rsid w:val="00365F64"/>
    <w:rsid w:val="00370942"/>
    <w:rsid w:val="00385770"/>
    <w:rsid w:val="003A58E4"/>
    <w:rsid w:val="003B0F46"/>
    <w:rsid w:val="003B1B9D"/>
    <w:rsid w:val="003B3E0D"/>
    <w:rsid w:val="003C269C"/>
    <w:rsid w:val="003C40A1"/>
    <w:rsid w:val="003D323E"/>
    <w:rsid w:val="003E0019"/>
    <w:rsid w:val="003F4A97"/>
    <w:rsid w:val="003F6EEA"/>
    <w:rsid w:val="003F7328"/>
    <w:rsid w:val="004109E6"/>
    <w:rsid w:val="00416B32"/>
    <w:rsid w:val="004345A2"/>
    <w:rsid w:val="004416D2"/>
    <w:rsid w:val="00442A32"/>
    <w:rsid w:val="004452B9"/>
    <w:rsid w:val="004465BD"/>
    <w:rsid w:val="00453230"/>
    <w:rsid w:val="004715DF"/>
    <w:rsid w:val="004716F4"/>
    <w:rsid w:val="004746C9"/>
    <w:rsid w:val="00477EAD"/>
    <w:rsid w:val="004802A8"/>
    <w:rsid w:val="0048796C"/>
    <w:rsid w:val="00490898"/>
    <w:rsid w:val="00491AE8"/>
    <w:rsid w:val="00494A44"/>
    <w:rsid w:val="00497CC1"/>
    <w:rsid w:val="004A2B8A"/>
    <w:rsid w:val="004C1FCF"/>
    <w:rsid w:val="004D1C40"/>
    <w:rsid w:val="004D2A66"/>
    <w:rsid w:val="004D3F2A"/>
    <w:rsid w:val="004D4569"/>
    <w:rsid w:val="004E02A2"/>
    <w:rsid w:val="004E450F"/>
    <w:rsid w:val="004E485E"/>
    <w:rsid w:val="004F2111"/>
    <w:rsid w:val="0051061D"/>
    <w:rsid w:val="00512B63"/>
    <w:rsid w:val="005201DB"/>
    <w:rsid w:val="005264B3"/>
    <w:rsid w:val="00546C1E"/>
    <w:rsid w:val="00552CE7"/>
    <w:rsid w:val="00567A79"/>
    <w:rsid w:val="0058243B"/>
    <w:rsid w:val="00585C3E"/>
    <w:rsid w:val="005A2439"/>
    <w:rsid w:val="005C3C69"/>
    <w:rsid w:val="005E2ACB"/>
    <w:rsid w:val="005E3C3B"/>
    <w:rsid w:val="005E763D"/>
    <w:rsid w:val="005F6592"/>
    <w:rsid w:val="00603F59"/>
    <w:rsid w:val="006149BB"/>
    <w:rsid w:val="00622A22"/>
    <w:rsid w:val="00622E73"/>
    <w:rsid w:val="00637337"/>
    <w:rsid w:val="00642D87"/>
    <w:rsid w:val="0064342E"/>
    <w:rsid w:val="0064670F"/>
    <w:rsid w:val="0065476C"/>
    <w:rsid w:val="00662615"/>
    <w:rsid w:val="00671B5C"/>
    <w:rsid w:val="006740B6"/>
    <w:rsid w:val="00685F6C"/>
    <w:rsid w:val="006860ED"/>
    <w:rsid w:val="00696C69"/>
    <w:rsid w:val="006B402F"/>
    <w:rsid w:val="006B4642"/>
    <w:rsid w:val="006C1E1D"/>
    <w:rsid w:val="006C50E6"/>
    <w:rsid w:val="006D1659"/>
    <w:rsid w:val="006E2C55"/>
    <w:rsid w:val="006F4752"/>
    <w:rsid w:val="006F4888"/>
    <w:rsid w:val="007147F7"/>
    <w:rsid w:val="00723196"/>
    <w:rsid w:val="00753E4A"/>
    <w:rsid w:val="00773185"/>
    <w:rsid w:val="007759A3"/>
    <w:rsid w:val="0078110D"/>
    <w:rsid w:val="00793984"/>
    <w:rsid w:val="00797906"/>
    <w:rsid w:val="007A0787"/>
    <w:rsid w:val="007A718F"/>
    <w:rsid w:val="007B0371"/>
    <w:rsid w:val="007C4BA8"/>
    <w:rsid w:val="007D4185"/>
    <w:rsid w:val="007D77E7"/>
    <w:rsid w:val="007D7EEB"/>
    <w:rsid w:val="007E4049"/>
    <w:rsid w:val="007E75C8"/>
    <w:rsid w:val="007F2860"/>
    <w:rsid w:val="00800941"/>
    <w:rsid w:val="0081265B"/>
    <w:rsid w:val="00812F6A"/>
    <w:rsid w:val="00817A69"/>
    <w:rsid w:val="0082310E"/>
    <w:rsid w:val="00831819"/>
    <w:rsid w:val="00831C78"/>
    <w:rsid w:val="008358EE"/>
    <w:rsid w:val="00836E48"/>
    <w:rsid w:val="0084745F"/>
    <w:rsid w:val="0085194A"/>
    <w:rsid w:val="00852682"/>
    <w:rsid w:val="008626EC"/>
    <w:rsid w:val="008646CF"/>
    <w:rsid w:val="00884B7C"/>
    <w:rsid w:val="00887251"/>
    <w:rsid w:val="00887E35"/>
    <w:rsid w:val="008933A2"/>
    <w:rsid w:val="008B03C6"/>
    <w:rsid w:val="008B1EF8"/>
    <w:rsid w:val="008C0866"/>
    <w:rsid w:val="008D1800"/>
    <w:rsid w:val="008D5166"/>
    <w:rsid w:val="008D5281"/>
    <w:rsid w:val="008D6D7B"/>
    <w:rsid w:val="008E104E"/>
    <w:rsid w:val="008E36B7"/>
    <w:rsid w:val="008F41C3"/>
    <w:rsid w:val="008F5FD0"/>
    <w:rsid w:val="00900AA9"/>
    <w:rsid w:val="00925916"/>
    <w:rsid w:val="0095485A"/>
    <w:rsid w:val="0096187A"/>
    <w:rsid w:val="00966002"/>
    <w:rsid w:val="00973E9C"/>
    <w:rsid w:val="00983E9C"/>
    <w:rsid w:val="0099398D"/>
    <w:rsid w:val="00993E0E"/>
    <w:rsid w:val="009B2B20"/>
    <w:rsid w:val="009B492B"/>
    <w:rsid w:val="009C3AE1"/>
    <w:rsid w:val="009E517E"/>
    <w:rsid w:val="009F5103"/>
    <w:rsid w:val="00A034B2"/>
    <w:rsid w:val="00A22923"/>
    <w:rsid w:val="00A265AE"/>
    <w:rsid w:val="00A27F4E"/>
    <w:rsid w:val="00A32D39"/>
    <w:rsid w:val="00A47350"/>
    <w:rsid w:val="00A54FFE"/>
    <w:rsid w:val="00A57248"/>
    <w:rsid w:val="00A67DA8"/>
    <w:rsid w:val="00A71DEC"/>
    <w:rsid w:val="00A81BED"/>
    <w:rsid w:val="00A81E29"/>
    <w:rsid w:val="00A828A4"/>
    <w:rsid w:val="00A82B3E"/>
    <w:rsid w:val="00A844F0"/>
    <w:rsid w:val="00A853C7"/>
    <w:rsid w:val="00A907E0"/>
    <w:rsid w:val="00A90D6D"/>
    <w:rsid w:val="00A949A0"/>
    <w:rsid w:val="00AA1D99"/>
    <w:rsid w:val="00AA476F"/>
    <w:rsid w:val="00AA67B4"/>
    <w:rsid w:val="00AA7675"/>
    <w:rsid w:val="00AC4268"/>
    <w:rsid w:val="00AD139D"/>
    <w:rsid w:val="00AD50AB"/>
    <w:rsid w:val="00AD5B5D"/>
    <w:rsid w:val="00AE13C7"/>
    <w:rsid w:val="00AE6DC8"/>
    <w:rsid w:val="00AF6A8B"/>
    <w:rsid w:val="00B04289"/>
    <w:rsid w:val="00B04F49"/>
    <w:rsid w:val="00B15823"/>
    <w:rsid w:val="00B3237F"/>
    <w:rsid w:val="00B329D7"/>
    <w:rsid w:val="00B40389"/>
    <w:rsid w:val="00B52579"/>
    <w:rsid w:val="00B52937"/>
    <w:rsid w:val="00B609CC"/>
    <w:rsid w:val="00B612C0"/>
    <w:rsid w:val="00B6561B"/>
    <w:rsid w:val="00B709C9"/>
    <w:rsid w:val="00B73E11"/>
    <w:rsid w:val="00B769E4"/>
    <w:rsid w:val="00B827C8"/>
    <w:rsid w:val="00B94ADD"/>
    <w:rsid w:val="00B95C38"/>
    <w:rsid w:val="00BB18AE"/>
    <w:rsid w:val="00BB55BC"/>
    <w:rsid w:val="00BD39AC"/>
    <w:rsid w:val="00BD6B4B"/>
    <w:rsid w:val="00BD7CD0"/>
    <w:rsid w:val="00BE1696"/>
    <w:rsid w:val="00BF2349"/>
    <w:rsid w:val="00BF2916"/>
    <w:rsid w:val="00C04025"/>
    <w:rsid w:val="00C0494F"/>
    <w:rsid w:val="00C3086A"/>
    <w:rsid w:val="00C35272"/>
    <w:rsid w:val="00C35F88"/>
    <w:rsid w:val="00C4572F"/>
    <w:rsid w:val="00C46D41"/>
    <w:rsid w:val="00C564C5"/>
    <w:rsid w:val="00C71F82"/>
    <w:rsid w:val="00C865CD"/>
    <w:rsid w:val="00C93B3F"/>
    <w:rsid w:val="00CB0438"/>
    <w:rsid w:val="00CB1827"/>
    <w:rsid w:val="00CC365D"/>
    <w:rsid w:val="00CC421E"/>
    <w:rsid w:val="00CC6364"/>
    <w:rsid w:val="00CC77B9"/>
    <w:rsid w:val="00CD02BF"/>
    <w:rsid w:val="00CD6EB3"/>
    <w:rsid w:val="00CD7B99"/>
    <w:rsid w:val="00CE2C73"/>
    <w:rsid w:val="00CE35A1"/>
    <w:rsid w:val="00CE4751"/>
    <w:rsid w:val="00CF1D52"/>
    <w:rsid w:val="00CF6E2E"/>
    <w:rsid w:val="00CF6E31"/>
    <w:rsid w:val="00D0735B"/>
    <w:rsid w:val="00D11F6F"/>
    <w:rsid w:val="00D22D3C"/>
    <w:rsid w:val="00D4670F"/>
    <w:rsid w:val="00D507EF"/>
    <w:rsid w:val="00D55684"/>
    <w:rsid w:val="00D62548"/>
    <w:rsid w:val="00D644BD"/>
    <w:rsid w:val="00D70B69"/>
    <w:rsid w:val="00D903A8"/>
    <w:rsid w:val="00D93C1A"/>
    <w:rsid w:val="00D94B2D"/>
    <w:rsid w:val="00DA4337"/>
    <w:rsid w:val="00DA63C4"/>
    <w:rsid w:val="00DA6B88"/>
    <w:rsid w:val="00DC0DC1"/>
    <w:rsid w:val="00DC69AE"/>
    <w:rsid w:val="00DC6E95"/>
    <w:rsid w:val="00DD45FA"/>
    <w:rsid w:val="00DE3E60"/>
    <w:rsid w:val="00DE78D5"/>
    <w:rsid w:val="00DF636A"/>
    <w:rsid w:val="00E0147F"/>
    <w:rsid w:val="00E06AB6"/>
    <w:rsid w:val="00E11561"/>
    <w:rsid w:val="00E12ECA"/>
    <w:rsid w:val="00E20541"/>
    <w:rsid w:val="00E32AF4"/>
    <w:rsid w:val="00E34938"/>
    <w:rsid w:val="00E4300A"/>
    <w:rsid w:val="00E51531"/>
    <w:rsid w:val="00E540AB"/>
    <w:rsid w:val="00E60CB2"/>
    <w:rsid w:val="00E651E4"/>
    <w:rsid w:val="00E71BBA"/>
    <w:rsid w:val="00E80BD4"/>
    <w:rsid w:val="00E80F1D"/>
    <w:rsid w:val="00E82A15"/>
    <w:rsid w:val="00E82EFF"/>
    <w:rsid w:val="00E86A14"/>
    <w:rsid w:val="00E95AA4"/>
    <w:rsid w:val="00E96F6F"/>
    <w:rsid w:val="00EA0432"/>
    <w:rsid w:val="00EB39E8"/>
    <w:rsid w:val="00EB503D"/>
    <w:rsid w:val="00EC0649"/>
    <w:rsid w:val="00EC661D"/>
    <w:rsid w:val="00EC748F"/>
    <w:rsid w:val="00ED5D4F"/>
    <w:rsid w:val="00EE2A07"/>
    <w:rsid w:val="00EE7280"/>
    <w:rsid w:val="00EF373B"/>
    <w:rsid w:val="00F05390"/>
    <w:rsid w:val="00F05D26"/>
    <w:rsid w:val="00F25CE7"/>
    <w:rsid w:val="00F312C2"/>
    <w:rsid w:val="00F31560"/>
    <w:rsid w:val="00F33154"/>
    <w:rsid w:val="00F34A7A"/>
    <w:rsid w:val="00F51993"/>
    <w:rsid w:val="00F5773D"/>
    <w:rsid w:val="00F6515D"/>
    <w:rsid w:val="00F6534B"/>
    <w:rsid w:val="00F67BFF"/>
    <w:rsid w:val="00F72010"/>
    <w:rsid w:val="00F72B88"/>
    <w:rsid w:val="00F83FD0"/>
    <w:rsid w:val="00F85B28"/>
    <w:rsid w:val="00F868E7"/>
    <w:rsid w:val="00F87805"/>
    <w:rsid w:val="00F9278F"/>
    <w:rsid w:val="00F94024"/>
    <w:rsid w:val="00FA1A2C"/>
    <w:rsid w:val="00FA5D0F"/>
    <w:rsid w:val="00FB304E"/>
    <w:rsid w:val="00FC301A"/>
    <w:rsid w:val="00FD17E2"/>
    <w:rsid w:val="00FE53B9"/>
    <w:rsid w:val="00FF1F0C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EAE398-D7E5-4159-84D7-65438720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39"/>
    <w:pPr>
      <w:spacing w:after="200" w:line="276" w:lineRule="auto"/>
    </w:pPr>
    <w:rPr>
      <w:lang w:eastAsia="en-US"/>
    </w:rPr>
  </w:style>
  <w:style w:type="paragraph" w:styleId="Ttulo1">
    <w:name w:val="heading 1"/>
    <w:aliases w:val="Heading 1-Agriteam"/>
    <w:basedOn w:val="Normal"/>
    <w:next w:val="Normal"/>
    <w:link w:val="Ttulo1Char"/>
    <w:uiPriority w:val="99"/>
    <w:qFormat/>
    <w:rsid w:val="00C865CD"/>
    <w:pPr>
      <w:keepNext/>
      <w:numPr>
        <w:numId w:val="18"/>
      </w:numPr>
      <w:pBdr>
        <w:bottom w:val="single" w:sz="12" w:space="12" w:color="auto"/>
      </w:pBdr>
      <w:spacing w:after="240" w:line="240" w:lineRule="auto"/>
      <w:outlineLvl w:val="0"/>
    </w:pPr>
    <w:rPr>
      <w:rFonts w:eastAsia="Times New Roman"/>
      <w:b/>
      <w:caps/>
      <w:sz w:val="32"/>
    </w:rPr>
  </w:style>
  <w:style w:type="paragraph" w:styleId="Ttulo2">
    <w:name w:val="heading 2"/>
    <w:aliases w:val="Heading 2-Agriteam"/>
    <w:basedOn w:val="Normal"/>
    <w:next w:val="Normal"/>
    <w:link w:val="Ttulo2Char"/>
    <w:uiPriority w:val="99"/>
    <w:qFormat/>
    <w:rsid w:val="00C865CD"/>
    <w:pPr>
      <w:keepNext/>
      <w:numPr>
        <w:ilvl w:val="1"/>
        <w:numId w:val="18"/>
      </w:numPr>
      <w:spacing w:before="120" w:after="120"/>
      <w:outlineLvl w:val="1"/>
    </w:pPr>
    <w:rPr>
      <w:rFonts w:eastAsia="Times New Roman"/>
      <w:b/>
      <w:sz w:val="26"/>
    </w:rPr>
  </w:style>
  <w:style w:type="paragraph" w:styleId="Ttulo3">
    <w:name w:val="heading 3"/>
    <w:aliases w:val="Heading 3-Agriteam"/>
    <w:basedOn w:val="Normal"/>
    <w:next w:val="Normal"/>
    <w:link w:val="Ttulo3Char"/>
    <w:uiPriority w:val="99"/>
    <w:qFormat/>
    <w:rsid w:val="00C865CD"/>
    <w:pPr>
      <w:keepNext/>
      <w:numPr>
        <w:ilvl w:val="2"/>
        <w:numId w:val="18"/>
      </w:numPr>
      <w:spacing w:before="120"/>
      <w:outlineLvl w:val="2"/>
    </w:pPr>
    <w:rPr>
      <w:rFonts w:eastAsia="Times New Roman"/>
      <w:b/>
      <w:color w:val="000000"/>
    </w:rPr>
  </w:style>
  <w:style w:type="paragraph" w:styleId="Ttulo4">
    <w:name w:val="heading 4"/>
    <w:basedOn w:val="Normal"/>
    <w:next w:val="Normal"/>
    <w:link w:val="Ttulo4Char"/>
    <w:uiPriority w:val="99"/>
    <w:qFormat/>
    <w:rsid w:val="00C865CD"/>
    <w:pPr>
      <w:keepNext/>
      <w:numPr>
        <w:ilvl w:val="3"/>
        <w:numId w:val="18"/>
      </w:numPr>
      <w:spacing w:before="120"/>
      <w:outlineLvl w:val="3"/>
    </w:pPr>
    <w:rPr>
      <w:rFonts w:eastAsia="Times New Roman"/>
      <w:b/>
      <w:i/>
    </w:rPr>
  </w:style>
  <w:style w:type="paragraph" w:styleId="Ttulo5">
    <w:name w:val="heading 5"/>
    <w:basedOn w:val="Normal"/>
    <w:next w:val="Normal"/>
    <w:link w:val="Ttulo5Char"/>
    <w:uiPriority w:val="99"/>
    <w:qFormat/>
    <w:rsid w:val="00C865CD"/>
    <w:pPr>
      <w:keepNext/>
      <w:numPr>
        <w:ilvl w:val="4"/>
        <w:numId w:val="18"/>
      </w:numPr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C865CD"/>
    <w:pPr>
      <w:numPr>
        <w:ilvl w:val="5"/>
        <w:numId w:val="18"/>
      </w:numPr>
      <w:spacing w:before="240" w:after="60"/>
      <w:outlineLvl w:val="5"/>
    </w:pPr>
    <w:rPr>
      <w:rFonts w:eastAsia="Times New Roman"/>
      <w:i/>
    </w:rPr>
  </w:style>
  <w:style w:type="paragraph" w:styleId="Ttulo7">
    <w:name w:val="heading 7"/>
    <w:basedOn w:val="Normal"/>
    <w:next w:val="Normal"/>
    <w:link w:val="Ttulo7Char"/>
    <w:uiPriority w:val="99"/>
    <w:qFormat/>
    <w:rsid w:val="00C865CD"/>
    <w:pPr>
      <w:numPr>
        <w:ilvl w:val="6"/>
        <w:numId w:val="18"/>
      </w:numPr>
      <w:spacing w:before="240" w:after="60"/>
      <w:outlineLvl w:val="6"/>
    </w:pPr>
    <w:rPr>
      <w:rFonts w:eastAsia="Times New Roman"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865CD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sz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865CD"/>
    <w:pPr>
      <w:numPr>
        <w:ilvl w:val="8"/>
        <w:numId w:val="18"/>
      </w:numPr>
      <w:spacing w:before="240" w:after="60"/>
      <w:outlineLvl w:val="8"/>
    </w:pPr>
    <w:rPr>
      <w:rFonts w:eastAsia="Times New Roman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-Agriteam Char"/>
    <w:basedOn w:val="Fontepargpadro"/>
    <w:link w:val="Ttulo1"/>
    <w:uiPriority w:val="99"/>
    <w:locked/>
    <w:rsid w:val="00C865CD"/>
    <w:rPr>
      <w:rFonts w:ascii="Times New Roman" w:hAnsi="Times New Roman" w:cs="Times New Roman"/>
      <w:b/>
      <w:caps/>
      <w:sz w:val="32"/>
    </w:rPr>
  </w:style>
  <w:style w:type="character" w:customStyle="1" w:styleId="Ttulo2Char">
    <w:name w:val="Título 2 Char"/>
    <w:aliases w:val="Heading 2-Agriteam Char"/>
    <w:basedOn w:val="Fontepargpadro"/>
    <w:link w:val="Ttulo2"/>
    <w:uiPriority w:val="99"/>
    <w:locked/>
    <w:rsid w:val="00C865CD"/>
    <w:rPr>
      <w:rFonts w:ascii="Times New Roman" w:hAnsi="Times New Roman" w:cs="Times New Roman"/>
      <w:b/>
      <w:sz w:val="26"/>
    </w:rPr>
  </w:style>
  <w:style w:type="character" w:customStyle="1" w:styleId="Ttulo3Char">
    <w:name w:val="Título 3 Char"/>
    <w:aliases w:val="Heading 3-Agriteam Char"/>
    <w:basedOn w:val="Fontepargpadro"/>
    <w:link w:val="Ttulo3"/>
    <w:uiPriority w:val="99"/>
    <w:locked/>
    <w:rsid w:val="00C865CD"/>
    <w:rPr>
      <w:rFonts w:ascii="Times New Roman" w:hAnsi="Times New Roman" w:cs="Times New Roman"/>
      <w:b/>
      <w:snapToGrid w:val="0"/>
      <w:color w:val="000000"/>
      <w:sz w:val="22"/>
    </w:rPr>
  </w:style>
  <w:style w:type="character" w:customStyle="1" w:styleId="Ttulo4Char">
    <w:name w:val="Título 4 Char"/>
    <w:basedOn w:val="Fontepargpadro"/>
    <w:link w:val="Ttulo4"/>
    <w:uiPriority w:val="99"/>
    <w:locked/>
    <w:rsid w:val="00C865CD"/>
    <w:rPr>
      <w:rFonts w:ascii="Times New Roman" w:hAnsi="Times New Roman" w:cs="Times New Roman"/>
      <w:b/>
      <w:i/>
      <w:sz w:val="22"/>
    </w:rPr>
  </w:style>
  <w:style w:type="character" w:customStyle="1" w:styleId="Ttulo5Char">
    <w:name w:val="Título 5 Char"/>
    <w:basedOn w:val="Fontepargpadro"/>
    <w:link w:val="Ttulo5"/>
    <w:uiPriority w:val="99"/>
    <w:locked/>
    <w:rsid w:val="00C865CD"/>
    <w:rPr>
      <w:rFonts w:ascii="Times New Roman" w:hAnsi="Times New Roman" w:cs="Times New Roman"/>
      <w:sz w:val="22"/>
    </w:rPr>
  </w:style>
  <w:style w:type="character" w:customStyle="1" w:styleId="Ttulo6Char">
    <w:name w:val="Título 6 Char"/>
    <w:basedOn w:val="Fontepargpadro"/>
    <w:link w:val="Ttulo6"/>
    <w:uiPriority w:val="99"/>
    <w:locked/>
    <w:rsid w:val="00C865CD"/>
    <w:rPr>
      <w:rFonts w:ascii="Times New Roman" w:hAnsi="Times New Roman" w:cs="Times New Roman"/>
      <w:i/>
      <w:sz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865CD"/>
    <w:rPr>
      <w:rFonts w:ascii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uiPriority w:val="99"/>
    <w:locked/>
    <w:rsid w:val="00C865CD"/>
    <w:rPr>
      <w:rFonts w:ascii="Times New Roman" w:hAnsi="Times New Roman" w:cs="Times New Roman"/>
      <w:i/>
    </w:rPr>
  </w:style>
  <w:style w:type="character" w:customStyle="1" w:styleId="Ttulo9Char">
    <w:name w:val="Título 9 Char"/>
    <w:basedOn w:val="Fontepargpadro"/>
    <w:link w:val="Ttulo9"/>
    <w:uiPriority w:val="99"/>
    <w:locked/>
    <w:rsid w:val="00C865CD"/>
    <w:rPr>
      <w:rFonts w:ascii="Times New Roman" w:hAnsi="Times New Roman" w:cs="Times New Roman"/>
      <w:i/>
      <w:sz w:val="18"/>
    </w:rPr>
  </w:style>
  <w:style w:type="paragraph" w:styleId="Sumrio1">
    <w:name w:val="toc 1"/>
    <w:basedOn w:val="Normal"/>
    <w:next w:val="Normal"/>
    <w:autoRedefine/>
    <w:uiPriority w:val="99"/>
    <w:rsid w:val="00C865CD"/>
    <w:pPr>
      <w:spacing w:after="100"/>
    </w:pPr>
    <w:rPr>
      <w:rFonts w:eastAsia="Times New Roman"/>
    </w:rPr>
  </w:style>
  <w:style w:type="paragraph" w:styleId="Sumrio2">
    <w:name w:val="toc 2"/>
    <w:basedOn w:val="Normal"/>
    <w:next w:val="Normal"/>
    <w:autoRedefine/>
    <w:uiPriority w:val="99"/>
    <w:rsid w:val="00C865CD"/>
    <w:pPr>
      <w:spacing w:after="100"/>
      <w:ind w:left="22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99"/>
    <w:rsid w:val="00C865CD"/>
    <w:pPr>
      <w:spacing w:after="100"/>
      <w:ind w:left="440"/>
    </w:pPr>
    <w:rPr>
      <w:rFonts w:eastAsia="Times New Roman"/>
    </w:rPr>
  </w:style>
  <w:style w:type="character" w:styleId="Forte">
    <w:name w:val="Strong"/>
    <w:basedOn w:val="Fontepargpadro"/>
    <w:uiPriority w:val="99"/>
    <w:qFormat/>
    <w:rsid w:val="00C865CD"/>
    <w:rPr>
      <w:rFonts w:cs="Times New Roman"/>
      <w:b/>
      <w:bCs/>
    </w:rPr>
  </w:style>
  <w:style w:type="paragraph" w:styleId="SemEspaamento">
    <w:name w:val="No Spacing"/>
    <w:link w:val="SemEspaamentoChar"/>
    <w:uiPriority w:val="99"/>
    <w:qFormat/>
    <w:rsid w:val="00C86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CA"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C865CD"/>
    <w:rPr>
      <w:rFonts w:ascii="Times New Roman" w:hAnsi="Times New Roman" w:cs="Times New Roman"/>
      <w:lang w:val="en-CA" w:eastAsia="en-US" w:bidi="ar-SA"/>
    </w:rPr>
  </w:style>
  <w:style w:type="paragraph" w:styleId="PargrafodaLista">
    <w:name w:val="List Paragraph"/>
    <w:basedOn w:val="Normal"/>
    <w:uiPriority w:val="34"/>
    <w:qFormat/>
    <w:rsid w:val="00C865CD"/>
    <w:pPr>
      <w:ind w:left="720"/>
    </w:pPr>
    <w:rPr>
      <w:rFonts w:eastAsia="Times New Roman"/>
    </w:rPr>
  </w:style>
  <w:style w:type="paragraph" w:styleId="CabealhodoSumrio">
    <w:name w:val="TOC Heading"/>
    <w:basedOn w:val="Ttulo1"/>
    <w:next w:val="Normal"/>
    <w:uiPriority w:val="99"/>
    <w:qFormat/>
    <w:rsid w:val="00C865CD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rsid w:val="00C865CD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5A2439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5A2439"/>
    <w:rPr>
      <w:rFonts w:ascii="Times New Roman" w:hAnsi="Times New Roman" w:cs="Times New Roman"/>
      <w:sz w:val="24"/>
      <w:szCs w:val="24"/>
      <w:lang w:val="es-ES"/>
    </w:rPr>
  </w:style>
  <w:style w:type="paragraph" w:styleId="Textodebalo">
    <w:name w:val="Balloon Text"/>
    <w:basedOn w:val="Normal"/>
    <w:link w:val="TextodebaloChar"/>
    <w:uiPriority w:val="99"/>
    <w:semiHidden/>
    <w:rsid w:val="00D5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55684"/>
    <w:rPr>
      <w:rFonts w:ascii="Tahoma" w:hAnsi="Tahoma" w:cs="Tahoma"/>
      <w:noProof/>
      <w:sz w:val="16"/>
      <w:szCs w:val="16"/>
      <w:lang w:val="es-ES"/>
    </w:rPr>
  </w:style>
  <w:style w:type="paragraph" w:styleId="Corpodetexto2">
    <w:name w:val="Body Text 2"/>
    <w:basedOn w:val="Normal"/>
    <w:link w:val="Corpodetexto2Char"/>
    <w:uiPriority w:val="99"/>
    <w:rsid w:val="00494A4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A5303"/>
    <w:rPr>
      <w:rFonts w:cs="Times New Roman"/>
      <w:noProof/>
      <w:lang w:val="es-ES" w:eastAsia="en-US"/>
    </w:rPr>
  </w:style>
  <w:style w:type="paragraph" w:styleId="NormalWeb">
    <w:name w:val="Normal (Web)"/>
    <w:basedOn w:val="Normal"/>
    <w:uiPriority w:val="99"/>
    <w:rsid w:val="00246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A71DE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locked/>
    <w:rsid w:val="00A71DEC"/>
    <w:rPr>
      <w:rFonts w:cs="Times New Roman"/>
      <w:color w:val="0000FF"/>
      <w:u w:val="single"/>
    </w:rPr>
  </w:style>
  <w:style w:type="paragraph" w:customStyle="1" w:styleId="Default">
    <w:name w:val="Default"/>
    <w:rsid w:val="00F92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locked/>
    <w:rsid w:val="0090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AA9"/>
    <w:rPr>
      <w:noProof/>
      <w:lang w:val="es-ES"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0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AA9"/>
    <w:rPr>
      <w:noProof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366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294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57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c.sefa.pa.gov.br/attachments/article/92/Cartaz%20Cronograma%20de%20Enquadramento.pdf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customXml" Target="../customXml/item7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customXml" Target="../customXml/item3.xml"/><Relationship Id="rId27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39845441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IFD/FMM</Division_x0020_or_x0020_Unit>
    <Approval_x0020_Number xmlns="cdc7663a-08f0-4737-9e8c-148ce897a09c">2078/OC-BR</Approval_x0020_Number>
    <Document_x0020_Author xmlns="cdc7663a-08f0-4737-9e8c-148ce897a09c">Bakaj, Patricia Goes</Document_x0020_Author>
    <Fiscal_x0020_Year_x0020_IDB xmlns="cdc7663a-08f0-4737-9e8c-148ce897a09c">2015</Fiscal_x0020_Year_x0020_IDB>
    <Other_x0020_Author xmlns="cdc7663a-08f0-4737-9e8c-148ce897a09c" xsi:nil="true"/>
    <Project_x0020_Number xmlns="cdc7663a-08f0-4737-9e8c-148ce897a09c">BR-L1093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WORDPCRProject Completion Report0NPO-BR-L1093-Rpt-Perm98543070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Portuguese</Document_x0020_Language_x0020_IDB>
    <Identifier xmlns="cdc7663a-08f0-4737-9e8c-148ce897a09c"> TECFILE</Identifier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EZSHARE-1190195958-390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https://idbg.sharepoint.com/teams/EZ-BR-LON/BR-L1093/_layouts/15/DocIdRedir.aspx?ID=EZSHARE-1190195958-390</Url>
      <Description>EZSHARE-1190195958-390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662674344DE0D64186FD665076CB71F3" ma:contentTypeVersion="22" ma:contentTypeDescription="The base project type from which other project content types inherit their information." ma:contentTypeScope="" ma:versionID="8bb6c458a56a6ecb0bd4f7a3bc4f8e3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97385b3f34e90f95ff30cda528b638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D84F8E5D-FA7E-4843-AABA-8C8857C6F766}"/>
</file>

<file path=customXml/itemProps2.xml><?xml version="1.0" encoding="utf-8"?>
<ds:datastoreItem xmlns:ds="http://schemas.openxmlformats.org/officeDocument/2006/customXml" ds:itemID="{BC92A989-AD39-47D4-9A48-04DC1D9678CE}"/>
</file>

<file path=customXml/itemProps3.xml><?xml version="1.0" encoding="utf-8"?>
<ds:datastoreItem xmlns:ds="http://schemas.openxmlformats.org/officeDocument/2006/customXml" ds:itemID="{B6BBE15D-CD2B-4DE1-A748-06BBE6B4739A}"/>
</file>

<file path=customXml/itemProps4.xml><?xml version="1.0" encoding="utf-8"?>
<ds:datastoreItem xmlns:ds="http://schemas.openxmlformats.org/officeDocument/2006/customXml" ds:itemID="{2FABF73C-0110-4587-AC8E-FFEAD81D0A1E}"/>
</file>

<file path=customXml/itemProps5.xml><?xml version="1.0" encoding="utf-8"?>
<ds:datastoreItem xmlns:ds="http://schemas.openxmlformats.org/officeDocument/2006/customXml" ds:itemID="{F8B9B70A-6C41-4714-B6C7-CAF590204005}"/>
</file>

<file path=customXml/itemProps6.xml><?xml version="1.0" encoding="utf-8"?>
<ds:datastoreItem xmlns:ds="http://schemas.openxmlformats.org/officeDocument/2006/customXml" ds:itemID="{6FCB800C-B2CA-4226-BBCC-2E51B2CBDD3F}"/>
</file>

<file path=customXml/itemProps7.xml><?xml version="1.0" encoding="utf-8"?>
<ds:datastoreItem xmlns:ds="http://schemas.openxmlformats.org/officeDocument/2006/customXml" ds:itemID="{40EF86E3-D1D1-441C-93B0-AB432188F325}"/>
</file>

<file path=customXml/itemProps8.xml><?xml version="1.0" encoding="utf-8"?>
<ds:datastoreItem xmlns:ds="http://schemas.openxmlformats.org/officeDocument/2006/customXml" ds:itemID="{1DA85589-20D9-46A4-8CEB-A187BC773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2668</Words>
  <Characters>14413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- PCR</vt:lpstr>
    </vt:vector>
  </TitlesOfParts>
  <Company>Grizli777</Company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DAIF-CAFE Arrec Com Varej -NFiscal Cidadã</dc:title>
  <dc:creator>Familia Cracel</dc:creator>
  <cp:lastModifiedBy>LUCIANA PIMENTEL</cp:lastModifiedBy>
  <cp:revision>17</cp:revision>
  <cp:lastPrinted>2013-10-16T12:12:00Z</cp:lastPrinted>
  <dcterms:created xsi:type="dcterms:W3CDTF">2015-05-06T16:24:00Z</dcterms:created>
  <dcterms:modified xsi:type="dcterms:W3CDTF">2015-06-03T15:16:00Z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0x010100ACF722E9F6B0B149B0CD8BE2560A667200662674344DE0D64186FD665076CB71F3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25;#Report|873abde9-d18a-4026-95d4-5687f3b4d845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25;#Report|873abde9-d18a-4026-95d4-5687f3b4d845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39000</vt:r8>
  </property>
  <property fmtid="{D5CDD505-2E9C-101B-9397-08002B2CF9AE}" pid="17" name="ATI Undisclose Document Workflow">
    <vt:lpwstr/>
  </property>
  <property fmtid="{D5CDD505-2E9C-101B-9397-08002B2CF9AE}" pid="18" name="ATI Disclose Document Workflow v5">
    <vt:lpwstr/>
  </property>
  <property fmtid="{D5CDD505-2E9C-101B-9397-08002B2CF9AE}" pid="20" name="Disclosure Activity">
    <vt:lpwstr>Project Completion Report</vt:lpwstr>
  </property>
  <property fmtid="{D5CDD505-2E9C-101B-9397-08002B2CF9AE}" pid="24" name="Webtopic">
    <vt:lpwstr>Urban Development</vt:lpwstr>
  </property>
  <property fmtid="{D5CDD505-2E9C-101B-9397-08002B2CF9AE}" pid="26" name="Disclosed">
    <vt:bool>false</vt:bool>
  </property>
  <property fmtid="{D5CDD505-2E9C-101B-9397-08002B2CF9AE}" pid="27" name="_dlc_DocIdItemGuid">
    <vt:lpwstr>54f937d3-751b-4468-b6bd-2c48d972c57f</vt:lpwstr>
  </property>
</Properties>
</file>