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8F" w:rsidRDefault="00D00EBE" w:rsidP="00B70E6E">
      <w:pPr>
        <w:spacing w:after="0" w:line="20" w:lineRule="atLeast"/>
        <w:jc w:val="center"/>
        <w:rPr>
          <w:rFonts w:ascii="Arial" w:hAnsi="Arial" w:cs="Arial"/>
          <w:b/>
          <w:lang w:val="es-ES_tradnl"/>
        </w:rPr>
      </w:pPr>
      <w:r w:rsidRPr="00B70E6E">
        <w:rPr>
          <w:rFonts w:ascii="Arial" w:hAnsi="Arial" w:cs="Arial"/>
          <w:b/>
          <w:lang w:val="es-ES_tradnl"/>
        </w:rPr>
        <w:t>COLOMBIA</w:t>
      </w:r>
    </w:p>
    <w:p w:rsidR="00B70E6E" w:rsidRPr="00B70E6E" w:rsidRDefault="00B70E6E" w:rsidP="00B70E6E">
      <w:pPr>
        <w:spacing w:after="0" w:line="20" w:lineRule="atLeast"/>
        <w:jc w:val="center"/>
        <w:rPr>
          <w:rFonts w:ascii="Arial" w:hAnsi="Arial" w:cs="Arial"/>
          <w:b/>
          <w:lang w:val="es-ES_tradnl"/>
        </w:rPr>
      </w:pPr>
    </w:p>
    <w:p w:rsidR="00824857" w:rsidRPr="00830733" w:rsidRDefault="00824857" w:rsidP="00824857">
      <w:pPr>
        <w:ind w:left="-360"/>
        <w:jc w:val="center"/>
        <w:rPr>
          <w:rFonts w:ascii="Arial" w:hAnsi="Arial" w:cs="Arial"/>
          <w:b/>
          <w:smallCaps/>
          <w:sz w:val="28"/>
          <w:szCs w:val="28"/>
          <w:lang w:val="es-ES"/>
        </w:rPr>
      </w:pPr>
      <w:r w:rsidRPr="00830733">
        <w:rPr>
          <w:rFonts w:ascii="Arial" w:hAnsi="Arial" w:cs="Arial"/>
          <w:b/>
          <w:smallCaps/>
          <w:sz w:val="28"/>
          <w:szCs w:val="28"/>
          <w:lang w:val="es-ES"/>
        </w:rPr>
        <w:t>Segunda Operación bajo la Línea de Crédito Condicional Multisectorial: Programa de Fortalecimiento Fiscal y del Gasto en Inversión Pública para Municipios, sus Entidades Descentralizadas y Áreas Metropolitanas</w:t>
      </w:r>
    </w:p>
    <w:p w:rsidR="00D00EBE" w:rsidRDefault="00B70E6E" w:rsidP="00B70E6E">
      <w:pPr>
        <w:spacing w:after="0" w:line="20" w:lineRule="atLeast"/>
        <w:jc w:val="center"/>
        <w:rPr>
          <w:rFonts w:ascii="Arial" w:hAnsi="Arial" w:cs="Arial"/>
          <w:b/>
          <w:lang w:val="es-ES_tradnl"/>
        </w:rPr>
      </w:pPr>
      <w:bookmarkStart w:id="0" w:name="_GoBack"/>
      <w:bookmarkEnd w:id="0"/>
      <w:r>
        <w:rPr>
          <w:rFonts w:ascii="Arial" w:hAnsi="Arial" w:cs="Arial"/>
          <w:b/>
          <w:lang w:val="es-ES_tradnl"/>
        </w:rPr>
        <w:t xml:space="preserve"> (CO-L1155).</w:t>
      </w:r>
    </w:p>
    <w:p w:rsidR="00B70E6E" w:rsidRPr="00B70E6E" w:rsidRDefault="00B70E6E" w:rsidP="00B70E6E">
      <w:pPr>
        <w:spacing w:after="0" w:line="20" w:lineRule="atLeast"/>
        <w:jc w:val="center"/>
        <w:rPr>
          <w:rFonts w:ascii="Arial" w:hAnsi="Arial" w:cs="Arial"/>
          <w:b/>
          <w:lang w:val="es-ES_tradnl"/>
        </w:rPr>
      </w:pPr>
    </w:p>
    <w:p w:rsidR="00FC0D02" w:rsidRDefault="00FC0D02" w:rsidP="00B70E6E">
      <w:pPr>
        <w:spacing w:after="0" w:line="20" w:lineRule="atLeast"/>
        <w:jc w:val="center"/>
        <w:rPr>
          <w:rFonts w:ascii="Arial" w:hAnsi="Arial" w:cs="Arial"/>
          <w:b/>
          <w:lang w:val="es-ES_tradnl"/>
        </w:rPr>
      </w:pPr>
      <w:r w:rsidRPr="00B70E6E">
        <w:rPr>
          <w:rFonts w:ascii="Arial" w:hAnsi="Arial" w:cs="Arial"/>
          <w:b/>
          <w:lang w:val="es-ES_tradnl"/>
        </w:rPr>
        <w:t>PERFIL DE CIUDAD</w:t>
      </w:r>
    </w:p>
    <w:p w:rsidR="00B70E6E" w:rsidRPr="00B70E6E" w:rsidRDefault="00B70E6E" w:rsidP="00B70E6E">
      <w:pPr>
        <w:spacing w:after="0" w:line="20" w:lineRule="atLeast"/>
        <w:jc w:val="center"/>
        <w:rPr>
          <w:rFonts w:ascii="Arial" w:hAnsi="Arial" w:cs="Arial"/>
          <w:b/>
          <w:lang w:val="es-ES_tradnl"/>
        </w:rPr>
      </w:pPr>
    </w:p>
    <w:p w:rsidR="00D00EBE" w:rsidRDefault="00FC0D02" w:rsidP="00B70E6E">
      <w:pPr>
        <w:spacing w:after="0" w:line="20" w:lineRule="atLeast"/>
        <w:jc w:val="center"/>
        <w:rPr>
          <w:rFonts w:ascii="Arial" w:hAnsi="Arial" w:cs="Arial"/>
          <w:b/>
          <w:lang w:val="es-ES_tradnl"/>
        </w:rPr>
      </w:pPr>
      <w:r w:rsidRPr="00B70E6E">
        <w:rPr>
          <w:rFonts w:ascii="Arial" w:hAnsi="Arial" w:cs="Arial"/>
          <w:b/>
          <w:lang w:val="es-ES_tradnl"/>
        </w:rPr>
        <w:t xml:space="preserve"> MUNICIPIO DE </w:t>
      </w:r>
      <w:r w:rsidR="00927566" w:rsidRPr="00B70E6E">
        <w:rPr>
          <w:rFonts w:ascii="Arial" w:hAnsi="Arial" w:cs="Arial"/>
          <w:b/>
          <w:lang w:val="es-ES_tradnl"/>
        </w:rPr>
        <w:t>MONTERIA</w:t>
      </w:r>
    </w:p>
    <w:p w:rsidR="00B70E6E" w:rsidRPr="00B70E6E" w:rsidRDefault="00B70E6E" w:rsidP="00B70E6E">
      <w:pPr>
        <w:spacing w:after="0" w:line="20" w:lineRule="atLeast"/>
        <w:jc w:val="center"/>
        <w:rPr>
          <w:rFonts w:ascii="Arial" w:hAnsi="Arial" w:cs="Arial"/>
          <w:b/>
          <w:lang w:val="es-ES_tradnl"/>
        </w:rPr>
      </w:pPr>
    </w:p>
    <w:p w:rsidR="00FC036B" w:rsidRPr="00B70E6E" w:rsidRDefault="00FC0D02" w:rsidP="00B70E6E">
      <w:pPr>
        <w:pStyle w:val="ListParagraph"/>
        <w:numPr>
          <w:ilvl w:val="0"/>
          <w:numId w:val="1"/>
        </w:numPr>
        <w:spacing w:after="0" w:line="20" w:lineRule="atLeast"/>
        <w:jc w:val="both"/>
        <w:rPr>
          <w:rFonts w:ascii="Arial" w:hAnsi="Arial" w:cs="Arial"/>
          <w:b/>
          <w:lang w:val="es-ES_tradnl"/>
        </w:rPr>
      </w:pPr>
      <w:r w:rsidRPr="00B70E6E">
        <w:rPr>
          <w:rFonts w:ascii="Arial" w:hAnsi="Arial" w:cs="Arial"/>
          <w:b/>
          <w:lang w:val="es-ES_tradnl"/>
        </w:rPr>
        <w:t xml:space="preserve">MARCO DE REFERENCIA: </w:t>
      </w:r>
    </w:p>
    <w:p w:rsidR="00706B60" w:rsidRPr="00B70E6E" w:rsidRDefault="00706B60" w:rsidP="00B70E6E">
      <w:pPr>
        <w:pStyle w:val="ListParagraph"/>
        <w:spacing w:after="0" w:line="20" w:lineRule="atLeast"/>
        <w:ind w:left="1080"/>
        <w:jc w:val="both"/>
        <w:rPr>
          <w:rFonts w:ascii="Arial" w:hAnsi="Arial" w:cs="Arial"/>
          <w:lang w:val="es-ES_tradnl"/>
        </w:rPr>
      </w:pPr>
    </w:p>
    <w:p w:rsidR="00437B9C" w:rsidRPr="00B70E6E" w:rsidRDefault="00FC036B" w:rsidP="00C311DC">
      <w:pPr>
        <w:pStyle w:val="ListParagraph"/>
        <w:numPr>
          <w:ilvl w:val="0"/>
          <w:numId w:val="2"/>
        </w:numPr>
        <w:spacing w:after="0" w:line="20" w:lineRule="atLeast"/>
        <w:jc w:val="both"/>
        <w:rPr>
          <w:rFonts w:ascii="Arial" w:hAnsi="Arial" w:cs="Arial"/>
          <w:lang w:val="es-ES_tradnl"/>
        </w:rPr>
      </w:pPr>
      <w:r w:rsidRPr="00B70E6E">
        <w:rPr>
          <w:rFonts w:ascii="Arial" w:hAnsi="Arial" w:cs="Arial"/>
          <w:b/>
          <w:lang w:val="es-ES_tradnl"/>
        </w:rPr>
        <w:t>Datos Generales</w:t>
      </w:r>
    </w:p>
    <w:p w:rsidR="00990A0A" w:rsidRPr="00B70E6E" w:rsidRDefault="00990A0A" w:rsidP="00B70E6E">
      <w:pPr>
        <w:pStyle w:val="ListParagraph"/>
        <w:spacing w:after="0" w:line="20" w:lineRule="atLeast"/>
        <w:ind w:left="1080"/>
        <w:jc w:val="both"/>
        <w:rPr>
          <w:rFonts w:ascii="Arial" w:hAnsi="Arial" w:cs="Arial"/>
          <w:lang w:val="es-ES_tradnl"/>
        </w:rPr>
      </w:pPr>
    </w:p>
    <w:p w:rsidR="00D952F8" w:rsidRPr="00B70E6E" w:rsidRDefault="00D73540" w:rsidP="00B70E6E">
      <w:pPr>
        <w:pStyle w:val="ListParagraph"/>
        <w:numPr>
          <w:ilvl w:val="1"/>
          <w:numId w:val="1"/>
        </w:numPr>
        <w:spacing w:after="0" w:line="20" w:lineRule="atLeast"/>
        <w:jc w:val="both"/>
        <w:rPr>
          <w:rFonts w:ascii="Arial" w:eastAsia="Times New Roman" w:hAnsi="Arial" w:cs="Arial"/>
          <w:lang w:val="es-ES"/>
        </w:rPr>
      </w:pPr>
      <w:r w:rsidRPr="00B70E6E">
        <w:rPr>
          <w:rFonts w:ascii="Arial" w:eastAsia="Times New Roman" w:hAnsi="Arial" w:cs="Arial"/>
          <w:lang w:val="es-ES"/>
        </w:rPr>
        <w:t>La ciudad de Montería</w:t>
      </w:r>
      <w:r w:rsidR="0024482F" w:rsidRPr="00B70E6E">
        <w:rPr>
          <w:rFonts w:ascii="Arial" w:eastAsia="Times New Roman" w:hAnsi="Arial" w:cs="Arial"/>
          <w:lang w:val="es-ES"/>
        </w:rPr>
        <w:t xml:space="preserve"> se encuentra en la zona norte del país a 18MSNM y</w:t>
      </w:r>
      <w:r w:rsidRPr="00B70E6E">
        <w:rPr>
          <w:rFonts w:ascii="Arial" w:eastAsia="Times New Roman" w:hAnsi="Arial" w:cs="Arial"/>
          <w:lang w:val="es-ES"/>
        </w:rPr>
        <w:t xml:space="preserve"> limita al no</w:t>
      </w:r>
      <w:r w:rsidR="0024482F" w:rsidRPr="00B70E6E">
        <w:rPr>
          <w:rFonts w:ascii="Arial" w:eastAsia="Times New Roman" w:hAnsi="Arial" w:cs="Arial"/>
          <w:lang w:val="es-ES"/>
        </w:rPr>
        <w:t xml:space="preserve">rte </w:t>
      </w:r>
      <w:r w:rsidR="000808FC" w:rsidRPr="00B70E6E">
        <w:rPr>
          <w:rFonts w:ascii="Arial" w:eastAsia="Times New Roman" w:hAnsi="Arial" w:cs="Arial"/>
          <w:lang w:val="es-ES"/>
        </w:rPr>
        <w:t>con los municipios de Cereté, Puerto Escondido y San Pelayo; al este</w:t>
      </w:r>
      <w:r w:rsidR="0024482F" w:rsidRPr="00B70E6E">
        <w:rPr>
          <w:rFonts w:ascii="Arial" w:eastAsia="Times New Roman" w:hAnsi="Arial" w:cs="Arial"/>
          <w:lang w:val="es-ES"/>
        </w:rPr>
        <w:t xml:space="preserve"> </w:t>
      </w:r>
      <w:r w:rsidR="000808FC" w:rsidRPr="00B70E6E">
        <w:rPr>
          <w:rFonts w:ascii="Arial" w:eastAsia="Times New Roman" w:hAnsi="Arial" w:cs="Arial"/>
          <w:lang w:val="es-ES"/>
        </w:rPr>
        <w:t>con San Carlos y Planeta Rica; al sur con Tierralta y Valencia; al oeste con</w:t>
      </w:r>
      <w:r w:rsidR="0024482F" w:rsidRPr="00B70E6E">
        <w:rPr>
          <w:rFonts w:ascii="Arial" w:eastAsia="Times New Roman" w:hAnsi="Arial" w:cs="Arial"/>
          <w:lang w:val="es-ES"/>
        </w:rPr>
        <w:t xml:space="preserve"> </w:t>
      </w:r>
      <w:r w:rsidR="000808FC" w:rsidRPr="00B70E6E">
        <w:rPr>
          <w:rFonts w:ascii="Arial" w:eastAsia="Times New Roman" w:hAnsi="Arial" w:cs="Arial"/>
          <w:lang w:val="es-ES"/>
        </w:rPr>
        <w:t>el departamento de Antioquia y los municipios de Canalete y Los Córdobas.</w:t>
      </w:r>
      <w:r w:rsidR="0024482F" w:rsidRPr="00B70E6E">
        <w:rPr>
          <w:rFonts w:ascii="Arial" w:eastAsia="Times New Roman" w:hAnsi="Arial" w:cs="Arial"/>
          <w:lang w:val="es-ES"/>
        </w:rPr>
        <w:t xml:space="preserve"> </w:t>
      </w:r>
      <w:r w:rsidR="000808FC" w:rsidRPr="00B70E6E">
        <w:rPr>
          <w:rFonts w:ascii="Arial" w:eastAsia="Times New Roman" w:hAnsi="Arial" w:cs="Arial"/>
          <w:lang w:val="es-ES"/>
        </w:rPr>
        <w:t>El municipio se encuentra dividido en 29 corregimientos, 168 veredas</w:t>
      </w:r>
      <w:r w:rsidR="00990A0A" w:rsidRPr="00B70E6E">
        <w:rPr>
          <w:rFonts w:ascii="Arial" w:eastAsia="Times New Roman" w:hAnsi="Arial" w:cs="Arial"/>
          <w:lang w:val="es-ES"/>
        </w:rPr>
        <w:t>,</w:t>
      </w:r>
      <w:r w:rsidR="000808FC" w:rsidRPr="00B70E6E">
        <w:rPr>
          <w:rFonts w:ascii="Arial" w:eastAsia="Times New Roman" w:hAnsi="Arial" w:cs="Arial"/>
          <w:lang w:val="es-ES"/>
        </w:rPr>
        <w:t xml:space="preserve">  9</w:t>
      </w:r>
      <w:r w:rsidR="00990A0A" w:rsidRPr="00B70E6E">
        <w:rPr>
          <w:rFonts w:ascii="Arial" w:eastAsia="Times New Roman" w:hAnsi="Arial" w:cs="Arial"/>
          <w:lang w:val="es-ES"/>
        </w:rPr>
        <w:t xml:space="preserve"> </w:t>
      </w:r>
      <w:r w:rsidR="000808FC" w:rsidRPr="00B70E6E">
        <w:rPr>
          <w:rFonts w:ascii="Arial" w:eastAsia="Times New Roman" w:hAnsi="Arial" w:cs="Arial"/>
          <w:lang w:val="es-ES"/>
        </w:rPr>
        <w:t>unidades espaciales de funcionamiento (UEF) y la cabecera municipal, la cual</w:t>
      </w:r>
      <w:r w:rsidR="0024482F" w:rsidRPr="00B70E6E">
        <w:rPr>
          <w:rFonts w:ascii="Arial" w:eastAsia="Times New Roman" w:hAnsi="Arial" w:cs="Arial"/>
          <w:lang w:val="es-ES"/>
        </w:rPr>
        <w:t xml:space="preserve"> </w:t>
      </w:r>
      <w:r w:rsidR="000808FC" w:rsidRPr="00B70E6E">
        <w:rPr>
          <w:rFonts w:ascii="Arial" w:eastAsia="Times New Roman" w:hAnsi="Arial" w:cs="Arial"/>
          <w:lang w:val="es-ES"/>
        </w:rPr>
        <w:t>está a su vez, conformada por nueve (9) comunas y cinco (5) piezas urbanas</w:t>
      </w:r>
      <w:r w:rsidR="0024482F" w:rsidRPr="00B70E6E">
        <w:rPr>
          <w:rFonts w:ascii="Arial" w:eastAsia="Times New Roman" w:hAnsi="Arial" w:cs="Arial"/>
          <w:lang w:val="es-ES"/>
        </w:rPr>
        <w:t xml:space="preserve"> </w:t>
      </w:r>
      <w:r w:rsidR="000808FC" w:rsidRPr="00B70E6E">
        <w:rPr>
          <w:rFonts w:ascii="Arial" w:eastAsia="Times New Roman" w:hAnsi="Arial" w:cs="Arial"/>
          <w:lang w:val="es-ES"/>
        </w:rPr>
        <w:t>con un total de 207 barrios</w:t>
      </w:r>
      <w:r w:rsidR="00C86D50" w:rsidRPr="00B70E6E">
        <w:rPr>
          <w:rFonts w:ascii="Arial" w:eastAsia="Times New Roman" w:hAnsi="Arial" w:cs="Arial"/>
          <w:lang w:val="es-ES"/>
        </w:rPr>
        <w:t>.</w:t>
      </w:r>
    </w:p>
    <w:p w:rsidR="000C00AB" w:rsidRPr="00B70E6E" w:rsidRDefault="000C00AB" w:rsidP="00B70E6E">
      <w:pPr>
        <w:pStyle w:val="ListParagraph"/>
        <w:spacing w:after="0" w:line="20" w:lineRule="atLeast"/>
        <w:ind w:left="792"/>
        <w:jc w:val="both"/>
        <w:rPr>
          <w:rFonts w:ascii="Arial" w:hAnsi="Arial" w:cs="Arial"/>
          <w:lang w:val="es-ES_tradnl"/>
        </w:rPr>
      </w:pPr>
    </w:p>
    <w:p w:rsidR="00D952F8" w:rsidRPr="00B70E6E" w:rsidRDefault="00187FEA" w:rsidP="00B70E6E">
      <w:pPr>
        <w:pStyle w:val="ListParagraph"/>
        <w:numPr>
          <w:ilvl w:val="1"/>
          <w:numId w:val="1"/>
        </w:numPr>
        <w:spacing w:after="0" w:line="20" w:lineRule="atLeast"/>
        <w:jc w:val="both"/>
        <w:rPr>
          <w:rFonts w:ascii="Arial" w:hAnsi="Arial" w:cs="Arial"/>
          <w:lang w:val="es-ES_tradnl"/>
        </w:rPr>
      </w:pPr>
      <w:r w:rsidRPr="00B70E6E">
        <w:rPr>
          <w:rFonts w:ascii="Arial" w:hAnsi="Arial" w:cs="Arial"/>
          <w:lang w:val="es-ES_tradnl"/>
        </w:rPr>
        <w:t>Montería</w:t>
      </w:r>
      <w:r w:rsidR="000241B0" w:rsidRPr="00B70E6E">
        <w:rPr>
          <w:rFonts w:ascii="Arial" w:hAnsi="Arial" w:cs="Arial"/>
          <w:lang w:val="es-ES_tradnl"/>
        </w:rPr>
        <w:t xml:space="preserve"> </w:t>
      </w:r>
      <w:r w:rsidR="00D952F8" w:rsidRPr="00B70E6E">
        <w:rPr>
          <w:rFonts w:ascii="Arial" w:hAnsi="Arial" w:cs="Arial"/>
          <w:lang w:val="es-ES_tradnl"/>
        </w:rPr>
        <w:t>es la ciudad capit</w:t>
      </w:r>
      <w:r w:rsidRPr="00B70E6E">
        <w:rPr>
          <w:rFonts w:ascii="Arial" w:hAnsi="Arial" w:cs="Arial"/>
          <w:lang w:val="es-ES_tradnl"/>
        </w:rPr>
        <w:t>al del Departamento de Córdoba</w:t>
      </w:r>
      <w:r w:rsidR="00D952F8" w:rsidRPr="00B70E6E">
        <w:rPr>
          <w:rFonts w:ascii="Arial" w:hAnsi="Arial" w:cs="Arial"/>
          <w:lang w:val="es-ES_tradnl"/>
        </w:rPr>
        <w:t xml:space="preserve">. La población total del municipio proyectada por el Departamento Administrativo Nacional de Estadística (DANE) </w:t>
      </w:r>
      <w:r w:rsidR="002D3C98" w:rsidRPr="00B70E6E">
        <w:rPr>
          <w:rFonts w:ascii="Arial" w:hAnsi="Arial" w:cs="Arial"/>
          <w:lang w:val="es-ES_tradnl"/>
        </w:rPr>
        <w:t>es</w:t>
      </w:r>
      <w:r w:rsidRPr="00B70E6E">
        <w:rPr>
          <w:rFonts w:ascii="Arial" w:hAnsi="Arial" w:cs="Arial"/>
          <w:lang w:val="es-ES_tradnl"/>
        </w:rPr>
        <w:t xml:space="preserve"> de </w:t>
      </w:r>
      <w:r w:rsidR="00990A0A" w:rsidRPr="00B70E6E">
        <w:rPr>
          <w:rFonts w:ascii="Arial" w:hAnsi="Arial" w:cs="Arial"/>
          <w:lang w:val="es-ES_tradnl"/>
        </w:rPr>
        <w:t>441,301</w:t>
      </w:r>
      <w:r w:rsidR="00D952F8" w:rsidRPr="00B70E6E">
        <w:rPr>
          <w:rFonts w:ascii="Arial" w:hAnsi="Arial" w:cs="Arial"/>
          <w:lang w:val="es-ES_tradnl"/>
        </w:rPr>
        <w:t xml:space="preserve"> habitantes,</w:t>
      </w:r>
      <w:r w:rsidRPr="00B70E6E">
        <w:rPr>
          <w:rFonts w:ascii="Arial" w:hAnsi="Arial" w:cs="Arial"/>
          <w:lang w:val="es-ES_tradnl"/>
        </w:rPr>
        <w:t xml:space="preserve"> y teniendo en cuenta el perímetro urbano de la ciudad de 41.8km2, la densidad urbana es de 8.</w:t>
      </w:r>
      <w:r w:rsidR="009F69FF" w:rsidRPr="00B70E6E">
        <w:rPr>
          <w:rFonts w:ascii="Arial" w:hAnsi="Arial" w:cs="Arial"/>
          <w:lang w:val="es-ES_tradnl"/>
        </w:rPr>
        <w:t>0 H</w:t>
      </w:r>
      <w:r w:rsidR="00990A0A" w:rsidRPr="00B70E6E">
        <w:rPr>
          <w:rFonts w:ascii="Arial" w:hAnsi="Arial" w:cs="Arial"/>
          <w:lang w:val="es-ES_tradnl"/>
        </w:rPr>
        <w:t>ab</w:t>
      </w:r>
      <w:r w:rsidR="009F69FF" w:rsidRPr="00B70E6E">
        <w:rPr>
          <w:rFonts w:ascii="Arial" w:hAnsi="Arial" w:cs="Arial"/>
          <w:lang w:val="es-ES_tradnl"/>
        </w:rPr>
        <w:t>/Km2</w:t>
      </w:r>
      <w:r w:rsidR="00C356C7" w:rsidRPr="00B70E6E">
        <w:rPr>
          <w:rFonts w:ascii="Arial" w:hAnsi="Arial" w:cs="Arial"/>
          <w:lang w:val="es-ES_tradnl"/>
        </w:rPr>
        <w:t>.</w:t>
      </w:r>
      <w:r w:rsidR="00205AE9" w:rsidRPr="00B70E6E">
        <w:rPr>
          <w:rFonts w:ascii="Arial" w:hAnsi="Arial" w:cs="Arial"/>
          <w:lang w:val="es-ES_tradnl"/>
        </w:rPr>
        <w:t xml:space="preserve"> Es el principal municipio receptor de población desplazada del Departamento </w:t>
      </w:r>
      <w:r w:rsidR="009F69FF" w:rsidRPr="00B70E6E">
        <w:rPr>
          <w:rFonts w:ascii="Arial" w:hAnsi="Arial" w:cs="Arial"/>
          <w:lang w:val="es-ES_tradnl"/>
        </w:rPr>
        <w:t>proveniente de los efectos del conflicto armado y de las actividades ilegales asociadas al narcotráfico.</w:t>
      </w:r>
      <w:r w:rsidR="009F69FF" w:rsidRPr="00B70E6E">
        <w:rPr>
          <w:rFonts w:ascii="Arial" w:hAnsi="Arial" w:cs="Arial"/>
          <w:lang w:val="es-ES"/>
        </w:rPr>
        <w:t xml:space="preserve"> </w:t>
      </w:r>
      <w:r w:rsidR="009F69FF" w:rsidRPr="00B70E6E">
        <w:rPr>
          <w:rFonts w:ascii="Arial" w:hAnsi="Arial" w:cs="Arial"/>
          <w:lang w:val="es-ES_tradnl"/>
        </w:rPr>
        <w:t>Entre 1997 y 2007 la ciudad recibió 26.782 desplazados, equivalente a 5.544 familias y en el año 2010, 42.943 personas</w:t>
      </w:r>
      <w:r w:rsidR="00205AE9" w:rsidRPr="00B70E6E">
        <w:rPr>
          <w:rFonts w:ascii="Arial" w:hAnsi="Arial" w:cs="Arial"/>
          <w:lang w:val="es-ES_tradnl"/>
        </w:rPr>
        <w:t xml:space="preserve">. </w:t>
      </w:r>
      <w:r w:rsidR="009F69FF" w:rsidRPr="00B70E6E">
        <w:rPr>
          <w:rFonts w:ascii="Arial" w:hAnsi="Arial" w:cs="Arial"/>
          <w:lang w:val="es-ES_tradnl"/>
        </w:rPr>
        <w:t>Montería cuenta con la quinta tasa</w:t>
      </w:r>
      <w:r w:rsidR="00205AE9" w:rsidRPr="00B70E6E">
        <w:rPr>
          <w:rFonts w:ascii="Arial" w:hAnsi="Arial" w:cs="Arial"/>
          <w:lang w:val="es-ES_tradnl"/>
        </w:rPr>
        <w:t xml:space="preserve"> </w:t>
      </w:r>
      <w:r w:rsidR="009F69FF" w:rsidRPr="00B70E6E">
        <w:rPr>
          <w:rFonts w:ascii="Arial" w:hAnsi="Arial" w:cs="Arial"/>
          <w:lang w:val="es-ES_tradnl"/>
        </w:rPr>
        <w:t>de pobreza más alta del país (34.8%)</w:t>
      </w:r>
      <w:r w:rsidR="00990A0A" w:rsidRPr="00B70E6E">
        <w:rPr>
          <w:rFonts w:ascii="Arial" w:hAnsi="Arial" w:cs="Arial"/>
          <w:lang w:val="es-ES_tradnl"/>
        </w:rPr>
        <w:t xml:space="preserve"> </w:t>
      </w:r>
      <w:r w:rsidR="009F69FF" w:rsidRPr="00B70E6E">
        <w:rPr>
          <w:rFonts w:ascii="Arial" w:hAnsi="Arial" w:cs="Arial"/>
          <w:lang w:val="es-ES_tradnl"/>
        </w:rPr>
        <w:t xml:space="preserve">después de Quibdó (49,9%), Riohacha (43,3%), Florencia y Sincelejo (37,2%) </w:t>
      </w:r>
      <w:r w:rsidR="00205AE9" w:rsidRPr="00B70E6E">
        <w:rPr>
          <w:rFonts w:ascii="Arial" w:hAnsi="Arial" w:cs="Arial"/>
          <w:lang w:val="es-ES_tradnl"/>
        </w:rPr>
        <w:t>(DANE).</w:t>
      </w:r>
    </w:p>
    <w:p w:rsidR="00706B60" w:rsidRPr="00B70E6E" w:rsidRDefault="00706B60" w:rsidP="00B70E6E">
      <w:pPr>
        <w:pStyle w:val="ListParagraph"/>
        <w:spacing w:after="0" w:line="20" w:lineRule="atLeast"/>
        <w:ind w:left="792"/>
        <w:jc w:val="both"/>
        <w:rPr>
          <w:rFonts w:ascii="Arial" w:hAnsi="Arial" w:cs="Arial"/>
          <w:lang w:val="es-ES_tradnl"/>
        </w:rPr>
      </w:pPr>
    </w:p>
    <w:p w:rsidR="00C356C7" w:rsidRPr="00B70E6E" w:rsidRDefault="009F69FF" w:rsidP="00B70E6E">
      <w:pPr>
        <w:pStyle w:val="ListParagraph"/>
        <w:numPr>
          <w:ilvl w:val="1"/>
          <w:numId w:val="1"/>
        </w:numPr>
        <w:spacing w:after="0" w:line="20" w:lineRule="atLeast"/>
        <w:jc w:val="both"/>
        <w:rPr>
          <w:rFonts w:ascii="Arial" w:hAnsi="Arial" w:cs="Arial"/>
          <w:lang w:val="es-ES_tradnl"/>
        </w:rPr>
      </w:pPr>
      <w:r w:rsidRPr="00B70E6E">
        <w:rPr>
          <w:rFonts w:ascii="Arial" w:hAnsi="Arial" w:cs="Arial"/>
          <w:lang w:val="es-ES_tradnl"/>
        </w:rPr>
        <w:t>L</w:t>
      </w:r>
      <w:r w:rsidRPr="00B70E6E">
        <w:rPr>
          <w:rFonts w:ascii="Arial" w:hAnsi="Arial" w:cs="Arial"/>
          <w:lang w:val="es-ES"/>
        </w:rPr>
        <w:t>a economía de Montería se basa principalmente en el sector primario, donde la agricultura (algodón, maíz, arroz, yuca y sorgo), la ganadería extensiva y la minería (ferro níquel, carbón, gas natural, oro) predominan. Sin embargo, en los últimos años el sector de los servicios ha adquirido notable participación. Según el Indicador Global de Competitividad (</w:t>
      </w:r>
      <w:r w:rsidR="00377B86" w:rsidRPr="00B70E6E">
        <w:rPr>
          <w:rFonts w:ascii="Arial" w:hAnsi="Arial" w:cs="Arial"/>
          <w:lang w:val="es-ES"/>
        </w:rPr>
        <w:t xml:space="preserve">2012), la ciudad </w:t>
      </w:r>
      <w:r w:rsidRPr="00B70E6E">
        <w:rPr>
          <w:rFonts w:ascii="Arial" w:hAnsi="Arial" w:cs="Arial"/>
          <w:lang w:val="es-ES"/>
        </w:rPr>
        <w:t>presenta</w:t>
      </w:r>
      <w:r w:rsidR="00377B86" w:rsidRPr="00B70E6E">
        <w:rPr>
          <w:rFonts w:ascii="Arial" w:hAnsi="Arial" w:cs="Arial"/>
          <w:lang w:val="es-ES"/>
        </w:rPr>
        <w:t xml:space="preserve"> </w:t>
      </w:r>
      <w:r w:rsidRPr="00B70E6E">
        <w:rPr>
          <w:rFonts w:ascii="Arial" w:hAnsi="Arial" w:cs="Arial"/>
          <w:lang w:val="es-ES"/>
        </w:rPr>
        <w:t>un bajo desempeño ya que ésta se ubica en el puesto 19</w:t>
      </w:r>
      <w:r w:rsidR="00377B86" w:rsidRPr="00B70E6E">
        <w:rPr>
          <w:rFonts w:ascii="Arial" w:hAnsi="Arial" w:cs="Arial"/>
          <w:lang w:val="es-ES"/>
        </w:rPr>
        <w:t xml:space="preserve"> </w:t>
      </w:r>
      <w:r w:rsidRPr="00B70E6E">
        <w:rPr>
          <w:rFonts w:ascii="Arial" w:hAnsi="Arial" w:cs="Arial"/>
          <w:lang w:val="es-ES"/>
        </w:rPr>
        <w:t>dentro de un ranking de 22 ciudades de modo que, con un</w:t>
      </w:r>
      <w:r w:rsidR="00377B86" w:rsidRPr="00B70E6E">
        <w:rPr>
          <w:rFonts w:ascii="Arial" w:hAnsi="Arial" w:cs="Arial"/>
          <w:lang w:val="es-ES"/>
        </w:rPr>
        <w:t xml:space="preserve"> puntaje de 30.0</w:t>
      </w:r>
      <w:r w:rsidRPr="00B70E6E">
        <w:rPr>
          <w:rFonts w:ascii="Arial" w:hAnsi="Arial" w:cs="Arial"/>
          <w:lang w:val="es-ES"/>
        </w:rPr>
        <w:t xml:space="preserve"> sobre 100 puntos posibles, la capital del</w:t>
      </w:r>
      <w:r w:rsidR="00377B86" w:rsidRPr="00B70E6E">
        <w:rPr>
          <w:rFonts w:ascii="Arial" w:hAnsi="Arial" w:cs="Arial"/>
          <w:lang w:val="es-ES"/>
        </w:rPr>
        <w:t xml:space="preserve"> </w:t>
      </w:r>
      <w:r w:rsidRPr="00B70E6E">
        <w:rPr>
          <w:rFonts w:ascii="Arial" w:hAnsi="Arial" w:cs="Arial"/>
          <w:lang w:val="es-ES"/>
        </w:rPr>
        <w:t>Sinú sólo supera a Valledupar, Sincelejo y Riohacha (cuyos</w:t>
      </w:r>
      <w:r w:rsidR="00377B86" w:rsidRPr="00B70E6E">
        <w:rPr>
          <w:rFonts w:ascii="Arial" w:hAnsi="Arial" w:cs="Arial"/>
          <w:lang w:val="es-ES"/>
        </w:rPr>
        <w:t xml:space="preserve"> puntajes son 19,8, 17,7 y 9,4</w:t>
      </w:r>
      <w:r w:rsidRPr="00B70E6E">
        <w:rPr>
          <w:rFonts w:ascii="Arial" w:hAnsi="Arial" w:cs="Arial"/>
          <w:lang w:val="es-ES"/>
        </w:rPr>
        <w:t xml:space="preserve"> respectivamente) y por</w:t>
      </w:r>
      <w:r w:rsidR="00377B86" w:rsidRPr="00B70E6E">
        <w:rPr>
          <w:rFonts w:ascii="Arial" w:hAnsi="Arial" w:cs="Arial"/>
          <w:lang w:val="es-ES"/>
        </w:rPr>
        <w:t xml:space="preserve"> </w:t>
      </w:r>
      <w:r w:rsidRPr="00B70E6E">
        <w:rPr>
          <w:rFonts w:ascii="Arial" w:hAnsi="Arial" w:cs="Arial"/>
          <w:lang w:val="es-ES"/>
        </w:rPr>
        <w:t>debajo de otras como Bucaramanga, Barranquilla y Pasto</w:t>
      </w:r>
      <w:r w:rsidR="003E3A22" w:rsidRPr="00B70E6E">
        <w:rPr>
          <w:rFonts w:ascii="Arial" w:hAnsi="Arial" w:cs="Arial"/>
          <w:lang w:val="es-ES"/>
        </w:rPr>
        <w:t xml:space="preserve"> </w:t>
      </w:r>
      <w:r w:rsidR="00377B86" w:rsidRPr="00B70E6E">
        <w:rPr>
          <w:rFonts w:ascii="Arial" w:hAnsi="Arial" w:cs="Arial"/>
          <w:lang w:val="es-ES"/>
        </w:rPr>
        <w:t>(con puntajes de 88,6, 72,9 y 39,4</w:t>
      </w:r>
      <w:r w:rsidRPr="00B70E6E">
        <w:rPr>
          <w:rFonts w:ascii="Arial" w:hAnsi="Arial" w:cs="Arial"/>
          <w:lang w:val="es-ES"/>
        </w:rPr>
        <w:t xml:space="preserve">). </w:t>
      </w:r>
    </w:p>
    <w:p w:rsidR="00130A3E" w:rsidRPr="00B70E6E" w:rsidRDefault="00130A3E" w:rsidP="00B70E6E">
      <w:pPr>
        <w:pStyle w:val="ListParagraph"/>
        <w:spacing w:after="0" w:line="20" w:lineRule="atLeast"/>
        <w:rPr>
          <w:rFonts w:ascii="Arial" w:hAnsi="Arial" w:cs="Arial"/>
          <w:lang w:val="es-ES_tradnl"/>
        </w:rPr>
      </w:pPr>
    </w:p>
    <w:p w:rsidR="00130A3E" w:rsidRPr="00B70E6E" w:rsidRDefault="00377B86" w:rsidP="00B70E6E">
      <w:pPr>
        <w:pStyle w:val="ListParagraph"/>
        <w:numPr>
          <w:ilvl w:val="1"/>
          <w:numId w:val="1"/>
        </w:numPr>
        <w:spacing w:after="0" w:line="20" w:lineRule="atLeast"/>
        <w:jc w:val="both"/>
        <w:rPr>
          <w:rFonts w:ascii="Arial" w:hAnsi="Arial" w:cs="Arial"/>
          <w:lang w:val="es-ES_tradnl"/>
        </w:rPr>
      </w:pPr>
      <w:r w:rsidRPr="00B70E6E">
        <w:rPr>
          <w:rFonts w:ascii="Arial" w:hAnsi="Arial" w:cs="Arial"/>
          <w:lang w:val="es-ES_tradnl"/>
        </w:rPr>
        <w:t xml:space="preserve">Montería cuenta con diversos instrumentos de planificación, entre los que se encuentran aquellos exigidos por la Ley: el Plan de Desarrollo 2012-2015, el Plan de Ordenamiento Territorial para el período 2002-2015, además del Plan Maestro </w:t>
      </w:r>
      <w:r w:rsidRPr="00B70E6E">
        <w:rPr>
          <w:rFonts w:ascii="Arial" w:hAnsi="Arial" w:cs="Arial"/>
          <w:lang w:val="es-ES_tradnl"/>
        </w:rPr>
        <w:lastRenderedPageBreak/>
        <w:t>denominado “Montería Ciudad Verde 2019.</w:t>
      </w:r>
      <w:r w:rsidR="002A2E98" w:rsidRPr="00B70E6E">
        <w:rPr>
          <w:rFonts w:ascii="Arial" w:hAnsi="Arial" w:cs="Arial"/>
          <w:lang w:val="es-ES_tradnl"/>
        </w:rPr>
        <w:t xml:space="preserve"> Recientemente</w:t>
      </w:r>
      <w:r w:rsidR="00EB1B32" w:rsidRPr="00B70E6E">
        <w:rPr>
          <w:rFonts w:ascii="Arial" w:hAnsi="Arial" w:cs="Arial"/>
          <w:lang w:val="es-ES_tradnl"/>
        </w:rPr>
        <w:t xml:space="preserve"> (2015),</w:t>
      </w:r>
      <w:r w:rsidR="002A2E98" w:rsidRPr="00B70E6E">
        <w:rPr>
          <w:rFonts w:ascii="Arial" w:hAnsi="Arial" w:cs="Arial"/>
          <w:lang w:val="es-ES_tradnl"/>
        </w:rPr>
        <w:t xml:space="preserve"> aplicando la metodología C</w:t>
      </w:r>
      <w:r w:rsidR="00EB1B32" w:rsidRPr="00B70E6E">
        <w:rPr>
          <w:rFonts w:ascii="Arial" w:hAnsi="Arial" w:cs="Arial"/>
          <w:lang w:val="es-ES_tradnl"/>
        </w:rPr>
        <w:t xml:space="preserve">SC, se elaboró el Plan de Acción 2032 ¨Montería sostenible de cara al río Sinú¨. </w:t>
      </w:r>
      <w:r w:rsidRPr="00B70E6E">
        <w:rPr>
          <w:rFonts w:ascii="Arial" w:hAnsi="Arial" w:cs="Arial"/>
          <w:lang w:val="es-ES_tradnl"/>
        </w:rPr>
        <w:t xml:space="preserve"> Es de anotar que el municipio se encuentra intervenido en su gestión financiera por el Ministerio de Hacienda en el marco de la Ley 550</w:t>
      </w:r>
      <w:r w:rsidR="002B2ED2" w:rsidRPr="00B70E6E">
        <w:rPr>
          <w:rFonts w:ascii="Arial" w:hAnsi="Arial" w:cs="Arial"/>
          <w:lang w:val="es-ES_tradnl"/>
        </w:rPr>
        <w:t>.</w:t>
      </w:r>
    </w:p>
    <w:p w:rsidR="00EB1B32" w:rsidRPr="00B70E6E" w:rsidRDefault="00EB1B32" w:rsidP="00B70E6E">
      <w:pPr>
        <w:pStyle w:val="ListParagraph"/>
        <w:numPr>
          <w:ilvl w:val="1"/>
          <w:numId w:val="1"/>
        </w:numPr>
        <w:spacing w:after="0" w:line="20" w:lineRule="atLeast"/>
        <w:jc w:val="both"/>
        <w:rPr>
          <w:rFonts w:ascii="Arial" w:hAnsi="Arial" w:cs="Arial"/>
          <w:lang w:val="es-ES_tradnl"/>
        </w:rPr>
      </w:pPr>
      <w:r w:rsidRPr="00B70E6E">
        <w:rPr>
          <w:rFonts w:ascii="Arial" w:hAnsi="Arial" w:cs="Arial"/>
          <w:lang w:val="es-ES_tradnl"/>
        </w:rPr>
        <w:t>El Plan de Acción 2032 definió 4 ejes estratégicos: i) el río corredor de inclusión y activo productivo (corredor ecológico y parque ecoturístico); ii) el río articulador del ordenamiento urbano (centro vivo, ampliado e integrado por el río); iii) Montería resiliente: el camino al bienestar (saneamiento, adaptación al cambio climático, gestión del riesgo y planeación ambiental); y iv) hacia una Hacienda moderna y transparente (gestión fiscal eficiente). Dichos ejes enmarcan y son consistentes con todas las inversiones previstas en esta operación.</w:t>
      </w:r>
    </w:p>
    <w:p w:rsidR="00C356C7" w:rsidRPr="00B70E6E" w:rsidRDefault="00C356C7" w:rsidP="00B70E6E">
      <w:pPr>
        <w:pStyle w:val="ListParagraph"/>
        <w:spacing w:after="0" w:line="20" w:lineRule="atLeast"/>
        <w:rPr>
          <w:rFonts w:ascii="Arial" w:hAnsi="Arial" w:cs="Arial"/>
          <w:lang w:val="es-ES_tradnl"/>
        </w:rPr>
      </w:pPr>
    </w:p>
    <w:p w:rsidR="00437B9C" w:rsidRPr="00B70E6E" w:rsidRDefault="00437B9C" w:rsidP="00C311DC">
      <w:pPr>
        <w:pStyle w:val="ListParagraph"/>
        <w:numPr>
          <w:ilvl w:val="0"/>
          <w:numId w:val="2"/>
        </w:numPr>
        <w:spacing w:after="0" w:line="20" w:lineRule="atLeast"/>
        <w:jc w:val="both"/>
        <w:rPr>
          <w:rFonts w:ascii="Arial" w:hAnsi="Arial" w:cs="Arial"/>
          <w:b/>
          <w:lang w:val="es-ES_tradnl"/>
        </w:rPr>
      </w:pPr>
      <w:r w:rsidRPr="00B70E6E">
        <w:rPr>
          <w:rFonts w:ascii="Arial" w:hAnsi="Arial" w:cs="Arial"/>
          <w:b/>
          <w:lang w:val="es-ES_tradnl"/>
        </w:rPr>
        <w:t xml:space="preserve">Principales desafíos para la sostenibilidad urbana </w:t>
      </w:r>
    </w:p>
    <w:p w:rsidR="00706B60" w:rsidRPr="00B70E6E" w:rsidRDefault="00706B60" w:rsidP="00B70E6E">
      <w:pPr>
        <w:pStyle w:val="ListParagraph"/>
        <w:spacing w:after="0" w:line="20" w:lineRule="atLeast"/>
        <w:ind w:left="1080"/>
        <w:jc w:val="both"/>
        <w:rPr>
          <w:rFonts w:ascii="Arial" w:hAnsi="Arial" w:cs="Arial"/>
          <w:b/>
          <w:lang w:val="es-ES_tradnl"/>
        </w:rPr>
      </w:pPr>
    </w:p>
    <w:p w:rsidR="00A92C8E" w:rsidRPr="00B70E6E" w:rsidRDefault="00590EBB" w:rsidP="00B70E6E">
      <w:pPr>
        <w:pStyle w:val="ListParagraph"/>
        <w:numPr>
          <w:ilvl w:val="1"/>
          <w:numId w:val="1"/>
        </w:numPr>
        <w:spacing w:after="0" w:line="20" w:lineRule="atLeast"/>
        <w:jc w:val="both"/>
        <w:rPr>
          <w:rFonts w:ascii="Arial" w:hAnsi="Arial" w:cs="Arial"/>
          <w:lang w:val="es-ES_tradnl"/>
        </w:rPr>
      </w:pPr>
      <w:r w:rsidRPr="00B70E6E">
        <w:rPr>
          <w:rFonts w:ascii="Arial" w:hAnsi="Arial" w:cs="Arial"/>
          <w:u w:val="single"/>
          <w:lang w:val="es-ES_tradnl"/>
        </w:rPr>
        <w:t>Dimensión de sostenibilidad ambiental</w:t>
      </w:r>
      <w:r w:rsidR="003A471B" w:rsidRPr="00B70E6E">
        <w:rPr>
          <w:rFonts w:ascii="Arial" w:hAnsi="Arial" w:cs="Arial"/>
          <w:u w:val="single"/>
          <w:lang w:val="es-ES_tradnl"/>
        </w:rPr>
        <w:t xml:space="preserve"> y cambio climático</w:t>
      </w:r>
      <w:r w:rsidRPr="00B70E6E">
        <w:rPr>
          <w:rFonts w:ascii="Arial" w:hAnsi="Arial" w:cs="Arial"/>
          <w:u w:val="single"/>
          <w:lang w:val="es-ES_tradnl"/>
        </w:rPr>
        <w:t>.</w:t>
      </w:r>
      <w:r w:rsidRPr="00B70E6E">
        <w:rPr>
          <w:rFonts w:ascii="Arial" w:hAnsi="Arial" w:cs="Arial"/>
          <w:lang w:val="es-ES_tradnl"/>
        </w:rPr>
        <w:t xml:space="preserve"> </w:t>
      </w:r>
      <w:r w:rsidR="00C83787" w:rsidRPr="00B70E6E">
        <w:rPr>
          <w:rFonts w:ascii="Arial" w:hAnsi="Arial" w:cs="Arial"/>
          <w:lang w:val="es-ES_tradnl"/>
        </w:rPr>
        <w:t>Según los resultados del análisis de la Iniciativa de Ciudades Emergentes y Sustentables (ICES</w:t>
      </w:r>
      <w:r w:rsidR="002A1DFE" w:rsidRPr="00B70E6E">
        <w:rPr>
          <w:rFonts w:ascii="Arial" w:hAnsi="Arial" w:cs="Arial"/>
          <w:lang w:val="es-ES_tradnl"/>
        </w:rPr>
        <w:t>- 2013</w:t>
      </w:r>
      <w:r w:rsidR="00C83787" w:rsidRPr="00B70E6E">
        <w:rPr>
          <w:rFonts w:ascii="Arial" w:hAnsi="Arial" w:cs="Arial"/>
          <w:lang w:val="es-ES_tradnl"/>
        </w:rPr>
        <w:t>),</w:t>
      </w:r>
      <w:r w:rsidR="000C00AB" w:rsidRPr="00B70E6E">
        <w:rPr>
          <w:rFonts w:ascii="Arial" w:hAnsi="Arial" w:cs="Arial"/>
          <w:lang w:val="es-ES_tradnl"/>
        </w:rPr>
        <w:t xml:space="preserve"> en términos de la dimensión de sostenibilidad ambiental, los </w:t>
      </w:r>
      <w:r w:rsidR="00B05870" w:rsidRPr="00B70E6E">
        <w:rPr>
          <w:rFonts w:ascii="Arial" w:hAnsi="Arial" w:cs="Arial"/>
          <w:lang w:val="es-ES_tradnl"/>
        </w:rPr>
        <w:t>indicadores muestran que Montería</w:t>
      </w:r>
      <w:r w:rsidR="000C00AB" w:rsidRPr="00B70E6E">
        <w:rPr>
          <w:rFonts w:ascii="Arial" w:hAnsi="Arial" w:cs="Arial"/>
          <w:lang w:val="es-ES_tradnl"/>
        </w:rPr>
        <w:t xml:space="preserve"> tiene una buena cobertura de servicios públicos, especialmente en términos de agua</w:t>
      </w:r>
      <w:r w:rsidR="00D706AE" w:rsidRPr="00B70E6E">
        <w:rPr>
          <w:rFonts w:ascii="Arial" w:hAnsi="Arial" w:cs="Arial"/>
          <w:lang w:val="es-ES_tradnl"/>
        </w:rPr>
        <w:t xml:space="preserve"> (cobertura 98%)</w:t>
      </w:r>
      <w:r w:rsidR="000C00AB" w:rsidRPr="00B70E6E">
        <w:rPr>
          <w:rFonts w:ascii="Arial" w:hAnsi="Arial" w:cs="Arial"/>
          <w:lang w:val="es-ES_tradnl"/>
        </w:rPr>
        <w:t xml:space="preserve"> y energía</w:t>
      </w:r>
      <w:r w:rsidR="00B75E18" w:rsidRPr="00B70E6E">
        <w:rPr>
          <w:rFonts w:ascii="Arial" w:hAnsi="Arial" w:cs="Arial"/>
          <w:lang w:val="es-ES_tradnl"/>
        </w:rPr>
        <w:t xml:space="preserve"> (cobertura </w:t>
      </w:r>
      <w:r w:rsidR="003A471B" w:rsidRPr="00B70E6E">
        <w:rPr>
          <w:rFonts w:ascii="Arial" w:hAnsi="Arial" w:cs="Arial"/>
          <w:lang w:val="es-ES_tradnl"/>
        </w:rPr>
        <w:t xml:space="preserve"> </w:t>
      </w:r>
      <w:r w:rsidR="00B05870" w:rsidRPr="00B70E6E">
        <w:rPr>
          <w:rFonts w:ascii="Arial" w:hAnsi="Arial" w:cs="Arial"/>
          <w:lang w:val="es-ES_tradnl"/>
        </w:rPr>
        <w:t>9</w:t>
      </w:r>
      <w:r w:rsidR="003A471B" w:rsidRPr="00B70E6E">
        <w:rPr>
          <w:rFonts w:ascii="Arial" w:hAnsi="Arial" w:cs="Arial"/>
          <w:lang w:val="es-ES_tradnl"/>
        </w:rPr>
        <w:t>9</w:t>
      </w:r>
      <w:r w:rsidR="00B05870" w:rsidRPr="00B70E6E">
        <w:rPr>
          <w:rFonts w:ascii="Arial" w:hAnsi="Arial" w:cs="Arial"/>
          <w:lang w:val="es-ES_tradnl"/>
        </w:rPr>
        <w:t>.</w:t>
      </w:r>
      <w:r w:rsidR="003A471B" w:rsidRPr="00B70E6E">
        <w:rPr>
          <w:rFonts w:ascii="Arial" w:hAnsi="Arial" w:cs="Arial"/>
          <w:lang w:val="es-ES_tradnl"/>
        </w:rPr>
        <w:t>5%)</w:t>
      </w:r>
      <w:r w:rsidR="000C00AB" w:rsidRPr="00B70E6E">
        <w:rPr>
          <w:rFonts w:ascii="Arial" w:hAnsi="Arial" w:cs="Arial"/>
          <w:lang w:val="es-ES_tradnl"/>
        </w:rPr>
        <w:t>.</w:t>
      </w:r>
      <w:r w:rsidR="003A471B" w:rsidRPr="00B70E6E">
        <w:rPr>
          <w:rFonts w:ascii="Arial" w:hAnsi="Arial" w:cs="Arial"/>
          <w:lang w:val="es-ES_tradnl"/>
        </w:rPr>
        <w:t xml:space="preserve"> </w:t>
      </w:r>
      <w:r w:rsidR="00EC197A" w:rsidRPr="00B70E6E">
        <w:rPr>
          <w:rFonts w:ascii="Arial" w:hAnsi="Arial" w:cs="Arial"/>
          <w:lang w:val="es-ES_tradnl"/>
        </w:rPr>
        <w:t>Con unas emisiones por debajo de 3 toneladas anuales de CO2 per cápita, Montería se encuentra todavía con holgura dentro de la zona ¨verde¨ de la plataforma CSC (menos de 5 ton)</w:t>
      </w:r>
      <w:r w:rsidR="00A92C8E" w:rsidRPr="00B70E6E">
        <w:rPr>
          <w:rFonts w:ascii="Arial" w:hAnsi="Arial" w:cs="Arial"/>
          <w:lang w:val="es-ES_tradnl"/>
        </w:rPr>
        <w:t>.</w:t>
      </w:r>
      <w:r w:rsidR="00EC197A" w:rsidRPr="00B70E6E">
        <w:rPr>
          <w:rFonts w:ascii="Arial" w:hAnsi="Arial" w:cs="Arial"/>
          <w:lang w:val="es-ES_tradnl"/>
        </w:rPr>
        <w:t xml:space="preserve"> Sin embargo hay </w:t>
      </w:r>
      <w:r w:rsidR="00EC197A" w:rsidRPr="00B70E6E">
        <w:rPr>
          <w:rFonts w:ascii="Arial" w:hAnsi="Arial" w:cs="Arial"/>
          <w:b/>
          <w:lang w:val="es-ES_tradnl"/>
        </w:rPr>
        <w:t>temas urgentes, como el de saneamiento, drenaje, residuos sólidos y vulnerabilidad ante los desastres naturales,</w:t>
      </w:r>
      <w:r w:rsidR="00EC197A" w:rsidRPr="00B70E6E">
        <w:rPr>
          <w:rFonts w:ascii="Arial" w:hAnsi="Arial" w:cs="Arial"/>
          <w:lang w:val="es-ES_tradnl"/>
        </w:rPr>
        <w:t xml:space="preserve"> que la ciudad tiene que actuar pues su situación se acerca a ser crítica para la sostenibilidad</w:t>
      </w:r>
    </w:p>
    <w:p w:rsidR="00A92C8E" w:rsidRPr="00B70E6E" w:rsidRDefault="00A92C8E" w:rsidP="00B70E6E">
      <w:pPr>
        <w:pStyle w:val="ListParagraph"/>
        <w:spacing w:after="0" w:line="20" w:lineRule="atLeast"/>
        <w:ind w:left="792"/>
        <w:jc w:val="both"/>
        <w:rPr>
          <w:rFonts w:ascii="Arial" w:hAnsi="Arial" w:cs="Arial"/>
          <w:lang w:val="es-ES_tradnl"/>
        </w:rPr>
      </w:pPr>
    </w:p>
    <w:p w:rsidR="00A92C8E" w:rsidRPr="00B70E6E" w:rsidRDefault="00A92C8E" w:rsidP="00B70E6E">
      <w:pPr>
        <w:pStyle w:val="ListParagraph"/>
        <w:numPr>
          <w:ilvl w:val="1"/>
          <w:numId w:val="1"/>
        </w:numPr>
        <w:spacing w:after="0" w:line="20" w:lineRule="atLeast"/>
        <w:jc w:val="both"/>
        <w:rPr>
          <w:rFonts w:ascii="Arial" w:hAnsi="Arial" w:cs="Arial"/>
          <w:lang w:val="es-ES_tradnl"/>
        </w:rPr>
      </w:pPr>
      <w:r w:rsidRPr="00B70E6E">
        <w:rPr>
          <w:rFonts w:ascii="Arial" w:hAnsi="Arial" w:cs="Arial"/>
          <w:lang w:val="es-ES_tradnl"/>
        </w:rPr>
        <w:t>E</w:t>
      </w:r>
      <w:r w:rsidR="00B75E18" w:rsidRPr="00B70E6E">
        <w:rPr>
          <w:rFonts w:ascii="Arial" w:hAnsi="Arial" w:cs="Arial"/>
          <w:lang w:val="es-ES_tradnl"/>
        </w:rPr>
        <w:t xml:space="preserve">l servicio de </w:t>
      </w:r>
      <w:r w:rsidR="00B75E18" w:rsidRPr="00B70E6E">
        <w:rPr>
          <w:rFonts w:ascii="Arial" w:hAnsi="Arial" w:cs="Arial"/>
          <w:b/>
          <w:lang w:val="es-ES_tradnl"/>
        </w:rPr>
        <w:t>alcantarillado</w:t>
      </w:r>
      <w:r w:rsidR="00B75E18" w:rsidRPr="00B70E6E">
        <w:rPr>
          <w:rFonts w:ascii="Arial" w:hAnsi="Arial" w:cs="Arial"/>
          <w:lang w:val="es-ES_tradnl"/>
        </w:rPr>
        <w:t xml:space="preserve"> presenta </w:t>
      </w:r>
      <w:r w:rsidR="00EC197A" w:rsidRPr="00B70E6E">
        <w:rPr>
          <w:rFonts w:ascii="Arial" w:hAnsi="Arial" w:cs="Arial"/>
          <w:lang w:val="es-ES_tradnl"/>
        </w:rPr>
        <w:t>una cobertura bastante baja (55%) y muy inferior a lo señalado por la plataforma CSC (más del 85%) y otras ciudades del país</w:t>
      </w:r>
      <w:r w:rsidR="00BC7F2B" w:rsidRPr="00B70E6E">
        <w:rPr>
          <w:rFonts w:ascii="Arial" w:hAnsi="Arial" w:cs="Arial"/>
          <w:lang w:val="es-ES_tradnl"/>
        </w:rPr>
        <w:t xml:space="preserve"> (</w:t>
      </w:r>
      <w:r w:rsidR="00EC197A" w:rsidRPr="00B70E6E">
        <w:rPr>
          <w:rFonts w:ascii="Arial" w:hAnsi="Arial" w:cs="Arial"/>
          <w:lang w:val="es-ES_tradnl"/>
        </w:rPr>
        <w:t>Bucaramanga 99% y Pasto 96%, por ejemplo. Esto significa que alrededor del 45% de sus aguas negras fluyen a cielo abierto</w:t>
      </w:r>
      <w:r w:rsidR="00BC7F2B" w:rsidRPr="00B70E6E">
        <w:rPr>
          <w:rFonts w:ascii="Arial" w:hAnsi="Arial" w:cs="Arial"/>
          <w:lang w:val="es-ES_tradnl"/>
        </w:rPr>
        <w:t xml:space="preserve"> a lo largo de canaletas.</w:t>
      </w:r>
      <w:r w:rsidR="00E170B3" w:rsidRPr="00B70E6E">
        <w:rPr>
          <w:rFonts w:ascii="Arial" w:hAnsi="Arial" w:cs="Arial"/>
          <w:lang w:val="es-ES_tradnl"/>
        </w:rPr>
        <w:t xml:space="preserve"> Sin embargo, se encuentran en marcha una serie de obras que permitirán que la cobertura alcance el 85% tan pronto las redes se pongan en operación.</w:t>
      </w:r>
      <w:r w:rsidR="00BC7F2B" w:rsidRPr="00B70E6E">
        <w:rPr>
          <w:rFonts w:ascii="Arial" w:hAnsi="Arial" w:cs="Arial"/>
          <w:lang w:val="es-ES_tradnl"/>
        </w:rPr>
        <w:t xml:space="preserve"> Aunque el 80% del área de la ciudad cuenta con un sistema de </w:t>
      </w:r>
      <w:r w:rsidR="00BC7F2B" w:rsidRPr="00B70E6E">
        <w:rPr>
          <w:rFonts w:ascii="Arial" w:hAnsi="Arial" w:cs="Arial"/>
          <w:b/>
          <w:lang w:val="es-ES_tradnl"/>
        </w:rPr>
        <w:t>drenaje</w:t>
      </w:r>
      <w:r w:rsidR="00BC7F2B" w:rsidRPr="00B70E6E">
        <w:rPr>
          <w:rFonts w:ascii="Arial" w:hAnsi="Arial" w:cs="Arial"/>
          <w:lang w:val="es-ES_tradnl"/>
        </w:rPr>
        <w:t xml:space="preserve"> de aguas de lluvias este se basa en la adecuación de caños naturales y canales que en muchos casos también son utilizados para dar servicios a las aguas negras, lo que colma su capacidad y en la época de lluvias contribuye  a grandes inundaciones. </w:t>
      </w:r>
      <w:r w:rsidR="00C10FCE" w:rsidRPr="00B70E6E">
        <w:rPr>
          <w:rFonts w:ascii="Arial" w:hAnsi="Arial" w:cs="Arial"/>
          <w:lang w:val="es-ES_tradnl"/>
        </w:rPr>
        <w:t xml:space="preserve"> </w:t>
      </w:r>
      <w:r w:rsidR="00BC7F2B" w:rsidRPr="00B70E6E">
        <w:rPr>
          <w:rFonts w:ascii="Arial" w:hAnsi="Arial" w:cs="Arial"/>
          <w:lang w:val="es-ES_tradnl"/>
        </w:rPr>
        <w:t xml:space="preserve">Cuanto a los </w:t>
      </w:r>
      <w:r w:rsidR="00BC7F2B" w:rsidRPr="00B70E6E">
        <w:rPr>
          <w:rFonts w:ascii="Arial" w:hAnsi="Arial" w:cs="Arial"/>
          <w:b/>
          <w:lang w:val="es-ES_tradnl"/>
        </w:rPr>
        <w:t>residuos sólidos</w:t>
      </w:r>
      <w:r w:rsidR="00BC7F2B" w:rsidRPr="00B70E6E">
        <w:rPr>
          <w:rFonts w:ascii="Arial" w:hAnsi="Arial" w:cs="Arial"/>
          <w:lang w:val="es-ES_tradnl"/>
        </w:rPr>
        <w:t xml:space="preserve"> solo el 80% es dispuesto adecuadamente en relleno sanitario (</w:t>
      </w:r>
      <w:r w:rsidR="009A160B" w:rsidRPr="00B70E6E">
        <w:rPr>
          <w:rFonts w:ascii="Arial" w:hAnsi="Arial" w:cs="Arial"/>
          <w:lang w:val="es-ES_tradnl"/>
        </w:rPr>
        <w:t xml:space="preserve">Bucaramanga, 100% y Pasto (99.5%), lo que coloca a la ciudad en el límite exacto de los parámetros ICES lo que pasa a ser un aspecto crítico. Finalmente, cuanto a la </w:t>
      </w:r>
      <w:r w:rsidR="009A160B" w:rsidRPr="00B70E6E">
        <w:rPr>
          <w:rFonts w:ascii="Arial" w:hAnsi="Arial" w:cs="Arial"/>
          <w:b/>
          <w:lang w:val="es-ES_tradnl"/>
        </w:rPr>
        <w:t>vulnerabilidad ante desastres</w:t>
      </w:r>
      <w:r w:rsidR="009A160B" w:rsidRPr="00B70E6E">
        <w:rPr>
          <w:rFonts w:ascii="Arial" w:hAnsi="Arial" w:cs="Arial"/>
          <w:lang w:val="es-ES_tradnl"/>
        </w:rPr>
        <w:t>, Montería está expuesta a los fenómenos naturales de inundación, sequía, movimientos en masa, vendavales y sismos. Según cálculos de la alcaldía, el 20% de la infraestructura puede ser impactada por estos fenómenos y el 17% de las viviendas están construidas, sin permiso, en áreas de riesgo.</w:t>
      </w:r>
    </w:p>
    <w:p w:rsidR="00A92C8E" w:rsidRPr="00B70E6E" w:rsidRDefault="00A92C8E" w:rsidP="00B70E6E">
      <w:pPr>
        <w:pStyle w:val="ListParagraph"/>
        <w:spacing w:after="0" w:line="20" w:lineRule="atLeast"/>
        <w:ind w:left="792"/>
        <w:jc w:val="both"/>
        <w:rPr>
          <w:rFonts w:ascii="Arial" w:hAnsi="Arial" w:cs="Arial"/>
          <w:lang w:val="es-ES_tradnl"/>
        </w:rPr>
      </w:pPr>
    </w:p>
    <w:p w:rsidR="00C8661B" w:rsidRPr="00B70E6E" w:rsidRDefault="0062462C" w:rsidP="00B70E6E">
      <w:pPr>
        <w:pStyle w:val="ListParagraph"/>
        <w:numPr>
          <w:ilvl w:val="1"/>
          <w:numId w:val="1"/>
        </w:numPr>
        <w:spacing w:after="0" w:line="20" w:lineRule="atLeast"/>
        <w:jc w:val="both"/>
        <w:rPr>
          <w:rFonts w:ascii="Arial" w:hAnsi="Arial" w:cs="Arial"/>
          <w:lang w:val="es-ES"/>
        </w:rPr>
      </w:pPr>
      <w:r w:rsidRPr="00B70E6E">
        <w:rPr>
          <w:rFonts w:ascii="Arial" w:hAnsi="Arial" w:cs="Arial"/>
          <w:lang w:val="es-ES_tradnl"/>
        </w:rPr>
        <w:t>En años recientes los</w:t>
      </w:r>
      <w:r w:rsidR="009A160B" w:rsidRPr="00B70E6E">
        <w:rPr>
          <w:rFonts w:ascii="Arial" w:hAnsi="Arial" w:cs="Arial"/>
          <w:lang w:val="es-ES_tradnl"/>
        </w:rPr>
        <w:t xml:space="preserve"> fenómenos </w:t>
      </w:r>
      <w:r w:rsidRPr="00B70E6E">
        <w:rPr>
          <w:rFonts w:ascii="Arial" w:hAnsi="Arial" w:cs="Arial"/>
          <w:lang w:val="es-ES_tradnl"/>
        </w:rPr>
        <w:t xml:space="preserve">anteriores </w:t>
      </w:r>
      <w:r w:rsidR="009A160B" w:rsidRPr="00B70E6E">
        <w:rPr>
          <w:rFonts w:ascii="Arial" w:hAnsi="Arial" w:cs="Arial"/>
          <w:lang w:val="es-ES_tradnl"/>
        </w:rPr>
        <w:t>se han venido confrontando con mejores resultados debido a la adopción del Plan Municipal para la Gestión del Riesgo y la puesta en funcionamiento del Comité Local para la Prevención y Atención de Desastres.</w:t>
      </w:r>
    </w:p>
    <w:p w:rsidR="00CE240A" w:rsidRPr="00B70E6E" w:rsidRDefault="00CE240A" w:rsidP="00B70E6E">
      <w:pPr>
        <w:pStyle w:val="ListParagraph"/>
        <w:autoSpaceDE w:val="0"/>
        <w:autoSpaceDN w:val="0"/>
        <w:adjustRightInd w:val="0"/>
        <w:spacing w:after="0" w:line="20" w:lineRule="atLeast"/>
        <w:ind w:left="792"/>
        <w:jc w:val="both"/>
        <w:rPr>
          <w:rFonts w:ascii="Arial" w:hAnsi="Arial" w:cs="Arial"/>
          <w:lang w:val="es-ES_tradnl"/>
        </w:rPr>
      </w:pPr>
    </w:p>
    <w:p w:rsidR="00A1610A" w:rsidRPr="00B70E6E" w:rsidRDefault="00590EBB" w:rsidP="00B70E6E">
      <w:pPr>
        <w:pStyle w:val="ListParagraph"/>
        <w:numPr>
          <w:ilvl w:val="1"/>
          <w:numId w:val="1"/>
        </w:numPr>
        <w:spacing w:after="0" w:line="20" w:lineRule="atLeast"/>
        <w:jc w:val="both"/>
        <w:rPr>
          <w:rFonts w:ascii="Arial" w:hAnsi="Arial" w:cs="Arial"/>
          <w:lang w:val="es-ES_tradnl"/>
        </w:rPr>
      </w:pPr>
      <w:r w:rsidRPr="00B70E6E">
        <w:rPr>
          <w:rFonts w:ascii="Arial" w:hAnsi="Arial" w:cs="Arial"/>
          <w:u w:val="single"/>
          <w:lang w:val="es-ES_tradnl"/>
        </w:rPr>
        <w:lastRenderedPageBreak/>
        <w:t>Dimensión de sostenibilidad urbana</w:t>
      </w:r>
      <w:r w:rsidRPr="00B70E6E">
        <w:rPr>
          <w:rFonts w:ascii="Arial" w:hAnsi="Arial" w:cs="Arial"/>
          <w:lang w:val="es-ES_tradnl"/>
        </w:rPr>
        <w:t>.</w:t>
      </w:r>
      <w:r w:rsidR="00B45CAF" w:rsidRPr="00B70E6E">
        <w:rPr>
          <w:rFonts w:ascii="Arial" w:hAnsi="Arial" w:cs="Arial"/>
          <w:lang w:val="es-ES_tradnl"/>
        </w:rPr>
        <w:t xml:space="preserve"> </w:t>
      </w:r>
      <w:r w:rsidR="00F24C9A" w:rsidRPr="00B70E6E">
        <w:rPr>
          <w:rFonts w:ascii="Arial" w:hAnsi="Arial" w:cs="Arial"/>
          <w:lang w:val="es-ES_tradnl"/>
        </w:rPr>
        <w:t xml:space="preserve">En términos de sostenibilidad urbana, la ciudad de Montería ha realizado grandes esfuerzos para lograr mejores condiciones para sus habitantes. Entre otros, se cuenta la ampliación y el mejoramiento del espacio público, la provisión de vivienda para la población más vulnerable, la implementación de la política Nacional de “Ciudades Amables” con el Sistema Estratégico de Transporte (SETP) y la promoción del uso de modos no motorizados de transporte. </w:t>
      </w:r>
    </w:p>
    <w:p w:rsidR="00F24C9A" w:rsidRPr="00B70E6E" w:rsidRDefault="00F24C9A" w:rsidP="00B70E6E">
      <w:pPr>
        <w:pStyle w:val="ListParagraph"/>
        <w:spacing w:after="0" w:line="20" w:lineRule="atLeast"/>
        <w:rPr>
          <w:rFonts w:ascii="Arial" w:hAnsi="Arial" w:cs="Arial"/>
          <w:lang w:val="es-ES_tradnl"/>
        </w:rPr>
      </w:pPr>
    </w:p>
    <w:p w:rsidR="00BA3E21" w:rsidRPr="00B70E6E" w:rsidRDefault="00B45CAF" w:rsidP="00B70E6E">
      <w:pPr>
        <w:pStyle w:val="ListParagraph"/>
        <w:numPr>
          <w:ilvl w:val="1"/>
          <w:numId w:val="1"/>
        </w:numPr>
        <w:tabs>
          <w:tab w:val="left" w:pos="900"/>
        </w:tabs>
        <w:spacing w:after="0" w:line="20" w:lineRule="atLeast"/>
        <w:jc w:val="both"/>
        <w:rPr>
          <w:rFonts w:ascii="Arial" w:hAnsi="Arial" w:cs="Arial"/>
          <w:lang w:val="es-ES_tradnl"/>
        </w:rPr>
      </w:pPr>
      <w:r w:rsidRPr="00B70E6E">
        <w:rPr>
          <w:rFonts w:ascii="Arial" w:hAnsi="Arial" w:cs="Arial"/>
          <w:lang w:val="es-ES_tradnl"/>
        </w:rPr>
        <w:t>E</w:t>
      </w:r>
      <w:r w:rsidR="00103478" w:rsidRPr="00B70E6E">
        <w:rPr>
          <w:rFonts w:ascii="Arial" w:hAnsi="Arial" w:cs="Arial"/>
          <w:lang w:val="es-ES_tradnl"/>
        </w:rPr>
        <w:t xml:space="preserve">l diagnóstico ICES </w:t>
      </w:r>
      <w:r w:rsidR="00C8661B" w:rsidRPr="00B70E6E">
        <w:rPr>
          <w:rFonts w:ascii="Arial" w:hAnsi="Arial" w:cs="Arial"/>
          <w:lang w:val="es-ES_tradnl"/>
        </w:rPr>
        <w:t>muestra</w:t>
      </w:r>
      <w:r w:rsidR="00103478" w:rsidRPr="00B70E6E">
        <w:rPr>
          <w:rFonts w:ascii="Arial" w:hAnsi="Arial" w:cs="Arial"/>
          <w:lang w:val="es-ES_tradnl"/>
        </w:rPr>
        <w:t xml:space="preserve"> </w:t>
      </w:r>
      <w:r w:rsidR="00C8661B" w:rsidRPr="00B70E6E">
        <w:rPr>
          <w:rFonts w:ascii="Arial" w:hAnsi="Arial" w:cs="Arial"/>
          <w:lang w:val="es-ES_tradnl"/>
        </w:rPr>
        <w:t xml:space="preserve">un desempeño </w:t>
      </w:r>
      <w:r w:rsidR="005E4CFD" w:rsidRPr="00B70E6E">
        <w:rPr>
          <w:rFonts w:ascii="Arial" w:hAnsi="Arial" w:cs="Arial"/>
          <w:lang w:val="es-ES_tradnl"/>
        </w:rPr>
        <w:t>positivo tanto en</w:t>
      </w:r>
      <w:r w:rsidR="00F24C9A" w:rsidRPr="00B70E6E">
        <w:rPr>
          <w:rFonts w:ascii="Arial" w:hAnsi="Arial" w:cs="Arial"/>
          <w:lang w:val="es-ES_tradnl"/>
        </w:rPr>
        <w:t xml:space="preserve"> términos de densidad neta (8.0 </w:t>
      </w:r>
      <w:r w:rsidR="005E4CFD" w:rsidRPr="00B70E6E">
        <w:rPr>
          <w:rFonts w:ascii="Arial" w:hAnsi="Arial" w:cs="Arial"/>
          <w:lang w:val="es-ES_tradnl"/>
        </w:rPr>
        <w:t xml:space="preserve">hab/km2 frente al rango de 7,000/20,000 de referencia) como en el del crecimiento de la </w:t>
      </w:r>
      <w:r w:rsidR="00F24C9A" w:rsidRPr="00B70E6E">
        <w:rPr>
          <w:rFonts w:ascii="Arial" w:hAnsi="Arial" w:cs="Arial"/>
          <w:lang w:val="es-ES_tradnl"/>
        </w:rPr>
        <w:t>huella urbana (0.7</w:t>
      </w:r>
      <w:r w:rsidR="005E4CFD" w:rsidRPr="00B70E6E">
        <w:rPr>
          <w:rFonts w:ascii="Arial" w:hAnsi="Arial" w:cs="Arial"/>
          <w:lang w:val="es-ES_tradnl"/>
        </w:rPr>
        <w:t xml:space="preserve">% anual </w:t>
      </w:r>
      <w:r w:rsidR="00F24C9A" w:rsidRPr="00B70E6E">
        <w:rPr>
          <w:rFonts w:ascii="Arial" w:hAnsi="Arial" w:cs="Arial"/>
          <w:lang w:val="es-ES_tradnl"/>
        </w:rPr>
        <w:t xml:space="preserve">a partir de 2001, frente al </w:t>
      </w:r>
      <w:r w:rsidR="005E4CFD" w:rsidRPr="00B70E6E">
        <w:rPr>
          <w:rFonts w:ascii="Arial" w:hAnsi="Arial" w:cs="Arial"/>
          <w:lang w:val="es-ES_tradnl"/>
        </w:rPr>
        <w:t xml:space="preserve"> máximo de 6% anual que la ICES considera sostenible)</w:t>
      </w:r>
      <w:r w:rsidR="00967602" w:rsidRPr="00B70E6E">
        <w:rPr>
          <w:rFonts w:ascii="Arial" w:hAnsi="Arial" w:cs="Arial"/>
          <w:lang w:val="es-ES_tradnl"/>
        </w:rPr>
        <w:t xml:space="preserve">. </w:t>
      </w:r>
      <w:r w:rsidR="00F24C9A" w:rsidRPr="00B70E6E">
        <w:rPr>
          <w:rFonts w:ascii="Arial" w:hAnsi="Arial" w:cs="Arial"/>
          <w:lang w:val="es-ES_tradnl"/>
        </w:rPr>
        <w:t xml:space="preserve"> </w:t>
      </w:r>
    </w:p>
    <w:p w:rsidR="00646254" w:rsidRPr="00B70E6E" w:rsidRDefault="00646254" w:rsidP="00B70E6E">
      <w:pPr>
        <w:pStyle w:val="ListParagraph"/>
        <w:spacing w:after="0" w:line="20" w:lineRule="atLeast"/>
        <w:ind w:left="792"/>
        <w:jc w:val="both"/>
        <w:rPr>
          <w:rFonts w:ascii="Arial" w:hAnsi="Arial" w:cs="Arial"/>
          <w:lang w:val="es-ES_tradnl"/>
        </w:rPr>
      </w:pPr>
      <w:r w:rsidRPr="00B70E6E">
        <w:rPr>
          <w:rFonts w:ascii="Arial" w:hAnsi="Arial" w:cs="Arial"/>
          <w:lang w:val="es-ES_tradnl"/>
        </w:rPr>
        <w:t xml:space="preserve"> </w:t>
      </w:r>
    </w:p>
    <w:p w:rsidR="0022325E" w:rsidRPr="00B70E6E" w:rsidRDefault="0068173C" w:rsidP="00B70E6E">
      <w:pPr>
        <w:pStyle w:val="ListParagraph"/>
        <w:numPr>
          <w:ilvl w:val="1"/>
          <w:numId w:val="1"/>
        </w:numPr>
        <w:tabs>
          <w:tab w:val="left" w:pos="900"/>
        </w:tabs>
        <w:spacing w:after="0" w:line="20" w:lineRule="atLeast"/>
        <w:jc w:val="both"/>
        <w:rPr>
          <w:rFonts w:ascii="Arial" w:hAnsi="Arial" w:cs="Arial"/>
          <w:lang w:val="es-ES_tradnl"/>
        </w:rPr>
      </w:pPr>
      <w:r w:rsidRPr="00B70E6E">
        <w:rPr>
          <w:rFonts w:ascii="Arial" w:hAnsi="Arial" w:cs="Arial"/>
          <w:lang w:val="es-ES_tradnl"/>
        </w:rPr>
        <w:t>Dentro de los temas críticos en ordenamiento territorial se encuentran el déficit cuantitativo y cualitativo de vivienda, fenómeno agudizado por el desplazamiento de población y la localización de asentamientos en zonas de alto riesgo por inundación y deslizamiento. En relación con la media nacional que corresponde al 36,2%, el déficit convencional de vivienda, en la ciudad es alto con un76,3%, que corresponde a 64.506 hogares. En comparación con las ciudades que hacen parte la plataforma Ciudades</w:t>
      </w:r>
      <w:r w:rsidR="00DF3F82" w:rsidRPr="00B70E6E">
        <w:rPr>
          <w:rFonts w:ascii="Arial" w:hAnsi="Arial" w:cs="Arial"/>
          <w:lang w:val="es-ES_tradnl"/>
        </w:rPr>
        <w:t xml:space="preserve"> </w:t>
      </w:r>
      <w:r w:rsidRPr="00B70E6E">
        <w:rPr>
          <w:rFonts w:ascii="Arial" w:hAnsi="Arial" w:cs="Arial"/>
          <w:lang w:val="es-ES_tradnl"/>
        </w:rPr>
        <w:t>Sostenibles y Competitivas, Montería es la que presenta el déficit</w:t>
      </w:r>
      <w:r w:rsidR="00DF3F82" w:rsidRPr="00B70E6E">
        <w:rPr>
          <w:rFonts w:ascii="Arial" w:hAnsi="Arial" w:cs="Arial"/>
          <w:lang w:val="es-ES_tradnl"/>
        </w:rPr>
        <w:t xml:space="preserve"> </w:t>
      </w:r>
      <w:r w:rsidRPr="00B70E6E">
        <w:rPr>
          <w:rFonts w:ascii="Arial" w:hAnsi="Arial" w:cs="Arial"/>
          <w:lang w:val="es-ES_tradnl"/>
        </w:rPr>
        <w:t>convencional más alto, seguida de Barranquilla con un 27,44% y</w:t>
      </w:r>
      <w:r w:rsidR="00DF3F82" w:rsidRPr="00B70E6E">
        <w:rPr>
          <w:rFonts w:ascii="Arial" w:hAnsi="Arial" w:cs="Arial"/>
          <w:lang w:val="es-ES_tradnl"/>
        </w:rPr>
        <w:t xml:space="preserve"> </w:t>
      </w:r>
      <w:r w:rsidRPr="00B70E6E">
        <w:rPr>
          <w:rFonts w:ascii="Arial" w:hAnsi="Arial" w:cs="Arial"/>
          <w:lang w:val="es-ES_tradnl"/>
        </w:rPr>
        <w:t>Pasto con 23,79%.</w:t>
      </w:r>
    </w:p>
    <w:p w:rsidR="00646254" w:rsidRPr="00B70E6E" w:rsidRDefault="00646254" w:rsidP="00B70E6E">
      <w:pPr>
        <w:pStyle w:val="ListParagraph"/>
        <w:spacing w:after="0" w:line="20" w:lineRule="atLeast"/>
        <w:ind w:left="792"/>
        <w:jc w:val="both"/>
        <w:rPr>
          <w:rFonts w:ascii="Arial" w:hAnsi="Arial" w:cs="Arial"/>
          <w:lang w:val="es-ES_tradnl"/>
        </w:rPr>
      </w:pPr>
    </w:p>
    <w:p w:rsidR="00B618AB" w:rsidRPr="00B70E6E" w:rsidRDefault="00C8661B" w:rsidP="00B70E6E">
      <w:pPr>
        <w:pStyle w:val="ListParagraph"/>
        <w:numPr>
          <w:ilvl w:val="1"/>
          <w:numId w:val="1"/>
        </w:numPr>
        <w:tabs>
          <w:tab w:val="left" w:pos="900"/>
        </w:tabs>
        <w:spacing w:after="0" w:line="20" w:lineRule="atLeast"/>
        <w:jc w:val="both"/>
        <w:rPr>
          <w:rFonts w:ascii="Arial" w:hAnsi="Arial" w:cs="Arial"/>
          <w:lang w:val="es-ES_tradnl"/>
        </w:rPr>
      </w:pPr>
      <w:r w:rsidRPr="00B70E6E">
        <w:rPr>
          <w:rFonts w:ascii="Arial" w:hAnsi="Arial" w:cs="Arial"/>
          <w:lang w:val="es-ES_tradnl"/>
        </w:rPr>
        <w:t>En cuanto a la movilidad,</w:t>
      </w:r>
      <w:r w:rsidR="0077055F" w:rsidRPr="00B70E6E">
        <w:rPr>
          <w:rFonts w:ascii="Arial" w:hAnsi="Arial" w:cs="Arial"/>
          <w:lang w:val="es-ES_tradnl"/>
        </w:rPr>
        <w:t xml:space="preserve"> </w:t>
      </w:r>
      <w:r w:rsidR="00F24C9A" w:rsidRPr="00B70E6E">
        <w:rPr>
          <w:rFonts w:ascii="Arial" w:hAnsi="Arial" w:cs="Arial"/>
          <w:lang w:val="es-ES_tradnl"/>
        </w:rPr>
        <w:t>Montería</w:t>
      </w:r>
      <w:r w:rsidR="0077055F" w:rsidRPr="00B70E6E">
        <w:rPr>
          <w:rFonts w:ascii="Arial" w:hAnsi="Arial" w:cs="Arial"/>
          <w:lang w:val="es-ES_tradnl"/>
        </w:rPr>
        <w:t xml:space="preserve"> muestra resultados favorables</w:t>
      </w:r>
      <w:r w:rsidR="0079404E" w:rsidRPr="00B70E6E">
        <w:rPr>
          <w:rFonts w:ascii="Arial" w:hAnsi="Arial" w:cs="Arial"/>
          <w:lang w:val="es-ES_tradnl"/>
        </w:rPr>
        <w:t xml:space="preserve"> pues en términos de distribución modal del vehículo motor pr</w:t>
      </w:r>
      <w:r w:rsidR="00F24C9A" w:rsidRPr="00B70E6E">
        <w:rPr>
          <w:rFonts w:ascii="Arial" w:hAnsi="Arial" w:cs="Arial"/>
          <w:lang w:val="es-ES_tradnl"/>
        </w:rPr>
        <w:t>ivado está en el nivel medio (16</w:t>
      </w:r>
      <w:r w:rsidR="0079404E" w:rsidRPr="00B70E6E">
        <w:rPr>
          <w:rFonts w:ascii="Arial" w:hAnsi="Arial" w:cs="Arial"/>
          <w:lang w:val="es-ES_tradnl"/>
        </w:rPr>
        <w:t>%, frente a un 24 % de Bucaramanga)</w:t>
      </w:r>
      <w:r w:rsidR="00F24C9A" w:rsidRPr="00B70E6E">
        <w:rPr>
          <w:rFonts w:ascii="Arial" w:hAnsi="Arial" w:cs="Arial"/>
          <w:lang w:val="es-ES_tradnl"/>
        </w:rPr>
        <w:t xml:space="preserve"> con un índice de motorización de 0.13 vehículos por cada habitante, lo cual ubica a la ciudad en verde.</w:t>
      </w:r>
      <w:r w:rsidRPr="00B70E6E">
        <w:rPr>
          <w:rFonts w:ascii="Arial" w:hAnsi="Arial" w:cs="Arial"/>
          <w:lang w:val="es-ES_tradnl"/>
        </w:rPr>
        <w:t xml:space="preserve"> </w:t>
      </w:r>
      <w:r w:rsidR="00F24C9A" w:rsidRPr="00B70E6E">
        <w:rPr>
          <w:rFonts w:ascii="Arial" w:hAnsi="Arial" w:cs="Arial"/>
          <w:lang w:val="es-ES_tradnl"/>
        </w:rPr>
        <w:t xml:space="preserve">Otro </w:t>
      </w:r>
      <w:r w:rsidR="007A3E7D" w:rsidRPr="00B70E6E">
        <w:rPr>
          <w:rFonts w:ascii="Arial" w:hAnsi="Arial" w:cs="Arial"/>
          <w:lang w:val="es-ES_tradnl"/>
        </w:rPr>
        <w:t xml:space="preserve">dato positivo es </w:t>
      </w:r>
      <w:r w:rsidR="00F24C9A" w:rsidRPr="00B70E6E">
        <w:rPr>
          <w:rFonts w:ascii="Arial" w:hAnsi="Arial" w:cs="Arial"/>
          <w:lang w:val="es-ES_tradnl"/>
        </w:rPr>
        <w:t xml:space="preserve">que </w:t>
      </w:r>
      <w:r w:rsidR="007A3E7D" w:rsidRPr="00B70E6E">
        <w:rPr>
          <w:rFonts w:ascii="Arial" w:hAnsi="Arial" w:cs="Arial"/>
          <w:lang w:val="es-ES_tradnl"/>
        </w:rPr>
        <w:t>el 12% de la población utiliza la bicicleta como medio de transporte (1.4% en Bucaramanga y 1.0% en Pasto) lo que le da un gran potencial para generar una cultura que incremente aún más su uso siempre y cuando se cuente con la infraestructura adecuada</w:t>
      </w:r>
      <w:r w:rsidR="00382F66" w:rsidRPr="00B70E6E">
        <w:rPr>
          <w:rFonts w:ascii="Arial" w:hAnsi="Arial" w:cs="Arial"/>
          <w:lang w:val="es-ES_tradnl"/>
        </w:rPr>
        <w:t>.</w:t>
      </w:r>
    </w:p>
    <w:p w:rsidR="00B618AB" w:rsidRPr="00B70E6E" w:rsidRDefault="007A3E7D" w:rsidP="00B70E6E">
      <w:pPr>
        <w:pStyle w:val="ListParagraph"/>
        <w:tabs>
          <w:tab w:val="left" w:pos="2092"/>
        </w:tabs>
        <w:autoSpaceDE w:val="0"/>
        <w:autoSpaceDN w:val="0"/>
        <w:adjustRightInd w:val="0"/>
        <w:spacing w:after="0" w:line="20" w:lineRule="atLeast"/>
        <w:ind w:left="792"/>
        <w:jc w:val="both"/>
        <w:rPr>
          <w:rFonts w:ascii="Arial" w:hAnsi="Arial" w:cs="Arial"/>
          <w:lang w:val="es-ES_tradnl"/>
        </w:rPr>
      </w:pPr>
      <w:r w:rsidRPr="00B70E6E">
        <w:rPr>
          <w:rFonts w:ascii="Arial" w:hAnsi="Arial" w:cs="Arial"/>
          <w:lang w:val="es-ES_tradnl"/>
        </w:rPr>
        <w:tab/>
      </w:r>
    </w:p>
    <w:p w:rsidR="00B618AB" w:rsidRPr="00B70E6E" w:rsidRDefault="00BE0EE7" w:rsidP="00B70E6E">
      <w:pPr>
        <w:pStyle w:val="ListParagraph"/>
        <w:numPr>
          <w:ilvl w:val="1"/>
          <w:numId w:val="1"/>
        </w:numPr>
        <w:tabs>
          <w:tab w:val="left" w:pos="900"/>
        </w:tabs>
        <w:spacing w:after="0" w:line="20" w:lineRule="atLeast"/>
        <w:jc w:val="both"/>
        <w:rPr>
          <w:rFonts w:ascii="Arial" w:hAnsi="Arial" w:cs="Arial"/>
          <w:lang w:val="es-ES_tradnl"/>
        </w:rPr>
      </w:pPr>
      <w:r w:rsidRPr="00B70E6E">
        <w:rPr>
          <w:rFonts w:ascii="Arial" w:hAnsi="Arial" w:cs="Arial"/>
          <w:lang w:val="es-ES_tradnl"/>
        </w:rPr>
        <w:t xml:space="preserve">Para el 2014 la cantidad de espacios públicos para la recreación en </w:t>
      </w:r>
      <w:r w:rsidR="007A3E7D" w:rsidRPr="00B70E6E">
        <w:rPr>
          <w:rFonts w:ascii="Arial" w:hAnsi="Arial" w:cs="Arial"/>
          <w:lang w:val="es-ES_tradnl"/>
        </w:rPr>
        <w:t xml:space="preserve">Montería es de 7.5 </w:t>
      </w:r>
      <w:r w:rsidRPr="00B70E6E">
        <w:rPr>
          <w:rFonts w:ascii="Arial" w:hAnsi="Arial" w:cs="Arial"/>
          <w:lang w:val="es-ES_tradnl"/>
        </w:rPr>
        <w:t xml:space="preserve"> hectáreas por cada 100.000 habitantes, lo que ubica a la ciudad en un rango ‘amarillo’, es decir</w:t>
      </w:r>
      <w:r w:rsidR="00EC6679" w:rsidRPr="00B70E6E">
        <w:rPr>
          <w:rFonts w:ascii="Arial" w:hAnsi="Arial" w:cs="Arial"/>
          <w:lang w:val="es-ES_tradnl"/>
        </w:rPr>
        <w:t xml:space="preserve"> por mejorar. </w:t>
      </w:r>
      <w:r w:rsidR="007A3E7D" w:rsidRPr="00B70E6E">
        <w:rPr>
          <w:rFonts w:ascii="Arial" w:hAnsi="Arial" w:cs="Arial"/>
          <w:lang w:val="es-ES_tradnl"/>
        </w:rPr>
        <w:t>E</w:t>
      </w:r>
      <w:r w:rsidRPr="00B70E6E">
        <w:rPr>
          <w:rFonts w:ascii="Arial" w:hAnsi="Arial" w:cs="Arial"/>
          <w:lang w:val="es-ES_tradnl"/>
        </w:rPr>
        <w:t>st</w:t>
      </w:r>
      <w:r w:rsidR="007A3E7D" w:rsidRPr="00B70E6E">
        <w:rPr>
          <w:rFonts w:ascii="Arial" w:hAnsi="Arial" w:cs="Arial"/>
          <w:lang w:val="es-ES_tradnl"/>
        </w:rPr>
        <w:t>á por debajo de ciudades como  Bucaramanga (42,5),</w:t>
      </w:r>
      <w:r w:rsidRPr="00B70E6E">
        <w:rPr>
          <w:rFonts w:ascii="Arial" w:hAnsi="Arial" w:cs="Arial"/>
          <w:lang w:val="es-ES_tradnl"/>
        </w:rPr>
        <w:t xml:space="preserve"> Cuenca (34,4)</w:t>
      </w:r>
      <w:r w:rsidR="007A3E7D" w:rsidRPr="00B70E6E">
        <w:rPr>
          <w:rFonts w:ascii="Arial" w:hAnsi="Arial" w:cs="Arial"/>
          <w:lang w:val="es-ES_tradnl"/>
        </w:rPr>
        <w:t xml:space="preserve"> e incluso Pasto (9.6)</w:t>
      </w:r>
      <w:r w:rsidR="0009187D" w:rsidRPr="00B70E6E">
        <w:rPr>
          <w:rFonts w:ascii="Arial" w:hAnsi="Arial" w:cs="Arial"/>
          <w:lang w:val="es-ES_tradnl"/>
        </w:rPr>
        <w:t xml:space="preserve">. La presencia de vendedores informales en la zona central, la ocupación de la ronda del río con construcciones, la falta de mantenimiento de los parques y ausencia de mobiliario e iluminación, contribuyen a que el uso y disfrute del espacio público sea limitado, condición que a su vez incrementa </w:t>
      </w:r>
      <w:r w:rsidR="0068173C" w:rsidRPr="00B70E6E">
        <w:rPr>
          <w:rFonts w:ascii="Arial" w:hAnsi="Arial" w:cs="Arial"/>
          <w:lang w:val="es-ES_tradnl"/>
        </w:rPr>
        <w:t>la insegurida06</w:t>
      </w:r>
      <w:r w:rsidR="0009187D" w:rsidRPr="00B70E6E">
        <w:rPr>
          <w:rFonts w:ascii="Arial" w:hAnsi="Arial" w:cs="Arial"/>
          <w:lang w:val="es-ES_tradnl"/>
        </w:rPr>
        <w:t xml:space="preserve"> Esto </w:t>
      </w:r>
      <w:r w:rsidR="007A3E7D" w:rsidRPr="00B70E6E">
        <w:rPr>
          <w:rFonts w:ascii="Arial" w:hAnsi="Arial" w:cs="Arial"/>
          <w:lang w:val="es-ES_tradnl"/>
        </w:rPr>
        <w:t xml:space="preserve"> puede mejorarse a partir del acondicionamiento de los parques existentes y el incremento de espacio público tano en la margen izquierda como en la derecha del rio Sinú. </w:t>
      </w:r>
      <w:r w:rsidRPr="00B70E6E">
        <w:rPr>
          <w:rFonts w:ascii="Arial" w:hAnsi="Arial" w:cs="Arial"/>
          <w:lang w:val="es-ES_tradnl"/>
        </w:rPr>
        <w:t xml:space="preserve">Las zonas verdes por cada 100.000 habitantes equivalen a 12,13 Hectáreas, bastante inferior </w:t>
      </w:r>
      <w:r w:rsidR="0068173C" w:rsidRPr="00B70E6E">
        <w:rPr>
          <w:rFonts w:ascii="Arial" w:hAnsi="Arial" w:cs="Arial"/>
          <w:lang w:val="es-ES_tradnl"/>
        </w:rPr>
        <w:t xml:space="preserve">al de Bucaramanga (45.3) , Salta (35.0) y </w:t>
      </w:r>
      <w:r w:rsidRPr="00B70E6E">
        <w:rPr>
          <w:rFonts w:ascii="Arial" w:hAnsi="Arial" w:cs="Arial"/>
          <w:lang w:val="es-ES_tradnl"/>
        </w:rPr>
        <w:t>al valor de referencia óptimo superior a 50 Hectáreas/100.000 habitantes del Programa CSC</w:t>
      </w:r>
      <w:r w:rsidR="00EC6679" w:rsidRPr="00B70E6E">
        <w:rPr>
          <w:rFonts w:ascii="Arial" w:hAnsi="Arial" w:cs="Arial"/>
          <w:lang w:val="es-ES_tradnl"/>
        </w:rPr>
        <w:t>.</w:t>
      </w:r>
      <w:r w:rsidR="00B618AB" w:rsidRPr="00B70E6E">
        <w:rPr>
          <w:rFonts w:ascii="Arial" w:hAnsi="Arial" w:cs="Arial"/>
          <w:lang w:val="es-ES_tradnl"/>
        </w:rPr>
        <w:t xml:space="preserve"> </w:t>
      </w:r>
    </w:p>
    <w:p w:rsidR="001D6C3E" w:rsidRPr="00B70E6E" w:rsidRDefault="001D6C3E" w:rsidP="00B70E6E">
      <w:pPr>
        <w:pStyle w:val="ListParagraph"/>
        <w:autoSpaceDE w:val="0"/>
        <w:autoSpaceDN w:val="0"/>
        <w:adjustRightInd w:val="0"/>
        <w:spacing w:after="0" w:line="20" w:lineRule="atLeast"/>
        <w:ind w:left="792"/>
        <w:jc w:val="both"/>
        <w:rPr>
          <w:rFonts w:ascii="Arial" w:hAnsi="Arial" w:cs="Arial"/>
          <w:lang w:val="es-ES_tradnl"/>
        </w:rPr>
      </w:pPr>
    </w:p>
    <w:p w:rsidR="00A72BBC" w:rsidRPr="00B70E6E" w:rsidRDefault="00590EBB" w:rsidP="00B70E6E">
      <w:pPr>
        <w:pStyle w:val="ListParagraph"/>
        <w:numPr>
          <w:ilvl w:val="1"/>
          <w:numId w:val="1"/>
        </w:numPr>
        <w:tabs>
          <w:tab w:val="left" w:pos="900"/>
        </w:tabs>
        <w:spacing w:after="0" w:line="20" w:lineRule="atLeast"/>
        <w:jc w:val="both"/>
        <w:rPr>
          <w:rFonts w:ascii="Arial" w:hAnsi="Arial" w:cs="Arial"/>
          <w:lang w:val="es-ES_tradnl"/>
        </w:rPr>
      </w:pPr>
      <w:r w:rsidRPr="00B70E6E">
        <w:rPr>
          <w:rFonts w:ascii="Arial" w:hAnsi="Arial" w:cs="Arial"/>
          <w:u w:val="single"/>
          <w:lang w:val="es-ES_tradnl"/>
        </w:rPr>
        <w:t>Dimensión fiscal y gobernabilidad.</w:t>
      </w:r>
      <w:r w:rsidR="00DF2942" w:rsidRPr="00B70E6E">
        <w:rPr>
          <w:rFonts w:ascii="Arial" w:hAnsi="Arial" w:cs="Arial"/>
          <w:lang w:val="es-ES_tradnl"/>
        </w:rPr>
        <w:t xml:space="preserve"> </w:t>
      </w:r>
      <w:r w:rsidR="00A72BBC" w:rsidRPr="00B70E6E">
        <w:rPr>
          <w:rFonts w:ascii="Arial" w:hAnsi="Arial" w:cs="Arial"/>
          <w:lang w:val="es-ES_tradnl"/>
        </w:rPr>
        <w:t xml:space="preserve">En los últimos lustros, el </w:t>
      </w:r>
      <w:r w:rsidR="00A72BBC" w:rsidRPr="00B70E6E">
        <w:rPr>
          <w:rFonts w:ascii="Arial" w:hAnsi="Arial" w:cs="Arial"/>
          <w:b/>
          <w:i/>
          <w:lang w:val="es-ES_tradnl"/>
        </w:rPr>
        <w:t>desempeño fiscal</w:t>
      </w:r>
      <w:r w:rsidR="00A72BBC" w:rsidRPr="00B70E6E">
        <w:rPr>
          <w:rFonts w:ascii="Arial" w:hAnsi="Arial" w:cs="Arial"/>
          <w:i/>
          <w:lang w:val="es-ES_tradnl"/>
        </w:rPr>
        <w:t xml:space="preserve"> </w:t>
      </w:r>
      <w:r w:rsidR="00A72BBC" w:rsidRPr="00B70E6E">
        <w:rPr>
          <w:rFonts w:ascii="Arial" w:hAnsi="Arial" w:cs="Arial"/>
          <w:lang w:val="es-ES_tradnl"/>
        </w:rPr>
        <w:t xml:space="preserve">del Municipio de Montería ha mejorado sustancialmente en diferentes ámbitos, como el crecimiento de los ingresos tributarios, lo cual ha contribuido a la mayor sostenibilidad del gasto de funcionamiento de la entidad y al aumento de las inversiones en el municipio, en el marco de una política prudente de endeudamiento regulada por el gobierno nacional (ver Anexo 1: Información sobre ejecución presupuestal 2010-2014 </w:t>
      </w:r>
      <w:r w:rsidR="00A72BBC" w:rsidRPr="00B70E6E">
        <w:rPr>
          <w:rFonts w:ascii="Arial" w:hAnsi="Arial" w:cs="Arial"/>
          <w:lang w:val="es-ES_tradnl"/>
        </w:rPr>
        <w:lastRenderedPageBreak/>
        <w:t>del Municipio de Montería). Ello permite contar con un mayor respaldo para el endeudamiento del municipio para encarar proyectos de inversión pública (PIP) orientados a promover el desarrollo económico y social.</w:t>
      </w:r>
      <w:r w:rsidR="00A72BBC" w:rsidRPr="00B70E6E">
        <w:rPr>
          <w:rStyle w:val="FootnoteReference"/>
          <w:rFonts w:ascii="Arial" w:hAnsi="Arial" w:cs="Arial"/>
          <w:lang w:val="es-ES_tradnl"/>
        </w:rPr>
        <w:footnoteReference w:id="1"/>
      </w:r>
      <w:r w:rsidR="00A72BBC" w:rsidRPr="00B70E6E">
        <w:rPr>
          <w:rFonts w:ascii="Arial" w:hAnsi="Arial" w:cs="Arial"/>
          <w:lang w:val="es-ES_tradnl"/>
        </w:rPr>
        <w:t xml:space="preserve"> En este contexto, Montería viene logrando una mejora sostenida en el Índice de Desempeño Fiscal Municipal, calculado anualmente por el Departamento Nacional de Planeación (DNP),</w:t>
      </w:r>
      <w:r w:rsidR="00A72BBC" w:rsidRPr="00B70E6E">
        <w:rPr>
          <w:rFonts w:ascii="Arial" w:hAnsi="Arial" w:cs="Arial"/>
          <w:vertAlign w:val="superscript"/>
          <w:lang w:val="es-ES_tradnl"/>
        </w:rPr>
        <w:footnoteReference w:id="2"/>
      </w:r>
      <w:r w:rsidR="00A72BBC" w:rsidRPr="00B70E6E">
        <w:rPr>
          <w:rFonts w:ascii="Arial" w:hAnsi="Arial" w:cs="Arial"/>
          <w:lang w:val="es-ES_tradnl"/>
        </w:rPr>
        <w:t xml:space="preserve"> pues su calificación pasó de 47 puntos en 2000 a 73 y 77 puntos en 2007 y 2013, respectivamente. Con el propósito de consolidar las finanzas municipales de Montería, los progresos señalados requieren ser sostenidos y profundizados, para lo cual el Gobierno Municipal enfrenta diversos desafíos en las áreas institucional, de ingresos y gasto públicos (en particular de inversión); así como en el ámbito de la gestión financiera pública.</w:t>
      </w:r>
    </w:p>
    <w:p w:rsidR="00A72BBC" w:rsidRPr="00B70E6E" w:rsidRDefault="00A72BBC" w:rsidP="00B70E6E">
      <w:pPr>
        <w:pStyle w:val="ListParagraph"/>
        <w:spacing w:after="0" w:line="20" w:lineRule="atLeast"/>
        <w:ind w:left="792"/>
        <w:jc w:val="both"/>
        <w:rPr>
          <w:rFonts w:ascii="Arial" w:hAnsi="Arial" w:cs="Arial"/>
          <w:lang w:val="es-ES_tradnl"/>
        </w:rPr>
      </w:pPr>
    </w:p>
    <w:p w:rsidR="00A72BBC" w:rsidRPr="00B70E6E" w:rsidRDefault="00A72BBC" w:rsidP="00B70E6E">
      <w:pPr>
        <w:pStyle w:val="ListParagraph"/>
        <w:numPr>
          <w:ilvl w:val="1"/>
          <w:numId w:val="1"/>
        </w:numPr>
        <w:tabs>
          <w:tab w:val="left" w:pos="900"/>
        </w:tabs>
        <w:spacing w:after="0" w:line="20" w:lineRule="atLeast"/>
        <w:jc w:val="both"/>
        <w:rPr>
          <w:rFonts w:ascii="Arial" w:hAnsi="Arial" w:cs="Arial"/>
          <w:lang w:val="es-ES_tradnl"/>
        </w:rPr>
      </w:pPr>
      <w:r w:rsidRPr="00B70E6E">
        <w:rPr>
          <w:rFonts w:ascii="Arial" w:hAnsi="Arial" w:cs="Arial"/>
          <w:lang w:val="es-ES_tradnl"/>
        </w:rPr>
        <w:t xml:space="preserve">Según cifras oficiales correspondientes a 2014, los principales </w:t>
      </w:r>
      <w:r w:rsidRPr="00B70E6E">
        <w:rPr>
          <w:rFonts w:ascii="Arial" w:hAnsi="Arial" w:cs="Arial"/>
          <w:b/>
          <w:i/>
          <w:lang w:val="es-ES_tradnl"/>
        </w:rPr>
        <w:t>ingresos municipales</w:t>
      </w:r>
      <w:r w:rsidRPr="00B70E6E">
        <w:rPr>
          <w:rFonts w:ascii="Arial" w:hAnsi="Arial" w:cs="Arial"/>
          <w:lang w:val="es-ES_tradnl"/>
        </w:rPr>
        <w:t xml:space="preserve"> de Montería fueron las transferencias nacionales (71%) y los ingresos tributarios (17%). Dentro de estos últimos destaca la contribución del Impuesto Predial (IP) y del Impuesto a la Industria y Comercio (ICA), que aportaron 6% y 5% de los ingresos totales, respectivamente. Las cifras reportadas por la Alcaldía de Montería muestran que entre 2010 y 2014 los ingresos tributarios crecieron a una tasa real promedio del 14.9%, lo cual permitió que su participación en los ingresos totales se haya mantenido estable en torno al 21% en promedio durante el período señalado. Con la actualización catastral de 2012 realizada por el Instituto Geográfico Agustín Codazzi, la recaudación de IP se incrementó 49.1% en 2013; sin embargo, la relación entre lo recaudado y lo facturado fue de solamente 45.4% en el mencionado año, evidenciándose que existe un importante espacio de mejora en materia de cobro del IP.</w:t>
      </w:r>
      <w:r w:rsidRPr="00B70E6E">
        <w:rPr>
          <w:rStyle w:val="FootnoteReference"/>
          <w:rFonts w:ascii="Arial" w:hAnsi="Arial" w:cs="Arial"/>
          <w:lang w:val="es-ES_tradnl"/>
        </w:rPr>
        <w:footnoteReference w:id="3"/>
      </w:r>
      <w:r w:rsidRPr="00B70E6E">
        <w:rPr>
          <w:rFonts w:ascii="Arial" w:hAnsi="Arial" w:cs="Arial"/>
          <w:lang w:val="es-ES_tradnl"/>
        </w:rPr>
        <w:t xml:space="preserve"> Al respecto, la nomenclatura urbana, que precisa la información de identificación de cada predio, está desactualizada; lo que redunda en pérdida de recaudación por numerosos errores en las características e identificación del propietario de cada predio. Asimismo, cabe señalar que el municipio debe encarar en años siguientes el proceso de actualización del catastro, obligación establecida en la normativa vigente. A esto se suma la necesidad de actualizar la estratificación social municipal para actualizar los datos con las características socio-económicas de los propietarios. Por otra parte, aunque no se cuenta con estimaciones similares para el caso del ICA, la ausencia de registros actualizados de la base de contribuyentes junto con evidencia del crecimiento importante de la actividad productiva y comercial en años recientes, permite inferir que existen posibilidades de mejora de recaudación. Tanto para el IP como para el ICA,  es necesario fortalecer las capacidades de fiscalización y cobro coactivo de la Municipalidad mediante el concurso de profesionales especializados. Adicionalmente, si bien Montería ha logrado avances en propiciar el cumplimiento voluntario mediante el pago electrónico de impuestos municipales, es importante complementar este esfuerzo mediante un programa de cultura tributaria que contribuya a generar conciencia tributaria sobre la importancia del pago de impuestos, para el financiamiento de las obras de mejora de la calidad de vida urbana. </w:t>
      </w:r>
    </w:p>
    <w:p w:rsidR="00A72BBC" w:rsidRPr="00B70E6E" w:rsidRDefault="00A72BBC" w:rsidP="00B70E6E">
      <w:pPr>
        <w:pStyle w:val="ListParagraph"/>
        <w:spacing w:after="0" w:line="20" w:lineRule="atLeast"/>
        <w:ind w:left="792"/>
        <w:jc w:val="both"/>
        <w:rPr>
          <w:rFonts w:ascii="Arial" w:hAnsi="Arial" w:cs="Arial"/>
          <w:lang w:val="es-ES_tradnl"/>
        </w:rPr>
      </w:pPr>
    </w:p>
    <w:p w:rsidR="00A72BBC" w:rsidRPr="00B70E6E" w:rsidRDefault="00A72BBC" w:rsidP="00B70E6E">
      <w:pPr>
        <w:pStyle w:val="ListParagraph"/>
        <w:numPr>
          <w:ilvl w:val="1"/>
          <w:numId w:val="1"/>
        </w:numPr>
        <w:tabs>
          <w:tab w:val="left" w:pos="900"/>
        </w:tabs>
        <w:spacing w:after="0" w:line="20" w:lineRule="atLeast"/>
        <w:jc w:val="both"/>
        <w:rPr>
          <w:rFonts w:ascii="Arial" w:hAnsi="Arial" w:cs="Arial"/>
          <w:lang w:val="es-ES_tradnl"/>
        </w:rPr>
      </w:pPr>
      <w:r w:rsidRPr="00B70E6E">
        <w:rPr>
          <w:rFonts w:ascii="Arial" w:hAnsi="Arial" w:cs="Arial"/>
          <w:lang w:val="es-ES_tradnl"/>
        </w:rPr>
        <w:t xml:space="preserve">Con relación a la </w:t>
      </w:r>
      <w:r w:rsidRPr="00B70E6E">
        <w:rPr>
          <w:rFonts w:ascii="Arial" w:hAnsi="Arial" w:cs="Arial"/>
          <w:b/>
          <w:i/>
          <w:lang w:val="es-ES_tradnl"/>
        </w:rPr>
        <w:t>gestión financiera pública</w:t>
      </w:r>
      <w:r w:rsidRPr="00B70E6E">
        <w:rPr>
          <w:rFonts w:ascii="Arial" w:hAnsi="Arial" w:cs="Arial"/>
          <w:lang w:val="es-ES_tradnl"/>
        </w:rPr>
        <w:t>, si bien la administración municipal ya cuenta con un sistema de administración financiera (SIAF) que incluye módulos de contabilidad, presupuesto tesorería e ingresos, entre otros; el mismo presenta limitaciones relacionados con los siguientes aspectos: (i) su cobertura institucional es insuficiente, no incluyendo, por ejemplo, al Programa municipal descentralizado “</w:t>
      </w:r>
      <w:r w:rsidRPr="00B70E6E">
        <w:rPr>
          <w:rFonts w:ascii="Arial" w:hAnsi="Arial" w:cs="Arial"/>
          <w:i/>
          <w:lang w:val="es-ES_tradnl"/>
        </w:rPr>
        <w:t>Ciudades Amables</w:t>
      </w:r>
      <w:r w:rsidRPr="00B70E6E">
        <w:rPr>
          <w:rFonts w:ascii="Arial" w:hAnsi="Arial" w:cs="Arial"/>
          <w:lang w:val="es-ES_tradnl"/>
        </w:rPr>
        <w:t>”; (ii) la plataforma tecnológica está desactualizada y los módulos vigentes no están todos integrados; y (iii) existe espacio para mejorar algunos de los módulos, destacándose los de ingresos y planillas, para dar mejor seguimiento al cobro coactivo y manejo de personal; así como el de seguimiento de proyectos, para poder monitorear en tiempo real la ejecución física de la inversión pública. En este contexto, surge la oportunidad de optimizar el sistema disponible para ampliar su cobertura al universo de entidades municipales, hacer más eficientes los procesos de gestión, y mejorar la calidad y oportunidad de la información, incluyendo el seguimiento físico de proyectos a cargo de la Alcaldía.</w:t>
      </w:r>
      <w:r w:rsidRPr="00B70E6E">
        <w:rPr>
          <w:rFonts w:ascii="Arial" w:hAnsi="Arial" w:cs="Arial"/>
          <w:lang w:val="es-BO"/>
        </w:rPr>
        <w:t xml:space="preserve"> </w:t>
      </w:r>
    </w:p>
    <w:p w:rsidR="00A72BBC" w:rsidRPr="00B70E6E" w:rsidRDefault="00A72BBC" w:rsidP="00B70E6E">
      <w:pPr>
        <w:pStyle w:val="ListParagraph"/>
        <w:spacing w:after="0" w:line="20" w:lineRule="atLeast"/>
        <w:ind w:left="792"/>
        <w:jc w:val="both"/>
        <w:rPr>
          <w:rFonts w:ascii="Arial" w:hAnsi="Arial" w:cs="Arial"/>
          <w:lang w:val="es-ES_tradnl"/>
        </w:rPr>
      </w:pPr>
    </w:p>
    <w:p w:rsidR="00A72BBC" w:rsidRPr="00B70E6E" w:rsidRDefault="00A72BBC" w:rsidP="00B70E6E">
      <w:pPr>
        <w:pStyle w:val="ListParagraph"/>
        <w:numPr>
          <w:ilvl w:val="1"/>
          <w:numId w:val="1"/>
        </w:numPr>
        <w:tabs>
          <w:tab w:val="left" w:pos="900"/>
        </w:tabs>
        <w:spacing w:after="0" w:line="20" w:lineRule="atLeast"/>
        <w:jc w:val="both"/>
        <w:rPr>
          <w:rFonts w:ascii="Arial" w:hAnsi="Arial" w:cs="Arial"/>
          <w:lang w:val="es-ES_tradnl"/>
        </w:rPr>
      </w:pPr>
      <w:r w:rsidRPr="00B70E6E">
        <w:rPr>
          <w:rFonts w:ascii="Arial" w:hAnsi="Arial" w:cs="Arial"/>
          <w:lang w:val="es-ES_tradnl"/>
        </w:rPr>
        <w:t xml:space="preserve">Por el lado del </w:t>
      </w:r>
      <w:r w:rsidRPr="00B70E6E">
        <w:rPr>
          <w:rFonts w:ascii="Arial" w:hAnsi="Arial" w:cs="Arial"/>
          <w:b/>
          <w:i/>
          <w:lang w:val="es-ES_tradnl"/>
        </w:rPr>
        <w:t>gasto público</w:t>
      </w:r>
      <w:r w:rsidRPr="00B70E6E">
        <w:rPr>
          <w:rFonts w:ascii="Arial" w:hAnsi="Arial" w:cs="Arial"/>
          <w:lang w:val="es-ES_tradnl"/>
        </w:rPr>
        <w:t>, el Municipio mantiene gastos de funcionamiento que se situaron  alrededor del 7% del gasto total en promedio para el período 2010-2014, sustancialmente menor al de municipios comparables como Pasto y Bucaramanga.</w:t>
      </w:r>
      <w:r w:rsidRPr="00B70E6E">
        <w:rPr>
          <w:rStyle w:val="FootnoteReference"/>
          <w:rFonts w:ascii="Arial" w:hAnsi="Arial" w:cs="Arial"/>
          <w:lang w:val="es-ES_tradnl"/>
        </w:rPr>
        <w:footnoteReference w:id="4"/>
      </w:r>
      <w:r w:rsidRPr="00B70E6E">
        <w:rPr>
          <w:rFonts w:ascii="Arial" w:hAnsi="Arial" w:cs="Arial"/>
          <w:lang w:val="es-ES_tradnl"/>
        </w:rPr>
        <w:t xml:space="preserve"> Dichas erogaciones financian el pago de la nómina, contratos de servicios, transferencias asociadas a la nómina y gastos generales.</w:t>
      </w:r>
      <w:r w:rsidRPr="00B70E6E">
        <w:rPr>
          <w:rStyle w:val="FootnoteReference"/>
          <w:rFonts w:ascii="Arial" w:hAnsi="Arial" w:cs="Arial"/>
          <w:lang w:val="es-ES_tradnl"/>
        </w:rPr>
        <w:footnoteReference w:id="5"/>
      </w:r>
      <w:r w:rsidRPr="00B70E6E">
        <w:rPr>
          <w:rFonts w:ascii="Arial" w:hAnsi="Arial" w:cs="Arial"/>
          <w:lang w:val="es-ES_tradnl"/>
        </w:rPr>
        <w:t xml:space="preserve"> Cabe mencionar que esta baja participación de los gastos de funcionamiento se explica en buena medida por el hecho que el Municipio está intervenido por el Ministerio de Hacienda desde el año 2004, en el marco de la ley de reestructuración de pasivos, lo cual limita su capacidad de expandir dichos gastos. En este aspecto resulta clave que Montería supere esta intervención para financiar gastos necesarios para el funcionamiento efectivo de la administración municipal.</w:t>
      </w:r>
    </w:p>
    <w:p w:rsidR="00A72BBC" w:rsidRPr="00B70E6E" w:rsidRDefault="00A72BBC" w:rsidP="00B70E6E">
      <w:pPr>
        <w:pStyle w:val="ListParagraph"/>
        <w:spacing w:after="0" w:line="20" w:lineRule="atLeast"/>
        <w:rPr>
          <w:rFonts w:ascii="Arial" w:hAnsi="Arial" w:cs="Arial"/>
          <w:lang w:val="es-ES_tradnl"/>
        </w:rPr>
      </w:pPr>
    </w:p>
    <w:p w:rsidR="00A72BBC" w:rsidRPr="00B70E6E" w:rsidRDefault="00A72BBC" w:rsidP="00B70E6E">
      <w:pPr>
        <w:pStyle w:val="ListParagraph"/>
        <w:numPr>
          <w:ilvl w:val="1"/>
          <w:numId w:val="1"/>
        </w:numPr>
        <w:tabs>
          <w:tab w:val="left" w:pos="900"/>
        </w:tabs>
        <w:spacing w:after="0" w:line="20" w:lineRule="atLeast"/>
        <w:jc w:val="both"/>
        <w:rPr>
          <w:rFonts w:ascii="Arial" w:hAnsi="Arial" w:cs="Arial"/>
          <w:lang w:val="es-ES_tradnl"/>
        </w:rPr>
      </w:pPr>
      <w:r w:rsidRPr="00B70E6E">
        <w:rPr>
          <w:rFonts w:ascii="Arial" w:hAnsi="Arial" w:cs="Arial"/>
          <w:lang w:val="es-ES_tradnl"/>
        </w:rPr>
        <w:t>Por su parte, el gasto de inversión del municipio alcanzó en promedio para el período 2010-2014 a 93% del total (94% en 2014), creciendo en términos reales a un ritmo promedio de 21.5% por año, con una inversión pública de COP 568.9 mil millones en el año 2014, de los cuales COP 315,2 mil millones se destinaron a la Formación Bruta de Capital Fijo.</w:t>
      </w:r>
      <w:r w:rsidRPr="00B70E6E">
        <w:rPr>
          <w:rStyle w:val="FootnoteReference"/>
          <w:rFonts w:ascii="Arial" w:hAnsi="Arial" w:cs="Arial"/>
          <w:lang w:val="es-ES_tradnl"/>
        </w:rPr>
        <w:footnoteReference w:id="6"/>
      </w:r>
      <w:r w:rsidRPr="00B70E6E">
        <w:rPr>
          <w:rFonts w:ascii="Arial" w:hAnsi="Arial" w:cs="Arial"/>
          <w:vertAlign w:val="superscript"/>
          <w:lang w:val="es-ES_tradnl"/>
        </w:rPr>
        <w:t>,</w:t>
      </w:r>
      <w:r w:rsidRPr="00B70E6E">
        <w:rPr>
          <w:rStyle w:val="FootnoteReference"/>
          <w:rFonts w:ascii="Arial" w:hAnsi="Arial" w:cs="Arial"/>
          <w:lang w:val="es-ES_tradnl"/>
        </w:rPr>
        <w:footnoteReference w:id="7"/>
      </w:r>
      <w:r w:rsidRPr="00B70E6E">
        <w:rPr>
          <w:rFonts w:ascii="Arial" w:hAnsi="Arial" w:cs="Arial"/>
          <w:lang w:val="es-ES_tradnl"/>
        </w:rPr>
        <w:t xml:space="preserve"> Sin embargo, la administración municipal presenta deficiencias en su capacidad de formular proyectos de inversión (PIP) estratégicos para la ciudad, lo que </w:t>
      </w:r>
      <w:r w:rsidRPr="00B70E6E">
        <w:rPr>
          <w:rFonts w:ascii="Arial" w:hAnsi="Arial" w:cs="Arial"/>
          <w:lang w:val="es-ES_tradnl"/>
        </w:rPr>
        <w:lastRenderedPageBreak/>
        <w:t>lleva a que se encuentren disponibles pocos PIP con grado de formulación avanzado (PIP en fase III). Adicionalmente, se ha establecido que el sistema de seguimiento de PIP es precario, tanto en las fase de formulación como en la de ejecución; aspecto que impide lograr ganancias de eficiencia a través de un mejor monitoreo de la gestión de la inversión pública. En este ámbito, existe la oportunidad de apoyar al municipio en el desarrollo de una Oficina de Gerencia de Proyectos, que incluya expertos en planificación y formulación de proyectos, orientada a apoyar a las oficinas sectoriales del municipio en la preparación y ejecución oportuna de proyectos de calidad.</w:t>
      </w:r>
    </w:p>
    <w:p w:rsidR="00A72BBC" w:rsidRPr="00B70E6E" w:rsidRDefault="00A72BBC" w:rsidP="00B70E6E">
      <w:pPr>
        <w:pStyle w:val="ListParagraph"/>
        <w:spacing w:after="0" w:line="20" w:lineRule="atLeast"/>
        <w:ind w:left="792"/>
        <w:jc w:val="both"/>
        <w:rPr>
          <w:rFonts w:ascii="Arial" w:hAnsi="Arial" w:cs="Arial"/>
          <w:lang w:val="es-ES_tradnl"/>
        </w:rPr>
      </w:pPr>
    </w:p>
    <w:p w:rsidR="00A72BBC" w:rsidRPr="00B70E6E" w:rsidRDefault="00A72BBC" w:rsidP="00B70E6E">
      <w:pPr>
        <w:pStyle w:val="ListParagraph"/>
        <w:numPr>
          <w:ilvl w:val="1"/>
          <w:numId w:val="1"/>
        </w:numPr>
        <w:tabs>
          <w:tab w:val="left" w:pos="900"/>
        </w:tabs>
        <w:spacing w:after="0" w:line="20" w:lineRule="atLeast"/>
        <w:jc w:val="both"/>
        <w:rPr>
          <w:rFonts w:ascii="Arial" w:hAnsi="Arial" w:cs="Arial"/>
          <w:lang w:val="es-ES_tradnl"/>
        </w:rPr>
      </w:pPr>
      <w:r w:rsidRPr="00B70E6E">
        <w:rPr>
          <w:rFonts w:ascii="Arial" w:hAnsi="Arial" w:cs="Arial"/>
          <w:lang w:val="es-ES_tradnl"/>
        </w:rPr>
        <w:t xml:space="preserve">Por último, en el ámbito de la </w:t>
      </w:r>
      <w:r w:rsidRPr="00B70E6E">
        <w:rPr>
          <w:rFonts w:ascii="Arial" w:hAnsi="Arial" w:cs="Arial"/>
          <w:b/>
          <w:i/>
          <w:lang w:val="es-ES_tradnl"/>
        </w:rPr>
        <w:t>institucionalidad</w:t>
      </w:r>
      <w:r w:rsidRPr="00B70E6E">
        <w:rPr>
          <w:rFonts w:ascii="Arial" w:hAnsi="Arial" w:cs="Arial"/>
          <w:lang w:val="es-ES_tradnl"/>
        </w:rPr>
        <w:t xml:space="preserve">, actualmente se requiere optimizar la estructura funcional de la municipalidad, incluyendo sus procesos y procedimientos y la modernización de sus plataformas tecnológicas. Esto permitirá que la entidad pueda cumplir con eficacia y eficiencia con sus competencias, guiando con solvencia la implementación de acciones estratégicas materializadas en diferentes planes (tales como el Plan de Desarrollo Municipal, Plan de Acción de ICES y Plan de Ordenamiento Territorial). Como parte de este proceso de optimización, es necesario modernizar los procesos y sistemas </w:t>
      </w:r>
      <w:r w:rsidRPr="00B70E6E">
        <w:rPr>
          <w:rFonts w:ascii="Arial" w:hAnsi="Arial" w:cs="Arial"/>
          <w:lang w:val="es-BO"/>
        </w:rPr>
        <w:t xml:space="preserve">de </w:t>
      </w:r>
      <w:r w:rsidRPr="00B70E6E">
        <w:rPr>
          <w:rFonts w:ascii="Arial" w:hAnsi="Arial" w:cs="Arial"/>
          <w:lang w:val="es-ES_tradnl"/>
        </w:rPr>
        <w:t xml:space="preserve">gestión documentaria y archivo. </w:t>
      </w:r>
    </w:p>
    <w:p w:rsidR="00A72BBC" w:rsidRPr="00B70E6E" w:rsidRDefault="00A72BBC" w:rsidP="00B70E6E">
      <w:pPr>
        <w:pStyle w:val="ListParagraph"/>
        <w:spacing w:after="0" w:line="20" w:lineRule="atLeast"/>
        <w:rPr>
          <w:rFonts w:ascii="Arial" w:hAnsi="Arial" w:cs="Arial"/>
          <w:lang w:val="es-ES_tradnl"/>
        </w:rPr>
      </w:pPr>
    </w:p>
    <w:p w:rsidR="00A72BBC" w:rsidRPr="00B70E6E" w:rsidRDefault="00A72BBC" w:rsidP="00B70E6E">
      <w:pPr>
        <w:pStyle w:val="ListParagraph"/>
        <w:numPr>
          <w:ilvl w:val="1"/>
          <w:numId w:val="1"/>
        </w:numPr>
        <w:tabs>
          <w:tab w:val="left" w:pos="900"/>
        </w:tabs>
        <w:spacing w:after="0" w:line="20" w:lineRule="atLeast"/>
        <w:jc w:val="both"/>
        <w:rPr>
          <w:rFonts w:ascii="Arial" w:hAnsi="Arial" w:cs="Arial"/>
          <w:lang w:val="es-ES"/>
        </w:rPr>
      </w:pPr>
      <w:r w:rsidRPr="00B70E6E">
        <w:rPr>
          <w:rFonts w:ascii="Arial" w:hAnsi="Arial" w:cs="Arial"/>
          <w:lang w:val="es-ES"/>
        </w:rPr>
        <w:t>De acuerdo al Marco Fiscal de Mediano Plazo 2015-2024, presentado por la Alcaldía para dar cumplimiento a la Ley 819 de 2003, el gobierno local prevé una continua mejora en sus finanzas públicas. El balance corriente pasaría de representar un 16.9% de los ingresos corrientes a un 48.7% de 2017 en adelante, consecuencia de una importante reducción de los gastos operativos en sectores sociales en 2016. Por su parte, el déficit del balance de capital se vería reducido de un 16.7% de los ingresos corrientes en 2015 a un 0.3% en 2024. Estos resultados fiscales le permitirían a la Alcaldía cancelar la totalidad de sus deudas en 2018.</w:t>
      </w:r>
    </w:p>
    <w:p w:rsidR="00A72BBC" w:rsidRPr="00B70E6E" w:rsidRDefault="00A72BBC" w:rsidP="00B70E6E">
      <w:pPr>
        <w:pStyle w:val="ListParagraph"/>
        <w:spacing w:after="0" w:line="20" w:lineRule="atLeast"/>
        <w:rPr>
          <w:rFonts w:ascii="Arial" w:hAnsi="Arial" w:cs="Arial"/>
          <w:lang w:val="es-ES"/>
        </w:rPr>
      </w:pPr>
    </w:p>
    <w:p w:rsidR="00A72BBC" w:rsidRPr="00B70E6E" w:rsidRDefault="00A72BBC" w:rsidP="00B70E6E">
      <w:pPr>
        <w:pStyle w:val="ListParagraph"/>
        <w:numPr>
          <w:ilvl w:val="1"/>
          <w:numId w:val="1"/>
        </w:numPr>
        <w:tabs>
          <w:tab w:val="left" w:pos="900"/>
        </w:tabs>
        <w:spacing w:after="0" w:line="20" w:lineRule="atLeast"/>
        <w:jc w:val="both"/>
        <w:rPr>
          <w:rFonts w:ascii="Arial" w:hAnsi="Arial" w:cs="Arial"/>
          <w:lang w:val="es-ES_tradnl"/>
        </w:rPr>
      </w:pPr>
      <w:r w:rsidRPr="00B70E6E">
        <w:rPr>
          <w:rFonts w:ascii="Arial" w:hAnsi="Arial" w:cs="Arial"/>
          <w:lang w:val="es-ES"/>
        </w:rPr>
        <w:t>Dadas las proyecciones presentadas en el MFMP y el perfil de amortizaciones e intereses de deuda de la Alcaldía, el espacio de endeudamiento del municipio sería de aproximadamente CO$229,000 millones en 2016 y, de adquirir dicho monto de deuda, contaría con espacio de endeudamiento adicional de CO$30,000 millones en 2017, CO$36,000 millones de 2018, CO$39,000 millones en 2019 y CO$41,000 millones en 2020.</w:t>
      </w:r>
    </w:p>
    <w:p w:rsidR="00EF6015" w:rsidRPr="00B70E6E" w:rsidRDefault="00EF6015" w:rsidP="00B70E6E">
      <w:pPr>
        <w:pStyle w:val="ListParagraph"/>
        <w:tabs>
          <w:tab w:val="left" w:pos="900"/>
        </w:tabs>
        <w:spacing w:after="0" w:line="20" w:lineRule="atLeast"/>
        <w:ind w:left="792"/>
        <w:jc w:val="both"/>
        <w:rPr>
          <w:rFonts w:ascii="Arial" w:hAnsi="Arial" w:cs="Arial"/>
          <w:b/>
          <w:bCs/>
          <w:lang w:val="es-ES"/>
        </w:rPr>
      </w:pPr>
    </w:p>
    <w:p w:rsidR="00487085" w:rsidRPr="00B70E6E" w:rsidRDefault="0014117C" w:rsidP="00B70E6E">
      <w:pPr>
        <w:pStyle w:val="ListParagraph"/>
        <w:numPr>
          <w:ilvl w:val="0"/>
          <w:numId w:val="1"/>
        </w:numPr>
        <w:spacing w:after="0" w:line="20" w:lineRule="atLeast"/>
        <w:jc w:val="both"/>
        <w:rPr>
          <w:rFonts w:ascii="Arial" w:hAnsi="Arial" w:cs="Arial"/>
          <w:b/>
          <w:lang w:val="es-ES_tradnl"/>
        </w:rPr>
      </w:pPr>
      <w:r w:rsidRPr="00B70E6E">
        <w:rPr>
          <w:rFonts w:ascii="Arial" w:hAnsi="Arial" w:cs="Arial"/>
          <w:b/>
          <w:lang w:val="es-ES_tradnl"/>
        </w:rPr>
        <w:t>ESTRATEGIA Y JUSTIFICACION DE</w:t>
      </w:r>
      <w:r w:rsidR="00C72436" w:rsidRPr="00B70E6E">
        <w:rPr>
          <w:rFonts w:ascii="Arial" w:hAnsi="Arial" w:cs="Arial"/>
          <w:b/>
          <w:lang w:val="es-ES_tradnl"/>
        </w:rPr>
        <w:t xml:space="preserve"> LA PARTICIPACION DEL BANCO</w:t>
      </w:r>
    </w:p>
    <w:p w:rsidR="00040791" w:rsidRPr="00B70E6E" w:rsidRDefault="00040791" w:rsidP="00B70E6E">
      <w:pPr>
        <w:pStyle w:val="ListParagraph"/>
        <w:spacing w:after="0" w:line="20" w:lineRule="atLeast"/>
        <w:ind w:left="360"/>
        <w:jc w:val="both"/>
        <w:rPr>
          <w:rFonts w:ascii="Arial" w:hAnsi="Arial" w:cs="Arial"/>
          <w:b/>
          <w:lang w:val="es-ES_tradnl"/>
        </w:rPr>
      </w:pPr>
    </w:p>
    <w:p w:rsidR="005D3D78" w:rsidRPr="00B70E6E" w:rsidRDefault="005D3D78" w:rsidP="00C311DC">
      <w:pPr>
        <w:pStyle w:val="ListParagraph"/>
        <w:numPr>
          <w:ilvl w:val="1"/>
          <w:numId w:val="4"/>
        </w:numPr>
        <w:spacing w:after="0" w:line="20" w:lineRule="atLeast"/>
        <w:jc w:val="both"/>
        <w:rPr>
          <w:rFonts w:ascii="Arial" w:hAnsi="Arial" w:cs="Arial"/>
          <w:lang w:val="es-ES_tradnl"/>
        </w:rPr>
      </w:pPr>
      <w:r w:rsidRPr="00B70E6E">
        <w:rPr>
          <w:rFonts w:ascii="Arial" w:hAnsi="Arial" w:cs="Arial"/>
          <w:lang w:val="es-ES_tradnl"/>
        </w:rPr>
        <w:t>La Estrategia del Segundo Programa de Fortalecimiento Fiscal y del Gasto de Inversión Pública de las Entidades Territoriales (CO-L1155) consiste en atender las necesidades de financiamiento de las ciudades participantes en la ICES asegurando a su vez la sostenibilidad fiscal del municipio. Lo anterior implica la identificación de un plan pluri-anual de inversiones que incorpore acciones prioritarias en materia de asistencia técnica y proyectos de inversión en servicios públicos</w:t>
      </w:r>
      <w:r w:rsidR="00856A6D" w:rsidRPr="00B70E6E">
        <w:rPr>
          <w:rFonts w:ascii="Arial" w:hAnsi="Arial" w:cs="Arial"/>
          <w:lang w:val="es-ES_tradnl"/>
        </w:rPr>
        <w:t xml:space="preserve"> y</w:t>
      </w:r>
      <w:r w:rsidRPr="00B70E6E">
        <w:rPr>
          <w:rFonts w:ascii="Arial" w:hAnsi="Arial" w:cs="Arial"/>
          <w:lang w:val="es-ES_tradnl"/>
        </w:rPr>
        <w:t xml:space="preserve"> desarrollo</w:t>
      </w:r>
      <w:r w:rsidR="00856A6D" w:rsidRPr="00B70E6E">
        <w:rPr>
          <w:rFonts w:ascii="Arial" w:hAnsi="Arial" w:cs="Arial"/>
          <w:lang w:val="es-ES_tradnl"/>
        </w:rPr>
        <w:t xml:space="preserve"> urbano.</w:t>
      </w:r>
      <w:r w:rsidRPr="00B70E6E">
        <w:rPr>
          <w:rFonts w:ascii="Arial" w:hAnsi="Arial" w:cs="Arial"/>
          <w:lang w:val="es-ES_tradnl"/>
        </w:rPr>
        <w:t xml:space="preserve"> </w:t>
      </w:r>
      <w:r w:rsidR="00856A6D" w:rsidRPr="00B70E6E">
        <w:rPr>
          <w:rFonts w:ascii="Arial" w:hAnsi="Arial" w:cs="Arial"/>
          <w:lang w:val="es-ES_tradnl"/>
        </w:rPr>
        <w:t xml:space="preserve"> Para asegurar el cumplimiento de esta estrategia, en el marco de este segundo programa, se prevé la aplicación de los siguientes criterios de elegibilidad: (i) las entidades proponentes de los proyectos podrán ser las municipalidades, las entidades proveedoras de servicios públicos legalmente constituidas, y/o las agencias de desarrollo urbano/metropolitano en las cuales el municipio tenga participación; (ii) las prioridades y demandas identificadas para el financiamiento deberán ser parte Plan de Desarrollo Municipal, del Plan de Acción ICES, o del Plan de inversiones Sectoriales </w:t>
      </w:r>
      <w:r w:rsidR="00856A6D" w:rsidRPr="00B70E6E">
        <w:rPr>
          <w:rFonts w:ascii="Arial" w:hAnsi="Arial" w:cs="Arial"/>
          <w:lang w:val="es-ES_tradnl"/>
        </w:rPr>
        <w:lastRenderedPageBreak/>
        <w:t xml:space="preserve">correspondiente; (iii) los sectores elegibles </w:t>
      </w:r>
      <w:r w:rsidR="00040791" w:rsidRPr="00B70E6E">
        <w:rPr>
          <w:rFonts w:ascii="Arial" w:hAnsi="Arial" w:cs="Arial"/>
          <w:lang w:val="es-ES_tradnl"/>
        </w:rPr>
        <w:t>son l</w:t>
      </w:r>
      <w:r w:rsidR="00856A6D" w:rsidRPr="00B70E6E">
        <w:rPr>
          <w:rFonts w:ascii="Arial" w:hAnsi="Arial" w:cs="Arial"/>
          <w:lang w:val="es-ES_tradnl"/>
        </w:rPr>
        <w:t xml:space="preserve">os que se proponen </w:t>
      </w:r>
      <w:r w:rsidR="00040791" w:rsidRPr="00B70E6E">
        <w:rPr>
          <w:rFonts w:ascii="Arial" w:hAnsi="Arial" w:cs="Arial"/>
          <w:lang w:val="es-ES_tradnl"/>
        </w:rPr>
        <w:t>en el</w:t>
      </w:r>
      <w:r w:rsidR="00856A6D" w:rsidRPr="00B70E6E">
        <w:rPr>
          <w:rFonts w:ascii="Arial" w:hAnsi="Arial" w:cs="Arial"/>
          <w:lang w:val="es-ES_tradnl"/>
        </w:rPr>
        <w:t xml:space="preserve"> Segundo Programa de la Línea CCLIP (CO-L1155) con FINDETER; y (iv) los proyectos y las acciones identificadas deberán contar con los estudios correspondientes para ser ejecutadas en el corto y mediano plazos y en el período de ejecución del préstamo</w:t>
      </w:r>
      <w:r w:rsidR="0024586A" w:rsidRPr="00B70E6E">
        <w:rPr>
          <w:rFonts w:ascii="Arial" w:hAnsi="Arial" w:cs="Arial"/>
          <w:lang w:val="es-ES_tradnl"/>
        </w:rPr>
        <w:t>.</w:t>
      </w:r>
    </w:p>
    <w:p w:rsidR="005D3D78" w:rsidRPr="00B70E6E" w:rsidRDefault="005D3D78" w:rsidP="00B70E6E">
      <w:pPr>
        <w:pStyle w:val="ListParagraph"/>
        <w:spacing w:after="0" w:line="20" w:lineRule="atLeast"/>
        <w:ind w:left="360"/>
        <w:jc w:val="both"/>
        <w:rPr>
          <w:rFonts w:ascii="Arial" w:hAnsi="Arial" w:cs="Arial"/>
          <w:lang w:val="es-ES_tradnl"/>
        </w:rPr>
      </w:pPr>
    </w:p>
    <w:p w:rsidR="00C72436" w:rsidRPr="00B70E6E" w:rsidRDefault="00C72436" w:rsidP="00B70E6E">
      <w:pPr>
        <w:pStyle w:val="ListParagraph"/>
        <w:numPr>
          <w:ilvl w:val="0"/>
          <w:numId w:val="1"/>
        </w:numPr>
        <w:spacing w:after="0" w:line="20" w:lineRule="atLeast"/>
        <w:jc w:val="both"/>
        <w:rPr>
          <w:rFonts w:ascii="Arial" w:hAnsi="Arial" w:cs="Arial"/>
          <w:b/>
          <w:lang w:val="es-ES_tradnl"/>
        </w:rPr>
      </w:pPr>
      <w:r w:rsidRPr="00B70E6E">
        <w:rPr>
          <w:rFonts w:ascii="Arial" w:hAnsi="Arial" w:cs="Arial"/>
          <w:b/>
          <w:lang w:val="es-ES_tradnl"/>
        </w:rPr>
        <w:t>OBJETIVO Y DESCRIPCION DEL PROGRAMA DE INVERSIONES</w:t>
      </w:r>
    </w:p>
    <w:p w:rsidR="00B1410C" w:rsidRPr="00B70E6E" w:rsidRDefault="00B1410C" w:rsidP="00B70E6E">
      <w:pPr>
        <w:pStyle w:val="ListParagraph"/>
        <w:spacing w:after="0" w:line="20" w:lineRule="atLeast"/>
        <w:ind w:left="360"/>
        <w:jc w:val="both"/>
        <w:rPr>
          <w:rFonts w:ascii="Arial" w:hAnsi="Arial" w:cs="Arial"/>
          <w:b/>
          <w:lang w:val="es-ES_tradnl"/>
        </w:rPr>
      </w:pPr>
    </w:p>
    <w:p w:rsidR="00DE3592" w:rsidRPr="00B70E6E" w:rsidRDefault="00DE3592" w:rsidP="00C311DC">
      <w:pPr>
        <w:pStyle w:val="ListParagraph"/>
        <w:numPr>
          <w:ilvl w:val="1"/>
          <w:numId w:val="5"/>
        </w:numPr>
        <w:spacing w:after="0" w:line="20" w:lineRule="atLeast"/>
        <w:jc w:val="both"/>
        <w:rPr>
          <w:rFonts w:ascii="Arial" w:hAnsi="Arial" w:cs="Arial"/>
          <w:lang w:val="es-ES_tradnl"/>
        </w:rPr>
      </w:pPr>
      <w:bookmarkStart w:id="1" w:name="_Toc364690476"/>
      <w:bookmarkStart w:id="2" w:name="_Toc364690548"/>
      <w:bookmarkStart w:id="3" w:name="_Toc364690598"/>
      <w:bookmarkStart w:id="4" w:name="_Toc364690720"/>
      <w:bookmarkStart w:id="5" w:name="_Toc364690796"/>
      <w:bookmarkStart w:id="6" w:name="_Toc364690836"/>
      <w:r w:rsidRPr="00B70E6E">
        <w:rPr>
          <w:rFonts w:ascii="Arial" w:hAnsi="Arial" w:cs="Arial"/>
          <w:lang w:val="es-ES_tradnl"/>
        </w:rPr>
        <w:t>El objetivo general del Plan de Inversiones</w:t>
      </w:r>
      <w:r w:rsidR="00293334" w:rsidRPr="00B70E6E">
        <w:rPr>
          <w:rFonts w:ascii="Arial" w:hAnsi="Arial" w:cs="Arial"/>
          <w:lang w:val="es-ES_tradnl"/>
        </w:rPr>
        <w:t>, en términos de desarrollo urbano y mejora de los servicios públicos,</w:t>
      </w:r>
      <w:r w:rsidRPr="00B70E6E">
        <w:rPr>
          <w:rFonts w:ascii="Arial" w:hAnsi="Arial" w:cs="Arial"/>
          <w:lang w:val="es-ES_tradnl"/>
        </w:rPr>
        <w:t xml:space="preserve"> </w:t>
      </w:r>
      <w:bookmarkEnd w:id="1"/>
      <w:bookmarkEnd w:id="2"/>
      <w:bookmarkEnd w:id="3"/>
      <w:bookmarkEnd w:id="4"/>
      <w:bookmarkEnd w:id="5"/>
      <w:bookmarkEnd w:id="6"/>
      <w:r w:rsidR="00293334" w:rsidRPr="00B70E6E">
        <w:rPr>
          <w:rFonts w:ascii="Arial" w:hAnsi="Arial" w:cs="Arial"/>
          <w:lang w:val="es-ES_tradnl"/>
        </w:rPr>
        <w:t xml:space="preserve">son: </w:t>
      </w:r>
      <w:r w:rsidR="00AB1B36" w:rsidRPr="00B70E6E">
        <w:rPr>
          <w:rFonts w:ascii="Arial" w:hAnsi="Arial" w:cs="Arial"/>
          <w:lang w:val="es-ES_tradnl"/>
        </w:rPr>
        <w:t>(</w:t>
      </w:r>
      <w:r w:rsidR="00E170B3" w:rsidRPr="00B70E6E">
        <w:rPr>
          <w:rFonts w:ascii="Arial" w:hAnsi="Arial" w:cs="Arial"/>
          <w:lang w:val="es-ES_tradnl"/>
        </w:rPr>
        <w:t>i</w:t>
      </w:r>
      <w:r w:rsidRPr="00B70E6E">
        <w:rPr>
          <w:rFonts w:ascii="Arial" w:hAnsi="Arial" w:cs="Arial"/>
          <w:lang w:val="es-ES_tradnl"/>
        </w:rPr>
        <w:t xml:space="preserve">) aumentar el acceso de la población </w:t>
      </w:r>
      <w:r w:rsidR="003238C9" w:rsidRPr="00B70E6E">
        <w:rPr>
          <w:rFonts w:ascii="Arial" w:hAnsi="Arial" w:cs="Arial"/>
          <w:lang w:val="es-ES_tradnl"/>
        </w:rPr>
        <w:t>a</w:t>
      </w:r>
      <w:r w:rsidR="006F7802" w:rsidRPr="00B70E6E">
        <w:rPr>
          <w:rFonts w:ascii="Arial" w:hAnsi="Arial" w:cs="Arial"/>
          <w:lang w:val="es-ES_tradnl"/>
        </w:rPr>
        <w:t xml:space="preserve"> espacios públicos</w:t>
      </w:r>
      <w:r w:rsidRPr="00B70E6E">
        <w:rPr>
          <w:rFonts w:ascii="Arial" w:hAnsi="Arial" w:cs="Arial"/>
          <w:lang w:val="es-ES_tradnl"/>
        </w:rPr>
        <w:t xml:space="preserve"> de calidad</w:t>
      </w:r>
      <w:r w:rsidR="00AB1B36" w:rsidRPr="00B70E6E">
        <w:rPr>
          <w:rFonts w:ascii="Arial" w:hAnsi="Arial" w:cs="Arial"/>
          <w:lang w:val="es-ES_tradnl"/>
        </w:rPr>
        <w:t>; y (ii) aumentar la cobertura y calidad de los servicios de saneamiento ambiental (a través de diversas obras de extensión de redes que ya se encuentran en ejecución).</w:t>
      </w:r>
    </w:p>
    <w:p w:rsidR="006F7802" w:rsidRPr="00B70E6E" w:rsidRDefault="006F7802" w:rsidP="00B70E6E">
      <w:pPr>
        <w:pStyle w:val="ListParagraph"/>
        <w:spacing w:after="0" w:line="20" w:lineRule="atLeast"/>
        <w:ind w:left="792"/>
        <w:jc w:val="both"/>
        <w:rPr>
          <w:rFonts w:ascii="Arial" w:hAnsi="Arial" w:cs="Arial"/>
          <w:lang w:val="es-ES_tradnl"/>
        </w:rPr>
      </w:pPr>
    </w:p>
    <w:p w:rsidR="006F7802" w:rsidRPr="00B70E6E" w:rsidRDefault="006F7802" w:rsidP="00C311DC">
      <w:pPr>
        <w:pStyle w:val="ListParagraph"/>
        <w:numPr>
          <w:ilvl w:val="1"/>
          <w:numId w:val="5"/>
        </w:numPr>
        <w:spacing w:after="0" w:line="20" w:lineRule="atLeast"/>
        <w:jc w:val="both"/>
        <w:rPr>
          <w:rFonts w:ascii="Arial" w:hAnsi="Arial" w:cs="Arial"/>
          <w:b/>
          <w:lang w:val="es-ES_tradnl"/>
        </w:rPr>
      </w:pPr>
      <w:r w:rsidRPr="00B70E6E">
        <w:rPr>
          <w:rFonts w:ascii="Arial" w:hAnsi="Arial" w:cs="Arial"/>
          <w:lang w:val="es-ES_tradnl"/>
        </w:rPr>
        <w:t>El Plan de Inversiones preliminarmente identificado dura</w:t>
      </w:r>
      <w:r w:rsidR="00474728" w:rsidRPr="00B70E6E">
        <w:rPr>
          <w:rFonts w:ascii="Arial" w:hAnsi="Arial" w:cs="Arial"/>
          <w:lang w:val="es-ES_tradnl"/>
        </w:rPr>
        <w:t>nte la Misión de Análisis de julio de 2015 y revisado</w:t>
      </w:r>
      <w:r w:rsidRPr="00B70E6E">
        <w:rPr>
          <w:rFonts w:ascii="Arial" w:hAnsi="Arial" w:cs="Arial"/>
          <w:lang w:val="es-ES_tradnl"/>
        </w:rPr>
        <w:t xml:space="preserve"> con FINDETER y las entidades locales, incorpora los siguientes proyectos: </w:t>
      </w:r>
    </w:p>
    <w:p w:rsidR="006F7802" w:rsidRPr="00B70E6E" w:rsidRDefault="006F7802" w:rsidP="00B70E6E">
      <w:pPr>
        <w:pStyle w:val="ListParagraph"/>
        <w:spacing w:after="0" w:line="20" w:lineRule="atLeast"/>
        <w:jc w:val="both"/>
        <w:rPr>
          <w:rFonts w:ascii="Arial" w:hAnsi="Arial" w:cs="Arial"/>
          <w:b/>
          <w:lang w:val="es-ES_tradnl"/>
        </w:rPr>
      </w:pPr>
    </w:p>
    <w:tbl>
      <w:tblPr>
        <w:tblStyle w:val="TableGrid"/>
        <w:tblW w:w="10170" w:type="dxa"/>
        <w:tblInd w:w="-162" w:type="dxa"/>
        <w:tblLook w:val="04A0" w:firstRow="1" w:lastRow="0" w:firstColumn="1" w:lastColumn="0" w:noHBand="0" w:noVBand="1"/>
      </w:tblPr>
      <w:tblGrid>
        <w:gridCol w:w="3690"/>
        <w:gridCol w:w="2947"/>
        <w:gridCol w:w="1733"/>
        <w:gridCol w:w="1800"/>
      </w:tblGrid>
      <w:tr w:rsidR="000D6D0D" w:rsidRPr="0089701B" w:rsidTr="00B70E6E">
        <w:tc>
          <w:tcPr>
            <w:tcW w:w="3690" w:type="dxa"/>
            <w:shd w:val="clear" w:color="auto" w:fill="C2D69B" w:themeFill="accent3" w:themeFillTint="99"/>
            <w:vAlign w:val="center"/>
          </w:tcPr>
          <w:p w:rsidR="000D6D0D" w:rsidRPr="00B70E6E" w:rsidRDefault="000D6D0D"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Nombre de proyecto</w:t>
            </w:r>
          </w:p>
        </w:tc>
        <w:tc>
          <w:tcPr>
            <w:tcW w:w="2947" w:type="dxa"/>
            <w:shd w:val="clear" w:color="auto" w:fill="C2D69B" w:themeFill="accent3" w:themeFillTint="99"/>
            <w:vAlign w:val="center"/>
          </w:tcPr>
          <w:p w:rsidR="000D6D0D" w:rsidRPr="00B70E6E" w:rsidRDefault="000D6D0D"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Descripción</w:t>
            </w:r>
          </w:p>
        </w:tc>
        <w:tc>
          <w:tcPr>
            <w:tcW w:w="1733" w:type="dxa"/>
            <w:shd w:val="clear" w:color="auto" w:fill="C2D69B" w:themeFill="accent3" w:themeFillTint="99"/>
            <w:vAlign w:val="center"/>
          </w:tcPr>
          <w:p w:rsidR="000D6D0D" w:rsidRPr="00B70E6E" w:rsidRDefault="000D6D0D" w:rsidP="00B70E6E">
            <w:pPr>
              <w:pStyle w:val="ListParagraph"/>
              <w:spacing w:line="20" w:lineRule="atLeast"/>
              <w:ind w:left="0"/>
              <w:jc w:val="center"/>
              <w:rPr>
                <w:rFonts w:ascii="Arial" w:hAnsi="Arial" w:cs="Arial"/>
                <w:b/>
                <w:sz w:val="18"/>
                <w:szCs w:val="18"/>
                <w:lang w:val="es-ES_tradnl"/>
              </w:rPr>
            </w:pPr>
            <w:r w:rsidRPr="00B70E6E">
              <w:rPr>
                <w:rFonts w:ascii="Arial" w:hAnsi="Arial" w:cs="Arial"/>
                <w:b/>
                <w:sz w:val="18"/>
                <w:szCs w:val="18"/>
                <w:lang w:val="es-ES_tradnl"/>
              </w:rPr>
              <w:t>Entidad</w:t>
            </w:r>
          </w:p>
          <w:p w:rsidR="000D6D0D" w:rsidRPr="00B70E6E" w:rsidRDefault="000D6D0D" w:rsidP="00B70E6E">
            <w:pPr>
              <w:pStyle w:val="ListParagraph"/>
              <w:spacing w:line="20" w:lineRule="atLeast"/>
              <w:ind w:left="0"/>
              <w:jc w:val="center"/>
              <w:rPr>
                <w:rFonts w:ascii="Arial" w:hAnsi="Arial" w:cs="Arial"/>
                <w:b/>
                <w:sz w:val="18"/>
                <w:szCs w:val="18"/>
                <w:lang w:val="es-ES_tradnl"/>
              </w:rPr>
            </w:pPr>
            <w:r w:rsidRPr="00B70E6E">
              <w:rPr>
                <w:rFonts w:ascii="Arial" w:hAnsi="Arial" w:cs="Arial"/>
                <w:b/>
                <w:sz w:val="18"/>
                <w:szCs w:val="18"/>
                <w:lang w:val="es-ES_tradnl"/>
              </w:rPr>
              <w:t>Responsable</w:t>
            </w:r>
          </w:p>
        </w:tc>
        <w:tc>
          <w:tcPr>
            <w:tcW w:w="1800" w:type="dxa"/>
            <w:shd w:val="clear" w:color="auto" w:fill="C2D69B" w:themeFill="accent3" w:themeFillTint="99"/>
            <w:vAlign w:val="center"/>
          </w:tcPr>
          <w:p w:rsidR="000D6D0D" w:rsidRPr="00B70E6E" w:rsidRDefault="000D6D0D" w:rsidP="00B70E6E">
            <w:pPr>
              <w:pStyle w:val="ListParagraph"/>
              <w:spacing w:line="20" w:lineRule="atLeast"/>
              <w:ind w:left="0"/>
              <w:jc w:val="center"/>
              <w:rPr>
                <w:rFonts w:ascii="Arial" w:hAnsi="Arial" w:cs="Arial"/>
                <w:b/>
                <w:sz w:val="18"/>
                <w:szCs w:val="18"/>
                <w:lang w:val="es-ES_tradnl"/>
              </w:rPr>
            </w:pPr>
            <w:r w:rsidRPr="00B70E6E">
              <w:rPr>
                <w:rFonts w:ascii="Arial" w:hAnsi="Arial" w:cs="Arial"/>
                <w:b/>
                <w:sz w:val="18"/>
                <w:szCs w:val="18"/>
                <w:lang w:val="es-ES_tradnl"/>
              </w:rPr>
              <w:t>Monto de financiamiento</w:t>
            </w:r>
          </w:p>
          <w:p w:rsidR="000D6D0D" w:rsidRPr="00B70E6E" w:rsidRDefault="000D6D0D" w:rsidP="00B70E6E">
            <w:pPr>
              <w:pStyle w:val="ListParagraph"/>
              <w:spacing w:line="20" w:lineRule="atLeast"/>
              <w:ind w:left="0"/>
              <w:jc w:val="center"/>
              <w:rPr>
                <w:rFonts w:ascii="Arial" w:hAnsi="Arial" w:cs="Arial"/>
                <w:b/>
                <w:sz w:val="18"/>
                <w:szCs w:val="18"/>
                <w:lang w:val="es-ES_tradnl"/>
              </w:rPr>
            </w:pPr>
            <w:r w:rsidRPr="00B70E6E">
              <w:rPr>
                <w:rFonts w:ascii="Arial" w:hAnsi="Arial" w:cs="Arial"/>
                <w:b/>
                <w:sz w:val="18"/>
                <w:szCs w:val="18"/>
                <w:lang w:val="es-ES_tradnl"/>
              </w:rPr>
              <w:t>(en miles de USD)</w:t>
            </w:r>
          </w:p>
        </w:tc>
      </w:tr>
      <w:tr w:rsidR="00BC449A" w:rsidRPr="00B70E6E" w:rsidTr="00B70E6E">
        <w:tc>
          <w:tcPr>
            <w:tcW w:w="3690" w:type="dxa"/>
            <w:shd w:val="clear" w:color="auto" w:fill="D9D9D9" w:themeFill="background1" w:themeFillShade="D9"/>
            <w:vAlign w:val="center"/>
          </w:tcPr>
          <w:p w:rsid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 xml:space="preserve">Componente 1: </w:t>
            </w:r>
          </w:p>
          <w:p w:rsidR="00BC449A" w:rsidRPr="00B70E6E" w:rsidRDefault="00B70E6E" w:rsidP="00B70E6E">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 xml:space="preserve">Mejora </w:t>
            </w:r>
            <w:r w:rsidR="00A72BBC" w:rsidRPr="00B70E6E">
              <w:rPr>
                <w:rFonts w:ascii="Arial" w:hAnsi="Arial" w:cs="Arial"/>
                <w:b/>
                <w:sz w:val="18"/>
                <w:szCs w:val="18"/>
                <w:lang w:val="es-ES_tradnl"/>
              </w:rPr>
              <w:t>de la gestión fiscal</w:t>
            </w:r>
          </w:p>
        </w:tc>
        <w:tc>
          <w:tcPr>
            <w:tcW w:w="2947" w:type="dxa"/>
            <w:shd w:val="clear" w:color="auto" w:fill="D9D9D9" w:themeFill="background1" w:themeFillShade="D9"/>
            <w:vAlign w:val="center"/>
          </w:tcPr>
          <w:p w:rsidR="00BC449A" w:rsidRPr="00B70E6E" w:rsidRDefault="00BC449A" w:rsidP="00B70E6E">
            <w:pPr>
              <w:pStyle w:val="ListParagraph"/>
              <w:spacing w:line="20" w:lineRule="atLeast"/>
              <w:ind w:left="0"/>
              <w:rPr>
                <w:rFonts w:ascii="Arial" w:hAnsi="Arial" w:cs="Arial"/>
                <w:sz w:val="18"/>
                <w:szCs w:val="18"/>
                <w:lang w:val="es-ES_tradnl"/>
              </w:rPr>
            </w:pPr>
          </w:p>
        </w:tc>
        <w:tc>
          <w:tcPr>
            <w:tcW w:w="1733" w:type="dxa"/>
            <w:shd w:val="clear" w:color="auto" w:fill="D9D9D9" w:themeFill="background1" w:themeFillShade="D9"/>
            <w:vAlign w:val="center"/>
          </w:tcPr>
          <w:p w:rsidR="00BC449A" w:rsidRPr="00B70E6E" w:rsidRDefault="00BC449A" w:rsidP="00B70E6E">
            <w:pPr>
              <w:pStyle w:val="ListParagraph"/>
              <w:spacing w:line="20" w:lineRule="atLeast"/>
              <w:ind w:left="0"/>
              <w:rPr>
                <w:rFonts w:ascii="Arial" w:hAnsi="Arial" w:cs="Arial"/>
                <w:sz w:val="18"/>
                <w:szCs w:val="18"/>
                <w:lang w:val="es-ES_tradnl"/>
              </w:rPr>
            </w:pPr>
          </w:p>
        </w:tc>
        <w:tc>
          <w:tcPr>
            <w:tcW w:w="1800" w:type="dxa"/>
            <w:shd w:val="clear" w:color="auto" w:fill="D9D9D9" w:themeFill="background1" w:themeFillShade="D9"/>
            <w:vAlign w:val="center"/>
          </w:tcPr>
          <w:p w:rsidR="00BC449A" w:rsidRPr="00B70E6E" w:rsidRDefault="00692620" w:rsidP="006A3B68">
            <w:pPr>
              <w:pStyle w:val="ListParagraph"/>
              <w:spacing w:line="20" w:lineRule="atLeast"/>
              <w:ind w:left="0"/>
              <w:jc w:val="right"/>
              <w:rPr>
                <w:rFonts w:ascii="Arial" w:hAnsi="Arial" w:cs="Arial"/>
                <w:b/>
                <w:sz w:val="18"/>
                <w:szCs w:val="18"/>
                <w:lang w:val="es-ES_tradnl"/>
              </w:rPr>
            </w:pPr>
            <w:r>
              <w:rPr>
                <w:rFonts w:ascii="Arial" w:hAnsi="Arial" w:cs="Arial"/>
                <w:b/>
                <w:sz w:val="18"/>
                <w:szCs w:val="18"/>
                <w:lang w:val="es-ES_tradnl"/>
              </w:rPr>
              <w:t>4,720</w:t>
            </w:r>
          </w:p>
        </w:tc>
      </w:tr>
      <w:tr w:rsidR="00A72BBC" w:rsidRPr="00B70E6E" w:rsidTr="00B70E6E">
        <w:trPr>
          <w:trHeight w:val="485"/>
        </w:trPr>
        <w:tc>
          <w:tcPr>
            <w:tcW w:w="3690" w:type="dxa"/>
            <w:vAlign w:val="center"/>
          </w:tcPr>
          <w:p w:rsidR="00A72BBC" w:rsidRPr="00B70E6E" w:rsidRDefault="00A72BBC" w:rsidP="00C311DC">
            <w:pPr>
              <w:pStyle w:val="ListParagraph"/>
              <w:numPr>
                <w:ilvl w:val="0"/>
                <w:numId w:val="7"/>
              </w:numPr>
              <w:spacing w:line="20" w:lineRule="atLeast"/>
              <w:rPr>
                <w:rFonts w:ascii="Arial" w:hAnsi="Arial" w:cs="Arial"/>
                <w:sz w:val="18"/>
                <w:szCs w:val="18"/>
                <w:lang w:val="es-ES_tradnl"/>
              </w:rPr>
            </w:pPr>
            <w:r w:rsidRPr="00B70E6E">
              <w:rPr>
                <w:rFonts w:ascii="Arial" w:hAnsi="Arial" w:cs="Arial"/>
                <w:sz w:val="18"/>
                <w:szCs w:val="18"/>
                <w:lang w:val="es-ES_tradnl"/>
              </w:rPr>
              <w:t>Mejora de la fiscalización y cobro coactivo del IP e ICA</w:t>
            </w:r>
          </w:p>
        </w:tc>
        <w:tc>
          <w:tcPr>
            <w:tcW w:w="2947"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p>
        </w:tc>
        <w:tc>
          <w:tcPr>
            <w:tcW w:w="1733"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Secretaría de Hacienda</w:t>
            </w:r>
          </w:p>
        </w:tc>
        <w:tc>
          <w:tcPr>
            <w:tcW w:w="1800" w:type="dxa"/>
            <w:vAlign w:val="center"/>
          </w:tcPr>
          <w:p w:rsidR="00A72BBC" w:rsidRPr="00B70E6E" w:rsidRDefault="00692620" w:rsidP="006A3B68">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300</w:t>
            </w:r>
          </w:p>
        </w:tc>
      </w:tr>
      <w:tr w:rsidR="00A72BBC" w:rsidRPr="00B70E6E" w:rsidTr="00B70E6E">
        <w:trPr>
          <w:trHeight w:val="530"/>
        </w:trPr>
        <w:tc>
          <w:tcPr>
            <w:tcW w:w="3690" w:type="dxa"/>
            <w:vAlign w:val="center"/>
          </w:tcPr>
          <w:p w:rsidR="00A72BBC" w:rsidRPr="00B70E6E" w:rsidRDefault="00A72BBC" w:rsidP="00C311DC">
            <w:pPr>
              <w:pStyle w:val="ListParagraph"/>
              <w:numPr>
                <w:ilvl w:val="0"/>
                <w:numId w:val="7"/>
              </w:numPr>
              <w:spacing w:line="20" w:lineRule="atLeast"/>
              <w:rPr>
                <w:rFonts w:ascii="Arial" w:hAnsi="Arial" w:cs="Arial"/>
                <w:sz w:val="18"/>
                <w:szCs w:val="18"/>
                <w:lang w:val="es-ES_tradnl"/>
              </w:rPr>
            </w:pPr>
            <w:r w:rsidRPr="00B70E6E">
              <w:rPr>
                <w:rFonts w:ascii="Arial" w:hAnsi="Arial" w:cs="Arial"/>
                <w:sz w:val="18"/>
                <w:szCs w:val="18"/>
                <w:lang w:val="es-ES_tradnl"/>
              </w:rPr>
              <w:t>Programa de Cultura Tributaria</w:t>
            </w:r>
          </w:p>
        </w:tc>
        <w:tc>
          <w:tcPr>
            <w:tcW w:w="2947"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p>
        </w:tc>
        <w:tc>
          <w:tcPr>
            <w:tcW w:w="1733"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Secretaría de Hacienda</w:t>
            </w:r>
          </w:p>
        </w:tc>
        <w:tc>
          <w:tcPr>
            <w:tcW w:w="1800" w:type="dxa"/>
            <w:vAlign w:val="center"/>
          </w:tcPr>
          <w:p w:rsidR="00A72BBC" w:rsidRPr="00B70E6E" w:rsidRDefault="00692620" w:rsidP="006A3B68">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650</w:t>
            </w:r>
          </w:p>
        </w:tc>
      </w:tr>
      <w:tr w:rsidR="00A72BBC" w:rsidRPr="00B70E6E" w:rsidTr="00B70E6E">
        <w:tc>
          <w:tcPr>
            <w:tcW w:w="3690" w:type="dxa"/>
            <w:vAlign w:val="center"/>
          </w:tcPr>
          <w:p w:rsidR="00A72BBC" w:rsidRPr="00B70E6E" w:rsidRDefault="00A72BBC" w:rsidP="00C311DC">
            <w:pPr>
              <w:pStyle w:val="ListParagraph"/>
              <w:numPr>
                <w:ilvl w:val="0"/>
                <w:numId w:val="7"/>
              </w:numPr>
              <w:spacing w:line="20" w:lineRule="atLeast"/>
              <w:rPr>
                <w:rFonts w:ascii="Arial" w:hAnsi="Arial" w:cs="Arial"/>
                <w:sz w:val="18"/>
                <w:szCs w:val="18"/>
                <w:lang w:val="es-ES_tradnl"/>
              </w:rPr>
            </w:pPr>
            <w:r w:rsidRPr="00B70E6E">
              <w:rPr>
                <w:rFonts w:ascii="Arial" w:hAnsi="Arial" w:cs="Arial"/>
                <w:sz w:val="18"/>
                <w:szCs w:val="18"/>
                <w:lang w:val="es-ES_tradnl"/>
              </w:rPr>
              <w:t>Actualización de la Estratificación Socio-Económica, de la nomenclatura urbana y del catastro</w:t>
            </w:r>
          </w:p>
        </w:tc>
        <w:tc>
          <w:tcPr>
            <w:tcW w:w="2947"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p>
        </w:tc>
        <w:tc>
          <w:tcPr>
            <w:tcW w:w="1733"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Secretaría de Hacienda</w:t>
            </w:r>
          </w:p>
        </w:tc>
        <w:tc>
          <w:tcPr>
            <w:tcW w:w="1800" w:type="dxa"/>
            <w:vAlign w:val="center"/>
          </w:tcPr>
          <w:p w:rsidR="00A72BBC" w:rsidRPr="00B70E6E" w:rsidRDefault="00692620" w:rsidP="006A3B68">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2,000</w:t>
            </w:r>
          </w:p>
        </w:tc>
      </w:tr>
      <w:tr w:rsidR="00A72BBC" w:rsidRPr="00B70E6E" w:rsidTr="00B70E6E">
        <w:trPr>
          <w:trHeight w:val="521"/>
        </w:trPr>
        <w:tc>
          <w:tcPr>
            <w:tcW w:w="3690" w:type="dxa"/>
            <w:vAlign w:val="center"/>
          </w:tcPr>
          <w:p w:rsidR="00A72BBC" w:rsidRPr="00B70E6E" w:rsidRDefault="00A72BBC" w:rsidP="00C311DC">
            <w:pPr>
              <w:pStyle w:val="ListParagraph"/>
              <w:numPr>
                <w:ilvl w:val="0"/>
                <w:numId w:val="7"/>
              </w:numPr>
              <w:spacing w:line="20" w:lineRule="atLeast"/>
              <w:rPr>
                <w:rFonts w:ascii="Arial" w:hAnsi="Arial" w:cs="Arial"/>
                <w:sz w:val="18"/>
                <w:szCs w:val="18"/>
                <w:lang w:val="es-ES_tradnl"/>
              </w:rPr>
            </w:pPr>
            <w:r w:rsidRPr="00B70E6E">
              <w:rPr>
                <w:rFonts w:ascii="Arial" w:hAnsi="Arial" w:cs="Arial"/>
                <w:sz w:val="18"/>
                <w:szCs w:val="18"/>
                <w:lang w:val="es-ES_tradnl"/>
              </w:rPr>
              <w:t>Optimización del Sistema de Administración Financiera</w:t>
            </w:r>
          </w:p>
        </w:tc>
        <w:tc>
          <w:tcPr>
            <w:tcW w:w="2947"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p>
        </w:tc>
        <w:tc>
          <w:tcPr>
            <w:tcW w:w="1733"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Secretaría de Hacienda</w:t>
            </w:r>
          </w:p>
        </w:tc>
        <w:tc>
          <w:tcPr>
            <w:tcW w:w="1800" w:type="dxa"/>
            <w:vAlign w:val="center"/>
          </w:tcPr>
          <w:p w:rsidR="00A72BBC" w:rsidRPr="00B70E6E" w:rsidRDefault="00A72BBC" w:rsidP="006A3B68">
            <w:pPr>
              <w:pStyle w:val="ListParagraph"/>
              <w:spacing w:line="20" w:lineRule="atLeast"/>
              <w:ind w:left="0"/>
              <w:jc w:val="right"/>
              <w:rPr>
                <w:rFonts w:ascii="Arial" w:hAnsi="Arial" w:cs="Arial"/>
                <w:sz w:val="18"/>
                <w:szCs w:val="18"/>
                <w:lang w:val="es-ES_tradnl"/>
              </w:rPr>
            </w:pPr>
            <w:r w:rsidRPr="00B70E6E">
              <w:rPr>
                <w:rFonts w:ascii="Arial" w:hAnsi="Arial" w:cs="Arial"/>
                <w:sz w:val="18"/>
                <w:szCs w:val="18"/>
                <w:lang w:val="es-ES_tradnl"/>
              </w:rPr>
              <w:t>1,000</w:t>
            </w:r>
          </w:p>
        </w:tc>
      </w:tr>
      <w:tr w:rsidR="00A72BBC" w:rsidRPr="00B70E6E" w:rsidTr="00B70E6E">
        <w:trPr>
          <w:trHeight w:val="530"/>
        </w:trPr>
        <w:tc>
          <w:tcPr>
            <w:tcW w:w="3690" w:type="dxa"/>
            <w:vAlign w:val="center"/>
          </w:tcPr>
          <w:p w:rsidR="00A72BBC" w:rsidRPr="00B70E6E" w:rsidRDefault="00A72BBC" w:rsidP="00C311DC">
            <w:pPr>
              <w:pStyle w:val="ListParagraph"/>
              <w:numPr>
                <w:ilvl w:val="0"/>
                <w:numId w:val="7"/>
              </w:numPr>
              <w:spacing w:line="20" w:lineRule="atLeast"/>
              <w:rPr>
                <w:rFonts w:ascii="Arial" w:hAnsi="Arial" w:cs="Arial"/>
                <w:sz w:val="18"/>
                <w:szCs w:val="18"/>
                <w:lang w:val="es-ES_tradnl"/>
              </w:rPr>
            </w:pPr>
            <w:r w:rsidRPr="00B70E6E">
              <w:rPr>
                <w:rFonts w:ascii="Arial" w:hAnsi="Arial" w:cs="Arial"/>
                <w:sz w:val="18"/>
                <w:szCs w:val="18"/>
                <w:lang w:val="es-ES_tradnl"/>
              </w:rPr>
              <w:t>Fortalecimiento en gestión de proyectos</w:t>
            </w:r>
          </w:p>
        </w:tc>
        <w:tc>
          <w:tcPr>
            <w:tcW w:w="2947"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p>
        </w:tc>
        <w:tc>
          <w:tcPr>
            <w:tcW w:w="1733"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Secretaría de Planeación</w:t>
            </w:r>
          </w:p>
        </w:tc>
        <w:tc>
          <w:tcPr>
            <w:tcW w:w="1800" w:type="dxa"/>
            <w:vAlign w:val="center"/>
          </w:tcPr>
          <w:p w:rsidR="00A72BBC" w:rsidRPr="00B70E6E" w:rsidRDefault="00692620" w:rsidP="006A3B68">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270</w:t>
            </w:r>
          </w:p>
        </w:tc>
      </w:tr>
      <w:tr w:rsidR="00A72BBC" w:rsidRPr="00B70E6E" w:rsidTr="00B70E6E">
        <w:tc>
          <w:tcPr>
            <w:tcW w:w="3690" w:type="dxa"/>
            <w:vAlign w:val="center"/>
          </w:tcPr>
          <w:p w:rsidR="00A72BBC" w:rsidRPr="00B70E6E" w:rsidRDefault="00A72BBC" w:rsidP="00C311DC">
            <w:pPr>
              <w:pStyle w:val="ListParagraph"/>
              <w:numPr>
                <w:ilvl w:val="0"/>
                <w:numId w:val="7"/>
              </w:numPr>
              <w:spacing w:line="20" w:lineRule="atLeast"/>
              <w:rPr>
                <w:rFonts w:ascii="Arial" w:hAnsi="Arial" w:cs="Arial"/>
                <w:sz w:val="18"/>
                <w:szCs w:val="18"/>
                <w:lang w:val="es-ES_tradnl"/>
              </w:rPr>
            </w:pPr>
            <w:r w:rsidRPr="00B70E6E">
              <w:rPr>
                <w:rFonts w:ascii="Arial" w:hAnsi="Arial" w:cs="Arial"/>
                <w:sz w:val="18"/>
                <w:szCs w:val="18"/>
                <w:lang w:val="es-ES_tradnl"/>
              </w:rPr>
              <w:t>Desarrollo de un sistema de gestión documentaria de la municipalidad</w:t>
            </w:r>
          </w:p>
        </w:tc>
        <w:tc>
          <w:tcPr>
            <w:tcW w:w="2947"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p>
        </w:tc>
        <w:tc>
          <w:tcPr>
            <w:tcW w:w="1733"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Secretaría General</w:t>
            </w:r>
          </w:p>
        </w:tc>
        <w:tc>
          <w:tcPr>
            <w:tcW w:w="1800" w:type="dxa"/>
            <w:vAlign w:val="center"/>
          </w:tcPr>
          <w:p w:rsidR="00A72BBC" w:rsidRPr="00B70E6E" w:rsidRDefault="00A72BBC" w:rsidP="006A3B68">
            <w:pPr>
              <w:pStyle w:val="ListParagraph"/>
              <w:spacing w:line="20" w:lineRule="atLeast"/>
              <w:ind w:left="0"/>
              <w:jc w:val="right"/>
              <w:rPr>
                <w:rFonts w:ascii="Arial" w:hAnsi="Arial" w:cs="Arial"/>
                <w:sz w:val="18"/>
                <w:szCs w:val="18"/>
                <w:lang w:val="es-ES_tradnl"/>
              </w:rPr>
            </w:pPr>
            <w:r w:rsidRPr="00B70E6E">
              <w:rPr>
                <w:rFonts w:ascii="Arial" w:hAnsi="Arial" w:cs="Arial"/>
                <w:sz w:val="18"/>
                <w:szCs w:val="18"/>
                <w:lang w:val="es-ES_tradnl"/>
              </w:rPr>
              <w:t>500</w:t>
            </w:r>
          </w:p>
        </w:tc>
      </w:tr>
      <w:tr w:rsidR="00A72BBC" w:rsidRPr="00B70E6E" w:rsidTr="00B70E6E">
        <w:trPr>
          <w:trHeight w:val="566"/>
        </w:trPr>
        <w:tc>
          <w:tcPr>
            <w:tcW w:w="3690" w:type="dxa"/>
            <w:shd w:val="clear" w:color="auto" w:fill="D9D9D9" w:themeFill="background1" w:themeFillShade="D9"/>
            <w:vAlign w:val="center"/>
          </w:tcPr>
          <w:p w:rsid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 xml:space="preserve">Componente 2:  </w:t>
            </w:r>
          </w:p>
          <w:p w:rsidR="00A72BBC" w:rsidRP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Desarrollo Urbano</w:t>
            </w:r>
          </w:p>
        </w:tc>
        <w:tc>
          <w:tcPr>
            <w:tcW w:w="2947" w:type="dxa"/>
            <w:shd w:val="clear" w:color="auto" w:fill="D9D9D9" w:themeFill="background1" w:themeFillShade="D9"/>
            <w:vAlign w:val="center"/>
          </w:tcPr>
          <w:p w:rsidR="00A72BBC" w:rsidRPr="00B70E6E" w:rsidRDefault="00A72BBC" w:rsidP="00B70E6E">
            <w:pPr>
              <w:pStyle w:val="ListParagraph"/>
              <w:spacing w:line="20" w:lineRule="atLeast"/>
              <w:ind w:left="0"/>
              <w:jc w:val="both"/>
              <w:rPr>
                <w:rFonts w:ascii="Arial" w:hAnsi="Arial" w:cs="Arial"/>
                <w:b/>
                <w:sz w:val="18"/>
                <w:szCs w:val="18"/>
                <w:lang w:val="es-ES_tradnl"/>
              </w:rPr>
            </w:pPr>
          </w:p>
        </w:tc>
        <w:tc>
          <w:tcPr>
            <w:tcW w:w="1733" w:type="dxa"/>
            <w:shd w:val="clear" w:color="auto" w:fill="D9D9D9" w:themeFill="background1" w:themeFillShade="D9"/>
            <w:vAlign w:val="center"/>
          </w:tcPr>
          <w:p w:rsidR="00A72BBC" w:rsidRPr="00B70E6E" w:rsidRDefault="00A72BBC" w:rsidP="00B70E6E">
            <w:pPr>
              <w:pStyle w:val="ListParagraph"/>
              <w:spacing w:line="20" w:lineRule="atLeast"/>
              <w:ind w:left="0"/>
              <w:jc w:val="both"/>
              <w:rPr>
                <w:rFonts w:ascii="Arial" w:hAnsi="Arial" w:cs="Arial"/>
                <w:b/>
                <w:sz w:val="18"/>
                <w:szCs w:val="18"/>
                <w:lang w:val="es-ES_tradnl"/>
              </w:rPr>
            </w:pPr>
          </w:p>
        </w:tc>
        <w:tc>
          <w:tcPr>
            <w:tcW w:w="1800" w:type="dxa"/>
            <w:shd w:val="clear" w:color="auto" w:fill="D9D9D9" w:themeFill="background1" w:themeFillShade="D9"/>
            <w:vAlign w:val="center"/>
          </w:tcPr>
          <w:p w:rsidR="00A72BBC" w:rsidRPr="00B70E6E" w:rsidRDefault="00A72BBC" w:rsidP="006A3B68">
            <w:pPr>
              <w:pStyle w:val="ListParagraph"/>
              <w:spacing w:line="20" w:lineRule="atLeast"/>
              <w:ind w:left="0"/>
              <w:jc w:val="right"/>
              <w:rPr>
                <w:rFonts w:ascii="Arial" w:hAnsi="Arial" w:cs="Arial"/>
                <w:b/>
                <w:sz w:val="18"/>
                <w:szCs w:val="18"/>
                <w:lang w:val="es-ES_tradnl"/>
              </w:rPr>
            </w:pPr>
            <w:r w:rsidRPr="00B70E6E">
              <w:rPr>
                <w:rFonts w:ascii="Arial" w:hAnsi="Arial" w:cs="Arial"/>
                <w:b/>
                <w:sz w:val="18"/>
                <w:szCs w:val="18"/>
                <w:lang w:val="es-ES_tradnl"/>
              </w:rPr>
              <w:t>33,047</w:t>
            </w:r>
          </w:p>
        </w:tc>
      </w:tr>
      <w:tr w:rsidR="00A72BBC" w:rsidRPr="00B70E6E" w:rsidTr="00B70E6E">
        <w:trPr>
          <w:trHeight w:val="1151"/>
        </w:trPr>
        <w:tc>
          <w:tcPr>
            <w:tcW w:w="369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
              </w:rPr>
            </w:pPr>
            <w:r w:rsidRPr="00B70E6E">
              <w:rPr>
                <w:rFonts w:ascii="Arial" w:hAnsi="Arial" w:cs="Arial"/>
                <w:sz w:val="18"/>
                <w:szCs w:val="18"/>
                <w:lang w:val="es-ES"/>
              </w:rPr>
              <w:t>Ronda margen izquierda y ronda sur (del río Sinú)</w:t>
            </w:r>
          </w:p>
        </w:tc>
        <w:tc>
          <w:tcPr>
            <w:tcW w:w="2947"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Mejorar y ampliar el espacio público de la ronda de la margen izquierda y ronda sur del Parque Agroturístico Ronda Río Sinú. (Fase III)</w:t>
            </w:r>
          </w:p>
        </w:tc>
        <w:tc>
          <w:tcPr>
            <w:tcW w:w="1733"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Alcaldía de Montería (Secretaría de Planeación)</w:t>
            </w:r>
          </w:p>
        </w:tc>
        <w:tc>
          <w:tcPr>
            <w:tcW w:w="1800" w:type="dxa"/>
            <w:vAlign w:val="center"/>
          </w:tcPr>
          <w:p w:rsidR="00A72BBC" w:rsidRPr="00B70E6E" w:rsidRDefault="00A72BBC" w:rsidP="0089701B">
            <w:pPr>
              <w:pStyle w:val="ListParagraph"/>
              <w:spacing w:line="20" w:lineRule="atLeast"/>
              <w:ind w:left="0"/>
              <w:jc w:val="right"/>
              <w:rPr>
                <w:rFonts w:ascii="Arial" w:hAnsi="Arial" w:cs="Arial"/>
                <w:sz w:val="18"/>
                <w:szCs w:val="18"/>
                <w:lang w:val="es-ES_tradnl"/>
              </w:rPr>
            </w:pPr>
            <w:r w:rsidRPr="00B70E6E">
              <w:rPr>
                <w:rFonts w:ascii="Arial" w:hAnsi="Arial" w:cs="Arial"/>
                <w:sz w:val="18"/>
                <w:szCs w:val="18"/>
                <w:lang w:val="es-ES_tradnl"/>
              </w:rPr>
              <w:t>21,500</w:t>
            </w:r>
          </w:p>
        </w:tc>
      </w:tr>
      <w:tr w:rsidR="00A72BBC" w:rsidRPr="00B70E6E" w:rsidTr="00B70E6E">
        <w:trPr>
          <w:trHeight w:val="1700"/>
        </w:trPr>
        <w:tc>
          <w:tcPr>
            <w:tcW w:w="369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Restauración del Mercado Central de Montería</w:t>
            </w:r>
          </w:p>
        </w:tc>
        <w:tc>
          <w:tcPr>
            <w:tcW w:w="2947"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Obras de restauración completa del Mercado que permitan articular el inmueble a la estrategia de recuperación del espacio público conservando las actividades de mercado en una escala local. (ajustes de diseños para ejecutar Fase III)</w:t>
            </w:r>
          </w:p>
        </w:tc>
        <w:tc>
          <w:tcPr>
            <w:tcW w:w="1733"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Alcaldía de Montería (Secretaría de Planeación)</w:t>
            </w:r>
          </w:p>
        </w:tc>
        <w:tc>
          <w:tcPr>
            <w:tcW w:w="1800" w:type="dxa"/>
            <w:vAlign w:val="center"/>
          </w:tcPr>
          <w:p w:rsidR="00A72BBC" w:rsidRPr="00B70E6E" w:rsidRDefault="00A72BBC" w:rsidP="0089701B">
            <w:pPr>
              <w:pStyle w:val="ListParagraph"/>
              <w:spacing w:line="20" w:lineRule="atLeast"/>
              <w:ind w:left="0"/>
              <w:jc w:val="right"/>
              <w:rPr>
                <w:rFonts w:ascii="Arial" w:hAnsi="Arial" w:cs="Arial"/>
                <w:sz w:val="18"/>
                <w:szCs w:val="18"/>
                <w:lang w:val="es-ES_tradnl"/>
              </w:rPr>
            </w:pPr>
            <w:r w:rsidRPr="00B70E6E">
              <w:rPr>
                <w:rFonts w:ascii="Arial" w:hAnsi="Arial" w:cs="Arial"/>
                <w:sz w:val="18"/>
                <w:szCs w:val="18"/>
                <w:lang w:val="es-ES_tradnl"/>
              </w:rPr>
              <w:t>5,130</w:t>
            </w:r>
          </w:p>
        </w:tc>
      </w:tr>
      <w:tr w:rsidR="00A72BBC" w:rsidRPr="00B70E6E" w:rsidTr="00B70E6E">
        <w:tc>
          <w:tcPr>
            <w:tcW w:w="369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Piloto Paseo de los Libros</w:t>
            </w:r>
          </w:p>
        </w:tc>
        <w:tc>
          <w:tcPr>
            <w:tcW w:w="2947" w:type="dxa"/>
            <w:vAlign w:val="center"/>
          </w:tcPr>
          <w:p w:rsidR="00A72BBC" w:rsidRPr="00B70E6E" w:rsidRDefault="00A72BBC" w:rsidP="00B70E6E">
            <w:pPr>
              <w:spacing w:line="20" w:lineRule="atLeast"/>
              <w:rPr>
                <w:rFonts w:ascii="Arial" w:hAnsi="Arial" w:cs="Arial"/>
                <w:sz w:val="18"/>
                <w:szCs w:val="18"/>
                <w:lang w:val="es-ES_tradnl"/>
              </w:rPr>
            </w:pPr>
            <w:r w:rsidRPr="00B70E6E">
              <w:rPr>
                <w:rFonts w:ascii="Arial" w:hAnsi="Arial" w:cs="Arial"/>
                <w:sz w:val="18"/>
                <w:szCs w:val="18"/>
                <w:lang w:val="es-ES_tradnl"/>
              </w:rPr>
              <w:t xml:space="preserve">Integrar el río con la ciudad a partir de corredores perpendiculares que conectan las </w:t>
            </w:r>
            <w:r w:rsidRPr="00B70E6E">
              <w:rPr>
                <w:rFonts w:ascii="Arial" w:hAnsi="Arial" w:cs="Arial"/>
                <w:sz w:val="18"/>
                <w:szCs w:val="18"/>
                <w:lang w:val="es-ES_tradnl"/>
              </w:rPr>
              <w:lastRenderedPageBreak/>
              <w:t>calles con el Ecobulevar 21; generación de áreas de oportunidad para la renovación urbana. (Ajustes de diseños y presupuesto para ejecutar Fase III)</w:t>
            </w:r>
          </w:p>
        </w:tc>
        <w:tc>
          <w:tcPr>
            <w:tcW w:w="1733"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lastRenderedPageBreak/>
              <w:t xml:space="preserve">Alcaldía de Montería (Secretaría de </w:t>
            </w:r>
            <w:r w:rsidRPr="00B70E6E">
              <w:rPr>
                <w:rFonts w:ascii="Arial" w:hAnsi="Arial" w:cs="Arial"/>
                <w:sz w:val="18"/>
                <w:szCs w:val="18"/>
                <w:lang w:val="es-ES_tradnl"/>
              </w:rPr>
              <w:lastRenderedPageBreak/>
              <w:t>Planeación)</w:t>
            </w:r>
          </w:p>
        </w:tc>
        <w:tc>
          <w:tcPr>
            <w:tcW w:w="1800" w:type="dxa"/>
            <w:vAlign w:val="center"/>
          </w:tcPr>
          <w:p w:rsidR="00A72BBC" w:rsidRPr="00B70E6E" w:rsidRDefault="00B70E6E" w:rsidP="0089701B">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lastRenderedPageBreak/>
              <w:t>1,417</w:t>
            </w:r>
          </w:p>
        </w:tc>
      </w:tr>
      <w:tr w:rsidR="006D76D9" w:rsidRPr="00B70E6E" w:rsidTr="00B70E6E">
        <w:trPr>
          <w:trHeight w:val="332"/>
        </w:trPr>
        <w:tc>
          <w:tcPr>
            <w:tcW w:w="8370" w:type="dxa"/>
            <w:gridSpan w:val="3"/>
            <w:shd w:val="clear" w:color="auto" w:fill="C2D69B" w:themeFill="accent3" w:themeFillTint="99"/>
            <w:vAlign w:val="center"/>
          </w:tcPr>
          <w:p w:rsidR="006D76D9" w:rsidRPr="00B70E6E" w:rsidRDefault="006D76D9"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lastRenderedPageBreak/>
              <w:t>TOTAL</w:t>
            </w:r>
          </w:p>
        </w:tc>
        <w:tc>
          <w:tcPr>
            <w:tcW w:w="1800" w:type="dxa"/>
            <w:shd w:val="clear" w:color="auto" w:fill="C2D69B" w:themeFill="accent3" w:themeFillTint="99"/>
            <w:vAlign w:val="center"/>
          </w:tcPr>
          <w:p w:rsidR="006D76D9" w:rsidRPr="00B70E6E" w:rsidRDefault="00692620" w:rsidP="004800FA">
            <w:pPr>
              <w:pStyle w:val="ListParagraph"/>
              <w:spacing w:line="20" w:lineRule="atLeast"/>
              <w:ind w:left="0"/>
              <w:jc w:val="center"/>
              <w:rPr>
                <w:rFonts w:ascii="Arial" w:hAnsi="Arial" w:cs="Arial"/>
                <w:b/>
                <w:sz w:val="18"/>
                <w:szCs w:val="18"/>
                <w:lang w:val="es-ES_tradnl"/>
              </w:rPr>
            </w:pPr>
            <w:r>
              <w:rPr>
                <w:rFonts w:ascii="Arial" w:hAnsi="Arial" w:cs="Arial"/>
                <w:b/>
                <w:sz w:val="18"/>
                <w:szCs w:val="18"/>
                <w:lang w:val="es-ES_tradnl"/>
              </w:rPr>
              <w:t>37,767</w:t>
            </w:r>
          </w:p>
        </w:tc>
      </w:tr>
    </w:tbl>
    <w:p w:rsidR="008A4E91" w:rsidRPr="00B70E6E" w:rsidRDefault="008A4E91" w:rsidP="00B70E6E">
      <w:pPr>
        <w:pStyle w:val="ListParagraph"/>
        <w:spacing w:after="0" w:line="20" w:lineRule="atLeast"/>
        <w:ind w:left="360"/>
        <w:jc w:val="both"/>
        <w:rPr>
          <w:rFonts w:ascii="Arial" w:hAnsi="Arial" w:cs="Arial"/>
          <w:b/>
          <w:lang w:val="es-ES_tradnl"/>
        </w:rPr>
      </w:pPr>
    </w:p>
    <w:p w:rsidR="00381FEF" w:rsidRPr="00B70E6E" w:rsidRDefault="00381FEF" w:rsidP="00B70E6E">
      <w:pPr>
        <w:pStyle w:val="ListParagraph"/>
        <w:numPr>
          <w:ilvl w:val="0"/>
          <w:numId w:val="1"/>
        </w:numPr>
        <w:spacing w:after="0" w:line="20" w:lineRule="atLeast"/>
        <w:jc w:val="both"/>
        <w:rPr>
          <w:rFonts w:ascii="Arial" w:hAnsi="Arial" w:cs="Arial"/>
          <w:b/>
          <w:lang w:val="es-ES_tradnl"/>
        </w:rPr>
      </w:pPr>
      <w:r w:rsidRPr="00B70E6E">
        <w:rPr>
          <w:rFonts w:ascii="Arial" w:hAnsi="Arial" w:cs="Arial"/>
          <w:b/>
          <w:lang w:val="es-ES_tradnl"/>
        </w:rPr>
        <w:t>MATRIZ DE RESULTADOS</w:t>
      </w:r>
    </w:p>
    <w:p w:rsidR="00A72BBC" w:rsidRPr="00B70E6E" w:rsidRDefault="00A72BBC" w:rsidP="00B70E6E">
      <w:pPr>
        <w:pStyle w:val="ListParagraph"/>
        <w:spacing w:after="0" w:line="20" w:lineRule="atLeast"/>
        <w:ind w:left="360"/>
        <w:jc w:val="both"/>
        <w:rPr>
          <w:rFonts w:ascii="Arial" w:hAnsi="Arial" w:cs="Arial"/>
          <w:b/>
          <w:lang w:val="es-ES_tradnl"/>
        </w:rPr>
      </w:pPr>
    </w:p>
    <w:tbl>
      <w:tblPr>
        <w:tblStyle w:val="TableGrid"/>
        <w:tblW w:w="9720" w:type="dxa"/>
        <w:tblInd w:w="108" w:type="dxa"/>
        <w:tblLook w:val="04A0" w:firstRow="1" w:lastRow="0" w:firstColumn="1" w:lastColumn="0" w:noHBand="0" w:noVBand="1"/>
      </w:tblPr>
      <w:tblGrid>
        <w:gridCol w:w="3420"/>
        <w:gridCol w:w="1710"/>
        <w:gridCol w:w="1890"/>
        <w:gridCol w:w="2700"/>
      </w:tblGrid>
      <w:tr w:rsidR="00A72BBC" w:rsidRPr="00B70E6E" w:rsidTr="00B1410C">
        <w:tc>
          <w:tcPr>
            <w:tcW w:w="3420" w:type="dxa"/>
            <w:shd w:val="clear" w:color="auto" w:fill="C2D69B" w:themeFill="accent3" w:themeFillTint="99"/>
            <w:vAlign w:val="center"/>
          </w:tcPr>
          <w:p w:rsidR="00A72BBC" w:rsidRP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Indicadores de resultado</w:t>
            </w:r>
          </w:p>
        </w:tc>
        <w:tc>
          <w:tcPr>
            <w:tcW w:w="1710" w:type="dxa"/>
            <w:shd w:val="clear" w:color="auto" w:fill="C2D69B" w:themeFill="accent3" w:themeFillTint="99"/>
            <w:vAlign w:val="center"/>
          </w:tcPr>
          <w:p w:rsidR="00A72BBC" w:rsidRP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Línea de Base</w:t>
            </w:r>
          </w:p>
        </w:tc>
        <w:tc>
          <w:tcPr>
            <w:tcW w:w="1890" w:type="dxa"/>
            <w:shd w:val="clear" w:color="auto" w:fill="C2D69B" w:themeFill="accent3" w:themeFillTint="99"/>
            <w:vAlign w:val="center"/>
          </w:tcPr>
          <w:p w:rsidR="00A72BBC" w:rsidRP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Meta (2020)</w:t>
            </w:r>
          </w:p>
        </w:tc>
        <w:tc>
          <w:tcPr>
            <w:tcW w:w="2700" w:type="dxa"/>
            <w:shd w:val="clear" w:color="auto" w:fill="C2D69B" w:themeFill="accent3" w:themeFillTint="99"/>
            <w:vAlign w:val="center"/>
          </w:tcPr>
          <w:p w:rsidR="00A72BBC" w:rsidRPr="00B70E6E" w:rsidRDefault="00A72BBC" w:rsidP="00B70E6E">
            <w:pPr>
              <w:pStyle w:val="ListParagraph"/>
              <w:spacing w:line="20" w:lineRule="atLeast"/>
              <w:ind w:left="0"/>
              <w:jc w:val="center"/>
              <w:rPr>
                <w:rFonts w:ascii="Arial" w:hAnsi="Arial" w:cs="Arial"/>
                <w:b/>
                <w:sz w:val="18"/>
                <w:szCs w:val="18"/>
                <w:lang w:val="es-ES_tradnl"/>
              </w:rPr>
            </w:pPr>
            <w:r w:rsidRPr="00B70E6E">
              <w:rPr>
                <w:rFonts w:ascii="Arial" w:hAnsi="Arial" w:cs="Arial"/>
                <w:b/>
                <w:sz w:val="18"/>
                <w:szCs w:val="18"/>
                <w:lang w:val="es-ES_tradnl"/>
              </w:rPr>
              <w:t>Medios de verificación</w:t>
            </w:r>
          </w:p>
        </w:tc>
      </w:tr>
      <w:tr w:rsidR="00A72BBC" w:rsidRPr="0089701B" w:rsidTr="00B1410C">
        <w:tc>
          <w:tcPr>
            <w:tcW w:w="3420" w:type="dxa"/>
            <w:vAlign w:val="center"/>
          </w:tcPr>
          <w:p w:rsidR="00B70E6E" w:rsidRP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 xml:space="preserve">Componente 1: </w:t>
            </w:r>
          </w:p>
          <w:p w:rsidR="00A72BBC" w:rsidRPr="00B70E6E" w:rsidRDefault="00B70E6E"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Mejora</w:t>
            </w:r>
            <w:r w:rsidR="00A72BBC" w:rsidRPr="00B70E6E">
              <w:rPr>
                <w:rFonts w:ascii="Arial" w:hAnsi="Arial" w:cs="Arial"/>
                <w:b/>
                <w:sz w:val="18"/>
                <w:szCs w:val="18"/>
                <w:lang w:val="es-ES_tradnl"/>
              </w:rPr>
              <w:t xml:space="preserve"> de la gestión fiscal</w:t>
            </w:r>
          </w:p>
        </w:tc>
        <w:tc>
          <w:tcPr>
            <w:tcW w:w="171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tc>
        <w:tc>
          <w:tcPr>
            <w:tcW w:w="189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tc>
        <w:tc>
          <w:tcPr>
            <w:tcW w:w="2700"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p>
        </w:tc>
      </w:tr>
      <w:tr w:rsidR="00A72BBC" w:rsidRPr="0089701B" w:rsidTr="00B1410C">
        <w:tc>
          <w:tcPr>
            <w:tcW w:w="3420" w:type="dxa"/>
            <w:vAlign w:val="center"/>
          </w:tcPr>
          <w:p w:rsidR="00A72BBC" w:rsidRPr="00B70E6E" w:rsidRDefault="00A72BBC" w:rsidP="00C311DC">
            <w:pPr>
              <w:pStyle w:val="ListParagraph"/>
              <w:numPr>
                <w:ilvl w:val="0"/>
                <w:numId w:val="8"/>
              </w:numPr>
              <w:spacing w:line="20" w:lineRule="atLeast"/>
              <w:rPr>
                <w:rFonts w:ascii="Arial" w:hAnsi="Arial" w:cs="Arial"/>
                <w:sz w:val="18"/>
                <w:szCs w:val="18"/>
                <w:lang w:val="es-ES_tradnl"/>
              </w:rPr>
            </w:pPr>
            <w:r w:rsidRPr="00B70E6E">
              <w:rPr>
                <w:rFonts w:ascii="Arial" w:hAnsi="Arial" w:cs="Arial"/>
                <w:sz w:val="18"/>
                <w:szCs w:val="18"/>
                <w:lang w:val="es-ES_tradnl"/>
              </w:rPr>
              <w:t>Ingresos recaudados / facturados (IP)</w:t>
            </w:r>
          </w:p>
        </w:tc>
        <w:tc>
          <w:tcPr>
            <w:tcW w:w="171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45.4% (2013)</w:t>
            </w:r>
          </w:p>
        </w:tc>
        <w:tc>
          <w:tcPr>
            <w:tcW w:w="189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60%</w:t>
            </w:r>
          </w:p>
        </w:tc>
        <w:tc>
          <w:tcPr>
            <w:tcW w:w="2700"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Informes de seguimiento del proyecto</w:t>
            </w:r>
          </w:p>
        </w:tc>
      </w:tr>
      <w:tr w:rsidR="00A72BBC" w:rsidRPr="0089701B" w:rsidTr="00B1410C">
        <w:tc>
          <w:tcPr>
            <w:tcW w:w="3420" w:type="dxa"/>
            <w:vAlign w:val="center"/>
          </w:tcPr>
          <w:p w:rsidR="00A72BBC" w:rsidRPr="00B70E6E" w:rsidRDefault="00A72BBC" w:rsidP="00C311DC">
            <w:pPr>
              <w:pStyle w:val="ListParagraph"/>
              <w:numPr>
                <w:ilvl w:val="0"/>
                <w:numId w:val="8"/>
              </w:numPr>
              <w:spacing w:line="20" w:lineRule="atLeast"/>
              <w:rPr>
                <w:rFonts w:ascii="Arial" w:hAnsi="Arial" w:cs="Arial"/>
                <w:sz w:val="18"/>
                <w:szCs w:val="18"/>
                <w:lang w:val="es-ES_tradnl"/>
              </w:rPr>
            </w:pPr>
            <w:r w:rsidRPr="00B70E6E">
              <w:rPr>
                <w:rFonts w:ascii="Arial" w:hAnsi="Arial" w:cs="Arial"/>
                <w:sz w:val="18"/>
                <w:szCs w:val="18"/>
                <w:lang w:val="es-ES_tradnl"/>
              </w:rPr>
              <w:t>Crecimiento de los ingresos tributarios reales (medidos en COP constantes de 2014)</w:t>
            </w:r>
          </w:p>
        </w:tc>
        <w:tc>
          <w:tcPr>
            <w:tcW w:w="171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23.9% (Promedio 2012-2014)</w:t>
            </w:r>
          </w:p>
        </w:tc>
        <w:tc>
          <w:tcPr>
            <w:tcW w:w="1890" w:type="dxa"/>
            <w:vAlign w:val="center"/>
          </w:tcPr>
          <w:p w:rsidR="00A72BBC" w:rsidRPr="00B70E6E" w:rsidRDefault="00A72BBC" w:rsidP="00B70E6E">
            <w:pPr>
              <w:pStyle w:val="ListParagraph"/>
              <w:spacing w:line="20" w:lineRule="atLeast"/>
              <w:ind w:left="0"/>
              <w:jc w:val="both"/>
              <w:rPr>
                <w:rFonts w:ascii="Arial" w:hAnsi="Arial" w:cs="Arial"/>
                <w:b/>
                <w:sz w:val="18"/>
                <w:szCs w:val="18"/>
                <w:lang w:val="es-ES_tradnl"/>
              </w:rPr>
            </w:pPr>
          </w:p>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Promedio 2016-2020 igual o mayor a 20%</w:t>
            </w:r>
          </w:p>
        </w:tc>
        <w:tc>
          <w:tcPr>
            <w:tcW w:w="2700"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Reportes oficiales de ingresos del  municipio</w:t>
            </w:r>
          </w:p>
        </w:tc>
      </w:tr>
      <w:tr w:rsidR="00A72BBC" w:rsidRPr="0089701B" w:rsidTr="00B1410C">
        <w:tc>
          <w:tcPr>
            <w:tcW w:w="3420" w:type="dxa"/>
            <w:vAlign w:val="center"/>
          </w:tcPr>
          <w:p w:rsidR="00A72BBC" w:rsidRPr="00B70E6E" w:rsidRDefault="00A72BBC" w:rsidP="00C311DC">
            <w:pPr>
              <w:pStyle w:val="ListParagraph"/>
              <w:numPr>
                <w:ilvl w:val="0"/>
                <w:numId w:val="8"/>
              </w:numPr>
              <w:spacing w:line="20" w:lineRule="atLeast"/>
              <w:rPr>
                <w:rFonts w:ascii="Arial" w:hAnsi="Arial" w:cs="Arial"/>
                <w:sz w:val="18"/>
                <w:szCs w:val="18"/>
                <w:lang w:val="es-ES_tradnl"/>
              </w:rPr>
            </w:pPr>
            <w:r w:rsidRPr="00B70E6E">
              <w:rPr>
                <w:rFonts w:ascii="Arial" w:hAnsi="Arial" w:cs="Arial"/>
                <w:sz w:val="18"/>
                <w:szCs w:val="18"/>
                <w:lang w:val="es-ES_tradnl"/>
              </w:rPr>
              <w:t>Formación Bruta de Capital/Gasto total</w:t>
            </w:r>
          </w:p>
        </w:tc>
        <w:tc>
          <w:tcPr>
            <w:tcW w:w="171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52% (2014)</w:t>
            </w:r>
          </w:p>
        </w:tc>
        <w:tc>
          <w:tcPr>
            <w:tcW w:w="189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60%</w:t>
            </w:r>
          </w:p>
        </w:tc>
        <w:tc>
          <w:tcPr>
            <w:tcW w:w="2700"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Informes de seguimiento del proyecto</w:t>
            </w:r>
          </w:p>
        </w:tc>
      </w:tr>
      <w:tr w:rsidR="00A72BBC" w:rsidRPr="0089701B" w:rsidTr="00B1410C">
        <w:tc>
          <w:tcPr>
            <w:tcW w:w="3420" w:type="dxa"/>
            <w:tcBorders>
              <w:bottom w:val="single" w:sz="4" w:space="0" w:color="auto"/>
            </w:tcBorders>
            <w:vAlign w:val="center"/>
          </w:tcPr>
          <w:p w:rsidR="00A72BBC" w:rsidRPr="00B70E6E" w:rsidRDefault="00A72BBC" w:rsidP="00C311DC">
            <w:pPr>
              <w:pStyle w:val="ListParagraph"/>
              <w:numPr>
                <w:ilvl w:val="0"/>
                <w:numId w:val="8"/>
              </w:numPr>
              <w:spacing w:line="20" w:lineRule="atLeast"/>
              <w:rPr>
                <w:rFonts w:ascii="Arial" w:hAnsi="Arial" w:cs="Arial"/>
                <w:sz w:val="18"/>
                <w:szCs w:val="18"/>
                <w:lang w:val="es-ES_tradnl"/>
              </w:rPr>
            </w:pPr>
            <w:r w:rsidRPr="00B70E6E">
              <w:rPr>
                <w:rFonts w:ascii="Arial" w:hAnsi="Arial" w:cs="Arial"/>
                <w:sz w:val="18"/>
                <w:szCs w:val="18"/>
                <w:lang w:val="es-ES_tradnl"/>
              </w:rPr>
              <w:t>Indicador de desempeño fiscal</w:t>
            </w:r>
          </w:p>
        </w:tc>
        <w:tc>
          <w:tcPr>
            <w:tcW w:w="1710" w:type="dxa"/>
            <w:tcBorders>
              <w:bottom w:val="single" w:sz="4" w:space="0" w:color="auto"/>
            </w:tcBorders>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77 (2013)</w:t>
            </w:r>
          </w:p>
        </w:tc>
        <w:tc>
          <w:tcPr>
            <w:tcW w:w="1890" w:type="dxa"/>
            <w:tcBorders>
              <w:bottom w:val="single" w:sz="4" w:space="0" w:color="auto"/>
            </w:tcBorders>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82</w:t>
            </w:r>
          </w:p>
        </w:tc>
        <w:tc>
          <w:tcPr>
            <w:tcW w:w="2700" w:type="dxa"/>
            <w:tcBorders>
              <w:bottom w:val="single" w:sz="4" w:space="0" w:color="auto"/>
            </w:tcBorders>
            <w:vAlign w:val="center"/>
          </w:tcPr>
          <w:p w:rsidR="00A72BBC" w:rsidRPr="00B70E6E" w:rsidRDefault="00A72BBC" w:rsidP="00B70E6E">
            <w:pPr>
              <w:pStyle w:val="ListParagraph"/>
              <w:spacing w:line="20" w:lineRule="atLeast"/>
              <w:ind w:left="0"/>
              <w:jc w:val="center"/>
              <w:rPr>
                <w:rFonts w:ascii="Arial" w:hAnsi="Arial" w:cs="Arial"/>
                <w:sz w:val="18"/>
                <w:szCs w:val="18"/>
                <w:lang w:val="es-ES_tradnl"/>
              </w:rPr>
            </w:pPr>
            <w:r w:rsidRPr="00B70E6E">
              <w:rPr>
                <w:rFonts w:ascii="Arial" w:hAnsi="Arial" w:cs="Arial"/>
                <w:sz w:val="18"/>
                <w:szCs w:val="18"/>
                <w:lang w:val="es-ES_tradnl"/>
              </w:rPr>
              <w:t>Informes de seguimiento del proyecto</w:t>
            </w:r>
          </w:p>
        </w:tc>
      </w:tr>
      <w:tr w:rsidR="00A72BBC" w:rsidRPr="00B70E6E" w:rsidTr="00B1410C">
        <w:tc>
          <w:tcPr>
            <w:tcW w:w="3420" w:type="dxa"/>
            <w:shd w:val="clear" w:color="auto" w:fill="B9D08C"/>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b/>
                <w:sz w:val="18"/>
                <w:szCs w:val="18"/>
                <w:lang w:val="es-ES_tradnl"/>
              </w:rPr>
              <w:t>Indicadores de producto</w:t>
            </w:r>
          </w:p>
        </w:tc>
        <w:tc>
          <w:tcPr>
            <w:tcW w:w="1710" w:type="dxa"/>
            <w:shd w:val="clear" w:color="auto" w:fill="B9D08C"/>
            <w:vAlign w:val="center"/>
          </w:tcPr>
          <w:p w:rsidR="00A72BBC" w:rsidRP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Línea de Base</w:t>
            </w:r>
          </w:p>
        </w:tc>
        <w:tc>
          <w:tcPr>
            <w:tcW w:w="1890" w:type="dxa"/>
            <w:shd w:val="clear" w:color="auto" w:fill="B9D08C"/>
            <w:vAlign w:val="center"/>
          </w:tcPr>
          <w:p w:rsidR="00A72BBC" w:rsidRP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Meta (2020)</w:t>
            </w:r>
          </w:p>
        </w:tc>
        <w:tc>
          <w:tcPr>
            <w:tcW w:w="2700" w:type="dxa"/>
            <w:shd w:val="clear" w:color="auto" w:fill="B9D08C"/>
            <w:vAlign w:val="center"/>
          </w:tcPr>
          <w:p w:rsidR="00A72BBC" w:rsidRPr="00B70E6E" w:rsidRDefault="00A72BBC" w:rsidP="00B70E6E">
            <w:pPr>
              <w:pStyle w:val="ListParagraph"/>
              <w:spacing w:line="20" w:lineRule="atLeast"/>
              <w:ind w:left="0"/>
              <w:jc w:val="center"/>
              <w:rPr>
                <w:rFonts w:ascii="Arial" w:hAnsi="Arial" w:cs="Arial"/>
                <w:b/>
                <w:sz w:val="18"/>
                <w:szCs w:val="18"/>
                <w:lang w:val="es-ES_tradnl"/>
              </w:rPr>
            </w:pPr>
            <w:r w:rsidRPr="00B70E6E">
              <w:rPr>
                <w:rFonts w:ascii="Arial" w:hAnsi="Arial" w:cs="Arial"/>
                <w:b/>
                <w:sz w:val="18"/>
                <w:szCs w:val="18"/>
                <w:lang w:val="es-ES_tradnl"/>
              </w:rPr>
              <w:t>Medios de verificación</w:t>
            </w:r>
          </w:p>
        </w:tc>
      </w:tr>
      <w:tr w:rsidR="00A72BBC" w:rsidRPr="0089701B" w:rsidTr="00B1410C">
        <w:tc>
          <w:tcPr>
            <w:tcW w:w="3420" w:type="dxa"/>
            <w:vAlign w:val="center"/>
          </w:tcPr>
          <w:p w:rsidR="00A72BBC" w:rsidRPr="00B70E6E" w:rsidRDefault="00A72BBC" w:rsidP="00C311DC">
            <w:pPr>
              <w:pStyle w:val="ListParagraph"/>
              <w:numPr>
                <w:ilvl w:val="0"/>
                <w:numId w:val="9"/>
              </w:numPr>
              <w:spacing w:line="20" w:lineRule="atLeast"/>
              <w:rPr>
                <w:rFonts w:ascii="Arial" w:hAnsi="Arial" w:cs="Arial"/>
                <w:sz w:val="18"/>
                <w:szCs w:val="18"/>
                <w:lang w:val="es-ES_tradnl"/>
              </w:rPr>
            </w:pPr>
            <w:r w:rsidRPr="00B70E6E">
              <w:rPr>
                <w:rFonts w:ascii="Arial" w:hAnsi="Arial" w:cs="Arial"/>
                <w:sz w:val="18"/>
                <w:szCs w:val="18"/>
                <w:lang w:val="es-ES_tradnl"/>
              </w:rPr>
              <w:t xml:space="preserve">Oficina de fiscalización y cobro coactivo implementada </w:t>
            </w:r>
          </w:p>
        </w:tc>
        <w:tc>
          <w:tcPr>
            <w:tcW w:w="171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0</w:t>
            </w:r>
          </w:p>
        </w:tc>
        <w:tc>
          <w:tcPr>
            <w:tcW w:w="189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1</w:t>
            </w:r>
          </w:p>
        </w:tc>
        <w:tc>
          <w:tcPr>
            <w:tcW w:w="2700"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Informes de seguimiento del proyecto</w:t>
            </w:r>
          </w:p>
        </w:tc>
      </w:tr>
      <w:tr w:rsidR="00A72BBC" w:rsidRPr="0089701B" w:rsidTr="00B1410C">
        <w:tc>
          <w:tcPr>
            <w:tcW w:w="3420" w:type="dxa"/>
            <w:vAlign w:val="center"/>
          </w:tcPr>
          <w:p w:rsidR="00A72BBC" w:rsidRPr="00B70E6E" w:rsidRDefault="00A72BBC" w:rsidP="00C311DC">
            <w:pPr>
              <w:pStyle w:val="ListParagraph"/>
              <w:numPr>
                <w:ilvl w:val="0"/>
                <w:numId w:val="9"/>
              </w:numPr>
              <w:spacing w:line="20" w:lineRule="atLeast"/>
              <w:rPr>
                <w:rFonts w:ascii="Arial" w:hAnsi="Arial" w:cs="Arial"/>
                <w:sz w:val="18"/>
                <w:szCs w:val="18"/>
                <w:lang w:val="es-ES_tradnl"/>
              </w:rPr>
            </w:pPr>
            <w:r w:rsidRPr="00B70E6E">
              <w:rPr>
                <w:rFonts w:ascii="Arial" w:hAnsi="Arial" w:cs="Arial"/>
                <w:sz w:val="18"/>
                <w:szCs w:val="18"/>
                <w:lang w:val="es-ES_tradnl"/>
              </w:rPr>
              <w:t>Campaña de mejora de la cultura tributaria ejecutada</w:t>
            </w:r>
          </w:p>
        </w:tc>
        <w:tc>
          <w:tcPr>
            <w:tcW w:w="171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0</w:t>
            </w:r>
          </w:p>
        </w:tc>
        <w:tc>
          <w:tcPr>
            <w:tcW w:w="189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1</w:t>
            </w:r>
          </w:p>
        </w:tc>
        <w:tc>
          <w:tcPr>
            <w:tcW w:w="2700"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Informes de seguimiento del proyecto</w:t>
            </w:r>
          </w:p>
        </w:tc>
      </w:tr>
      <w:tr w:rsidR="00A72BBC" w:rsidRPr="0089701B" w:rsidTr="00B1410C">
        <w:tc>
          <w:tcPr>
            <w:tcW w:w="3420" w:type="dxa"/>
            <w:vAlign w:val="center"/>
          </w:tcPr>
          <w:p w:rsidR="00A72BBC" w:rsidRPr="00B70E6E" w:rsidRDefault="00A72BBC" w:rsidP="00C311DC">
            <w:pPr>
              <w:pStyle w:val="ListParagraph"/>
              <w:numPr>
                <w:ilvl w:val="0"/>
                <w:numId w:val="9"/>
              </w:numPr>
              <w:spacing w:line="20" w:lineRule="atLeast"/>
              <w:rPr>
                <w:rFonts w:ascii="Arial" w:hAnsi="Arial" w:cs="Arial"/>
                <w:sz w:val="18"/>
                <w:szCs w:val="18"/>
                <w:lang w:val="es-ES_tradnl"/>
              </w:rPr>
            </w:pPr>
            <w:r w:rsidRPr="00B70E6E">
              <w:rPr>
                <w:rFonts w:ascii="Arial" w:hAnsi="Arial" w:cs="Arial"/>
                <w:sz w:val="18"/>
                <w:szCs w:val="18"/>
                <w:lang w:val="es-ES_tradnl"/>
              </w:rPr>
              <w:t>Estratificación Socio-Económica, nomenclatura urbana y catastro actualizados</w:t>
            </w:r>
          </w:p>
        </w:tc>
        <w:tc>
          <w:tcPr>
            <w:tcW w:w="171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0</w:t>
            </w:r>
          </w:p>
        </w:tc>
        <w:tc>
          <w:tcPr>
            <w:tcW w:w="189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1</w:t>
            </w:r>
          </w:p>
        </w:tc>
        <w:tc>
          <w:tcPr>
            <w:tcW w:w="2700"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Informes de seguimiento del proyecto</w:t>
            </w:r>
          </w:p>
        </w:tc>
      </w:tr>
      <w:tr w:rsidR="00A72BBC" w:rsidRPr="0089701B" w:rsidTr="00B1410C">
        <w:tc>
          <w:tcPr>
            <w:tcW w:w="3420" w:type="dxa"/>
            <w:vAlign w:val="center"/>
          </w:tcPr>
          <w:p w:rsidR="00A72BBC" w:rsidRPr="00B70E6E" w:rsidRDefault="00A72BBC" w:rsidP="00C311DC">
            <w:pPr>
              <w:pStyle w:val="ListParagraph"/>
              <w:numPr>
                <w:ilvl w:val="0"/>
                <w:numId w:val="9"/>
              </w:numPr>
              <w:spacing w:line="20" w:lineRule="atLeast"/>
              <w:rPr>
                <w:rFonts w:ascii="Arial" w:hAnsi="Arial" w:cs="Arial"/>
                <w:sz w:val="18"/>
                <w:szCs w:val="18"/>
                <w:lang w:val="es-ES_tradnl"/>
              </w:rPr>
            </w:pPr>
            <w:r w:rsidRPr="00B70E6E">
              <w:rPr>
                <w:rFonts w:ascii="Arial" w:hAnsi="Arial" w:cs="Arial"/>
                <w:sz w:val="18"/>
                <w:szCs w:val="18"/>
                <w:lang w:val="es-ES_tradnl"/>
              </w:rPr>
              <w:t>SIAF municipal optimizado</w:t>
            </w:r>
          </w:p>
        </w:tc>
        <w:tc>
          <w:tcPr>
            <w:tcW w:w="171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0</w:t>
            </w:r>
          </w:p>
        </w:tc>
        <w:tc>
          <w:tcPr>
            <w:tcW w:w="189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1</w:t>
            </w:r>
          </w:p>
        </w:tc>
        <w:tc>
          <w:tcPr>
            <w:tcW w:w="2700"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Informes de seguimiento del proyecto</w:t>
            </w:r>
          </w:p>
        </w:tc>
      </w:tr>
      <w:tr w:rsidR="00A72BBC" w:rsidRPr="0089701B" w:rsidTr="00B1410C">
        <w:tc>
          <w:tcPr>
            <w:tcW w:w="3420" w:type="dxa"/>
            <w:vAlign w:val="center"/>
          </w:tcPr>
          <w:p w:rsidR="00A72BBC" w:rsidRPr="00B70E6E" w:rsidRDefault="00A72BBC" w:rsidP="00C311DC">
            <w:pPr>
              <w:pStyle w:val="ListParagraph"/>
              <w:numPr>
                <w:ilvl w:val="0"/>
                <w:numId w:val="9"/>
              </w:numPr>
              <w:spacing w:line="20" w:lineRule="atLeast"/>
              <w:rPr>
                <w:rFonts w:ascii="Arial" w:hAnsi="Arial" w:cs="Arial"/>
                <w:sz w:val="18"/>
                <w:szCs w:val="18"/>
                <w:lang w:val="es-ES_tradnl"/>
              </w:rPr>
            </w:pPr>
            <w:r w:rsidRPr="00B70E6E">
              <w:rPr>
                <w:rFonts w:ascii="Arial" w:hAnsi="Arial" w:cs="Arial"/>
                <w:sz w:val="18"/>
                <w:szCs w:val="18"/>
                <w:lang w:val="es-ES_tradnl"/>
              </w:rPr>
              <w:t>Oficina de gerencia de proyectos desarrollada</w:t>
            </w:r>
          </w:p>
        </w:tc>
        <w:tc>
          <w:tcPr>
            <w:tcW w:w="171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0</w:t>
            </w:r>
          </w:p>
        </w:tc>
        <w:tc>
          <w:tcPr>
            <w:tcW w:w="189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eastAsia="Times New Roman" w:hAnsi="Arial" w:cs="Arial"/>
                <w:color w:val="000000"/>
                <w:kern w:val="24"/>
                <w:sz w:val="18"/>
                <w:szCs w:val="18"/>
                <w:lang w:val="es-MX" w:eastAsia="es-CO"/>
              </w:rPr>
            </w:pPr>
            <w:r w:rsidRPr="00B70E6E">
              <w:rPr>
                <w:rFonts w:ascii="Arial" w:hAnsi="Arial" w:cs="Arial"/>
                <w:sz w:val="18"/>
                <w:szCs w:val="18"/>
                <w:lang w:val="es-ES_tradnl"/>
              </w:rPr>
              <w:t>1</w:t>
            </w:r>
          </w:p>
        </w:tc>
        <w:tc>
          <w:tcPr>
            <w:tcW w:w="2700" w:type="dxa"/>
            <w:vAlign w:val="center"/>
          </w:tcPr>
          <w:p w:rsidR="00A72BBC" w:rsidRPr="00B70E6E" w:rsidRDefault="00A72BBC" w:rsidP="00B70E6E">
            <w:pPr>
              <w:pStyle w:val="ListParagraph"/>
              <w:spacing w:line="20" w:lineRule="atLeast"/>
              <w:ind w:left="0"/>
              <w:rPr>
                <w:rFonts w:ascii="Arial" w:eastAsia="Times New Roman" w:hAnsi="Arial" w:cs="Arial"/>
                <w:color w:val="000000"/>
                <w:kern w:val="24"/>
                <w:sz w:val="18"/>
                <w:szCs w:val="18"/>
                <w:lang w:val="es-MX" w:eastAsia="es-CO"/>
              </w:rPr>
            </w:pPr>
            <w:r w:rsidRPr="00B70E6E">
              <w:rPr>
                <w:rFonts w:ascii="Arial" w:hAnsi="Arial" w:cs="Arial"/>
                <w:sz w:val="18"/>
                <w:szCs w:val="18"/>
                <w:lang w:val="es-ES_tradnl"/>
              </w:rPr>
              <w:t>Informes de seguimiento del proyecto</w:t>
            </w:r>
          </w:p>
        </w:tc>
      </w:tr>
      <w:tr w:rsidR="00A72BBC" w:rsidRPr="0089701B" w:rsidTr="00B1410C">
        <w:tc>
          <w:tcPr>
            <w:tcW w:w="3420" w:type="dxa"/>
            <w:vAlign w:val="center"/>
          </w:tcPr>
          <w:p w:rsidR="00A72BBC" w:rsidRPr="00B70E6E" w:rsidRDefault="00A72BBC" w:rsidP="00C311DC">
            <w:pPr>
              <w:pStyle w:val="ListParagraph"/>
              <w:numPr>
                <w:ilvl w:val="0"/>
                <w:numId w:val="9"/>
              </w:numPr>
              <w:spacing w:line="20" w:lineRule="atLeast"/>
              <w:rPr>
                <w:rFonts w:ascii="Arial" w:hAnsi="Arial" w:cs="Arial"/>
                <w:sz w:val="18"/>
                <w:szCs w:val="18"/>
                <w:lang w:val="es-ES_tradnl"/>
              </w:rPr>
            </w:pPr>
            <w:r w:rsidRPr="00B70E6E">
              <w:rPr>
                <w:rFonts w:ascii="Arial" w:hAnsi="Arial" w:cs="Arial"/>
                <w:sz w:val="18"/>
                <w:szCs w:val="18"/>
                <w:lang w:val="es-ES_tradnl"/>
              </w:rPr>
              <w:t>Sistema de manejo documentario de la municipalidad desarrollado</w:t>
            </w:r>
          </w:p>
        </w:tc>
        <w:tc>
          <w:tcPr>
            <w:tcW w:w="171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0</w:t>
            </w:r>
          </w:p>
        </w:tc>
        <w:tc>
          <w:tcPr>
            <w:tcW w:w="1890" w:type="dxa"/>
            <w:vAlign w:val="center"/>
          </w:tcPr>
          <w:p w:rsidR="00A72BBC" w:rsidRPr="00B70E6E" w:rsidRDefault="00A72BBC" w:rsidP="00B70E6E">
            <w:pPr>
              <w:pStyle w:val="ListParagraph"/>
              <w:spacing w:line="20" w:lineRule="atLeast"/>
              <w:ind w:left="0"/>
              <w:jc w:val="both"/>
              <w:rPr>
                <w:rFonts w:ascii="Arial" w:hAnsi="Arial" w:cs="Arial"/>
                <w:sz w:val="18"/>
                <w:szCs w:val="18"/>
                <w:lang w:val="es-ES_tradnl"/>
              </w:rPr>
            </w:pPr>
          </w:p>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1</w:t>
            </w:r>
          </w:p>
        </w:tc>
        <w:tc>
          <w:tcPr>
            <w:tcW w:w="2700" w:type="dxa"/>
            <w:vAlign w:val="center"/>
          </w:tcPr>
          <w:p w:rsidR="00A72BBC" w:rsidRPr="00B70E6E" w:rsidRDefault="00A72BBC" w:rsidP="00B70E6E">
            <w:pPr>
              <w:pStyle w:val="ListParagraph"/>
              <w:spacing w:line="20" w:lineRule="atLeast"/>
              <w:ind w:left="0"/>
              <w:rPr>
                <w:rFonts w:ascii="Arial" w:hAnsi="Arial" w:cs="Arial"/>
                <w:sz w:val="18"/>
                <w:szCs w:val="18"/>
                <w:lang w:val="es-ES_tradnl"/>
              </w:rPr>
            </w:pPr>
            <w:r w:rsidRPr="00B70E6E">
              <w:rPr>
                <w:rFonts w:ascii="Arial" w:hAnsi="Arial" w:cs="Arial"/>
                <w:sz w:val="18"/>
                <w:szCs w:val="18"/>
                <w:lang w:val="es-ES_tradnl"/>
              </w:rPr>
              <w:t>Informes de seguimiento del proyecto</w:t>
            </w:r>
          </w:p>
        </w:tc>
      </w:tr>
    </w:tbl>
    <w:p w:rsidR="00A72BBC" w:rsidRPr="00B70E6E" w:rsidRDefault="00A72BBC" w:rsidP="00B70E6E">
      <w:pPr>
        <w:pStyle w:val="ListParagraph"/>
        <w:spacing w:after="0" w:line="20" w:lineRule="atLeast"/>
        <w:ind w:left="360"/>
        <w:jc w:val="both"/>
        <w:rPr>
          <w:rFonts w:ascii="Arial" w:hAnsi="Arial" w:cs="Arial"/>
          <w:b/>
          <w:lang w:val="es-ES"/>
        </w:rPr>
      </w:pPr>
    </w:p>
    <w:tbl>
      <w:tblPr>
        <w:tblStyle w:val="TableGrid"/>
        <w:tblW w:w="9720" w:type="dxa"/>
        <w:tblInd w:w="108" w:type="dxa"/>
        <w:tblLook w:val="04A0" w:firstRow="1" w:lastRow="0" w:firstColumn="1" w:lastColumn="0" w:noHBand="0" w:noVBand="1"/>
      </w:tblPr>
      <w:tblGrid>
        <w:gridCol w:w="3420"/>
        <w:gridCol w:w="1710"/>
        <w:gridCol w:w="1890"/>
        <w:gridCol w:w="2700"/>
      </w:tblGrid>
      <w:tr w:rsidR="00A72BBC" w:rsidRPr="00B70E6E" w:rsidTr="00B1410C">
        <w:tc>
          <w:tcPr>
            <w:tcW w:w="3420" w:type="dxa"/>
            <w:shd w:val="clear" w:color="auto" w:fill="C2D69B" w:themeFill="accent3" w:themeFillTint="99"/>
          </w:tcPr>
          <w:p w:rsidR="00A72BBC" w:rsidRP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Indicador</w:t>
            </w:r>
          </w:p>
        </w:tc>
        <w:tc>
          <w:tcPr>
            <w:tcW w:w="1710" w:type="dxa"/>
            <w:shd w:val="clear" w:color="auto" w:fill="C2D69B" w:themeFill="accent3" w:themeFillTint="99"/>
          </w:tcPr>
          <w:p w:rsidR="00A72BBC" w:rsidRP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 xml:space="preserve">Línea de Base </w:t>
            </w:r>
          </w:p>
        </w:tc>
        <w:tc>
          <w:tcPr>
            <w:tcW w:w="1890" w:type="dxa"/>
            <w:shd w:val="clear" w:color="auto" w:fill="C2D69B" w:themeFill="accent3" w:themeFillTint="99"/>
          </w:tcPr>
          <w:p w:rsidR="00A72BBC" w:rsidRP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Meta (2020)</w:t>
            </w:r>
          </w:p>
        </w:tc>
        <w:tc>
          <w:tcPr>
            <w:tcW w:w="2700" w:type="dxa"/>
            <w:shd w:val="clear" w:color="auto" w:fill="C2D69B" w:themeFill="accent3" w:themeFillTint="99"/>
          </w:tcPr>
          <w:p w:rsidR="00A72BBC" w:rsidRPr="00B70E6E" w:rsidRDefault="00A72BBC" w:rsidP="00B70E6E">
            <w:pPr>
              <w:pStyle w:val="ListParagraph"/>
              <w:spacing w:line="20" w:lineRule="atLeast"/>
              <w:ind w:left="0"/>
              <w:jc w:val="center"/>
              <w:rPr>
                <w:rFonts w:ascii="Arial" w:hAnsi="Arial" w:cs="Arial"/>
                <w:b/>
                <w:sz w:val="18"/>
                <w:szCs w:val="18"/>
                <w:lang w:val="es-ES_tradnl"/>
              </w:rPr>
            </w:pPr>
            <w:r w:rsidRPr="00B70E6E">
              <w:rPr>
                <w:rFonts w:ascii="Arial" w:hAnsi="Arial" w:cs="Arial"/>
                <w:b/>
                <w:sz w:val="18"/>
                <w:szCs w:val="18"/>
                <w:lang w:val="es-ES_tradnl"/>
              </w:rPr>
              <w:t>Medios de verificación</w:t>
            </w:r>
          </w:p>
        </w:tc>
      </w:tr>
      <w:tr w:rsidR="00A72BBC" w:rsidRPr="00B70E6E" w:rsidTr="00B1410C">
        <w:tc>
          <w:tcPr>
            <w:tcW w:w="3420" w:type="dxa"/>
          </w:tcPr>
          <w:p w:rsidR="00B70E6E" w:rsidRPr="00B70E6E" w:rsidRDefault="00A72BBC"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 xml:space="preserve">Componente 2: </w:t>
            </w:r>
          </w:p>
          <w:p w:rsidR="00A72BBC" w:rsidRPr="00B70E6E" w:rsidRDefault="00B70E6E" w:rsidP="00B70E6E">
            <w:pPr>
              <w:pStyle w:val="ListParagraph"/>
              <w:spacing w:line="20" w:lineRule="atLeast"/>
              <w:ind w:left="0"/>
              <w:jc w:val="both"/>
              <w:rPr>
                <w:rFonts w:ascii="Arial" w:hAnsi="Arial" w:cs="Arial"/>
                <w:b/>
                <w:sz w:val="18"/>
                <w:szCs w:val="18"/>
                <w:lang w:val="es-ES_tradnl"/>
              </w:rPr>
            </w:pPr>
            <w:r w:rsidRPr="00B70E6E">
              <w:rPr>
                <w:rFonts w:ascii="Arial" w:hAnsi="Arial" w:cs="Arial"/>
                <w:b/>
                <w:sz w:val="18"/>
                <w:szCs w:val="18"/>
                <w:lang w:val="es-ES_tradnl"/>
              </w:rPr>
              <w:t>D</w:t>
            </w:r>
            <w:r w:rsidR="00A72BBC" w:rsidRPr="00B70E6E">
              <w:rPr>
                <w:rFonts w:ascii="Arial" w:hAnsi="Arial" w:cs="Arial"/>
                <w:b/>
                <w:sz w:val="18"/>
                <w:szCs w:val="18"/>
                <w:lang w:val="es-ES_tradnl"/>
              </w:rPr>
              <w:t>esarrollo urbano</w:t>
            </w:r>
          </w:p>
        </w:tc>
        <w:tc>
          <w:tcPr>
            <w:tcW w:w="1710" w:type="dxa"/>
          </w:tcPr>
          <w:p w:rsidR="00A72BBC" w:rsidRPr="00B70E6E" w:rsidRDefault="00A72BBC" w:rsidP="00B70E6E">
            <w:pPr>
              <w:pStyle w:val="ListParagraph"/>
              <w:spacing w:line="20" w:lineRule="atLeast"/>
              <w:ind w:left="0"/>
              <w:jc w:val="both"/>
              <w:rPr>
                <w:rFonts w:ascii="Arial" w:hAnsi="Arial" w:cs="Arial"/>
                <w:b/>
                <w:sz w:val="18"/>
                <w:szCs w:val="18"/>
                <w:lang w:val="es-ES_tradnl"/>
              </w:rPr>
            </w:pPr>
          </w:p>
        </w:tc>
        <w:tc>
          <w:tcPr>
            <w:tcW w:w="1890" w:type="dxa"/>
          </w:tcPr>
          <w:p w:rsidR="00A72BBC" w:rsidRPr="00B70E6E" w:rsidRDefault="00A72BBC" w:rsidP="00B70E6E">
            <w:pPr>
              <w:pStyle w:val="ListParagraph"/>
              <w:spacing w:line="20" w:lineRule="atLeast"/>
              <w:ind w:left="0"/>
              <w:jc w:val="both"/>
              <w:rPr>
                <w:rFonts w:ascii="Arial" w:hAnsi="Arial" w:cs="Arial"/>
                <w:b/>
                <w:sz w:val="18"/>
                <w:szCs w:val="18"/>
                <w:lang w:val="es-ES_tradnl"/>
              </w:rPr>
            </w:pPr>
          </w:p>
        </w:tc>
        <w:tc>
          <w:tcPr>
            <w:tcW w:w="2700" w:type="dxa"/>
          </w:tcPr>
          <w:p w:rsidR="00A72BBC" w:rsidRPr="00B70E6E" w:rsidRDefault="00A72BBC" w:rsidP="00B70E6E">
            <w:pPr>
              <w:pStyle w:val="ListParagraph"/>
              <w:spacing w:line="20" w:lineRule="atLeast"/>
              <w:ind w:left="0"/>
              <w:jc w:val="both"/>
              <w:rPr>
                <w:rFonts w:ascii="Arial" w:hAnsi="Arial" w:cs="Arial"/>
                <w:b/>
                <w:sz w:val="18"/>
                <w:szCs w:val="18"/>
                <w:lang w:val="es-ES_tradnl"/>
              </w:rPr>
            </w:pPr>
          </w:p>
        </w:tc>
      </w:tr>
      <w:tr w:rsidR="00A72BBC" w:rsidRPr="0089701B" w:rsidTr="00B1410C">
        <w:tc>
          <w:tcPr>
            <w:tcW w:w="3420" w:type="dxa"/>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Espacio públicos de recreación M2 X 100 mil habs.</w:t>
            </w:r>
          </w:p>
        </w:tc>
        <w:tc>
          <w:tcPr>
            <w:tcW w:w="1710" w:type="dxa"/>
          </w:tcPr>
          <w:p w:rsidR="00A72BBC" w:rsidRPr="00B70E6E" w:rsidRDefault="00A72BBC" w:rsidP="00B70E6E">
            <w:pPr>
              <w:pStyle w:val="ListParagraph"/>
              <w:spacing w:line="20" w:lineRule="atLeast"/>
              <w:ind w:left="0"/>
              <w:jc w:val="center"/>
              <w:rPr>
                <w:rFonts w:ascii="Arial" w:hAnsi="Arial" w:cs="Arial"/>
                <w:sz w:val="18"/>
                <w:szCs w:val="18"/>
                <w:lang w:val="es-ES_tradnl"/>
              </w:rPr>
            </w:pPr>
            <w:r w:rsidRPr="00B70E6E">
              <w:rPr>
                <w:rFonts w:ascii="Arial" w:hAnsi="Arial" w:cs="Arial"/>
                <w:sz w:val="18"/>
                <w:szCs w:val="18"/>
                <w:lang w:val="es-ES_tradnl"/>
              </w:rPr>
              <w:t>7.5</w:t>
            </w:r>
          </w:p>
        </w:tc>
        <w:tc>
          <w:tcPr>
            <w:tcW w:w="1890" w:type="dxa"/>
          </w:tcPr>
          <w:p w:rsidR="00A72BBC" w:rsidRPr="00B70E6E" w:rsidRDefault="00A72BBC" w:rsidP="00B70E6E">
            <w:pPr>
              <w:pStyle w:val="ListParagraph"/>
              <w:spacing w:line="20" w:lineRule="atLeast"/>
              <w:ind w:left="0"/>
              <w:jc w:val="center"/>
              <w:rPr>
                <w:rFonts w:ascii="Arial" w:hAnsi="Arial" w:cs="Arial"/>
                <w:sz w:val="18"/>
                <w:szCs w:val="18"/>
                <w:lang w:val="es-ES_tradnl"/>
              </w:rPr>
            </w:pPr>
            <w:r w:rsidRPr="00B70E6E">
              <w:rPr>
                <w:rFonts w:ascii="Arial" w:hAnsi="Arial" w:cs="Arial"/>
                <w:sz w:val="18"/>
                <w:szCs w:val="18"/>
                <w:lang w:val="es-ES_tradnl"/>
              </w:rPr>
              <w:t>12.3</w:t>
            </w:r>
          </w:p>
        </w:tc>
        <w:tc>
          <w:tcPr>
            <w:tcW w:w="2700" w:type="dxa"/>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Informes de la Alcaldía de Montería y</w:t>
            </w:r>
            <w:r w:rsidRPr="00B70E6E">
              <w:rPr>
                <w:rFonts w:ascii="Arial" w:hAnsi="Arial" w:cs="Arial"/>
                <w:sz w:val="18"/>
                <w:szCs w:val="18"/>
                <w:lang w:val="es-ES"/>
              </w:rPr>
              <w:t xml:space="preserve"> Actas de entrega de obras.</w:t>
            </w:r>
          </w:p>
        </w:tc>
      </w:tr>
      <w:tr w:rsidR="00A72BBC" w:rsidRPr="0089701B" w:rsidTr="00B1410C">
        <w:tc>
          <w:tcPr>
            <w:tcW w:w="3420" w:type="dxa"/>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Mercado central recuperado</w:t>
            </w:r>
          </w:p>
        </w:tc>
        <w:tc>
          <w:tcPr>
            <w:tcW w:w="1710" w:type="dxa"/>
          </w:tcPr>
          <w:p w:rsidR="00A72BBC" w:rsidRPr="00B70E6E" w:rsidRDefault="00A72BBC" w:rsidP="00B70E6E">
            <w:pPr>
              <w:pStyle w:val="ListParagraph"/>
              <w:spacing w:line="20" w:lineRule="atLeast"/>
              <w:ind w:left="0"/>
              <w:jc w:val="center"/>
              <w:rPr>
                <w:rFonts w:ascii="Arial" w:hAnsi="Arial" w:cs="Arial"/>
                <w:sz w:val="18"/>
                <w:szCs w:val="18"/>
                <w:lang w:val="es-ES_tradnl"/>
              </w:rPr>
            </w:pPr>
            <w:r w:rsidRPr="00B70E6E">
              <w:rPr>
                <w:rFonts w:ascii="Arial" w:hAnsi="Arial" w:cs="Arial"/>
                <w:sz w:val="18"/>
                <w:szCs w:val="18"/>
                <w:lang w:val="es-ES_tradnl"/>
              </w:rPr>
              <w:t>0</w:t>
            </w:r>
          </w:p>
        </w:tc>
        <w:tc>
          <w:tcPr>
            <w:tcW w:w="1890" w:type="dxa"/>
          </w:tcPr>
          <w:p w:rsidR="00A72BBC" w:rsidRPr="00B70E6E" w:rsidRDefault="00A72BBC" w:rsidP="00B70E6E">
            <w:pPr>
              <w:pStyle w:val="ListParagraph"/>
              <w:spacing w:line="20" w:lineRule="atLeast"/>
              <w:ind w:left="0"/>
              <w:jc w:val="center"/>
              <w:rPr>
                <w:rFonts w:ascii="Arial" w:hAnsi="Arial" w:cs="Arial"/>
                <w:sz w:val="18"/>
                <w:szCs w:val="18"/>
                <w:lang w:val="es-ES_tradnl"/>
              </w:rPr>
            </w:pPr>
            <w:r w:rsidRPr="00B70E6E">
              <w:rPr>
                <w:rFonts w:ascii="Arial" w:hAnsi="Arial" w:cs="Arial"/>
                <w:sz w:val="18"/>
                <w:szCs w:val="18"/>
                <w:lang w:val="es-ES_tradnl"/>
              </w:rPr>
              <w:t>1</w:t>
            </w:r>
          </w:p>
        </w:tc>
        <w:tc>
          <w:tcPr>
            <w:tcW w:w="2700" w:type="dxa"/>
          </w:tcPr>
          <w:p w:rsidR="00A72BBC" w:rsidRPr="00B70E6E" w:rsidRDefault="00A72BBC" w:rsidP="00B70E6E">
            <w:pPr>
              <w:pStyle w:val="ListParagraph"/>
              <w:spacing w:line="20" w:lineRule="atLeast"/>
              <w:ind w:left="0"/>
              <w:jc w:val="both"/>
              <w:rPr>
                <w:rFonts w:ascii="Arial" w:hAnsi="Arial" w:cs="Arial"/>
                <w:sz w:val="18"/>
                <w:szCs w:val="18"/>
                <w:lang w:val="es-ES_tradnl"/>
              </w:rPr>
            </w:pPr>
            <w:r w:rsidRPr="00B70E6E">
              <w:rPr>
                <w:rFonts w:ascii="Arial" w:hAnsi="Arial" w:cs="Arial"/>
                <w:sz w:val="18"/>
                <w:szCs w:val="18"/>
                <w:lang w:val="es-ES_tradnl"/>
              </w:rPr>
              <w:t>Informes de la Alcaldía de Montería y Actas de entrega de obras.</w:t>
            </w:r>
          </w:p>
        </w:tc>
      </w:tr>
    </w:tbl>
    <w:p w:rsidR="00A72BBC" w:rsidRDefault="00A72BBC" w:rsidP="00B70E6E">
      <w:pPr>
        <w:pStyle w:val="ListParagraph"/>
        <w:spacing w:after="0" w:line="20" w:lineRule="atLeast"/>
        <w:ind w:left="360"/>
        <w:jc w:val="both"/>
        <w:rPr>
          <w:rFonts w:ascii="Arial" w:hAnsi="Arial" w:cs="Arial"/>
          <w:b/>
          <w:lang w:val="es-ES_tradnl"/>
        </w:rPr>
      </w:pPr>
    </w:p>
    <w:p w:rsidR="00B70E6E" w:rsidRDefault="00B70E6E" w:rsidP="00C311DC">
      <w:pPr>
        <w:pStyle w:val="ListParagraph"/>
        <w:numPr>
          <w:ilvl w:val="0"/>
          <w:numId w:val="8"/>
        </w:numPr>
        <w:spacing w:after="0" w:line="20" w:lineRule="atLeast"/>
        <w:jc w:val="both"/>
        <w:rPr>
          <w:rFonts w:ascii="Arial" w:hAnsi="Arial" w:cs="Arial"/>
          <w:b/>
          <w:lang w:val="es-ES_tradnl"/>
        </w:rPr>
      </w:pPr>
      <w:r>
        <w:rPr>
          <w:rFonts w:ascii="Arial" w:hAnsi="Arial" w:cs="Arial"/>
          <w:b/>
          <w:lang w:val="es-ES_tradnl"/>
        </w:rPr>
        <w:t>MECANISMO DE EJECUCIÓN</w:t>
      </w:r>
    </w:p>
    <w:p w:rsidR="00B70E6E" w:rsidRPr="00B70E6E" w:rsidRDefault="00B70E6E" w:rsidP="00B70E6E">
      <w:pPr>
        <w:pStyle w:val="ListParagraph"/>
        <w:spacing w:after="0" w:line="20" w:lineRule="atLeast"/>
        <w:ind w:left="360"/>
        <w:jc w:val="both"/>
        <w:rPr>
          <w:rFonts w:ascii="Arial" w:hAnsi="Arial" w:cs="Arial"/>
          <w:b/>
          <w:lang w:val="es-ES_tradnl"/>
        </w:rPr>
      </w:pPr>
    </w:p>
    <w:p w:rsidR="004D2304" w:rsidRPr="00B70E6E" w:rsidRDefault="005B4479" w:rsidP="00C311DC">
      <w:pPr>
        <w:pStyle w:val="ListParagraph"/>
        <w:numPr>
          <w:ilvl w:val="1"/>
          <w:numId w:val="13"/>
        </w:numPr>
        <w:spacing w:after="0" w:line="20" w:lineRule="atLeast"/>
        <w:jc w:val="both"/>
        <w:rPr>
          <w:rFonts w:ascii="Arial" w:hAnsi="Arial" w:cs="Arial"/>
          <w:lang w:val="es-ES_tradnl"/>
        </w:rPr>
      </w:pPr>
      <w:r w:rsidRPr="00B70E6E">
        <w:rPr>
          <w:rFonts w:ascii="Arial" w:hAnsi="Arial" w:cs="Arial"/>
          <w:b/>
          <w:lang w:val="es-ES_tradnl"/>
        </w:rPr>
        <w:t xml:space="preserve">Componente </w:t>
      </w:r>
      <w:r w:rsidR="00337AB1" w:rsidRPr="00B70E6E">
        <w:rPr>
          <w:rFonts w:ascii="Arial" w:hAnsi="Arial" w:cs="Arial"/>
          <w:b/>
          <w:lang w:val="es-ES_tradnl"/>
        </w:rPr>
        <w:t>I- Mejora de la Gestión Fiscal</w:t>
      </w:r>
      <w:r w:rsidRPr="00B70E6E">
        <w:rPr>
          <w:rFonts w:ascii="Arial" w:hAnsi="Arial" w:cs="Arial"/>
          <w:b/>
          <w:lang w:val="es-ES_tradnl"/>
        </w:rPr>
        <w:t xml:space="preserve"> </w:t>
      </w:r>
    </w:p>
    <w:p w:rsidR="006D76D9" w:rsidRPr="00B70E6E" w:rsidRDefault="006D76D9" w:rsidP="00B70E6E">
      <w:pPr>
        <w:pStyle w:val="ListParagraph"/>
        <w:spacing w:after="0" w:line="20" w:lineRule="atLeast"/>
        <w:jc w:val="both"/>
        <w:rPr>
          <w:rFonts w:ascii="Arial" w:hAnsi="Arial" w:cs="Arial"/>
          <w:lang w:val="es-ES_tradnl"/>
        </w:rPr>
      </w:pPr>
    </w:p>
    <w:p w:rsidR="00B70E6E" w:rsidRPr="00B70E6E" w:rsidRDefault="00B70E6E" w:rsidP="00C311DC">
      <w:pPr>
        <w:pStyle w:val="ListParagraph"/>
        <w:numPr>
          <w:ilvl w:val="0"/>
          <w:numId w:val="6"/>
        </w:numPr>
        <w:spacing w:after="0" w:line="20" w:lineRule="atLeast"/>
        <w:jc w:val="both"/>
        <w:rPr>
          <w:rFonts w:ascii="Arial" w:hAnsi="Arial" w:cs="Arial"/>
          <w:vanish/>
          <w:u w:val="single"/>
          <w:lang w:val="es-ES_tradnl"/>
        </w:rPr>
      </w:pPr>
    </w:p>
    <w:p w:rsidR="00B70E6E" w:rsidRPr="00B70E6E" w:rsidRDefault="00B70E6E" w:rsidP="00C311DC">
      <w:pPr>
        <w:pStyle w:val="ListParagraph"/>
        <w:numPr>
          <w:ilvl w:val="0"/>
          <w:numId w:val="6"/>
        </w:numPr>
        <w:spacing w:after="0" w:line="20" w:lineRule="atLeast"/>
        <w:jc w:val="both"/>
        <w:rPr>
          <w:rFonts w:ascii="Arial" w:hAnsi="Arial" w:cs="Arial"/>
          <w:vanish/>
          <w:u w:val="single"/>
          <w:lang w:val="es-ES_tradnl"/>
        </w:rPr>
      </w:pPr>
    </w:p>
    <w:p w:rsidR="00B70E6E" w:rsidRPr="00B70E6E" w:rsidRDefault="00B70E6E" w:rsidP="00C311DC">
      <w:pPr>
        <w:pStyle w:val="ListParagraph"/>
        <w:numPr>
          <w:ilvl w:val="1"/>
          <w:numId w:val="6"/>
        </w:numPr>
        <w:spacing w:after="0" w:line="20" w:lineRule="atLeast"/>
        <w:jc w:val="both"/>
        <w:rPr>
          <w:rFonts w:ascii="Arial" w:hAnsi="Arial" w:cs="Arial"/>
          <w:vanish/>
          <w:u w:val="single"/>
          <w:lang w:val="es-ES_tradnl"/>
        </w:rPr>
      </w:pPr>
    </w:p>
    <w:p w:rsidR="0047743B" w:rsidRPr="00B70E6E" w:rsidRDefault="0047743B" w:rsidP="00C311DC">
      <w:pPr>
        <w:pStyle w:val="ListParagraph"/>
        <w:numPr>
          <w:ilvl w:val="2"/>
          <w:numId w:val="6"/>
        </w:numPr>
        <w:spacing w:after="0" w:line="20" w:lineRule="atLeast"/>
        <w:ind w:left="720" w:firstLine="0"/>
        <w:jc w:val="both"/>
        <w:rPr>
          <w:rFonts w:ascii="Arial" w:hAnsi="Arial" w:cs="Arial"/>
          <w:lang w:val="es-ES_tradnl"/>
        </w:rPr>
      </w:pPr>
      <w:r w:rsidRPr="00B70E6E">
        <w:rPr>
          <w:rFonts w:ascii="Arial" w:hAnsi="Arial" w:cs="Arial"/>
          <w:u w:val="single"/>
          <w:lang w:val="es-ES_tradnl"/>
        </w:rPr>
        <w:lastRenderedPageBreak/>
        <w:t>Mejora de la fiscalización y cobro coactivo del IP e ICA.</w:t>
      </w:r>
      <w:r w:rsidRPr="00B70E6E">
        <w:rPr>
          <w:rFonts w:ascii="Arial" w:hAnsi="Arial" w:cs="Arial"/>
          <w:lang w:val="es-ES_tradnl"/>
        </w:rPr>
        <w:t xml:space="preserve">  El proyecto se ejecutará mediante (i) el desarrollo de un Manual de Funciones y procedimientos de fiscalización para ambos impuestos, y (ii) la conformación de un equipo de especialistas en fiscalización del IP e ICA, constituido en la Secretaría de Hacienda. La experiencia tendrá un carácter piloto, y se extenderá por un período de 12 meses. El desarrollo del manual estará a cargo de una firma contratada mediante LPN. Por su parte, los consultores serán contratados mediante convocatoria pública, y serán supervisados por la Subsecretaría de Ingresos y la Asesoría Jurídica. Este proyecto se encontrará bajo la responsabilidad de la Secretaría de Hacienda de la Alcaldía de Montería, que tiene a su cargo el diseño de la política financiera municipal, la recaudación de impuestos, la gestión de recursos de crédito y transferencias de la Nación, el efectuar el servicio de deuda del municipio, la administración financiera del Municipio y la administración de las compras y contrataciones.</w:t>
      </w:r>
    </w:p>
    <w:p w:rsidR="0047743B" w:rsidRPr="00B70E6E" w:rsidRDefault="0047743B" w:rsidP="00B70E6E">
      <w:pPr>
        <w:pStyle w:val="ListParagraph"/>
        <w:spacing w:after="0" w:line="20" w:lineRule="atLeast"/>
        <w:jc w:val="both"/>
        <w:rPr>
          <w:rFonts w:ascii="Arial" w:hAnsi="Arial" w:cs="Arial"/>
          <w:lang w:val="es-ES_tradnl"/>
        </w:rPr>
      </w:pPr>
    </w:p>
    <w:p w:rsidR="0047743B" w:rsidRPr="00B70E6E" w:rsidRDefault="0047743B" w:rsidP="00C311DC">
      <w:pPr>
        <w:pStyle w:val="ListParagraph"/>
        <w:numPr>
          <w:ilvl w:val="2"/>
          <w:numId w:val="6"/>
        </w:numPr>
        <w:spacing w:after="0" w:line="20" w:lineRule="atLeast"/>
        <w:ind w:left="720" w:firstLine="0"/>
        <w:jc w:val="both"/>
        <w:rPr>
          <w:rFonts w:ascii="Arial" w:hAnsi="Arial" w:cs="Arial"/>
          <w:lang w:val="es-ES_tradnl"/>
        </w:rPr>
      </w:pPr>
      <w:r w:rsidRPr="00B70E6E">
        <w:rPr>
          <w:rFonts w:ascii="Arial" w:hAnsi="Arial" w:cs="Arial"/>
          <w:u w:val="single"/>
          <w:lang w:val="es-ES_tradnl"/>
        </w:rPr>
        <w:t xml:space="preserve">Programa de Cultura Tributaria. </w:t>
      </w:r>
      <w:r w:rsidRPr="00B70E6E">
        <w:rPr>
          <w:rFonts w:ascii="Arial" w:hAnsi="Arial" w:cs="Arial"/>
          <w:lang w:val="es-BO"/>
        </w:rPr>
        <w:t xml:space="preserve">El Programa tendrá como propósito elevar la importancia de las rentas propias dentro de las fuentes de financiación. </w:t>
      </w:r>
      <w:r w:rsidRPr="00B70E6E">
        <w:rPr>
          <w:rFonts w:ascii="Arial" w:hAnsi="Arial" w:cs="Arial"/>
          <w:lang w:val="es-ES_tradnl"/>
        </w:rPr>
        <w:t xml:space="preserve">Se ejecutará mediante (i) el diseño de un Programa de Cultura Tributaria, orientado a sensibilizar a la población de Montería acerca de la importancia del cumplimiento de las obligaciones tributarias de los contribuyentes para el desarrollo económico y social del municipio, y (ii) la implementación, por un período de 12 meses, del Programa diseñado; incluyendo la ejecución de campañas de difusión masiva, el desarrollo de  actividades pedagógicas en centros educativos de diferentes ciclos de enseñanza, un trabajo directo con la comunidad y el posible establecimiento de incentivos para promover el pago voluntario y oportuno de los impuestos, entre otras. El desarrollo e implementación del Programa serán realizados por firmas contratadas mediante LPN, cuyo trabajo se desarrollará de manera coordinada y bajo la supervisión de la Subsecretaría de Ingresos y la Asesoría Jurídica de la Secretaría de Hacienda.  </w:t>
      </w:r>
    </w:p>
    <w:p w:rsidR="0047743B" w:rsidRPr="00B70E6E" w:rsidRDefault="0047743B" w:rsidP="00B70E6E">
      <w:pPr>
        <w:pStyle w:val="ListParagraph"/>
        <w:spacing w:after="0" w:line="20" w:lineRule="atLeast"/>
        <w:rPr>
          <w:rFonts w:ascii="Arial" w:hAnsi="Arial" w:cs="Arial"/>
          <w:lang w:val="es-ES_tradnl"/>
        </w:rPr>
      </w:pPr>
    </w:p>
    <w:p w:rsidR="0047743B" w:rsidRPr="00B70E6E" w:rsidRDefault="0047743B" w:rsidP="00C311DC">
      <w:pPr>
        <w:pStyle w:val="ListParagraph"/>
        <w:numPr>
          <w:ilvl w:val="2"/>
          <w:numId w:val="6"/>
        </w:numPr>
        <w:spacing w:after="0" w:line="20" w:lineRule="atLeast"/>
        <w:ind w:left="720" w:firstLine="0"/>
        <w:jc w:val="both"/>
        <w:rPr>
          <w:rFonts w:ascii="Arial" w:hAnsi="Arial" w:cs="Arial"/>
          <w:lang w:val="es-ES_tradnl"/>
        </w:rPr>
      </w:pPr>
      <w:r w:rsidRPr="00B70E6E">
        <w:rPr>
          <w:rFonts w:ascii="Arial" w:hAnsi="Arial" w:cs="Arial"/>
          <w:u w:val="single"/>
          <w:lang w:val="es-ES_tradnl"/>
        </w:rPr>
        <w:t>Actualización de la Estratificación Socio-Económica, de la Nomenclatura urbana y del Catastro</w:t>
      </w:r>
      <w:r w:rsidRPr="00B70E6E">
        <w:rPr>
          <w:rFonts w:ascii="Arial" w:hAnsi="Arial" w:cs="Arial"/>
          <w:lang w:val="es-ES_tradnl"/>
        </w:rPr>
        <w:t>. Este proyecto tendrá los propósitos de: (i) actualizar la estratificación socio-económica de la ciudad, cuya versión vigente no incorpora los desarrollos urbanos recientes de estratos altos;  (ii) actualizar la nomenclatura y numeración urbana, lo cual permitirá a la administración identificar a todos los potenciales contribuyentes y definir apropiadamente la base tributaria del IP y (iii) realizar la actualización del Catastro Urbano, en cumplimiento de la normatividad vigente. El Censo de Nomenclatura y la Actualización de la Estratificación socio-económica serán realizados por firmas contratadas mediante LPN, cuyo trabajo se desarrollará de manera coordinada y bajo la supervisión de la Secretaría de Hacienda. Por su parte, la actualización del Catastro será coordinada con el Instituto Geográfico Agustín Codazzi.</w:t>
      </w:r>
    </w:p>
    <w:p w:rsidR="0047743B" w:rsidRPr="00B70E6E" w:rsidRDefault="0047743B" w:rsidP="00B70E6E">
      <w:pPr>
        <w:pStyle w:val="ListParagraph"/>
        <w:spacing w:after="0" w:line="20" w:lineRule="atLeast"/>
        <w:rPr>
          <w:rFonts w:ascii="Arial" w:hAnsi="Arial" w:cs="Arial"/>
          <w:lang w:val="es-ES_tradnl"/>
        </w:rPr>
      </w:pPr>
    </w:p>
    <w:p w:rsidR="0047743B" w:rsidRPr="00B70E6E" w:rsidRDefault="0047743B" w:rsidP="00C311DC">
      <w:pPr>
        <w:pStyle w:val="ListParagraph"/>
        <w:numPr>
          <w:ilvl w:val="2"/>
          <w:numId w:val="6"/>
        </w:numPr>
        <w:spacing w:after="0" w:line="20" w:lineRule="atLeast"/>
        <w:ind w:left="720" w:firstLine="0"/>
        <w:jc w:val="both"/>
        <w:rPr>
          <w:rFonts w:ascii="Arial" w:hAnsi="Arial" w:cs="Arial"/>
          <w:lang w:val="es-ES_tradnl"/>
        </w:rPr>
      </w:pPr>
      <w:r w:rsidRPr="00B70E6E">
        <w:rPr>
          <w:rFonts w:ascii="Arial" w:hAnsi="Arial" w:cs="Arial"/>
          <w:u w:val="single"/>
          <w:lang w:val="es-ES_tradnl"/>
        </w:rPr>
        <w:t>Optimización del Sistema de Administración Financiera</w:t>
      </w:r>
      <w:r w:rsidRPr="00B70E6E">
        <w:rPr>
          <w:rFonts w:ascii="Arial" w:hAnsi="Arial" w:cs="Arial"/>
          <w:lang w:val="es-ES_tradnl"/>
        </w:rPr>
        <w:t>. El proyecto consistirá en la optimización del sistema de administración financiera de la Alcaldía de Montería, para ampliar su cobertura al universo de entidades municipales, hacer más eficientes e integrados los procesos de gestión, mejorar la calidad y oportunidad de la información, optimizar la gestión de ingresos (cobro coactivo), actualizar el proceso de gestión del ICA y efectuar el seguimiento físico en tiempo real de proyectos a cargo de la Alcaldía.</w:t>
      </w:r>
      <w:r w:rsidRPr="00B70E6E">
        <w:rPr>
          <w:rFonts w:ascii="Arial" w:hAnsi="Arial" w:cs="Arial"/>
          <w:lang w:val="es-BO"/>
        </w:rPr>
        <w:t xml:space="preserve"> </w:t>
      </w:r>
      <w:r w:rsidRPr="00B70E6E">
        <w:rPr>
          <w:rFonts w:ascii="Arial" w:hAnsi="Arial" w:cs="Arial"/>
          <w:lang w:val="es-ES_tradnl"/>
        </w:rPr>
        <w:t xml:space="preserve">El proyecto será ejecutado por una firma consultora contratada mediante LPN, cuyos TdR se beneficiarán de la experiencia reciente de entidades territoriales que cuentan con este tipo de sistemas apoyados por el Programa BID-FOSIT (Antioquia, Caldas, </w:t>
      </w:r>
      <w:r w:rsidRPr="00B70E6E">
        <w:rPr>
          <w:rFonts w:ascii="Arial" w:hAnsi="Arial" w:cs="Arial"/>
          <w:lang w:val="es-ES_tradnl"/>
        </w:rPr>
        <w:lastRenderedPageBreak/>
        <w:t xml:space="preserve">Cundinamarca, Valle, Cali y Medellín). La responsabilidad por la ejecución de este proyecto corresponderá a la Secretaría de Hacienda de la Alcaldía de Montería. </w:t>
      </w:r>
    </w:p>
    <w:p w:rsidR="0047743B" w:rsidRPr="00B70E6E" w:rsidRDefault="0047743B" w:rsidP="00B70E6E">
      <w:pPr>
        <w:pStyle w:val="ListParagraph"/>
        <w:spacing w:after="0" w:line="20" w:lineRule="atLeast"/>
        <w:rPr>
          <w:rFonts w:ascii="Arial" w:hAnsi="Arial" w:cs="Arial"/>
          <w:lang w:val="es-ES_tradnl"/>
        </w:rPr>
      </w:pPr>
    </w:p>
    <w:p w:rsidR="0047743B" w:rsidRPr="00B70E6E" w:rsidRDefault="0047743B" w:rsidP="00C311DC">
      <w:pPr>
        <w:pStyle w:val="ListParagraph"/>
        <w:numPr>
          <w:ilvl w:val="2"/>
          <w:numId w:val="6"/>
        </w:numPr>
        <w:spacing w:after="0" w:line="20" w:lineRule="atLeast"/>
        <w:ind w:left="720" w:firstLine="0"/>
        <w:jc w:val="both"/>
        <w:rPr>
          <w:rFonts w:ascii="Arial" w:hAnsi="Arial" w:cs="Arial"/>
          <w:lang w:val="es-ES_tradnl"/>
        </w:rPr>
      </w:pPr>
      <w:r w:rsidRPr="00B70E6E">
        <w:rPr>
          <w:rFonts w:ascii="Arial" w:hAnsi="Arial" w:cs="Arial"/>
          <w:u w:val="single"/>
          <w:lang w:val="es-ES_tradnl"/>
        </w:rPr>
        <w:t>Fortalecimiento en gestión de proyectos de inversión</w:t>
      </w:r>
      <w:r w:rsidRPr="00B70E6E">
        <w:rPr>
          <w:rFonts w:ascii="Arial" w:hAnsi="Arial" w:cs="Arial"/>
          <w:lang w:val="es-ES_tradnl"/>
        </w:rPr>
        <w:t xml:space="preserve">. Este proyecto permitirá al municipio aprovechar mayores recursos provenientes del nuevo Sistema General de Regalías y de los mayores ingresos tributarios. Se ejecutará mediante la contratación de servicios de consultoría individual nacional para (i) el desarrollo de un Manual de Funciones y procedimientos de la Unidad de Proyectos, y (ii) la conformación de un equipo de especialistas en planificación y pre-inversión para apoyar a las gerencias municipales en el desarrollo de estudios en Fase III. La experiencia tendrá un carácter piloto, y se extenderá por un período de 12 meses. Estará bajo la responsabilidad de la Secretaría de Planeación de la Alcaldía de Montería. </w:t>
      </w:r>
    </w:p>
    <w:p w:rsidR="0047743B" w:rsidRPr="00B70E6E" w:rsidRDefault="0047743B" w:rsidP="00B70E6E">
      <w:pPr>
        <w:pStyle w:val="ListParagraph"/>
        <w:spacing w:after="0" w:line="20" w:lineRule="atLeast"/>
        <w:rPr>
          <w:rFonts w:ascii="Arial" w:hAnsi="Arial" w:cs="Arial"/>
          <w:lang w:val="es-ES_tradnl"/>
        </w:rPr>
      </w:pPr>
    </w:p>
    <w:p w:rsidR="0047743B" w:rsidRPr="00B70E6E" w:rsidRDefault="0047743B" w:rsidP="00C311DC">
      <w:pPr>
        <w:pStyle w:val="ListParagraph"/>
        <w:numPr>
          <w:ilvl w:val="2"/>
          <w:numId w:val="6"/>
        </w:numPr>
        <w:spacing w:after="0" w:line="20" w:lineRule="atLeast"/>
        <w:ind w:left="720" w:firstLine="0"/>
        <w:jc w:val="both"/>
        <w:rPr>
          <w:rFonts w:ascii="Arial" w:hAnsi="Arial" w:cs="Arial"/>
          <w:lang w:val="es-ES_tradnl"/>
        </w:rPr>
      </w:pPr>
      <w:r w:rsidRPr="00B70E6E">
        <w:rPr>
          <w:rFonts w:ascii="Arial" w:hAnsi="Arial" w:cs="Arial"/>
          <w:u w:val="single"/>
          <w:lang w:val="es-ES_tradnl"/>
        </w:rPr>
        <w:t>Desarrollo de un sistema de manejo documentario de la municipalidad</w:t>
      </w:r>
      <w:r w:rsidRPr="00B70E6E">
        <w:rPr>
          <w:rFonts w:ascii="Arial" w:hAnsi="Arial" w:cs="Arial"/>
          <w:lang w:val="es-ES_tradnl"/>
        </w:rPr>
        <w:t>. El proyecto será ejecutado por una firma consultora contratada mediante LPN, e incluirá una propuesta de flujos de documentación optimizados, de gestión documentaria moderna y de archivo electrónico, entre otros. La responsabilidad de la ejecución de este proyecto corresponderá a la Secretaría General, que tiene entre sus responsabilidades el diseño y gestión de la documentación y archivo de correspondencia de la entidad.</w:t>
      </w:r>
    </w:p>
    <w:p w:rsidR="005B4479" w:rsidRPr="00B70E6E" w:rsidRDefault="005B4479" w:rsidP="00B70E6E">
      <w:pPr>
        <w:pStyle w:val="ListParagraph"/>
        <w:spacing w:after="0" w:line="20" w:lineRule="atLeast"/>
        <w:ind w:left="360"/>
        <w:jc w:val="both"/>
        <w:rPr>
          <w:rFonts w:ascii="Arial" w:hAnsi="Arial" w:cs="Arial"/>
          <w:b/>
          <w:lang w:val="es-ES_tradnl"/>
        </w:rPr>
      </w:pPr>
    </w:p>
    <w:p w:rsidR="006306B3" w:rsidRPr="00B70E6E" w:rsidRDefault="00337AB1" w:rsidP="00C311DC">
      <w:pPr>
        <w:pStyle w:val="ListParagraph"/>
        <w:numPr>
          <w:ilvl w:val="1"/>
          <w:numId w:val="6"/>
        </w:numPr>
        <w:spacing w:after="0" w:line="20" w:lineRule="atLeast"/>
        <w:jc w:val="both"/>
        <w:rPr>
          <w:rFonts w:ascii="Arial" w:hAnsi="Arial" w:cs="Arial"/>
          <w:lang w:val="es-ES_tradnl"/>
        </w:rPr>
      </w:pPr>
      <w:r w:rsidRPr="00B70E6E">
        <w:rPr>
          <w:rFonts w:ascii="Arial" w:hAnsi="Arial" w:cs="Arial"/>
          <w:b/>
          <w:lang w:val="es-ES_tradnl"/>
        </w:rPr>
        <w:t>Componente II- Desarrollo Urbano</w:t>
      </w:r>
    </w:p>
    <w:p w:rsidR="006D76D9" w:rsidRPr="00B70E6E" w:rsidRDefault="006D76D9" w:rsidP="00B70E6E">
      <w:pPr>
        <w:spacing w:after="0" w:line="20" w:lineRule="atLeast"/>
        <w:ind w:left="720"/>
        <w:jc w:val="both"/>
        <w:rPr>
          <w:rFonts w:ascii="Arial" w:hAnsi="Arial" w:cs="Arial"/>
          <w:lang w:val="es-ES_tradnl"/>
        </w:rPr>
      </w:pPr>
    </w:p>
    <w:p w:rsidR="0057487E" w:rsidRPr="00B70E6E" w:rsidRDefault="00B70E6E" w:rsidP="00B70E6E">
      <w:pPr>
        <w:spacing w:after="0" w:line="20" w:lineRule="atLeast"/>
        <w:ind w:left="720"/>
        <w:jc w:val="both"/>
        <w:rPr>
          <w:rFonts w:ascii="Arial" w:hAnsi="Arial" w:cs="Arial"/>
          <w:lang w:val="es-ES_tradnl"/>
        </w:rPr>
      </w:pPr>
      <w:r>
        <w:rPr>
          <w:rFonts w:ascii="Arial" w:hAnsi="Arial" w:cs="Arial"/>
          <w:lang w:val="es-ES_tradnl"/>
        </w:rPr>
        <w:t xml:space="preserve"> </w:t>
      </w:r>
      <w:r w:rsidR="00155DA3" w:rsidRPr="00B70E6E">
        <w:rPr>
          <w:rFonts w:ascii="Arial" w:hAnsi="Arial" w:cs="Arial"/>
          <w:lang w:val="es-ES_tradnl"/>
        </w:rPr>
        <w:t>La responsa</w:t>
      </w:r>
      <w:r w:rsidR="00337AB1" w:rsidRPr="00B70E6E">
        <w:rPr>
          <w:rFonts w:ascii="Arial" w:hAnsi="Arial" w:cs="Arial"/>
          <w:lang w:val="es-ES_tradnl"/>
        </w:rPr>
        <w:t>bilidad por la ejecución de todos los</w:t>
      </w:r>
      <w:r w:rsidR="00155DA3" w:rsidRPr="00B70E6E">
        <w:rPr>
          <w:rFonts w:ascii="Arial" w:hAnsi="Arial" w:cs="Arial"/>
          <w:lang w:val="es-ES_tradnl"/>
        </w:rPr>
        <w:t xml:space="preserve"> proyecto</w:t>
      </w:r>
      <w:r w:rsidR="00337AB1" w:rsidRPr="00B70E6E">
        <w:rPr>
          <w:rFonts w:ascii="Arial" w:hAnsi="Arial" w:cs="Arial"/>
          <w:lang w:val="es-ES_tradnl"/>
        </w:rPr>
        <w:t>s de este componente</w:t>
      </w:r>
      <w:r w:rsidR="00155DA3" w:rsidRPr="00B70E6E">
        <w:rPr>
          <w:rFonts w:ascii="Arial" w:hAnsi="Arial" w:cs="Arial"/>
          <w:lang w:val="es-ES_tradnl"/>
        </w:rPr>
        <w:t xml:space="preserve"> recae en </w:t>
      </w:r>
      <w:r w:rsidR="00780A50" w:rsidRPr="00B70E6E">
        <w:rPr>
          <w:rFonts w:ascii="Arial" w:hAnsi="Arial" w:cs="Arial"/>
          <w:lang w:val="es-ES_tradnl"/>
        </w:rPr>
        <w:t>la</w:t>
      </w:r>
      <w:r w:rsidR="00155DA3" w:rsidRPr="00B70E6E">
        <w:rPr>
          <w:rFonts w:ascii="Arial" w:hAnsi="Arial" w:cs="Arial"/>
          <w:lang w:val="es-ES_tradnl"/>
        </w:rPr>
        <w:t xml:space="preserve"> </w:t>
      </w:r>
      <w:r w:rsidR="00780A50" w:rsidRPr="00B70E6E">
        <w:rPr>
          <w:rFonts w:ascii="Arial" w:hAnsi="Arial" w:cs="Arial"/>
          <w:lang w:val="es-ES_tradnl"/>
        </w:rPr>
        <w:t>Sec</w:t>
      </w:r>
      <w:r w:rsidR="00947B0A" w:rsidRPr="00B70E6E">
        <w:rPr>
          <w:rFonts w:ascii="Arial" w:hAnsi="Arial" w:cs="Arial"/>
          <w:lang w:val="es-ES_tradnl"/>
        </w:rPr>
        <w:t xml:space="preserve">retaría de Planeación </w:t>
      </w:r>
      <w:r w:rsidR="00780A50" w:rsidRPr="00B70E6E">
        <w:rPr>
          <w:rFonts w:ascii="Arial" w:hAnsi="Arial" w:cs="Arial"/>
          <w:lang w:val="es-ES_tradnl"/>
        </w:rPr>
        <w:t>d</w:t>
      </w:r>
      <w:r w:rsidR="00905919" w:rsidRPr="00B70E6E">
        <w:rPr>
          <w:rFonts w:ascii="Arial" w:hAnsi="Arial" w:cs="Arial"/>
          <w:lang w:val="es-ES_tradnl"/>
        </w:rPr>
        <w:t>e la Alcaldía de Montería</w:t>
      </w:r>
      <w:r w:rsidR="00155DA3" w:rsidRPr="00B70E6E">
        <w:rPr>
          <w:rFonts w:ascii="Arial" w:hAnsi="Arial" w:cs="Arial"/>
          <w:lang w:val="es-ES_tradnl"/>
        </w:rPr>
        <w:t xml:space="preserve">, </w:t>
      </w:r>
      <w:r w:rsidR="0057487E" w:rsidRPr="00B70E6E">
        <w:rPr>
          <w:rFonts w:ascii="Arial" w:hAnsi="Arial" w:cs="Arial"/>
          <w:lang w:val="es-ES_tradnl"/>
        </w:rPr>
        <w:t>dependencia</w:t>
      </w:r>
      <w:r w:rsidR="00780A50" w:rsidRPr="00B70E6E">
        <w:rPr>
          <w:rFonts w:ascii="Arial" w:hAnsi="Arial" w:cs="Arial"/>
          <w:lang w:val="es-ES_tradnl"/>
        </w:rPr>
        <w:t xml:space="preserve"> encargada</w:t>
      </w:r>
      <w:r w:rsidR="0057487E" w:rsidRPr="00B70E6E">
        <w:rPr>
          <w:rFonts w:ascii="Arial" w:hAnsi="Arial" w:cs="Arial"/>
          <w:lang w:val="es-ES_tradnl"/>
        </w:rPr>
        <w:t xml:space="preserve"> de articular las acciones municipales para un desarrollo urbano integral, contribuyendo a la construcción, modificación, y renovación del espacio urbano y</w:t>
      </w:r>
      <w:r w:rsidR="00947B0A" w:rsidRPr="00B70E6E">
        <w:rPr>
          <w:rFonts w:ascii="Arial" w:hAnsi="Arial" w:cs="Arial"/>
          <w:lang w:val="es-ES_tradnl"/>
        </w:rPr>
        <w:t xml:space="preserve"> a</w:t>
      </w:r>
      <w:r w:rsidR="0057487E" w:rsidRPr="00B70E6E">
        <w:rPr>
          <w:rFonts w:ascii="Arial" w:hAnsi="Arial" w:cs="Arial"/>
          <w:lang w:val="es-ES_tradnl"/>
        </w:rPr>
        <w:t xml:space="preserve"> promover la solución al problema de la vivienda entre los estratos uno, dos y tres. Sus objetivos principales son: i) Desarrollar proyectos urbanísticos e inmobiliarios representativos en el espacio público y en zonas de renovación urbana; ii) reubicar viviendas de zonas de alto riesgo; y iii) promover la construcción de vivienda en asocio con los empresarios del sect</w:t>
      </w:r>
      <w:r w:rsidR="00947B0A" w:rsidRPr="00B70E6E">
        <w:rPr>
          <w:rFonts w:ascii="Arial" w:hAnsi="Arial" w:cs="Arial"/>
          <w:lang w:val="es-ES_tradnl"/>
        </w:rPr>
        <w:t xml:space="preserve">or. </w:t>
      </w:r>
    </w:p>
    <w:p w:rsidR="0047743B" w:rsidRDefault="001F3849" w:rsidP="00B70E6E">
      <w:pPr>
        <w:spacing w:after="0" w:line="20" w:lineRule="atLeast"/>
        <w:jc w:val="right"/>
        <w:rPr>
          <w:rFonts w:ascii="Arial" w:hAnsi="Arial" w:cs="Arial"/>
          <w:b/>
          <w:lang w:val="es-MX"/>
        </w:rPr>
      </w:pPr>
      <w:r w:rsidRPr="00B70E6E">
        <w:rPr>
          <w:rFonts w:ascii="Arial" w:hAnsi="Arial" w:cs="Arial"/>
          <w:lang w:val="es-ES_tradnl"/>
        </w:rPr>
        <w:br w:type="page"/>
      </w:r>
      <w:bookmarkStart w:id="7" w:name="_Toc191577963"/>
      <w:r w:rsidR="0047743B" w:rsidRPr="00B70E6E">
        <w:rPr>
          <w:rFonts w:ascii="Arial" w:hAnsi="Arial" w:cs="Arial"/>
          <w:b/>
          <w:lang w:val="es-MX"/>
        </w:rPr>
        <w:lastRenderedPageBreak/>
        <w:t>ANEXO I-a</w:t>
      </w:r>
    </w:p>
    <w:p w:rsidR="00B70E6E" w:rsidRDefault="00B70E6E" w:rsidP="00B70E6E">
      <w:pPr>
        <w:spacing w:after="0" w:line="20" w:lineRule="atLeast"/>
        <w:jc w:val="right"/>
        <w:rPr>
          <w:rFonts w:ascii="Arial" w:hAnsi="Arial" w:cs="Arial"/>
          <w:b/>
          <w:lang w:val="es-MX"/>
        </w:rPr>
      </w:pPr>
    </w:p>
    <w:p w:rsidR="00B70E6E" w:rsidRDefault="00B70E6E" w:rsidP="00B70E6E">
      <w:pPr>
        <w:spacing w:after="0" w:line="20" w:lineRule="atLeast"/>
        <w:jc w:val="right"/>
        <w:rPr>
          <w:rFonts w:ascii="Arial" w:hAnsi="Arial" w:cs="Arial"/>
          <w:b/>
          <w:lang w:val="es-MX"/>
        </w:rPr>
      </w:pPr>
    </w:p>
    <w:p w:rsidR="0047743B" w:rsidRPr="00B70E6E" w:rsidRDefault="0047743B" w:rsidP="00B70E6E">
      <w:pPr>
        <w:spacing w:after="0" w:line="20" w:lineRule="atLeast"/>
        <w:contextualSpacing/>
        <w:jc w:val="center"/>
        <w:outlineLvl w:val="0"/>
        <w:rPr>
          <w:rFonts w:ascii="Arial" w:eastAsia="Times New Roman" w:hAnsi="Arial" w:cs="Arial"/>
          <w:b/>
          <w:bCs/>
          <w:smallCaps/>
          <w:spacing w:val="5"/>
          <w:lang w:val="es-ES" w:bidi="en-US"/>
        </w:rPr>
      </w:pPr>
      <w:r w:rsidRPr="00B70E6E">
        <w:rPr>
          <w:rFonts w:ascii="Arial" w:eastAsia="Times New Roman" w:hAnsi="Arial" w:cs="Arial"/>
          <w:b/>
          <w:bCs/>
          <w:smallCaps/>
          <w:spacing w:val="5"/>
          <w:lang w:val="es-ES" w:bidi="en-US"/>
        </w:rPr>
        <w:t xml:space="preserve">COLOMBIA </w:t>
      </w:r>
    </w:p>
    <w:p w:rsidR="0047743B" w:rsidRPr="00B70E6E" w:rsidRDefault="0047743B" w:rsidP="00B70E6E">
      <w:pPr>
        <w:spacing w:after="0" w:line="20" w:lineRule="atLeast"/>
        <w:jc w:val="center"/>
        <w:rPr>
          <w:rFonts w:ascii="Arial" w:hAnsi="Arial" w:cs="Arial"/>
          <w:bCs/>
          <w:lang w:val="es-ES_tradnl"/>
        </w:rPr>
      </w:pPr>
      <w:r w:rsidRPr="00B70E6E">
        <w:rPr>
          <w:rFonts w:ascii="Arial" w:hAnsi="Arial" w:cs="Arial"/>
          <w:b/>
          <w:bCs/>
          <w:lang w:val="es-ES_tradnl"/>
        </w:rPr>
        <w:t>Segundo Programa de Fortalecimiento Fiscal y del Gasto en Inversión Pública de las Entidades Territoriales (CO-L1155)</w:t>
      </w:r>
    </w:p>
    <w:p w:rsidR="0047743B" w:rsidRPr="00B70E6E" w:rsidRDefault="0047743B" w:rsidP="00B70E6E">
      <w:pPr>
        <w:spacing w:after="0" w:line="20" w:lineRule="atLeast"/>
        <w:jc w:val="both"/>
        <w:rPr>
          <w:rFonts w:ascii="Arial" w:hAnsi="Arial" w:cs="Arial"/>
          <w:b/>
          <w:i/>
          <w:lang w:val="es-ES"/>
        </w:rPr>
      </w:pPr>
    </w:p>
    <w:p w:rsidR="0047743B" w:rsidRPr="00B70E6E" w:rsidRDefault="0047743B" w:rsidP="00B70E6E">
      <w:pPr>
        <w:spacing w:after="0" w:line="20" w:lineRule="atLeast"/>
        <w:jc w:val="center"/>
        <w:rPr>
          <w:rFonts w:ascii="Arial" w:hAnsi="Arial" w:cs="Arial"/>
          <w:b/>
          <w:i/>
          <w:lang w:val="es-ES"/>
        </w:rPr>
      </w:pPr>
      <w:r w:rsidRPr="00B70E6E">
        <w:rPr>
          <w:rFonts w:ascii="Arial" w:hAnsi="Arial" w:cs="Arial"/>
          <w:b/>
          <w:i/>
          <w:lang w:val="es-ES"/>
        </w:rPr>
        <w:t>Balance Fiscal</w:t>
      </w:r>
    </w:p>
    <w:p w:rsidR="0047743B" w:rsidRPr="00B70E6E" w:rsidRDefault="0047743B" w:rsidP="00B70E6E">
      <w:pPr>
        <w:spacing w:after="0" w:line="20" w:lineRule="atLeast"/>
        <w:jc w:val="center"/>
        <w:rPr>
          <w:rFonts w:ascii="Arial" w:hAnsi="Arial" w:cs="Arial"/>
          <w:lang w:val="es-AR"/>
        </w:rPr>
      </w:pPr>
      <w:r w:rsidRPr="00B70E6E">
        <w:rPr>
          <w:rFonts w:ascii="Arial" w:hAnsi="Arial" w:cs="Arial"/>
          <w:lang w:val="es-AR"/>
        </w:rPr>
        <w:t>(en millones de pesos corrientes)</w:t>
      </w:r>
    </w:p>
    <w:p w:rsidR="00B1410C" w:rsidRPr="00B70E6E" w:rsidRDefault="00B1410C" w:rsidP="00B70E6E">
      <w:pPr>
        <w:spacing w:after="0" w:line="20" w:lineRule="atLeast"/>
        <w:jc w:val="center"/>
        <w:rPr>
          <w:rFonts w:ascii="Arial" w:hAnsi="Arial" w:cs="Arial"/>
          <w:lang w:val="es-AR"/>
        </w:rPr>
      </w:pPr>
    </w:p>
    <w:p w:rsidR="0047743B" w:rsidRPr="00B70E6E" w:rsidRDefault="0047743B" w:rsidP="00B70E6E">
      <w:pPr>
        <w:spacing w:after="0" w:line="20" w:lineRule="atLeast"/>
        <w:rPr>
          <w:rFonts w:ascii="Arial" w:hAnsi="Arial" w:cs="Arial"/>
          <w:lang w:val="es-ES_tradnl"/>
        </w:rPr>
      </w:pPr>
      <w:r w:rsidRPr="00B70E6E">
        <w:rPr>
          <w:rFonts w:ascii="Arial" w:hAnsi="Arial" w:cs="Arial"/>
          <w:noProof/>
        </w:rPr>
        <w:drawing>
          <wp:inline distT="0" distB="0" distL="0" distR="0" wp14:anchorId="71832961" wp14:editId="4FD77542">
            <wp:extent cx="5943600" cy="54639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463976"/>
                    </a:xfrm>
                    <a:prstGeom prst="rect">
                      <a:avLst/>
                    </a:prstGeom>
                    <a:noFill/>
                    <a:ln>
                      <a:noFill/>
                    </a:ln>
                  </pic:spPr>
                </pic:pic>
              </a:graphicData>
            </a:graphic>
          </wp:inline>
        </w:drawing>
      </w:r>
    </w:p>
    <w:p w:rsidR="0047743B" w:rsidRPr="00B70E6E" w:rsidRDefault="0047743B" w:rsidP="00B70E6E">
      <w:pPr>
        <w:spacing w:after="0" w:line="20" w:lineRule="atLeast"/>
        <w:ind w:left="720"/>
        <w:jc w:val="both"/>
        <w:rPr>
          <w:rFonts w:ascii="Arial" w:hAnsi="Arial" w:cs="Arial"/>
          <w:lang w:val="es-ES_tradnl"/>
        </w:rPr>
      </w:pPr>
    </w:p>
    <w:p w:rsidR="0047743B" w:rsidRPr="00B70E6E" w:rsidRDefault="0047743B" w:rsidP="00B70E6E">
      <w:pPr>
        <w:spacing w:after="0" w:line="20" w:lineRule="atLeast"/>
        <w:jc w:val="center"/>
        <w:rPr>
          <w:rFonts w:ascii="Arial" w:hAnsi="Arial" w:cs="Arial"/>
          <w:b/>
          <w:bCs/>
          <w:lang w:val="es-ES"/>
        </w:rPr>
      </w:pPr>
    </w:p>
    <w:p w:rsidR="00B70E6E" w:rsidRDefault="00B70E6E" w:rsidP="00B70E6E">
      <w:pPr>
        <w:spacing w:after="0" w:line="20" w:lineRule="atLeast"/>
        <w:jc w:val="right"/>
        <w:rPr>
          <w:rFonts w:ascii="Arial" w:hAnsi="Arial" w:cs="Arial"/>
          <w:b/>
          <w:lang w:val="es-MX"/>
        </w:rPr>
      </w:pPr>
    </w:p>
    <w:p w:rsidR="00B70E6E" w:rsidRDefault="00B70E6E" w:rsidP="00B70E6E">
      <w:pPr>
        <w:spacing w:after="0" w:line="20" w:lineRule="atLeast"/>
        <w:jc w:val="right"/>
        <w:rPr>
          <w:rFonts w:ascii="Arial" w:hAnsi="Arial" w:cs="Arial"/>
          <w:b/>
          <w:lang w:val="es-MX"/>
        </w:rPr>
      </w:pPr>
    </w:p>
    <w:p w:rsidR="00B70E6E" w:rsidRDefault="00B70E6E" w:rsidP="00B70E6E">
      <w:pPr>
        <w:spacing w:after="0" w:line="20" w:lineRule="atLeast"/>
        <w:jc w:val="right"/>
        <w:rPr>
          <w:rFonts w:ascii="Arial" w:hAnsi="Arial" w:cs="Arial"/>
          <w:b/>
          <w:lang w:val="es-MX"/>
        </w:rPr>
      </w:pPr>
    </w:p>
    <w:p w:rsidR="0047743B" w:rsidRDefault="0047743B" w:rsidP="00B70E6E">
      <w:pPr>
        <w:spacing w:after="0" w:line="20" w:lineRule="atLeast"/>
        <w:jc w:val="right"/>
        <w:rPr>
          <w:rFonts w:ascii="Arial" w:hAnsi="Arial" w:cs="Arial"/>
          <w:b/>
          <w:lang w:val="es-MX"/>
        </w:rPr>
      </w:pPr>
      <w:r w:rsidRPr="00B70E6E">
        <w:rPr>
          <w:rFonts w:ascii="Arial" w:hAnsi="Arial" w:cs="Arial"/>
          <w:b/>
          <w:lang w:val="es-MX"/>
        </w:rPr>
        <w:lastRenderedPageBreak/>
        <w:t>ANEXO II-a</w:t>
      </w:r>
    </w:p>
    <w:p w:rsidR="00B70E6E" w:rsidRDefault="00B70E6E" w:rsidP="00B70E6E">
      <w:pPr>
        <w:spacing w:after="0" w:line="20" w:lineRule="atLeast"/>
        <w:jc w:val="right"/>
        <w:rPr>
          <w:rFonts w:ascii="Arial" w:hAnsi="Arial" w:cs="Arial"/>
          <w:b/>
          <w:lang w:val="es-MX"/>
        </w:rPr>
      </w:pPr>
    </w:p>
    <w:p w:rsidR="00B70E6E" w:rsidRDefault="00B70E6E" w:rsidP="00B70E6E">
      <w:pPr>
        <w:spacing w:after="0" w:line="20" w:lineRule="atLeast"/>
        <w:jc w:val="right"/>
        <w:rPr>
          <w:rFonts w:ascii="Arial" w:hAnsi="Arial" w:cs="Arial"/>
          <w:b/>
          <w:lang w:val="es-MX"/>
        </w:rPr>
      </w:pPr>
    </w:p>
    <w:p w:rsidR="001F3849" w:rsidRPr="00B70E6E" w:rsidRDefault="001F3849" w:rsidP="00B70E6E">
      <w:pPr>
        <w:spacing w:after="0" w:line="20" w:lineRule="atLeast"/>
        <w:jc w:val="center"/>
        <w:rPr>
          <w:rFonts w:ascii="Arial" w:hAnsi="Arial" w:cs="Arial"/>
          <w:b/>
          <w:bCs/>
          <w:lang w:val="es-ES"/>
        </w:rPr>
      </w:pPr>
      <w:r w:rsidRPr="00B70E6E">
        <w:rPr>
          <w:rFonts w:ascii="Arial" w:hAnsi="Arial" w:cs="Arial"/>
          <w:b/>
          <w:bCs/>
          <w:lang w:val="es-ES"/>
        </w:rPr>
        <w:t>COLOMBIA</w:t>
      </w:r>
    </w:p>
    <w:bookmarkEnd w:id="7"/>
    <w:p w:rsidR="001F3849" w:rsidRDefault="001F3849" w:rsidP="00B70E6E">
      <w:pPr>
        <w:spacing w:after="0" w:line="20" w:lineRule="atLeast"/>
        <w:jc w:val="center"/>
        <w:rPr>
          <w:rFonts w:ascii="Arial" w:hAnsi="Arial" w:cs="Arial"/>
          <w:b/>
          <w:bCs/>
          <w:lang w:val="es-ES_tradnl"/>
        </w:rPr>
      </w:pPr>
      <w:r w:rsidRPr="00B70E6E">
        <w:rPr>
          <w:rFonts w:ascii="Arial" w:hAnsi="Arial" w:cs="Arial"/>
          <w:b/>
          <w:bCs/>
          <w:lang w:val="es-ES_tradnl"/>
        </w:rPr>
        <w:t>Segundo Programa de Fortalecimiento Fiscal y del Gasto en Inversión Pública de las Entidades Territoriales (CO-L1155)</w:t>
      </w:r>
    </w:p>
    <w:p w:rsidR="00B70E6E" w:rsidRPr="00B70E6E" w:rsidRDefault="00B70E6E" w:rsidP="00B70E6E">
      <w:pPr>
        <w:spacing w:after="0" w:line="20" w:lineRule="atLeast"/>
        <w:jc w:val="center"/>
        <w:rPr>
          <w:rFonts w:ascii="Arial" w:hAnsi="Arial" w:cs="Arial"/>
          <w:bCs/>
          <w:lang w:val="es-ES_tradnl"/>
        </w:rPr>
      </w:pPr>
    </w:p>
    <w:p w:rsidR="001F3849" w:rsidRDefault="001F3849" w:rsidP="00B70E6E">
      <w:pPr>
        <w:spacing w:after="0" w:line="20" w:lineRule="atLeast"/>
        <w:jc w:val="center"/>
        <w:rPr>
          <w:rFonts w:ascii="Arial" w:hAnsi="Arial" w:cs="Arial"/>
          <w:b/>
          <w:i/>
          <w:lang w:val="es-ES"/>
        </w:rPr>
      </w:pPr>
      <w:r w:rsidRPr="00B70E6E">
        <w:rPr>
          <w:rFonts w:ascii="Arial" w:hAnsi="Arial" w:cs="Arial"/>
          <w:b/>
          <w:i/>
          <w:lang w:val="es-ES"/>
        </w:rPr>
        <w:t>Ficha de Identificación de Proyectos de Inversión</w:t>
      </w:r>
    </w:p>
    <w:p w:rsidR="00B70E6E" w:rsidRPr="00B70E6E" w:rsidRDefault="00B70E6E" w:rsidP="00B70E6E">
      <w:pPr>
        <w:spacing w:after="0" w:line="20" w:lineRule="atLeast"/>
        <w:jc w:val="center"/>
        <w:rPr>
          <w:rFonts w:ascii="Arial" w:hAnsi="Arial" w:cs="Arial"/>
          <w:b/>
          <w:i/>
          <w:lang w:val="es-ES"/>
        </w:rPr>
      </w:pPr>
    </w:p>
    <w:p w:rsidR="00B70E6E" w:rsidRPr="00B70E6E" w:rsidRDefault="00B70E6E" w:rsidP="00B70E6E">
      <w:pPr>
        <w:spacing w:after="0" w:line="20" w:lineRule="atLeast"/>
        <w:jc w:val="center"/>
        <w:rPr>
          <w:rFonts w:ascii="Arial" w:hAnsi="Arial" w:cs="Arial"/>
          <w:b/>
          <w:i/>
          <w:lang w:val="es-ES"/>
        </w:rPr>
      </w:pPr>
    </w:p>
    <w:p w:rsidR="001F3849" w:rsidRDefault="001F3849" w:rsidP="00C311DC">
      <w:pPr>
        <w:numPr>
          <w:ilvl w:val="0"/>
          <w:numId w:val="3"/>
        </w:numPr>
        <w:spacing w:after="0" w:line="20" w:lineRule="atLeast"/>
        <w:rPr>
          <w:rFonts w:ascii="Arial" w:hAnsi="Arial" w:cs="Arial"/>
          <w:b/>
          <w:lang w:val="es-ES"/>
        </w:rPr>
      </w:pPr>
      <w:r w:rsidRPr="00B70E6E">
        <w:rPr>
          <w:rFonts w:ascii="Arial" w:hAnsi="Arial" w:cs="Arial"/>
          <w:b/>
          <w:lang w:val="es-ES"/>
        </w:rPr>
        <w:t>Información Básica del Proyecto o Programa</w:t>
      </w:r>
    </w:p>
    <w:p w:rsidR="00B70E6E" w:rsidRPr="00B70E6E" w:rsidRDefault="00B70E6E" w:rsidP="00B70E6E">
      <w:pPr>
        <w:spacing w:after="0" w:line="20" w:lineRule="atLeast"/>
        <w:ind w:left="360"/>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B70E6E" w:rsidRPr="0089701B" w:rsidTr="00A72BBC">
        <w:tc>
          <w:tcPr>
            <w:tcW w:w="4140" w:type="dxa"/>
          </w:tcPr>
          <w:p w:rsidR="00B70E6E" w:rsidRPr="00B70E6E" w:rsidRDefault="00B70E6E" w:rsidP="00B70E6E">
            <w:pPr>
              <w:spacing w:line="20" w:lineRule="atLeast"/>
              <w:rPr>
                <w:rFonts w:ascii="Arial" w:hAnsi="Arial" w:cs="Arial"/>
                <w:lang w:val="es-ES"/>
              </w:rPr>
            </w:pPr>
            <w:r>
              <w:rPr>
                <w:rFonts w:ascii="Arial" w:hAnsi="Arial" w:cs="Arial"/>
                <w:lang w:val="es-ES"/>
              </w:rPr>
              <w:t xml:space="preserve">Nombre del Proyecto: </w:t>
            </w:r>
          </w:p>
        </w:tc>
        <w:tc>
          <w:tcPr>
            <w:tcW w:w="4428" w:type="dxa"/>
          </w:tcPr>
          <w:p w:rsidR="00B70E6E" w:rsidRPr="00B70E6E" w:rsidRDefault="00B70E6E" w:rsidP="00B70E6E">
            <w:pPr>
              <w:spacing w:line="20" w:lineRule="atLeast"/>
              <w:rPr>
                <w:rFonts w:ascii="Arial" w:hAnsi="Arial" w:cs="Arial"/>
                <w:lang w:val="es-ES"/>
              </w:rPr>
            </w:pPr>
            <w:r w:rsidRPr="00B70E6E">
              <w:rPr>
                <w:rFonts w:ascii="Arial" w:hAnsi="Arial" w:cs="Arial"/>
                <w:lang w:val="es-ES"/>
              </w:rPr>
              <w:t>Ronda Margen Izquierda y Ronda Sur</w:t>
            </w:r>
          </w:p>
        </w:tc>
      </w:tr>
      <w:tr w:rsidR="001F3849" w:rsidRPr="00B70E6E" w:rsidTr="00A72BBC">
        <w:tc>
          <w:tcPr>
            <w:tcW w:w="4140" w:type="dxa"/>
          </w:tcPr>
          <w:p w:rsidR="001F3849" w:rsidRPr="00B70E6E" w:rsidRDefault="001F3849" w:rsidP="00B70E6E">
            <w:pPr>
              <w:spacing w:line="20" w:lineRule="atLeast"/>
              <w:rPr>
                <w:rFonts w:ascii="Arial" w:hAnsi="Arial" w:cs="Arial"/>
                <w:lang w:val="es-ES"/>
              </w:rPr>
            </w:pPr>
            <w:r w:rsidRPr="00B70E6E">
              <w:rPr>
                <w:rFonts w:ascii="Arial" w:hAnsi="Arial" w:cs="Arial"/>
                <w:lang w:val="es-ES"/>
              </w:rPr>
              <w:t>Ciudad:</w:t>
            </w:r>
          </w:p>
        </w:tc>
        <w:tc>
          <w:tcPr>
            <w:tcW w:w="4428" w:type="dxa"/>
          </w:tcPr>
          <w:p w:rsidR="001F3849" w:rsidRPr="00B70E6E" w:rsidRDefault="00B70E6E" w:rsidP="00B70E6E">
            <w:pPr>
              <w:spacing w:line="20" w:lineRule="atLeast"/>
              <w:rPr>
                <w:rFonts w:ascii="Arial" w:hAnsi="Arial" w:cs="Arial"/>
                <w:lang w:val="es-ES"/>
              </w:rPr>
            </w:pPr>
            <w:r w:rsidRPr="00B70E6E">
              <w:rPr>
                <w:rFonts w:ascii="Arial" w:hAnsi="Arial" w:cs="Arial"/>
                <w:lang w:val="es-ES"/>
              </w:rPr>
              <w:t>Montería</w:t>
            </w:r>
          </w:p>
        </w:tc>
      </w:tr>
      <w:tr w:rsidR="001F3849" w:rsidRPr="0089701B" w:rsidTr="00A72BBC">
        <w:tc>
          <w:tcPr>
            <w:tcW w:w="4140" w:type="dxa"/>
          </w:tcPr>
          <w:p w:rsidR="001F3849" w:rsidRPr="00B70E6E" w:rsidRDefault="001F3849" w:rsidP="00B70E6E">
            <w:pPr>
              <w:spacing w:line="20" w:lineRule="atLeast"/>
              <w:rPr>
                <w:rFonts w:ascii="Arial" w:hAnsi="Arial" w:cs="Arial"/>
                <w:lang w:val="es-ES"/>
              </w:rPr>
            </w:pPr>
            <w:r w:rsidRPr="00B70E6E">
              <w:rPr>
                <w:rFonts w:ascii="Arial" w:hAnsi="Arial" w:cs="Arial"/>
                <w:lang w:val="es-ES"/>
              </w:rPr>
              <w:t xml:space="preserve">Entidad Responsable y nombre de contacto (Gobierno Local, Agencia o Empresa) </w:t>
            </w:r>
          </w:p>
        </w:tc>
        <w:tc>
          <w:tcPr>
            <w:tcW w:w="4428" w:type="dxa"/>
          </w:tcPr>
          <w:p w:rsidR="001F3849" w:rsidRPr="00B70E6E" w:rsidRDefault="001F3849" w:rsidP="00B70E6E">
            <w:pPr>
              <w:spacing w:line="20" w:lineRule="atLeast"/>
              <w:rPr>
                <w:rFonts w:ascii="Arial" w:hAnsi="Arial" w:cs="Arial"/>
                <w:lang w:val="es-ES"/>
              </w:rPr>
            </w:pPr>
            <w:r w:rsidRPr="00B70E6E">
              <w:rPr>
                <w:rFonts w:ascii="Arial" w:hAnsi="Arial" w:cs="Arial"/>
                <w:lang w:val="es-ES"/>
              </w:rPr>
              <w:t>Secretaría de Planeación</w:t>
            </w:r>
          </w:p>
          <w:p w:rsidR="001F3849" w:rsidRPr="00B70E6E" w:rsidRDefault="001F3849" w:rsidP="00B70E6E">
            <w:pPr>
              <w:spacing w:line="20" w:lineRule="atLeast"/>
              <w:rPr>
                <w:rFonts w:ascii="Arial" w:hAnsi="Arial" w:cs="Arial"/>
                <w:lang w:val="es-ES"/>
              </w:rPr>
            </w:pPr>
            <w:r w:rsidRPr="00B70E6E">
              <w:rPr>
                <w:rFonts w:ascii="Arial" w:hAnsi="Arial" w:cs="Arial"/>
                <w:lang w:val="es-ES"/>
              </w:rPr>
              <w:t>Arquitecto Carlos D. Montoya Baquero</w:t>
            </w:r>
          </w:p>
        </w:tc>
      </w:tr>
      <w:tr w:rsidR="001F3849" w:rsidRPr="0089701B" w:rsidTr="00A72BBC">
        <w:tc>
          <w:tcPr>
            <w:tcW w:w="4140" w:type="dxa"/>
          </w:tcPr>
          <w:p w:rsidR="001F3849" w:rsidRPr="00B70E6E" w:rsidDel="00B513CC" w:rsidRDefault="001F3849" w:rsidP="00B70E6E">
            <w:pPr>
              <w:spacing w:line="20" w:lineRule="atLeast"/>
              <w:rPr>
                <w:rFonts w:ascii="Arial" w:hAnsi="Arial" w:cs="Arial"/>
                <w:lang w:val="es-ES"/>
              </w:rPr>
            </w:pPr>
            <w:r w:rsidRPr="00B70E6E">
              <w:rPr>
                <w:rFonts w:ascii="Arial" w:hAnsi="Arial" w:cs="Arial"/>
                <w:lang w:val="es-ES"/>
              </w:rPr>
              <w:t>Agencia Ejecutora y nombre de contacto (si esta fuese diferente a la Entidad Responsable).</w:t>
            </w:r>
          </w:p>
        </w:tc>
        <w:tc>
          <w:tcPr>
            <w:tcW w:w="4428" w:type="dxa"/>
          </w:tcPr>
          <w:p w:rsidR="001F3849" w:rsidRPr="00B70E6E" w:rsidRDefault="001F3849" w:rsidP="00B70E6E">
            <w:pPr>
              <w:spacing w:line="20" w:lineRule="atLeast"/>
              <w:rPr>
                <w:rFonts w:ascii="Arial" w:hAnsi="Arial" w:cs="Arial"/>
                <w:lang w:val="es-ES"/>
              </w:rPr>
            </w:pPr>
          </w:p>
        </w:tc>
      </w:tr>
      <w:tr w:rsidR="001F3849" w:rsidRPr="00B70E6E" w:rsidTr="00B70E6E">
        <w:trPr>
          <w:trHeight w:val="395"/>
        </w:trPr>
        <w:tc>
          <w:tcPr>
            <w:tcW w:w="4140" w:type="dxa"/>
          </w:tcPr>
          <w:p w:rsidR="001F3849" w:rsidRPr="00B70E6E" w:rsidRDefault="001F3849" w:rsidP="00B70E6E">
            <w:pPr>
              <w:spacing w:line="20" w:lineRule="atLeast"/>
              <w:rPr>
                <w:rFonts w:ascii="Arial" w:hAnsi="Arial" w:cs="Arial"/>
                <w:lang w:val="es-ES"/>
              </w:rPr>
            </w:pPr>
            <w:r w:rsidRPr="00B70E6E">
              <w:rPr>
                <w:rFonts w:ascii="Arial" w:hAnsi="Arial" w:cs="Arial"/>
                <w:lang w:val="es-ES"/>
              </w:rPr>
              <w:t>Costo total del proyecto o programa:</w:t>
            </w:r>
          </w:p>
        </w:tc>
        <w:tc>
          <w:tcPr>
            <w:tcW w:w="4428" w:type="dxa"/>
          </w:tcPr>
          <w:p w:rsidR="001F3849" w:rsidRPr="00B70E6E" w:rsidRDefault="001F3849" w:rsidP="00B70E6E">
            <w:pPr>
              <w:spacing w:line="20" w:lineRule="atLeast"/>
              <w:jc w:val="right"/>
              <w:rPr>
                <w:rFonts w:ascii="Arial" w:hAnsi="Arial" w:cs="Arial"/>
                <w:lang w:val="es-ES"/>
              </w:rPr>
            </w:pPr>
            <w:r w:rsidRPr="00B70E6E">
              <w:rPr>
                <w:rFonts w:ascii="Arial" w:hAnsi="Arial" w:cs="Arial"/>
                <w:lang w:val="es-ES"/>
              </w:rPr>
              <w:t>57</w:t>
            </w:r>
            <w:r w:rsidR="00B70E6E">
              <w:rPr>
                <w:rFonts w:ascii="Arial" w:hAnsi="Arial" w:cs="Arial"/>
                <w:lang w:val="es-ES"/>
              </w:rPr>
              <w:t>,</w:t>
            </w:r>
            <w:r w:rsidRPr="00B70E6E">
              <w:rPr>
                <w:rFonts w:ascii="Arial" w:hAnsi="Arial" w:cs="Arial"/>
                <w:lang w:val="es-ES"/>
              </w:rPr>
              <w:t xml:space="preserve"> 850</w:t>
            </w:r>
            <w:r w:rsidR="00B70E6E">
              <w:rPr>
                <w:rFonts w:ascii="Arial" w:hAnsi="Arial" w:cs="Arial"/>
                <w:lang w:val="es-ES"/>
              </w:rPr>
              <w:t>,000,000</w:t>
            </w:r>
          </w:p>
        </w:tc>
      </w:tr>
      <w:tr w:rsidR="001F3849" w:rsidRPr="00B70E6E" w:rsidTr="00B70E6E">
        <w:trPr>
          <w:trHeight w:val="530"/>
        </w:trPr>
        <w:tc>
          <w:tcPr>
            <w:tcW w:w="4140" w:type="dxa"/>
          </w:tcPr>
          <w:p w:rsidR="001F3849" w:rsidRPr="00B70E6E" w:rsidRDefault="001F3849" w:rsidP="00B70E6E">
            <w:pPr>
              <w:spacing w:line="20" w:lineRule="atLeast"/>
              <w:rPr>
                <w:rFonts w:ascii="Arial" w:hAnsi="Arial" w:cs="Arial"/>
                <w:lang w:val="es-ES"/>
              </w:rPr>
            </w:pPr>
            <w:r w:rsidRPr="00B70E6E">
              <w:rPr>
                <w:rFonts w:ascii="Arial" w:hAnsi="Arial" w:cs="Arial"/>
                <w:lang w:val="es-ES"/>
              </w:rPr>
              <w:t>Necesidad de Financiamiento: (en millones de pesos)</w:t>
            </w:r>
          </w:p>
        </w:tc>
        <w:tc>
          <w:tcPr>
            <w:tcW w:w="4428" w:type="dxa"/>
          </w:tcPr>
          <w:p w:rsidR="001F3849" w:rsidRPr="00B70E6E" w:rsidRDefault="00B70E6E" w:rsidP="00B70E6E">
            <w:pPr>
              <w:spacing w:line="20" w:lineRule="atLeast"/>
              <w:jc w:val="right"/>
              <w:rPr>
                <w:rFonts w:ascii="Arial" w:hAnsi="Arial" w:cs="Arial"/>
                <w:lang w:val="es-ES"/>
              </w:rPr>
            </w:pPr>
            <w:r w:rsidRPr="00B70E6E">
              <w:rPr>
                <w:rFonts w:ascii="Arial" w:hAnsi="Arial" w:cs="Arial"/>
                <w:lang w:val="es-ES"/>
              </w:rPr>
              <w:t>57</w:t>
            </w:r>
            <w:r>
              <w:rPr>
                <w:rFonts w:ascii="Arial" w:hAnsi="Arial" w:cs="Arial"/>
                <w:lang w:val="es-ES"/>
              </w:rPr>
              <w:t>,</w:t>
            </w:r>
            <w:r w:rsidRPr="00B70E6E">
              <w:rPr>
                <w:rFonts w:ascii="Arial" w:hAnsi="Arial" w:cs="Arial"/>
                <w:lang w:val="es-ES"/>
              </w:rPr>
              <w:t xml:space="preserve"> 850</w:t>
            </w:r>
            <w:r>
              <w:rPr>
                <w:rFonts w:ascii="Arial" w:hAnsi="Arial" w:cs="Arial"/>
                <w:lang w:val="es-ES"/>
              </w:rPr>
              <w:t>,000,000</w:t>
            </w:r>
          </w:p>
        </w:tc>
      </w:tr>
      <w:tr w:rsidR="001F3849" w:rsidRPr="0089701B" w:rsidTr="00A72BBC">
        <w:tc>
          <w:tcPr>
            <w:tcW w:w="4140" w:type="dxa"/>
          </w:tcPr>
          <w:p w:rsidR="001F3849" w:rsidRPr="00B70E6E" w:rsidRDefault="001F3849" w:rsidP="00B70E6E">
            <w:pPr>
              <w:spacing w:line="20" w:lineRule="atLeast"/>
              <w:rPr>
                <w:rFonts w:ascii="Arial" w:hAnsi="Arial" w:cs="Arial"/>
                <w:lang w:val="es-ES"/>
              </w:rPr>
            </w:pPr>
            <w:r w:rsidRPr="00B70E6E">
              <w:rPr>
                <w:rFonts w:ascii="Arial" w:hAnsi="Arial" w:cs="Arial"/>
                <w:lang w:val="es-ES"/>
              </w:rPr>
              <w:t>Contrapartida Local: (en millones de pesos)</w:t>
            </w:r>
          </w:p>
        </w:tc>
        <w:tc>
          <w:tcPr>
            <w:tcW w:w="4428" w:type="dxa"/>
          </w:tcPr>
          <w:p w:rsidR="001F3849" w:rsidRPr="00B70E6E" w:rsidRDefault="001F3849" w:rsidP="00B70E6E">
            <w:pPr>
              <w:spacing w:line="20" w:lineRule="atLeast"/>
              <w:rPr>
                <w:rFonts w:ascii="Arial" w:hAnsi="Arial" w:cs="Arial"/>
                <w:lang w:val="es-ES"/>
              </w:rPr>
            </w:pPr>
          </w:p>
        </w:tc>
      </w:tr>
      <w:tr w:rsidR="001F3849" w:rsidRPr="0089701B" w:rsidTr="00A72BBC">
        <w:tc>
          <w:tcPr>
            <w:tcW w:w="4140" w:type="dxa"/>
          </w:tcPr>
          <w:p w:rsidR="001F3849" w:rsidRPr="00B70E6E" w:rsidRDefault="001F3849" w:rsidP="00B70E6E">
            <w:pPr>
              <w:spacing w:line="20" w:lineRule="atLeast"/>
              <w:rPr>
                <w:rFonts w:ascii="Arial" w:hAnsi="Arial" w:cs="Arial"/>
                <w:lang w:val="es-ES"/>
              </w:rPr>
            </w:pPr>
            <w:r w:rsidRPr="00B70E6E">
              <w:rPr>
                <w:rFonts w:ascii="Arial" w:hAnsi="Arial" w:cs="Arial"/>
                <w:lang w:val="es-ES"/>
              </w:rPr>
              <w:t>Periodo de Desembolso (incluye periodo de ejecución):</w:t>
            </w:r>
          </w:p>
        </w:tc>
        <w:tc>
          <w:tcPr>
            <w:tcW w:w="4428" w:type="dxa"/>
          </w:tcPr>
          <w:p w:rsidR="001F3849" w:rsidRPr="00B70E6E" w:rsidRDefault="001F3849" w:rsidP="00B70E6E">
            <w:pPr>
              <w:spacing w:line="20" w:lineRule="atLeast"/>
              <w:rPr>
                <w:rFonts w:ascii="Arial" w:hAnsi="Arial" w:cs="Arial"/>
                <w:lang w:val="es-ES"/>
              </w:rPr>
            </w:pPr>
          </w:p>
        </w:tc>
      </w:tr>
      <w:tr w:rsidR="001F3849" w:rsidRPr="0089701B" w:rsidTr="00A72BBC">
        <w:tc>
          <w:tcPr>
            <w:tcW w:w="4140" w:type="dxa"/>
          </w:tcPr>
          <w:p w:rsidR="001F3849" w:rsidRPr="00B70E6E" w:rsidRDefault="001F3849" w:rsidP="00B70E6E">
            <w:pPr>
              <w:spacing w:line="20" w:lineRule="atLeast"/>
              <w:rPr>
                <w:rFonts w:ascii="Arial" w:hAnsi="Arial" w:cs="Arial"/>
                <w:lang w:val="es-ES"/>
              </w:rPr>
            </w:pPr>
            <w:r w:rsidRPr="00B70E6E">
              <w:rPr>
                <w:rFonts w:ascii="Arial" w:hAnsi="Arial" w:cs="Arial"/>
                <w:lang w:val="es-ES"/>
              </w:rPr>
              <w:t>Fecha de Inicio: (se puede incluir proyectos o programas en ejecución siempre que se hayan iniciado en el 2015)</w:t>
            </w:r>
          </w:p>
        </w:tc>
        <w:tc>
          <w:tcPr>
            <w:tcW w:w="4428" w:type="dxa"/>
          </w:tcPr>
          <w:p w:rsidR="001F3849" w:rsidRPr="00B70E6E" w:rsidRDefault="001F3849" w:rsidP="00B70E6E">
            <w:pPr>
              <w:spacing w:line="20" w:lineRule="atLeast"/>
              <w:rPr>
                <w:rFonts w:ascii="Arial" w:hAnsi="Arial" w:cs="Arial"/>
                <w:lang w:val="es-ES"/>
              </w:rPr>
            </w:pPr>
          </w:p>
        </w:tc>
      </w:tr>
    </w:tbl>
    <w:p w:rsidR="00B70E6E" w:rsidRDefault="00B70E6E" w:rsidP="00B70E6E">
      <w:pPr>
        <w:spacing w:after="0" w:line="20" w:lineRule="atLeast"/>
        <w:ind w:left="360"/>
        <w:rPr>
          <w:rFonts w:ascii="Arial" w:hAnsi="Arial" w:cs="Arial"/>
          <w:b/>
          <w:lang w:val="es-ES"/>
        </w:rPr>
      </w:pPr>
    </w:p>
    <w:p w:rsidR="001F3849" w:rsidRDefault="001F3849" w:rsidP="00C311DC">
      <w:pPr>
        <w:numPr>
          <w:ilvl w:val="0"/>
          <w:numId w:val="3"/>
        </w:numPr>
        <w:spacing w:after="0" w:line="20" w:lineRule="atLeast"/>
        <w:rPr>
          <w:rFonts w:ascii="Arial" w:hAnsi="Arial" w:cs="Arial"/>
          <w:b/>
          <w:lang w:val="es-ES"/>
        </w:rPr>
      </w:pPr>
      <w:r w:rsidRPr="00B70E6E">
        <w:rPr>
          <w:rFonts w:ascii="Arial" w:hAnsi="Arial" w:cs="Arial"/>
          <w:b/>
          <w:lang w:val="es-ES"/>
        </w:rPr>
        <w:t xml:space="preserve">Descripción Básica del Proyecto </w:t>
      </w:r>
    </w:p>
    <w:p w:rsidR="00B70E6E" w:rsidRPr="00B70E6E" w:rsidRDefault="00B70E6E" w:rsidP="00B70E6E">
      <w:pPr>
        <w:spacing w:after="0" w:line="20" w:lineRule="atLeast"/>
        <w:ind w:left="360"/>
        <w:rPr>
          <w:rFonts w:ascii="Arial" w:hAnsi="Arial" w:cs="Arial"/>
          <w:b/>
          <w:lang w:val="es-ES"/>
        </w:rPr>
      </w:pPr>
    </w:p>
    <w:p w:rsidR="001F3849" w:rsidRDefault="001F3849" w:rsidP="00C311DC">
      <w:pPr>
        <w:numPr>
          <w:ilvl w:val="1"/>
          <w:numId w:val="3"/>
        </w:numPr>
        <w:spacing w:after="0" w:line="20" w:lineRule="atLeast"/>
        <w:rPr>
          <w:rFonts w:ascii="Arial" w:hAnsi="Arial" w:cs="Arial"/>
          <w:lang w:val="es-ES"/>
        </w:rPr>
      </w:pPr>
      <w:r w:rsidRPr="00B70E6E">
        <w:rPr>
          <w:rFonts w:ascii="Arial" w:hAnsi="Arial" w:cs="Arial"/>
          <w:b/>
          <w:lang w:val="es-ES"/>
        </w:rPr>
        <w:t>Problema</w:t>
      </w:r>
      <w:r w:rsidRPr="00B70E6E">
        <w:rPr>
          <w:rFonts w:ascii="Arial" w:hAnsi="Arial" w:cs="Arial"/>
          <w:lang w:val="es-ES"/>
        </w:rPr>
        <w:t>: En la actualidad se registra en Montería un total de 7,5 hectáreas de espacio libre por cada 100.000 habitantes, ubicándose en un rango intermedio en relación con el parámetro de referencia ICES, indicador que puede mejorarse a partir de las diferentes iniciativas para el acondicionamiento de los parques existentes y el incremento de espacio público en la ciudad, tanto en la margen derecha como en la izquierda.</w:t>
      </w:r>
    </w:p>
    <w:p w:rsidR="00B70E6E" w:rsidRPr="00B70E6E" w:rsidRDefault="00B70E6E" w:rsidP="00B70E6E">
      <w:pPr>
        <w:spacing w:after="0" w:line="20" w:lineRule="atLeast"/>
        <w:ind w:left="720"/>
        <w:rPr>
          <w:rFonts w:ascii="Arial" w:hAnsi="Arial" w:cs="Arial"/>
          <w:lang w:val="es-ES"/>
        </w:rPr>
      </w:pPr>
    </w:p>
    <w:p w:rsidR="001F3849" w:rsidRDefault="001F3849" w:rsidP="00C311DC">
      <w:pPr>
        <w:numPr>
          <w:ilvl w:val="1"/>
          <w:numId w:val="3"/>
        </w:numPr>
        <w:spacing w:after="0" w:line="20" w:lineRule="atLeast"/>
        <w:rPr>
          <w:rFonts w:ascii="Arial" w:hAnsi="Arial" w:cs="Arial"/>
          <w:lang w:val="es-ES"/>
        </w:rPr>
      </w:pPr>
      <w:r w:rsidRPr="00B70E6E">
        <w:rPr>
          <w:rFonts w:ascii="Arial" w:hAnsi="Arial" w:cs="Arial"/>
          <w:b/>
          <w:lang w:val="es-ES"/>
        </w:rPr>
        <w:t>Objetivo:</w:t>
      </w:r>
      <w:r w:rsidRPr="00B70E6E">
        <w:rPr>
          <w:rFonts w:ascii="Arial" w:hAnsi="Arial" w:cs="Arial"/>
          <w:lang w:val="es-ES"/>
        </w:rPr>
        <w:t xml:space="preserve"> Ejecutar las obras de espacio público de la ronda de la margen izquierda y ronda sur del Parque Agroturístico Ronda Río Sinú</w:t>
      </w:r>
    </w:p>
    <w:p w:rsidR="00B70E6E" w:rsidRPr="00B70E6E" w:rsidRDefault="00B70E6E" w:rsidP="00B70E6E">
      <w:pPr>
        <w:spacing w:after="0" w:line="20" w:lineRule="atLeast"/>
        <w:ind w:left="720"/>
        <w:rPr>
          <w:rFonts w:ascii="Arial" w:hAnsi="Arial" w:cs="Arial"/>
          <w:lang w:val="es-ES"/>
        </w:rPr>
      </w:pPr>
    </w:p>
    <w:p w:rsidR="001F3849" w:rsidRDefault="001F3849" w:rsidP="00C311DC">
      <w:pPr>
        <w:numPr>
          <w:ilvl w:val="1"/>
          <w:numId w:val="3"/>
        </w:numPr>
        <w:spacing w:after="0" w:line="20" w:lineRule="atLeast"/>
        <w:rPr>
          <w:rFonts w:ascii="Arial" w:hAnsi="Arial" w:cs="Arial"/>
          <w:lang w:val="es-ES"/>
        </w:rPr>
      </w:pPr>
      <w:r w:rsidRPr="00B70E6E">
        <w:rPr>
          <w:rFonts w:ascii="Arial" w:hAnsi="Arial" w:cs="Arial"/>
          <w:b/>
          <w:lang w:val="es-ES"/>
        </w:rPr>
        <w:t>Situación actual</w:t>
      </w:r>
      <w:r w:rsidRPr="00B70E6E">
        <w:rPr>
          <w:rFonts w:ascii="Arial" w:hAnsi="Arial" w:cs="Arial"/>
          <w:lang w:val="es-ES"/>
        </w:rPr>
        <w:t>: Diseños y presupuesto en fase III elaborados con recursos de Fontur. La ciudad está gestionando recursos para contratar la ejecución de un tramo de 600 metros lineales en la ronda Sur con el Ministerio de Comercio, Industria y Turismo por 5 mil  millones y para la margen izquierda por valor de 3.500 millones con recursos propios</w:t>
      </w:r>
    </w:p>
    <w:p w:rsidR="001F3849" w:rsidRPr="00B70E6E" w:rsidRDefault="001F3849" w:rsidP="00C311DC">
      <w:pPr>
        <w:numPr>
          <w:ilvl w:val="1"/>
          <w:numId w:val="3"/>
        </w:numPr>
        <w:spacing w:after="0" w:line="20" w:lineRule="atLeast"/>
        <w:rPr>
          <w:rFonts w:ascii="Arial" w:hAnsi="Arial" w:cs="Arial"/>
          <w:lang w:val="es-ES"/>
        </w:rPr>
      </w:pPr>
      <w:r w:rsidRPr="00B70E6E">
        <w:rPr>
          <w:rFonts w:ascii="Arial" w:hAnsi="Arial" w:cs="Arial"/>
          <w:b/>
          <w:lang w:val="es-ES"/>
        </w:rPr>
        <w:lastRenderedPageBreak/>
        <w:t xml:space="preserve">Componentes Principales: </w:t>
      </w:r>
    </w:p>
    <w:p w:rsidR="00B70E6E" w:rsidRDefault="00B70E6E" w:rsidP="00B70E6E">
      <w:pPr>
        <w:spacing w:after="0" w:line="20" w:lineRule="atLeast"/>
        <w:ind w:left="1080"/>
        <w:rPr>
          <w:rFonts w:ascii="Arial" w:hAnsi="Arial" w:cs="Arial"/>
          <w:lang w:val="es-ES"/>
        </w:rPr>
      </w:pPr>
    </w:p>
    <w:p w:rsidR="001F3849" w:rsidRPr="006D15E4" w:rsidRDefault="001F3849" w:rsidP="006D15E4">
      <w:pPr>
        <w:pStyle w:val="ListParagraph"/>
        <w:numPr>
          <w:ilvl w:val="0"/>
          <w:numId w:val="15"/>
        </w:numPr>
        <w:spacing w:after="0" w:line="20" w:lineRule="atLeast"/>
        <w:ind w:left="990"/>
        <w:rPr>
          <w:rFonts w:ascii="Arial" w:hAnsi="Arial" w:cs="Arial"/>
          <w:lang w:val="es-ES"/>
        </w:rPr>
      </w:pPr>
      <w:r w:rsidRPr="006D15E4">
        <w:rPr>
          <w:rFonts w:ascii="Arial" w:hAnsi="Arial" w:cs="Arial"/>
          <w:lang w:val="es-ES"/>
        </w:rPr>
        <w:t>Ejecución</w:t>
      </w:r>
    </w:p>
    <w:p w:rsidR="001F3849" w:rsidRPr="006D15E4" w:rsidRDefault="001F3849" w:rsidP="006D15E4">
      <w:pPr>
        <w:pStyle w:val="ListParagraph"/>
        <w:numPr>
          <w:ilvl w:val="0"/>
          <w:numId w:val="15"/>
        </w:numPr>
        <w:spacing w:after="0" w:line="20" w:lineRule="atLeast"/>
        <w:ind w:left="990"/>
        <w:rPr>
          <w:rFonts w:ascii="Arial" w:hAnsi="Arial" w:cs="Arial"/>
          <w:lang w:val="es-ES"/>
        </w:rPr>
      </w:pPr>
      <w:r w:rsidRPr="006D15E4">
        <w:rPr>
          <w:rFonts w:ascii="Arial" w:hAnsi="Arial" w:cs="Arial"/>
          <w:lang w:val="es-ES"/>
        </w:rPr>
        <w:t>Interventoría</w:t>
      </w:r>
    </w:p>
    <w:p w:rsidR="00B70E6E" w:rsidRPr="00B70E6E" w:rsidRDefault="00B70E6E" w:rsidP="00B70E6E">
      <w:pPr>
        <w:spacing w:after="0" w:line="20" w:lineRule="atLeast"/>
        <w:ind w:left="1080"/>
        <w:rPr>
          <w:rFonts w:ascii="Arial" w:hAnsi="Arial" w:cs="Arial"/>
          <w:lang w:val="es-ES"/>
        </w:rPr>
      </w:pPr>
    </w:p>
    <w:p w:rsidR="00B70E6E" w:rsidRDefault="001F3849" w:rsidP="00C311DC">
      <w:pPr>
        <w:numPr>
          <w:ilvl w:val="0"/>
          <w:numId w:val="3"/>
        </w:numPr>
        <w:spacing w:after="0" w:line="20" w:lineRule="atLeast"/>
        <w:rPr>
          <w:rFonts w:ascii="Arial" w:hAnsi="Arial" w:cs="Arial"/>
          <w:b/>
          <w:lang w:val="es-ES"/>
        </w:rPr>
      </w:pPr>
      <w:r w:rsidRPr="00B70E6E">
        <w:rPr>
          <w:rFonts w:ascii="Arial" w:hAnsi="Arial" w:cs="Arial"/>
          <w:b/>
          <w:lang w:val="es-ES"/>
        </w:rPr>
        <w:t xml:space="preserve">Matriz de Resultados: </w:t>
      </w:r>
    </w:p>
    <w:p w:rsidR="00B70E6E" w:rsidRDefault="00B70E6E" w:rsidP="00B70E6E">
      <w:pPr>
        <w:spacing w:after="0" w:line="20" w:lineRule="atLeast"/>
        <w:ind w:left="360"/>
        <w:rPr>
          <w:rFonts w:ascii="Arial" w:hAnsi="Arial" w:cs="Arial"/>
          <w:b/>
          <w:lang w:val="es-ES"/>
        </w:rPr>
      </w:pPr>
    </w:p>
    <w:p w:rsidR="001F3849" w:rsidRPr="00B70E6E" w:rsidRDefault="001F3849" w:rsidP="00B70E6E">
      <w:pPr>
        <w:spacing w:after="0" w:line="20" w:lineRule="atLeast"/>
        <w:ind w:left="360"/>
        <w:jc w:val="both"/>
        <w:rPr>
          <w:rFonts w:ascii="Arial" w:hAnsi="Arial" w:cs="Arial"/>
          <w:b/>
          <w:lang w:val="es-ES"/>
        </w:rPr>
      </w:pPr>
      <w:r w:rsidRPr="00B70E6E">
        <w:rPr>
          <w:rFonts w:ascii="Arial" w:hAnsi="Arial" w:cs="Arial"/>
          <w:lang w:val="es-ES"/>
        </w:rPr>
        <w:t>Contar con una red de corredores verdes que articule el sistema ambiental con los sistemas de espacio público y de movilidad genera para la ciudad condiciones de confort urbano que impacta de manera directa en la calidad de vida de los habitantes. El fomento de modos no motorizados de transporte como el peatonal y la bicicleta contribuyen a la reducción de emisiones de GEI, además, la arborización propuesta se convierte en un mecanismo para su absorción. Un beneficio asociado a esta estrategia para incrementar el espacio público es la recuperación de sectores urbanos, tanto en términos físicos como en la generación de nuevos usos y actividades asociados a comercio y servicios que dinamizan estas áreas y fomentan actividades de ocio y cultura que a su vez contribuyen a la identidad y la cohesión social.</w:t>
      </w:r>
    </w:p>
    <w:p w:rsidR="00B70E6E" w:rsidRPr="00B70E6E" w:rsidRDefault="00B70E6E" w:rsidP="00B70E6E">
      <w:pPr>
        <w:spacing w:after="0" w:line="20" w:lineRule="atLeast"/>
        <w:ind w:left="720"/>
        <w:rPr>
          <w:rFonts w:ascii="Arial" w:hAnsi="Arial" w:cs="Arial"/>
          <w:b/>
          <w:lang w:val="es-ES"/>
        </w:rPr>
      </w:pPr>
    </w:p>
    <w:p w:rsidR="001F3849" w:rsidRDefault="001F3849" w:rsidP="00B70E6E">
      <w:pPr>
        <w:spacing w:after="0" w:line="20" w:lineRule="atLeast"/>
        <w:jc w:val="center"/>
        <w:rPr>
          <w:rFonts w:ascii="Arial" w:hAnsi="Arial" w:cs="Arial"/>
          <w:b/>
          <w:lang w:val="es-ES"/>
        </w:rPr>
      </w:pPr>
      <w:r w:rsidRPr="00B70E6E">
        <w:rPr>
          <w:rFonts w:ascii="Arial" w:hAnsi="Arial" w:cs="Arial"/>
          <w:b/>
          <w:lang w:val="es-ES"/>
        </w:rPr>
        <w:t>Matriz de Resultados Indicativa</w:t>
      </w:r>
    </w:p>
    <w:p w:rsidR="00C311DC" w:rsidRPr="00B70E6E" w:rsidRDefault="00C311DC" w:rsidP="00B70E6E">
      <w:pPr>
        <w:spacing w:after="0" w:line="20" w:lineRule="atLeast"/>
        <w:jc w:val="center"/>
        <w:rPr>
          <w:rFonts w:ascii="Arial" w:hAnsi="Arial" w:cs="Arial"/>
          <w:b/>
          <w:lang w:val="es-ES"/>
        </w:rPr>
      </w:pPr>
    </w:p>
    <w:tbl>
      <w:tblPr>
        <w:tblStyle w:val="TableGrid"/>
        <w:tblW w:w="0" w:type="auto"/>
        <w:jc w:val="center"/>
        <w:tblInd w:w="-786" w:type="dxa"/>
        <w:tblLook w:val="04A0" w:firstRow="1" w:lastRow="0" w:firstColumn="1" w:lastColumn="0" w:noHBand="0" w:noVBand="1"/>
      </w:tblPr>
      <w:tblGrid>
        <w:gridCol w:w="3298"/>
        <w:gridCol w:w="2511"/>
        <w:gridCol w:w="1440"/>
        <w:gridCol w:w="2160"/>
      </w:tblGrid>
      <w:tr w:rsidR="001F3849" w:rsidRPr="00B70E6E" w:rsidTr="00B70E6E">
        <w:trPr>
          <w:trHeight w:val="314"/>
          <w:jc w:val="center"/>
        </w:trPr>
        <w:tc>
          <w:tcPr>
            <w:tcW w:w="3298" w:type="dxa"/>
            <w:shd w:val="clear" w:color="auto" w:fill="C2D69B" w:themeFill="accent3" w:themeFillTint="99"/>
            <w:vAlign w:val="center"/>
          </w:tcPr>
          <w:p w:rsidR="001F3849" w:rsidRPr="00B70E6E" w:rsidRDefault="00B70E6E"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Indicadores</w:t>
            </w:r>
          </w:p>
        </w:tc>
        <w:tc>
          <w:tcPr>
            <w:tcW w:w="2511"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Línea de Base (Inicio)</w:t>
            </w:r>
          </w:p>
        </w:tc>
        <w:tc>
          <w:tcPr>
            <w:tcW w:w="1440"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Meta</w:t>
            </w:r>
          </w:p>
        </w:tc>
        <w:tc>
          <w:tcPr>
            <w:tcW w:w="2160"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Medio de Verificación</w:t>
            </w:r>
          </w:p>
        </w:tc>
      </w:tr>
      <w:tr w:rsidR="001F3849" w:rsidRPr="00B70E6E" w:rsidTr="00C311DC">
        <w:trPr>
          <w:trHeight w:val="629"/>
          <w:jc w:val="center"/>
        </w:trPr>
        <w:tc>
          <w:tcPr>
            <w:tcW w:w="3298" w:type="dxa"/>
            <w:vAlign w:val="center"/>
          </w:tcPr>
          <w:p w:rsidR="001F3849" w:rsidRPr="00B70E6E" w:rsidRDefault="001F3849" w:rsidP="00B70E6E">
            <w:pPr>
              <w:spacing w:line="20" w:lineRule="atLeast"/>
              <w:rPr>
                <w:rFonts w:ascii="Arial" w:hAnsi="Arial" w:cs="Arial"/>
                <w:sz w:val="18"/>
                <w:szCs w:val="18"/>
                <w:lang w:val="es-ES"/>
              </w:rPr>
            </w:pPr>
            <w:r w:rsidRPr="00B70E6E">
              <w:rPr>
                <w:rFonts w:ascii="Arial" w:hAnsi="Arial" w:cs="Arial"/>
                <w:sz w:val="18"/>
                <w:szCs w:val="18"/>
                <w:lang w:val="es-ES"/>
              </w:rPr>
              <w:t>Indicador de Impacto</w:t>
            </w:r>
            <w:r w:rsidRPr="00B70E6E">
              <w:rPr>
                <w:rFonts w:ascii="Arial" w:hAnsi="Arial" w:cs="Arial"/>
                <w:sz w:val="18"/>
                <w:szCs w:val="18"/>
                <w:lang w:val="es-CO"/>
              </w:rPr>
              <w:t xml:space="preserve"> </w:t>
            </w:r>
            <w:r w:rsidRPr="00B70E6E">
              <w:rPr>
                <w:rFonts w:ascii="Arial" w:hAnsi="Arial" w:cs="Arial"/>
                <w:sz w:val="18"/>
                <w:szCs w:val="18"/>
                <w:lang w:val="es-ES"/>
              </w:rPr>
              <w:t>Espacios públicos de recreación x 100.000 hbts</w:t>
            </w:r>
          </w:p>
        </w:tc>
        <w:tc>
          <w:tcPr>
            <w:tcW w:w="2511" w:type="dxa"/>
            <w:vAlign w:val="center"/>
          </w:tcPr>
          <w:p w:rsidR="001F3849" w:rsidRPr="00B70E6E" w:rsidRDefault="001F3849" w:rsidP="00B70E6E">
            <w:pPr>
              <w:spacing w:line="20" w:lineRule="atLeast"/>
              <w:rPr>
                <w:rFonts w:ascii="Arial" w:hAnsi="Arial" w:cs="Arial"/>
                <w:sz w:val="18"/>
                <w:szCs w:val="18"/>
                <w:lang w:val="es-ES"/>
              </w:rPr>
            </w:pPr>
            <w:r w:rsidRPr="00B70E6E">
              <w:rPr>
                <w:rFonts w:ascii="Arial" w:hAnsi="Arial" w:cs="Arial"/>
                <w:sz w:val="18"/>
                <w:szCs w:val="18"/>
                <w:lang w:val="es-ES"/>
              </w:rPr>
              <w:t>7,5</w:t>
            </w:r>
          </w:p>
        </w:tc>
        <w:tc>
          <w:tcPr>
            <w:tcW w:w="1440" w:type="dxa"/>
            <w:vAlign w:val="center"/>
          </w:tcPr>
          <w:p w:rsidR="001F3849" w:rsidRPr="00B70E6E" w:rsidRDefault="001F3849" w:rsidP="00B70E6E">
            <w:pPr>
              <w:spacing w:line="20" w:lineRule="atLeast"/>
              <w:rPr>
                <w:rFonts w:ascii="Arial" w:hAnsi="Arial" w:cs="Arial"/>
                <w:sz w:val="18"/>
                <w:szCs w:val="18"/>
                <w:lang w:val="es-ES"/>
              </w:rPr>
            </w:pPr>
            <w:r w:rsidRPr="00B70E6E">
              <w:rPr>
                <w:rFonts w:ascii="Arial" w:hAnsi="Arial" w:cs="Arial"/>
                <w:sz w:val="18"/>
                <w:szCs w:val="18"/>
                <w:lang w:val="es-ES"/>
              </w:rPr>
              <w:t>12,26</w:t>
            </w:r>
          </w:p>
        </w:tc>
        <w:tc>
          <w:tcPr>
            <w:tcW w:w="2160" w:type="dxa"/>
            <w:vAlign w:val="center"/>
          </w:tcPr>
          <w:p w:rsidR="001F3849" w:rsidRPr="00B70E6E" w:rsidRDefault="001F3849" w:rsidP="00B70E6E">
            <w:pPr>
              <w:spacing w:line="20" w:lineRule="atLeast"/>
              <w:rPr>
                <w:rFonts w:ascii="Arial" w:hAnsi="Arial" w:cs="Arial"/>
                <w:sz w:val="18"/>
                <w:szCs w:val="18"/>
                <w:lang w:val="es-ES"/>
              </w:rPr>
            </w:pPr>
            <w:r w:rsidRPr="00B70E6E">
              <w:rPr>
                <w:rFonts w:ascii="Arial" w:hAnsi="Arial" w:cs="Arial"/>
                <w:sz w:val="18"/>
                <w:szCs w:val="18"/>
                <w:lang w:val="es-ES"/>
              </w:rPr>
              <w:t>Secretaría de Planeación Municipal</w:t>
            </w:r>
          </w:p>
        </w:tc>
      </w:tr>
    </w:tbl>
    <w:p w:rsidR="001F3849" w:rsidRPr="00B70E6E" w:rsidRDefault="001F3849" w:rsidP="00B70E6E">
      <w:pPr>
        <w:spacing w:after="0" w:line="20" w:lineRule="atLeast"/>
        <w:rPr>
          <w:rFonts w:ascii="Arial" w:hAnsi="Arial" w:cs="Arial"/>
          <w:b/>
          <w:lang w:val="es-ES"/>
        </w:rPr>
      </w:pPr>
    </w:p>
    <w:p w:rsidR="00B70E6E" w:rsidRDefault="001F3849" w:rsidP="00C311DC">
      <w:pPr>
        <w:numPr>
          <w:ilvl w:val="0"/>
          <w:numId w:val="3"/>
        </w:numPr>
        <w:spacing w:after="0" w:line="20" w:lineRule="atLeast"/>
        <w:rPr>
          <w:rFonts w:ascii="Arial" w:hAnsi="Arial" w:cs="Arial"/>
          <w:b/>
          <w:lang w:val="es-ES"/>
        </w:rPr>
      </w:pPr>
      <w:r w:rsidRPr="00B70E6E">
        <w:rPr>
          <w:rFonts w:ascii="Arial" w:hAnsi="Arial" w:cs="Arial"/>
          <w:b/>
          <w:lang w:val="es-ES"/>
        </w:rPr>
        <w:t xml:space="preserve">Presupuesto </w:t>
      </w:r>
      <w:r w:rsidR="00B70E6E">
        <w:rPr>
          <w:rFonts w:ascii="Arial" w:hAnsi="Arial" w:cs="Arial"/>
          <w:b/>
          <w:lang w:val="es-ES"/>
        </w:rPr>
        <w:t>indicativo</w:t>
      </w:r>
    </w:p>
    <w:p w:rsidR="001F3849" w:rsidRPr="00B70E6E" w:rsidRDefault="001F3849" w:rsidP="00B70E6E">
      <w:pPr>
        <w:spacing w:after="0" w:line="20" w:lineRule="atLeast"/>
        <w:rPr>
          <w:rFonts w:ascii="Arial" w:hAnsi="Arial" w:cs="Arial"/>
          <w:b/>
          <w:lang w:val="es-ES"/>
        </w:rPr>
      </w:pPr>
    </w:p>
    <w:tbl>
      <w:tblPr>
        <w:tblStyle w:val="TableGrid"/>
        <w:tblW w:w="9324" w:type="dxa"/>
        <w:jc w:val="center"/>
        <w:tblLayout w:type="fixed"/>
        <w:tblLook w:val="04A0" w:firstRow="1" w:lastRow="0" w:firstColumn="1" w:lastColumn="0" w:noHBand="0" w:noVBand="1"/>
      </w:tblPr>
      <w:tblGrid>
        <w:gridCol w:w="2291"/>
        <w:gridCol w:w="1741"/>
        <w:gridCol w:w="1736"/>
        <w:gridCol w:w="1900"/>
        <w:gridCol w:w="1656"/>
      </w:tblGrid>
      <w:tr w:rsidR="001F3849" w:rsidRPr="00B70E6E" w:rsidTr="00B70E6E">
        <w:trPr>
          <w:jc w:val="center"/>
        </w:trPr>
        <w:tc>
          <w:tcPr>
            <w:tcW w:w="2291" w:type="dxa"/>
            <w:shd w:val="clear" w:color="auto" w:fill="C2D69B" w:themeFill="accent3" w:themeFillTint="99"/>
            <w:vAlign w:val="center"/>
          </w:tcPr>
          <w:p w:rsidR="001F3849" w:rsidRPr="00B70E6E" w:rsidRDefault="00B70E6E" w:rsidP="00B70E6E">
            <w:pPr>
              <w:spacing w:line="20" w:lineRule="atLeast"/>
              <w:jc w:val="center"/>
              <w:rPr>
                <w:rFonts w:ascii="Arial" w:hAnsi="Arial" w:cs="Arial"/>
                <w:b/>
                <w:sz w:val="18"/>
                <w:szCs w:val="18"/>
                <w:lang w:val="es-ES"/>
              </w:rPr>
            </w:pPr>
            <w:r>
              <w:rPr>
                <w:rFonts w:ascii="Arial" w:hAnsi="Arial" w:cs="Arial"/>
                <w:b/>
                <w:sz w:val="18"/>
                <w:szCs w:val="18"/>
                <w:lang w:val="es-ES"/>
              </w:rPr>
              <w:t>Componente</w:t>
            </w:r>
          </w:p>
        </w:tc>
        <w:tc>
          <w:tcPr>
            <w:tcW w:w="1741"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Fuente de Recursos 1</w:t>
            </w:r>
          </w:p>
        </w:tc>
        <w:tc>
          <w:tcPr>
            <w:tcW w:w="1736"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Fuente de Recursos 2</w:t>
            </w:r>
          </w:p>
        </w:tc>
        <w:tc>
          <w:tcPr>
            <w:tcW w:w="1900"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Financiamiento Solicitado</w:t>
            </w:r>
          </w:p>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(FINDETER-BID)</w:t>
            </w:r>
          </w:p>
        </w:tc>
        <w:tc>
          <w:tcPr>
            <w:tcW w:w="1656"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Costo</w:t>
            </w:r>
          </w:p>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Total</w:t>
            </w:r>
          </w:p>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(en Millones de Pesos)</w:t>
            </w:r>
          </w:p>
        </w:tc>
      </w:tr>
      <w:tr w:rsidR="001F3849" w:rsidRPr="00B70E6E" w:rsidTr="00C311DC">
        <w:trPr>
          <w:trHeight w:val="368"/>
          <w:jc w:val="center"/>
        </w:trPr>
        <w:tc>
          <w:tcPr>
            <w:tcW w:w="2291" w:type="dxa"/>
            <w:vAlign w:val="center"/>
          </w:tcPr>
          <w:p w:rsidR="001F3849" w:rsidRPr="00C311DC" w:rsidRDefault="001F3849" w:rsidP="00C311DC">
            <w:pPr>
              <w:spacing w:line="20" w:lineRule="atLeast"/>
              <w:rPr>
                <w:rFonts w:ascii="Arial" w:hAnsi="Arial" w:cs="Arial"/>
                <w:sz w:val="18"/>
                <w:szCs w:val="18"/>
                <w:lang w:val="es-ES"/>
              </w:rPr>
            </w:pPr>
            <w:r w:rsidRPr="00C311DC">
              <w:rPr>
                <w:rFonts w:ascii="Arial" w:hAnsi="Arial" w:cs="Arial"/>
                <w:sz w:val="18"/>
                <w:szCs w:val="18"/>
                <w:lang w:val="es-ES"/>
              </w:rPr>
              <w:t>Componente 1 Ejecución</w:t>
            </w:r>
          </w:p>
        </w:tc>
        <w:tc>
          <w:tcPr>
            <w:tcW w:w="1741" w:type="dxa"/>
            <w:vAlign w:val="center"/>
          </w:tcPr>
          <w:p w:rsidR="001F3849" w:rsidRPr="00C311DC" w:rsidRDefault="001F3849" w:rsidP="00C311DC">
            <w:pPr>
              <w:spacing w:line="20" w:lineRule="atLeast"/>
              <w:jc w:val="right"/>
              <w:rPr>
                <w:rFonts w:ascii="Arial" w:hAnsi="Arial" w:cs="Arial"/>
                <w:sz w:val="18"/>
                <w:szCs w:val="18"/>
                <w:lang w:val="es-ES"/>
              </w:rPr>
            </w:pPr>
          </w:p>
        </w:tc>
        <w:tc>
          <w:tcPr>
            <w:tcW w:w="1736" w:type="dxa"/>
            <w:vAlign w:val="center"/>
          </w:tcPr>
          <w:p w:rsidR="001F3849" w:rsidRPr="00C311DC" w:rsidRDefault="001F3849" w:rsidP="00C311DC">
            <w:pPr>
              <w:spacing w:line="20" w:lineRule="atLeast"/>
              <w:jc w:val="right"/>
              <w:rPr>
                <w:rFonts w:ascii="Arial" w:hAnsi="Arial" w:cs="Arial"/>
                <w:sz w:val="18"/>
                <w:szCs w:val="18"/>
                <w:lang w:val="es-ES"/>
              </w:rPr>
            </w:pPr>
          </w:p>
        </w:tc>
        <w:tc>
          <w:tcPr>
            <w:tcW w:w="1900" w:type="dxa"/>
            <w:vAlign w:val="center"/>
          </w:tcPr>
          <w:p w:rsidR="001F3849" w:rsidRPr="00C311DC" w:rsidRDefault="001F3849" w:rsidP="00C311DC">
            <w:pPr>
              <w:spacing w:line="20" w:lineRule="atLeast"/>
              <w:jc w:val="right"/>
              <w:rPr>
                <w:rFonts w:ascii="Arial" w:hAnsi="Arial" w:cs="Arial"/>
                <w:sz w:val="18"/>
                <w:szCs w:val="18"/>
                <w:lang w:val="es-ES"/>
              </w:rPr>
            </w:pPr>
            <w:r w:rsidRPr="00C311DC">
              <w:rPr>
                <w:rFonts w:ascii="Arial" w:hAnsi="Arial" w:cs="Arial"/>
                <w:sz w:val="18"/>
                <w:szCs w:val="18"/>
                <w:lang w:val="es-ES"/>
              </w:rPr>
              <w:t>54</w:t>
            </w:r>
            <w:r w:rsidR="00C311DC" w:rsidRPr="00C311DC">
              <w:rPr>
                <w:rFonts w:ascii="Arial" w:hAnsi="Arial" w:cs="Arial"/>
                <w:sz w:val="18"/>
                <w:szCs w:val="18"/>
                <w:lang w:val="es-ES"/>
              </w:rPr>
              <w:t>,000,000,000</w:t>
            </w:r>
            <w:r w:rsidRPr="00C311DC">
              <w:rPr>
                <w:rFonts w:ascii="Arial" w:hAnsi="Arial" w:cs="Arial"/>
                <w:sz w:val="18"/>
                <w:szCs w:val="18"/>
                <w:lang w:val="es-ES"/>
              </w:rPr>
              <w:t xml:space="preserve"> </w:t>
            </w:r>
          </w:p>
        </w:tc>
        <w:tc>
          <w:tcPr>
            <w:tcW w:w="1656" w:type="dxa"/>
            <w:vAlign w:val="center"/>
          </w:tcPr>
          <w:p w:rsidR="001F3849" w:rsidRPr="00B70E6E" w:rsidRDefault="001F3849" w:rsidP="00B70E6E">
            <w:pPr>
              <w:spacing w:line="20" w:lineRule="atLeast"/>
              <w:rPr>
                <w:rFonts w:ascii="Arial" w:hAnsi="Arial" w:cs="Arial"/>
                <w:b/>
                <w:sz w:val="18"/>
                <w:szCs w:val="18"/>
                <w:lang w:val="es-ES"/>
              </w:rPr>
            </w:pPr>
          </w:p>
        </w:tc>
      </w:tr>
      <w:tr w:rsidR="001F3849" w:rsidRPr="00B70E6E" w:rsidTr="00B70E6E">
        <w:trPr>
          <w:jc w:val="center"/>
        </w:trPr>
        <w:tc>
          <w:tcPr>
            <w:tcW w:w="2291" w:type="dxa"/>
            <w:vAlign w:val="center"/>
          </w:tcPr>
          <w:p w:rsidR="001F3849" w:rsidRPr="00C311DC" w:rsidRDefault="001F3849" w:rsidP="00C311DC">
            <w:pPr>
              <w:spacing w:line="20" w:lineRule="atLeast"/>
              <w:rPr>
                <w:rFonts w:ascii="Arial" w:hAnsi="Arial" w:cs="Arial"/>
                <w:sz w:val="18"/>
                <w:szCs w:val="18"/>
                <w:lang w:val="es-ES"/>
              </w:rPr>
            </w:pPr>
            <w:r w:rsidRPr="00C311DC">
              <w:rPr>
                <w:rFonts w:ascii="Arial" w:hAnsi="Arial" w:cs="Arial"/>
                <w:sz w:val="18"/>
                <w:szCs w:val="18"/>
                <w:lang w:val="es-ES"/>
              </w:rPr>
              <w:t>Componente 2 Interventoría</w:t>
            </w:r>
          </w:p>
        </w:tc>
        <w:tc>
          <w:tcPr>
            <w:tcW w:w="1741" w:type="dxa"/>
            <w:vAlign w:val="center"/>
          </w:tcPr>
          <w:p w:rsidR="001F3849" w:rsidRPr="00C311DC" w:rsidRDefault="001F3849" w:rsidP="00C311DC">
            <w:pPr>
              <w:spacing w:line="20" w:lineRule="atLeast"/>
              <w:jc w:val="right"/>
              <w:rPr>
                <w:rFonts w:ascii="Arial" w:hAnsi="Arial" w:cs="Arial"/>
                <w:sz w:val="18"/>
                <w:szCs w:val="18"/>
                <w:lang w:val="es-ES"/>
              </w:rPr>
            </w:pPr>
          </w:p>
        </w:tc>
        <w:tc>
          <w:tcPr>
            <w:tcW w:w="1736" w:type="dxa"/>
            <w:vAlign w:val="center"/>
          </w:tcPr>
          <w:p w:rsidR="001F3849" w:rsidRPr="00C311DC" w:rsidRDefault="001F3849" w:rsidP="00C311DC">
            <w:pPr>
              <w:spacing w:line="20" w:lineRule="atLeast"/>
              <w:jc w:val="right"/>
              <w:rPr>
                <w:rFonts w:ascii="Arial" w:hAnsi="Arial" w:cs="Arial"/>
                <w:sz w:val="18"/>
                <w:szCs w:val="18"/>
                <w:lang w:val="es-ES"/>
              </w:rPr>
            </w:pPr>
          </w:p>
        </w:tc>
        <w:tc>
          <w:tcPr>
            <w:tcW w:w="1900" w:type="dxa"/>
            <w:vAlign w:val="center"/>
          </w:tcPr>
          <w:p w:rsidR="001F3849" w:rsidRPr="00C311DC" w:rsidRDefault="001F3849" w:rsidP="00C311DC">
            <w:pPr>
              <w:spacing w:line="20" w:lineRule="atLeast"/>
              <w:jc w:val="right"/>
              <w:rPr>
                <w:rFonts w:ascii="Arial" w:hAnsi="Arial" w:cs="Arial"/>
                <w:sz w:val="18"/>
                <w:szCs w:val="18"/>
                <w:lang w:val="es-ES"/>
              </w:rPr>
            </w:pPr>
            <w:r w:rsidRPr="00C311DC">
              <w:rPr>
                <w:rFonts w:ascii="Arial" w:hAnsi="Arial" w:cs="Arial"/>
                <w:sz w:val="18"/>
                <w:szCs w:val="18"/>
                <w:lang w:val="es-ES"/>
              </w:rPr>
              <w:t>3</w:t>
            </w:r>
            <w:r w:rsidR="00C311DC" w:rsidRPr="00C311DC">
              <w:rPr>
                <w:rFonts w:ascii="Arial" w:hAnsi="Arial" w:cs="Arial"/>
                <w:sz w:val="18"/>
                <w:szCs w:val="18"/>
                <w:lang w:val="es-ES"/>
              </w:rPr>
              <w:t>,</w:t>
            </w:r>
            <w:r w:rsidRPr="00C311DC">
              <w:rPr>
                <w:rFonts w:ascii="Arial" w:hAnsi="Arial" w:cs="Arial"/>
                <w:sz w:val="18"/>
                <w:szCs w:val="18"/>
                <w:lang w:val="es-ES"/>
              </w:rPr>
              <w:t>780</w:t>
            </w:r>
            <w:r w:rsidR="00C311DC" w:rsidRPr="00C311DC">
              <w:rPr>
                <w:rFonts w:ascii="Arial" w:hAnsi="Arial" w:cs="Arial"/>
                <w:sz w:val="18"/>
                <w:szCs w:val="18"/>
                <w:lang w:val="es-ES"/>
              </w:rPr>
              <w:t>,000,000</w:t>
            </w:r>
          </w:p>
        </w:tc>
        <w:tc>
          <w:tcPr>
            <w:tcW w:w="1656" w:type="dxa"/>
            <w:vAlign w:val="center"/>
          </w:tcPr>
          <w:p w:rsidR="001F3849" w:rsidRPr="00B70E6E" w:rsidRDefault="001F3849" w:rsidP="00B70E6E">
            <w:pPr>
              <w:spacing w:line="20" w:lineRule="atLeast"/>
              <w:rPr>
                <w:rFonts w:ascii="Arial" w:hAnsi="Arial" w:cs="Arial"/>
                <w:b/>
                <w:sz w:val="18"/>
                <w:szCs w:val="18"/>
                <w:lang w:val="es-ES"/>
              </w:rPr>
            </w:pPr>
          </w:p>
        </w:tc>
      </w:tr>
    </w:tbl>
    <w:p w:rsidR="001F3849" w:rsidRPr="00B70E6E" w:rsidRDefault="001F3849" w:rsidP="00B70E6E">
      <w:pPr>
        <w:spacing w:after="0" w:line="20" w:lineRule="atLeast"/>
        <w:rPr>
          <w:rFonts w:ascii="Arial" w:hAnsi="Arial" w:cs="Arial"/>
          <w:b/>
          <w:lang w:val="es-ES"/>
        </w:rPr>
      </w:pPr>
    </w:p>
    <w:p w:rsidR="001F3849" w:rsidRDefault="001F3849" w:rsidP="00C311DC">
      <w:pPr>
        <w:numPr>
          <w:ilvl w:val="0"/>
          <w:numId w:val="3"/>
        </w:numPr>
        <w:spacing w:after="0" w:line="20" w:lineRule="atLeast"/>
        <w:rPr>
          <w:rFonts w:ascii="Arial" w:hAnsi="Arial" w:cs="Arial"/>
          <w:b/>
          <w:lang w:val="es-ES"/>
        </w:rPr>
      </w:pPr>
      <w:r w:rsidRPr="00B70E6E">
        <w:rPr>
          <w:rFonts w:ascii="Arial" w:hAnsi="Arial" w:cs="Arial"/>
          <w:b/>
          <w:lang w:val="es-ES"/>
        </w:rPr>
        <w:t xml:space="preserve">Cronograma de Desembolsos: </w:t>
      </w:r>
    </w:p>
    <w:p w:rsidR="00B70E6E" w:rsidRPr="00B70E6E" w:rsidRDefault="00B70E6E" w:rsidP="00B70E6E">
      <w:pPr>
        <w:spacing w:after="0" w:line="20" w:lineRule="atLeast"/>
        <w:ind w:left="720"/>
        <w:rPr>
          <w:rFonts w:ascii="Arial" w:hAnsi="Arial" w:cs="Arial"/>
          <w:b/>
          <w:lang w:val="es-ES"/>
        </w:rPr>
      </w:pPr>
    </w:p>
    <w:tbl>
      <w:tblPr>
        <w:tblStyle w:val="TableGrid"/>
        <w:tblW w:w="9174" w:type="dxa"/>
        <w:jc w:val="center"/>
        <w:tblLayout w:type="fixed"/>
        <w:tblLook w:val="04A0" w:firstRow="1" w:lastRow="0" w:firstColumn="1" w:lastColumn="0" w:noHBand="0" w:noVBand="1"/>
      </w:tblPr>
      <w:tblGrid>
        <w:gridCol w:w="2847"/>
        <w:gridCol w:w="870"/>
        <w:gridCol w:w="871"/>
        <w:gridCol w:w="868"/>
        <w:gridCol w:w="868"/>
        <w:gridCol w:w="950"/>
        <w:gridCol w:w="950"/>
        <w:gridCol w:w="950"/>
      </w:tblGrid>
      <w:tr w:rsidR="001F3849" w:rsidRPr="00B70E6E" w:rsidTr="00B70E6E">
        <w:trPr>
          <w:trHeight w:val="135"/>
          <w:jc w:val="center"/>
        </w:trPr>
        <w:tc>
          <w:tcPr>
            <w:tcW w:w="2847" w:type="dxa"/>
            <w:shd w:val="clear" w:color="auto" w:fill="C2D69B" w:themeFill="accent3" w:themeFillTint="99"/>
            <w:vAlign w:val="center"/>
          </w:tcPr>
          <w:p w:rsidR="001F3849" w:rsidRPr="00B70E6E" w:rsidRDefault="00B70E6E" w:rsidP="00B70E6E">
            <w:pPr>
              <w:spacing w:line="20" w:lineRule="atLeast"/>
              <w:jc w:val="center"/>
              <w:rPr>
                <w:rFonts w:ascii="Arial" w:hAnsi="Arial" w:cs="Arial"/>
                <w:b/>
                <w:sz w:val="18"/>
                <w:szCs w:val="18"/>
                <w:lang w:val="es-ES"/>
              </w:rPr>
            </w:pPr>
            <w:r>
              <w:rPr>
                <w:rFonts w:ascii="Arial" w:hAnsi="Arial" w:cs="Arial"/>
                <w:b/>
                <w:sz w:val="18"/>
                <w:szCs w:val="18"/>
                <w:lang w:val="es-ES"/>
              </w:rPr>
              <w:t>Componente</w:t>
            </w:r>
          </w:p>
        </w:tc>
        <w:tc>
          <w:tcPr>
            <w:tcW w:w="870"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2015</w:t>
            </w:r>
          </w:p>
        </w:tc>
        <w:tc>
          <w:tcPr>
            <w:tcW w:w="871"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2016</w:t>
            </w:r>
          </w:p>
        </w:tc>
        <w:tc>
          <w:tcPr>
            <w:tcW w:w="868"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2017</w:t>
            </w:r>
          </w:p>
        </w:tc>
        <w:tc>
          <w:tcPr>
            <w:tcW w:w="868"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2018</w:t>
            </w:r>
          </w:p>
        </w:tc>
        <w:tc>
          <w:tcPr>
            <w:tcW w:w="950"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2019</w:t>
            </w:r>
          </w:p>
        </w:tc>
        <w:tc>
          <w:tcPr>
            <w:tcW w:w="950"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2020</w:t>
            </w:r>
          </w:p>
        </w:tc>
        <w:tc>
          <w:tcPr>
            <w:tcW w:w="950" w:type="dxa"/>
            <w:shd w:val="clear" w:color="auto" w:fill="C2D69B" w:themeFill="accent3" w:themeFillTint="99"/>
            <w:vAlign w:val="center"/>
          </w:tcPr>
          <w:p w:rsidR="001F3849" w:rsidRPr="00B70E6E" w:rsidRDefault="001F3849" w:rsidP="00B70E6E">
            <w:pPr>
              <w:spacing w:line="20" w:lineRule="atLeast"/>
              <w:jc w:val="center"/>
              <w:rPr>
                <w:rFonts w:ascii="Arial" w:hAnsi="Arial" w:cs="Arial"/>
                <w:b/>
                <w:sz w:val="18"/>
                <w:szCs w:val="18"/>
                <w:lang w:val="es-ES"/>
              </w:rPr>
            </w:pPr>
            <w:r w:rsidRPr="00B70E6E">
              <w:rPr>
                <w:rFonts w:ascii="Arial" w:hAnsi="Arial" w:cs="Arial"/>
                <w:b/>
                <w:sz w:val="18"/>
                <w:szCs w:val="18"/>
                <w:lang w:val="es-ES"/>
              </w:rPr>
              <w:t>Costo Total</w:t>
            </w:r>
          </w:p>
        </w:tc>
      </w:tr>
      <w:tr w:rsidR="001F3849" w:rsidRPr="00B70E6E" w:rsidTr="00B70E6E">
        <w:trPr>
          <w:trHeight w:val="135"/>
          <w:jc w:val="center"/>
        </w:trPr>
        <w:tc>
          <w:tcPr>
            <w:tcW w:w="2847" w:type="dxa"/>
          </w:tcPr>
          <w:p w:rsidR="001F3849" w:rsidRPr="00B70E6E" w:rsidRDefault="001F3849" w:rsidP="00B70E6E">
            <w:pPr>
              <w:spacing w:line="20" w:lineRule="atLeast"/>
              <w:rPr>
                <w:rFonts w:ascii="Arial" w:hAnsi="Arial" w:cs="Arial"/>
                <w:b/>
                <w:sz w:val="18"/>
                <w:szCs w:val="18"/>
                <w:lang w:val="es-ES"/>
              </w:rPr>
            </w:pPr>
            <w:r w:rsidRPr="00B70E6E">
              <w:rPr>
                <w:rFonts w:ascii="Arial" w:hAnsi="Arial" w:cs="Arial"/>
                <w:b/>
                <w:sz w:val="18"/>
                <w:szCs w:val="18"/>
                <w:lang w:val="es-ES"/>
              </w:rPr>
              <w:t>Componente 1</w:t>
            </w:r>
          </w:p>
        </w:tc>
        <w:tc>
          <w:tcPr>
            <w:tcW w:w="870" w:type="dxa"/>
          </w:tcPr>
          <w:p w:rsidR="001F3849" w:rsidRPr="00B70E6E" w:rsidRDefault="001F3849" w:rsidP="00B70E6E">
            <w:pPr>
              <w:spacing w:line="20" w:lineRule="atLeast"/>
              <w:rPr>
                <w:rFonts w:ascii="Arial" w:hAnsi="Arial" w:cs="Arial"/>
                <w:b/>
                <w:sz w:val="18"/>
                <w:szCs w:val="18"/>
                <w:lang w:val="es-ES"/>
              </w:rPr>
            </w:pPr>
          </w:p>
        </w:tc>
        <w:tc>
          <w:tcPr>
            <w:tcW w:w="871" w:type="dxa"/>
          </w:tcPr>
          <w:p w:rsidR="001F3849" w:rsidRPr="00B70E6E" w:rsidRDefault="001F3849" w:rsidP="00B70E6E">
            <w:pPr>
              <w:spacing w:line="20" w:lineRule="atLeast"/>
              <w:rPr>
                <w:rFonts w:ascii="Arial" w:hAnsi="Arial" w:cs="Arial"/>
                <w:b/>
                <w:sz w:val="18"/>
                <w:szCs w:val="18"/>
                <w:lang w:val="es-ES"/>
              </w:rPr>
            </w:pPr>
            <w:r w:rsidRPr="00B70E6E">
              <w:rPr>
                <w:rFonts w:ascii="Arial" w:hAnsi="Arial" w:cs="Arial"/>
                <w:b/>
                <w:sz w:val="18"/>
                <w:szCs w:val="18"/>
                <w:lang w:val="es-ES"/>
              </w:rPr>
              <w:t>X</w:t>
            </w:r>
          </w:p>
        </w:tc>
        <w:tc>
          <w:tcPr>
            <w:tcW w:w="868" w:type="dxa"/>
          </w:tcPr>
          <w:p w:rsidR="001F3849" w:rsidRPr="00B70E6E" w:rsidRDefault="001F3849" w:rsidP="00B70E6E">
            <w:pPr>
              <w:spacing w:line="20" w:lineRule="atLeast"/>
              <w:rPr>
                <w:rFonts w:ascii="Arial" w:hAnsi="Arial" w:cs="Arial"/>
                <w:b/>
                <w:sz w:val="18"/>
                <w:szCs w:val="18"/>
                <w:lang w:val="es-ES"/>
              </w:rPr>
            </w:pPr>
            <w:r w:rsidRPr="00B70E6E">
              <w:rPr>
                <w:rFonts w:ascii="Arial" w:hAnsi="Arial" w:cs="Arial"/>
                <w:b/>
                <w:sz w:val="18"/>
                <w:szCs w:val="18"/>
                <w:lang w:val="es-ES"/>
              </w:rPr>
              <w:t>X</w:t>
            </w:r>
          </w:p>
        </w:tc>
        <w:tc>
          <w:tcPr>
            <w:tcW w:w="868" w:type="dxa"/>
          </w:tcPr>
          <w:p w:rsidR="001F3849" w:rsidRPr="00B70E6E" w:rsidRDefault="001F3849" w:rsidP="00B70E6E">
            <w:pPr>
              <w:spacing w:line="20" w:lineRule="atLeast"/>
              <w:rPr>
                <w:rFonts w:ascii="Arial" w:hAnsi="Arial" w:cs="Arial"/>
                <w:b/>
                <w:sz w:val="18"/>
                <w:szCs w:val="18"/>
                <w:lang w:val="es-ES"/>
              </w:rPr>
            </w:pPr>
          </w:p>
        </w:tc>
        <w:tc>
          <w:tcPr>
            <w:tcW w:w="950" w:type="dxa"/>
          </w:tcPr>
          <w:p w:rsidR="001F3849" w:rsidRPr="00B70E6E" w:rsidRDefault="001F3849" w:rsidP="00B70E6E">
            <w:pPr>
              <w:spacing w:line="20" w:lineRule="atLeast"/>
              <w:rPr>
                <w:rFonts w:ascii="Arial" w:hAnsi="Arial" w:cs="Arial"/>
                <w:b/>
                <w:sz w:val="18"/>
                <w:szCs w:val="18"/>
                <w:lang w:val="es-ES"/>
              </w:rPr>
            </w:pPr>
          </w:p>
        </w:tc>
        <w:tc>
          <w:tcPr>
            <w:tcW w:w="950" w:type="dxa"/>
          </w:tcPr>
          <w:p w:rsidR="001F3849" w:rsidRPr="00B70E6E" w:rsidRDefault="001F3849" w:rsidP="00B70E6E">
            <w:pPr>
              <w:spacing w:line="20" w:lineRule="atLeast"/>
              <w:rPr>
                <w:rFonts w:ascii="Arial" w:hAnsi="Arial" w:cs="Arial"/>
                <w:b/>
                <w:sz w:val="18"/>
                <w:szCs w:val="18"/>
                <w:lang w:val="es-ES"/>
              </w:rPr>
            </w:pPr>
          </w:p>
        </w:tc>
        <w:tc>
          <w:tcPr>
            <w:tcW w:w="950" w:type="dxa"/>
          </w:tcPr>
          <w:p w:rsidR="001F3849" w:rsidRPr="00B70E6E" w:rsidRDefault="001F3849" w:rsidP="00B70E6E">
            <w:pPr>
              <w:spacing w:line="20" w:lineRule="atLeast"/>
              <w:rPr>
                <w:rFonts w:ascii="Arial" w:hAnsi="Arial" w:cs="Arial"/>
                <w:b/>
                <w:sz w:val="18"/>
                <w:szCs w:val="18"/>
                <w:lang w:val="es-ES"/>
              </w:rPr>
            </w:pPr>
          </w:p>
        </w:tc>
      </w:tr>
      <w:tr w:rsidR="001F3849" w:rsidRPr="00B70E6E" w:rsidTr="00B70E6E">
        <w:trPr>
          <w:trHeight w:val="135"/>
          <w:jc w:val="center"/>
        </w:trPr>
        <w:tc>
          <w:tcPr>
            <w:tcW w:w="2847" w:type="dxa"/>
          </w:tcPr>
          <w:p w:rsidR="001F3849" w:rsidRPr="00B70E6E" w:rsidRDefault="001F3849" w:rsidP="00B70E6E">
            <w:pPr>
              <w:spacing w:line="20" w:lineRule="atLeast"/>
              <w:rPr>
                <w:rFonts w:ascii="Arial" w:hAnsi="Arial" w:cs="Arial"/>
                <w:b/>
                <w:sz w:val="18"/>
                <w:szCs w:val="18"/>
                <w:lang w:val="es-ES"/>
              </w:rPr>
            </w:pPr>
            <w:r w:rsidRPr="00B70E6E">
              <w:rPr>
                <w:rFonts w:ascii="Arial" w:hAnsi="Arial" w:cs="Arial"/>
                <w:b/>
                <w:sz w:val="18"/>
                <w:szCs w:val="18"/>
                <w:lang w:val="es-ES"/>
              </w:rPr>
              <w:t>Componente 2</w:t>
            </w:r>
          </w:p>
        </w:tc>
        <w:tc>
          <w:tcPr>
            <w:tcW w:w="870" w:type="dxa"/>
          </w:tcPr>
          <w:p w:rsidR="001F3849" w:rsidRPr="00B70E6E" w:rsidRDefault="001F3849" w:rsidP="00B70E6E">
            <w:pPr>
              <w:spacing w:line="20" w:lineRule="atLeast"/>
              <w:rPr>
                <w:rFonts w:ascii="Arial" w:hAnsi="Arial" w:cs="Arial"/>
                <w:b/>
                <w:sz w:val="18"/>
                <w:szCs w:val="18"/>
                <w:lang w:val="es-ES"/>
              </w:rPr>
            </w:pPr>
          </w:p>
        </w:tc>
        <w:tc>
          <w:tcPr>
            <w:tcW w:w="871" w:type="dxa"/>
          </w:tcPr>
          <w:p w:rsidR="001F3849" w:rsidRPr="00B70E6E" w:rsidRDefault="001F3849" w:rsidP="00B70E6E">
            <w:pPr>
              <w:spacing w:line="20" w:lineRule="atLeast"/>
              <w:rPr>
                <w:rFonts w:ascii="Arial" w:hAnsi="Arial" w:cs="Arial"/>
                <w:b/>
                <w:sz w:val="18"/>
                <w:szCs w:val="18"/>
                <w:lang w:val="es-ES"/>
              </w:rPr>
            </w:pPr>
            <w:r w:rsidRPr="00B70E6E">
              <w:rPr>
                <w:rFonts w:ascii="Arial" w:hAnsi="Arial" w:cs="Arial"/>
                <w:b/>
                <w:sz w:val="18"/>
                <w:szCs w:val="18"/>
                <w:lang w:val="es-ES"/>
              </w:rPr>
              <w:t>X</w:t>
            </w:r>
          </w:p>
        </w:tc>
        <w:tc>
          <w:tcPr>
            <w:tcW w:w="868" w:type="dxa"/>
          </w:tcPr>
          <w:p w:rsidR="001F3849" w:rsidRPr="00B70E6E" w:rsidRDefault="001F3849" w:rsidP="00B70E6E">
            <w:pPr>
              <w:spacing w:line="20" w:lineRule="atLeast"/>
              <w:rPr>
                <w:rFonts w:ascii="Arial" w:hAnsi="Arial" w:cs="Arial"/>
                <w:b/>
                <w:sz w:val="18"/>
                <w:szCs w:val="18"/>
                <w:lang w:val="es-ES"/>
              </w:rPr>
            </w:pPr>
            <w:r w:rsidRPr="00B70E6E">
              <w:rPr>
                <w:rFonts w:ascii="Arial" w:hAnsi="Arial" w:cs="Arial"/>
                <w:b/>
                <w:sz w:val="18"/>
                <w:szCs w:val="18"/>
                <w:lang w:val="es-ES"/>
              </w:rPr>
              <w:t>X</w:t>
            </w:r>
          </w:p>
        </w:tc>
        <w:tc>
          <w:tcPr>
            <w:tcW w:w="868" w:type="dxa"/>
          </w:tcPr>
          <w:p w:rsidR="001F3849" w:rsidRPr="00B70E6E" w:rsidRDefault="001F3849" w:rsidP="00B70E6E">
            <w:pPr>
              <w:spacing w:line="20" w:lineRule="atLeast"/>
              <w:rPr>
                <w:rFonts w:ascii="Arial" w:hAnsi="Arial" w:cs="Arial"/>
                <w:b/>
                <w:sz w:val="18"/>
                <w:szCs w:val="18"/>
                <w:lang w:val="es-ES"/>
              </w:rPr>
            </w:pPr>
          </w:p>
        </w:tc>
        <w:tc>
          <w:tcPr>
            <w:tcW w:w="950" w:type="dxa"/>
          </w:tcPr>
          <w:p w:rsidR="001F3849" w:rsidRPr="00B70E6E" w:rsidRDefault="001F3849" w:rsidP="00B70E6E">
            <w:pPr>
              <w:spacing w:line="20" w:lineRule="atLeast"/>
              <w:rPr>
                <w:rFonts w:ascii="Arial" w:hAnsi="Arial" w:cs="Arial"/>
                <w:b/>
                <w:sz w:val="18"/>
                <w:szCs w:val="18"/>
                <w:lang w:val="es-ES"/>
              </w:rPr>
            </w:pPr>
          </w:p>
        </w:tc>
        <w:tc>
          <w:tcPr>
            <w:tcW w:w="950" w:type="dxa"/>
          </w:tcPr>
          <w:p w:rsidR="001F3849" w:rsidRPr="00B70E6E" w:rsidRDefault="001F3849" w:rsidP="00B70E6E">
            <w:pPr>
              <w:spacing w:line="20" w:lineRule="atLeast"/>
              <w:rPr>
                <w:rFonts w:ascii="Arial" w:hAnsi="Arial" w:cs="Arial"/>
                <w:b/>
                <w:sz w:val="18"/>
                <w:szCs w:val="18"/>
                <w:lang w:val="es-ES"/>
              </w:rPr>
            </w:pPr>
          </w:p>
        </w:tc>
        <w:tc>
          <w:tcPr>
            <w:tcW w:w="950" w:type="dxa"/>
          </w:tcPr>
          <w:p w:rsidR="001F3849" w:rsidRPr="00B70E6E" w:rsidRDefault="001F3849" w:rsidP="00B70E6E">
            <w:pPr>
              <w:spacing w:line="20" w:lineRule="atLeast"/>
              <w:rPr>
                <w:rFonts w:ascii="Arial" w:hAnsi="Arial" w:cs="Arial"/>
                <w:b/>
                <w:sz w:val="18"/>
                <w:szCs w:val="18"/>
                <w:lang w:val="es-ES"/>
              </w:rPr>
            </w:pPr>
          </w:p>
        </w:tc>
      </w:tr>
    </w:tbl>
    <w:p w:rsidR="001F3849" w:rsidRDefault="001F3849" w:rsidP="00B70E6E">
      <w:pPr>
        <w:spacing w:after="0" w:line="20" w:lineRule="atLeast"/>
        <w:rPr>
          <w:rFonts w:ascii="Arial" w:hAnsi="Arial" w:cs="Arial"/>
          <w:lang w:val="es-ES"/>
        </w:rPr>
      </w:pPr>
    </w:p>
    <w:p w:rsidR="00C311DC" w:rsidRDefault="00C311DC" w:rsidP="00B70E6E">
      <w:pPr>
        <w:spacing w:after="0" w:line="20" w:lineRule="atLeast"/>
        <w:rPr>
          <w:rFonts w:ascii="Arial" w:hAnsi="Arial" w:cs="Arial"/>
          <w:lang w:val="es-ES"/>
        </w:rPr>
      </w:pPr>
    </w:p>
    <w:p w:rsidR="00C311DC" w:rsidRPr="00B70E6E" w:rsidRDefault="00C311DC" w:rsidP="00B70E6E">
      <w:pPr>
        <w:spacing w:after="0" w:line="20" w:lineRule="atLeast"/>
        <w:rPr>
          <w:rFonts w:ascii="Arial" w:hAnsi="Arial" w:cs="Arial"/>
          <w:lang w:val="es-ES"/>
        </w:rPr>
      </w:pPr>
    </w:p>
    <w:p w:rsidR="00C311DC" w:rsidRDefault="00C311DC" w:rsidP="00C311DC">
      <w:pPr>
        <w:pStyle w:val="ListParagraph"/>
        <w:numPr>
          <w:ilvl w:val="0"/>
          <w:numId w:val="3"/>
        </w:numPr>
        <w:spacing w:after="0" w:line="20" w:lineRule="atLeast"/>
        <w:rPr>
          <w:rFonts w:ascii="Arial" w:eastAsia="Times New Roman" w:hAnsi="Arial" w:cs="Arial"/>
          <w:b/>
          <w:lang w:val="es-ES"/>
        </w:rPr>
      </w:pPr>
      <w:r w:rsidRPr="00C311DC">
        <w:rPr>
          <w:rFonts w:ascii="Arial" w:eastAsia="Times New Roman" w:hAnsi="Arial" w:cs="Arial"/>
          <w:b/>
          <w:lang w:val="es-ES"/>
        </w:rPr>
        <w:t>Adquisiciones / Contrataciones</w:t>
      </w:r>
      <w:r w:rsidR="006D15E4">
        <w:rPr>
          <w:rFonts w:ascii="Arial" w:eastAsia="Times New Roman" w:hAnsi="Arial" w:cs="Arial"/>
          <w:b/>
          <w:lang w:val="es-ES"/>
        </w:rPr>
        <w:t xml:space="preserve">: </w:t>
      </w:r>
      <w:r w:rsidR="006D15E4" w:rsidRPr="006E35F2">
        <w:rPr>
          <w:rFonts w:ascii="Arial" w:hAnsi="Arial" w:cs="Arial"/>
          <w:lang w:val="es-ES"/>
        </w:rPr>
        <w:t>Sin información.</w:t>
      </w:r>
      <w:r w:rsidRPr="00C311DC">
        <w:rPr>
          <w:rFonts w:ascii="Arial" w:eastAsia="Times New Roman" w:hAnsi="Arial" w:cs="Arial"/>
          <w:b/>
          <w:lang w:val="es-ES"/>
        </w:rPr>
        <w:t xml:space="preserve"> </w:t>
      </w:r>
    </w:p>
    <w:p w:rsidR="00C311DC" w:rsidRPr="00C311DC" w:rsidRDefault="00C311DC" w:rsidP="00C311DC">
      <w:pPr>
        <w:pStyle w:val="ListParagraph"/>
        <w:spacing w:after="0" w:line="20" w:lineRule="atLeast"/>
        <w:ind w:left="360"/>
        <w:rPr>
          <w:rFonts w:ascii="Arial" w:eastAsia="Times New Roman" w:hAnsi="Arial" w:cs="Arial"/>
          <w:b/>
          <w:lang w:val="es-ES"/>
        </w:rPr>
      </w:pPr>
    </w:p>
    <w:p w:rsidR="00C311DC" w:rsidRDefault="00C311DC" w:rsidP="00C311DC">
      <w:pPr>
        <w:numPr>
          <w:ilvl w:val="0"/>
          <w:numId w:val="3"/>
        </w:numPr>
        <w:spacing w:after="0" w:line="20" w:lineRule="atLeast"/>
        <w:rPr>
          <w:rFonts w:ascii="Arial" w:eastAsia="Times New Roman" w:hAnsi="Arial" w:cs="Arial"/>
          <w:b/>
          <w:lang w:val="es-ES"/>
        </w:rPr>
      </w:pPr>
      <w:r w:rsidRPr="00B70E6E">
        <w:rPr>
          <w:rFonts w:ascii="Arial" w:eastAsia="Times New Roman" w:hAnsi="Arial" w:cs="Arial"/>
          <w:b/>
          <w:lang w:val="es-ES"/>
        </w:rPr>
        <w:t>Riesgos</w:t>
      </w:r>
      <w:r w:rsidR="006D15E4">
        <w:rPr>
          <w:rFonts w:ascii="Arial" w:eastAsia="Times New Roman" w:hAnsi="Arial" w:cs="Arial"/>
          <w:b/>
          <w:lang w:val="es-ES"/>
        </w:rPr>
        <w:t xml:space="preserve">: </w:t>
      </w:r>
      <w:r w:rsidR="006D15E4" w:rsidRPr="006E35F2">
        <w:rPr>
          <w:rFonts w:ascii="Arial" w:hAnsi="Arial" w:cs="Arial"/>
          <w:lang w:val="es-ES"/>
        </w:rPr>
        <w:t>Sin información.</w:t>
      </w:r>
      <w:r w:rsidRPr="00B70E6E">
        <w:rPr>
          <w:rFonts w:ascii="Arial" w:eastAsia="Times New Roman" w:hAnsi="Arial" w:cs="Arial"/>
          <w:b/>
          <w:lang w:val="es-ES"/>
        </w:rPr>
        <w:t xml:space="preserve"> </w:t>
      </w:r>
    </w:p>
    <w:p w:rsidR="00C311DC" w:rsidRPr="00B70E6E" w:rsidRDefault="00C311DC" w:rsidP="00C311DC">
      <w:pPr>
        <w:spacing w:after="0" w:line="20" w:lineRule="atLeast"/>
        <w:ind w:left="360"/>
        <w:rPr>
          <w:rFonts w:ascii="Arial" w:eastAsia="Times New Roman" w:hAnsi="Arial" w:cs="Arial"/>
          <w:b/>
          <w:lang w:val="es-ES"/>
        </w:rPr>
      </w:pPr>
    </w:p>
    <w:p w:rsidR="001F3849" w:rsidRPr="00B70E6E" w:rsidRDefault="001F3849" w:rsidP="00C311DC">
      <w:pPr>
        <w:spacing w:after="0" w:line="20" w:lineRule="atLeast"/>
        <w:ind w:left="180"/>
        <w:jc w:val="both"/>
        <w:rPr>
          <w:rFonts w:ascii="Arial" w:hAnsi="Arial" w:cs="Arial"/>
          <w:lang w:val="es-ES"/>
        </w:rPr>
      </w:pPr>
    </w:p>
    <w:p w:rsidR="00C311DC" w:rsidRDefault="00C311DC" w:rsidP="00B70E6E">
      <w:pPr>
        <w:spacing w:after="0" w:line="20" w:lineRule="atLeast"/>
        <w:jc w:val="right"/>
        <w:rPr>
          <w:rFonts w:ascii="Arial" w:hAnsi="Arial" w:cs="Arial"/>
          <w:b/>
          <w:lang w:val="es-MX"/>
        </w:rPr>
      </w:pPr>
    </w:p>
    <w:p w:rsidR="00C311DC" w:rsidRDefault="00C311DC" w:rsidP="00B70E6E">
      <w:pPr>
        <w:spacing w:after="0" w:line="20" w:lineRule="atLeast"/>
        <w:jc w:val="right"/>
        <w:rPr>
          <w:rFonts w:ascii="Arial" w:hAnsi="Arial" w:cs="Arial"/>
          <w:b/>
          <w:lang w:val="es-MX"/>
        </w:rPr>
      </w:pPr>
    </w:p>
    <w:p w:rsidR="0047743B" w:rsidRDefault="0047743B" w:rsidP="00B70E6E">
      <w:pPr>
        <w:spacing w:after="0" w:line="20" w:lineRule="atLeast"/>
        <w:jc w:val="right"/>
        <w:rPr>
          <w:rFonts w:ascii="Arial" w:hAnsi="Arial" w:cs="Arial"/>
          <w:b/>
          <w:lang w:val="es-MX"/>
        </w:rPr>
      </w:pPr>
      <w:r w:rsidRPr="00B70E6E">
        <w:rPr>
          <w:rFonts w:ascii="Arial" w:hAnsi="Arial" w:cs="Arial"/>
          <w:b/>
          <w:lang w:val="es-MX"/>
        </w:rPr>
        <w:lastRenderedPageBreak/>
        <w:t>ANEXO II-b</w:t>
      </w:r>
    </w:p>
    <w:p w:rsidR="00B70E6E" w:rsidRDefault="00B70E6E" w:rsidP="00B70E6E">
      <w:pPr>
        <w:spacing w:after="0" w:line="20" w:lineRule="atLeast"/>
        <w:jc w:val="right"/>
        <w:rPr>
          <w:rFonts w:ascii="Arial" w:hAnsi="Arial" w:cs="Arial"/>
          <w:b/>
          <w:lang w:val="es-MX"/>
        </w:rPr>
      </w:pPr>
    </w:p>
    <w:p w:rsidR="00B70E6E" w:rsidRDefault="00B70E6E" w:rsidP="00B70E6E">
      <w:pPr>
        <w:spacing w:after="0" w:line="20" w:lineRule="atLeast"/>
        <w:jc w:val="right"/>
        <w:rPr>
          <w:rFonts w:ascii="Arial" w:hAnsi="Arial" w:cs="Arial"/>
          <w:b/>
          <w:lang w:val="es-MX"/>
        </w:rPr>
      </w:pPr>
    </w:p>
    <w:p w:rsidR="001F3849" w:rsidRPr="00B70E6E" w:rsidRDefault="001F3849" w:rsidP="00B70E6E">
      <w:pPr>
        <w:spacing w:after="0" w:line="20" w:lineRule="atLeast"/>
        <w:contextualSpacing/>
        <w:jc w:val="center"/>
        <w:outlineLvl w:val="0"/>
        <w:rPr>
          <w:rFonts w:ascii="Arial" w:eastAsia="Times New Roman" w:hAnsi="Arial" w:cs="Arial"/>
          <w:b/>
          <w:bCs/>
          <w:smallCaps/>
          <w:spacing w:val="5"/>
          <w:lang w:val="es-ES" w:bidi="en-US"/>
        </w:rPr>
      </w:pPr>
      <w:r w:rsidRPr="00B70E6E">
        <w:rPr>
          <w:rFonts w:ascii="Arial" w:eastAsia="Times New Roman" w:hAnsi="Arial" w:cs="Arial"/>
          <w:b/>
          <w:bCs/>
          <w:smallCaps/>
          <w:spacing w:val="5"/>
          <w:lang w:val="es-ES" w:bidi="en-US"/>
        </w:rPr>
        <w:t xml:space="preserve">COLOMBIA </w:t>
      </w:r>
    </w:p>
    <w:p w:rsidR="001F3849" w:rsidRDefault="001F3849" w:rsidP="00B70E6E">
      <w:pPr>
        <w:spacing w:after="0" w:line="20" w:lineRule="atLeast"/>
        <w:jc w:val="center"/>
        <w:rPr>
          <w:rFonts w:ascii="Arial" w:eastAsia="Times New Roman" w:hAnsi="Arial" w:cs="Arial"/>
          <w:b/>
          <w:bCs/>
          <w:lang w:val="es-ES_tradnl"/>
        </w:rPr>
      </w:pPr>
      <w:r w:rsidRPr="00B70E6E">
        <w:rPr>
          <w:rFonts w:ascii="Arial" w:eastAsia="Times New Roman" w:hAnsi="Arial" w:cs="Arial"/>
          <w:b/>
          <w:bCs/>
          <w:lang w:val="es-ES_tradnl"/>
        </w:rPr>
        <w:t>Segundo Programa de Fortalecimiento Fiscal y del Gasto en Inversión Pública de las Entidades Territoriales (CO-L1155)</w:t>
      </w:r>
    </w:p>
    <w:p w:rsidR="00B70E6E" w:rsidRPr="00B70E6E" w:rsidRDefault="00B70E6E" w:rsidP="00B70E6E">
      <w:pPr>
        <w:spacing w:after="0" w:line="20" w:lineRule="atLeast"/>
        <w:jc w:val="center"/>
        <w:rPr>
          <w:rFonts w:ascii="Arial" w:eastAsia="Times New Roman" w:hAnsi="Arial" w:cs="Arial"/>
          <w:bCs/>
          <w:lang w:val="es-ES_tradnl"/>
        </w:rPr>
      </w:pPr>
    </w:p>
    <w:p w:rsidR="001F3849" w:rsidRDefault="001F3849" w:rsidP="00B70E6E">
      <w:pPr>
        <w:spacing w:after="0" w:line="20" w:lineRule="atLeast"/>
        <w:jc w:val="center"/>
        <w:rPr>
          <w:rFonts w:ascii="Arial" w:eastAsia="Times New Roman" w:hAnsi="Arial" w:cs="Arial"/>
          <w:b/>
          <w:i/>
          <w:lang w:val="es-ES"/>
        </w:rPr>
      </w:pPr>
      <w:r w:rsidRPr="00B70E6E">
        <w:rPr>
          <w:rFonts w:ascii="Arial" w:eastAsia="Times New Roman" w:hAnsi="Arial" w:cs="Arial"/>
          <w:b/>
          <w:i/>
          <w:lang w:val="es-ES"/>
        </w:rPr>
        <w:t>Ficha de Identificación de Proyectos de Inversión</w:t>
      </w:r>
    </w:p>
    <w:p w:rsidR="00B70E6E" w:rsidRPr="00B70E6E" w:rsidRDefault="00B70E6E" w:rsidP="00B70E6E">
      <w:pPr>
        <w:spacing w:after="0" w:line="20" w:lineRule="atLeast"/>
        <w:jc w:val="center"/>
        <w:rPr>
          <w:rFonts w:ascii="Arial" w:eastAsia="Times New Roman" w:hAnsi="Arial" w:cs="Arial"/>
          <w:b/>
          <w:i/>
          <w:lang w:val="es-ES"/>
        </w:rPr>
      </w:pPr>
    </w:p>
    <w:p w:rsidR="001F3849" w:rsidRPr="00B70E6E" w:rsidRDefault="001F3849" w:rsidP="00B70E6E">
      <w:pPr>
        <w:spacing w:after="0" w:line="20" w:lineRule="atLeast"/>
        <w:jc w:val="center"/>
        <w:rPr>
          <w:rFonts w:ascii="Arial" w:eastAsia="Times New Roman" w:hAnsi="Arial" w:cs="Arial"/>
          <w:b/>
          <w:i/>
          <w:lang w:val="es-ES"/>
        </w:rPr>
      </w:pPr>
    </w:p>
    <w:p w:rsidR="001F3849" w:rsidRDefault="00B70E6E" w:rsidP="00C311DC">
      <w:pPr>
        <w:numPr>
          <w:ilvl w:val="0"/>
          <w:numId w:val="14"/>
        </w:numPr>
        <w:spacing w:after="0" w:line="20" w:lineRule="atLeast"/>
        <w:jc w:val="both"/>
        <w:rPr>
          <w:rFonts w:ascii="Arial" w:eastAsia="Times New Roman" w:hAnsi="Arial" w:cs="Arial"/>
          <w:b/>
          <w:lang w:val="es-ES"/>
        </w:rPr>
      </w:pPr>
      <w:r>
        <w:rPr>
          <w:rFonts w:ascii="Arial" w:eastAsia="Times New Roman" w:hAnsi="Arial" w:cs="Arial"/>
          <w:b/>
          <w:lang w:val="es-ES"/>
        </w:rPr>
        <w:t>Información Básica del Proyecto</w:t>
      </w:r>
    </w:p>
    <w:p w:rsidR="00B70E6E" w:rsidRPr="00B70E6E" w:rsidRDefault="00B70E6E" w:rsidP="00C311DC">
      <w:pPr>
        <w:spacing w:after="0" w:line="20" w:lineRule="atLeast"/>
        <w:ind w:left="360"/>
        <w:jc w:val="both"/>
        <w:rPr>
          <w:rFonts w:ascii="Arial" w:eastAsia="Times New Roman" w:hAnsi="Arial" w:cs="Arial"/>
          <w:b/>
          <w:lang w:val="es-ES"/>
        </w:rPr>
      </w:pPr>
    </w:p>
    <w:tbl>
      <w:tblPr>
        <w:tblStyle w:val="TableGrid4"/>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B70E6E" w:rsidRPr="00B70E6E" w:rsidTr="00A72BBC">
        <w:tc>
          <w:tcPr>
            <w:tcW w:w="4140" w:type="dxa"/>
          </w:tcPr>
          <w:p w:rsidR="00B70E6E" w:rsidRPr="00B70E6E" w:rsidRDefault="00B70E6E" w:rsidP="00B70E6E">
            <w:pPr>
              <w:spacing w:line="20" w:lineRule="atLeast"/>
              <w:ind w:left="180"/>
              <w:jc w:val="both"/>
              <w:rPr>
                <w:rFonts w:ascii="Arial" w:hAnsi="Arial" w:cs="Arial"/>
                <w:lang w:val="es-ES"/>
              </w:rPr>
            </w:pPr>
            <w:r>
              <w:rPr>
                <w:rFonts w:ascii="Arial" w:hAnsi="Arial" w:cs="Arial"/>
                <w:lang w:val="es-ES"/>
              </w:rPr>
              <w:t>Nombre del Proyecto:</w:t>
            </w:r>
          </w:p>
        </w:tc>
        <w:tc>
          <w:tcPr>
            <w:tcW w:w="4428" w:type="dxa"/>
          </w:tcPr>
          <w:p w:rsidR="00B70E6E" w:rsidRPr="00C311DC" w:rsidRDefault="00C311DC" w:rsidP="00C311DC">
            <w:pPr>
              <w:tabs>
                <w:tab w:val="left" w:pos="342"/>
              </w:tabs>
              <w:spacing w:line="20" w:lineRule="atLeast"/>
              <w:rPr>
                <w:rFonts w:ascii="Arial" w:hAnsi="Arial" w:cs="Arial"/>
                <w:color w:val="000000" w:themeColor="text1"/>
                <w:lang w:val="es-ES"/>
              </w:rPr>
            </w:pPr>
            <w:r w:rsidRPr="00C311DC">
              <w:rPr>
                <w:rFonts w:ascii="Arial" w:hAnsi="Arial" w:cs="Arial"/>
                <w:color w:val="000000" w:themeColor="text1"/>
                <w:lang w:val="es-ES"/>
              </w:rPr>
              <w:t>Restauración Mercado Central de Montería</w:t>
            </w:r>
          </w:p>
          <w:p w:rsidR="00B70E6E" w:rsidRPr="00B70E6E" w:rsidRDefault="00B70E6E" w:rsidP="00B70E6E">
            <w:pPr>
              <w:spacing w:line="20" w:lineRule="atLeast"/>
              <w:ind w:left="360"/>
              <w:rPr>
                <w:rFonts w:ascii="Arial" w:hAnsi="Arial" w:cs="Arial"/>
                <w:lang w:val="es-ES"/>
              </w:rPr>
            </w:pPr>
          </w:p>
        </w:tc>
      </w:tr>
      <w:tr w:rsidR="001F3849" w:rsidRPr="00B70E6E" w:rsidTr="00A72BBC">
        <w:tc>
          <w:tcPr>
            <w:tcW w:w="4140" w:type="dxa"/>
          </w:tcPr>
          <w:p w:rsidR="001F3849" w:rsidRPr="00B70E6E" w:rsidRDefault="001F3849" w:rsidP="00B70E6E">
            <w:pPr>
              <w:spacing w:line="20" w:lineRule="atLeast"/>
              <w:ind w:left="180"/>
              <w:jc w:val="both"/>
              <w:rPr>
                <w:rFonts w:ascii="Arial" w:hAnsi="Arial" w:cs="Arial"/>
                <w:lang w:val="es-ES"/>
              </w:rPr>
            </w:pPr>
            <w:r w:rsidRPr="00B70E6E">
              <w:rPr>
                <w:rFonts w:ascii="Arial" w:hAnsi="Arial" w:cs="Arial"/>
                <w:lang w:val="es-ES"/>
              </w:rPr>
              <w:t>Ciudad:</w:t>
            </w:r>
          </w:p>
        </w:tc>
        <w:tc>
          <w:tcPr>
            <w:tcW w:w="4428" w:type="dxa"/>
          </w:tcPr>
          <w:p w:rsidR="001F3849" w:rsidRPr="00B70E6E" w:rsidRDefault="00B70E6E" w:rsidP="00B70E6E">
            <w:pPr>
              <w:spacing w:line="20" w:lineRule="atLeast"/>
              <w:ind w:left="360"/>
              <w:rPr>
                <w:rFonts w:ascii="Arial" w:hAnsi="Arial" w:cs="Arial"/>
                <w:lang w:val="es-ES"/>
              </w:rPr>
            </w:pPr>
            <w:r w:rsidRPr="00B70E6E">
              <w:rPr>
                <w:rFonts w:ascii="Arial" w:hAnsi="Arial" w:cs="Arial"/>
                <w:lang w:val="es-ES"/>
              </w:rPr>
              <w:t>Montería</w:t>
            </w:r>
          </w:p>
        </w:tc>
      </w:tr>
      <w:tr w:rsidR="001F3849" w:rsidRPr="0089701B" w:rsidTr="00A72BBC">
        <w:tc>
          <w:tcPr>
            <w:tcW w:w="4140" w:type="dxa"/>
          </w:tcPr>
          <w:p w:rsidR="001F3849" w:rsidRPr="00B70E6E" w:rsidRDefault="001F3849" w:rsidP="00B70E6E">
            <w:pPr>
              <w:spacing w:line="20" w:lineRule="atLeast"/>
              <w:ind w:left="180"/>
              <w:jc w:val="both"/>
              <w:rPr>
                <w:rFonts w:ascii="Arial" w:hAnsi="Arial" w:cs="Arial"/>
                <w:lang w:val="es-ES"/>
              </w:rPr>
            </w:pPr>
            <w:r w:rsidRPr="00B70E6E">
              <w:rPr>
                <w:rFonts w:ascii="Arial" w:hAnsi="Arial" w:cs="Arial"/>
                <w:lang w:val="es-ES"/>
              </w:rPr>
              <w:t xml:space="preserve">Entidad Responsable y nombre de contacto (Gobierno Local, Agencia o Empresa) </w:t>
            </w:r>
          </w:p>
        </w:tc>
        <w:tc>
          <w:tcPr>
            <w:tcW w:w="4428" w:type="dxa"/>
          </w:tcPr>
          <w:p w:rsidR="001F3849" w:rsidRPr="00B70E6E" w:rsidRDefault="001F3849" w:rsidP="00B70E6E">
            <w:pPr>
              <w:spacing w:line="20" w:lineRule="atLeast"/>
              <w:ind w:left="360"/>
              <w:rPr>
                <w:rFonts w:ascii="Arial" w:hAnsi="Arial" w:cs="Arial"/>
                <w:lang w:val="es-ES"/>
              </w:rPr>
            </w:pPr>
            <w:r w:rsidRPr="00B70E6E">
              <w:rPr>
                <w:rFonts w:ascii="Arial" w:hAnsi="Arial" w:cs="Arial"/>
                <w:lang w:val="es-ES"/>
              </w:rPr>
              <w:t>Secretaría de Planeación</w:t>
            </w:r>
          </w:p>
          <w:p w:rsidR="001F3849" w:rsidRPr="00B70E6E" w:rsidRDefault="001F3849" w:rsidP="00B70E6E">
            <w:pPr>
              <w:spacing w:line="20" w:lineRule="atLeast"/>
              <w:ind w:left="360"/>
              <w:rPr>
                <w:rFonts w:ascii="Arial" w:hAnsi="Arial" w:cs="Arial"/>
                <w:lang w:val="es-ES"/>
              </w:rPr>
            </w:pPr>
            <w:r w:rsidRPr="00B70E6E">
              <w:rPr>
                <w:rFonts w:ascii="Arial" w:hAnsi="Arial" w:cs="Arial"/>
                <w:lang w:val="es-ES"/>
              </w:rPr>
              <w:t>Arquitecto Carlos D. Montoya Baquero</w:t>
            </w:r>
          </w:p>
        </w:tc>
      </w:tr>
      <w:tr w:rsidR="001F3849" w:rsidRPr="0089701B" w:rsidTr="00A72BBC">
        <w:tc>
          <w:tcPr>
            <w:tcW w:w="4140" w:type="dxa"/>
          </w:tcPr>
          <w:p w:rsidR="001F3849" w:rsidRPr="00B70E6E" w:rsidDel="00B513CC" w:rsidRDefault="001F3849" w:rsidP="00B70E6E">
            <w:pPr>
              <w:spacing w:line="20" w:lineRule="atLeast"/>
              <w:ind w:left="180"/>
              <w:jc w:val="both"/>
              <w:rPr>
                <w:rFonts w:ascii="Arial" w:hAnsi="Arial" w:cs="Arial"/>
                <w:lang w:val="es-ES"/>
              </w:rPr>
            </w:pPr>
            <w:r w:rsidRPr="00B70E6E">
              <w:rPr>
                <w:rFonts w:ascii="Arial" w:hAnsi="Arial" w:cs="Arial"/>
                <w:lang w:val="es-ES"/>
              </w:rPr>
              <w:t>Agencia Ejecutora y nombre de contacto (si esta fuese diferente a la Entidad Responsable).</w:t>
            </w:r>
          </w:p>
        </w:tc>
        <w:tc>
          <w:tcPr>
            <w:tcW w:w="4428" w:type="dxa"/>
          </w:tcPr>
          <w:p w:rsidR="001F3849" w:rsidRPr="00B70E6E" w:rsidRDefault="001F3849" w:rsidP="00B70E6E">
            <w:pPr>
              <w:spacing w:line="20" w:lineRule="atLeast"/>
              <w:rPr>
                <w:rFonts w:ascii="Arial" w:hAnsi="Arial" w:cs="Arial"/>
                <w:lang w:val="es-ES"/>
              </w:rPr>
            </w:pPr>
          </w:p>
          <w:p w:rsidR="001F3849" w:rsidRPr="00B70E6E" w:rsidRDefault="001F3849" w:rsidP="00B70E6E">
            <w:pPr>
              <w:spacing w:line="20" w:lineRule="atLeast"/>
              <w:rPr>
                <w:rFonts w:ascii="Arial" w:hAnsi="Arial" w:cs="Arial"/>
                <w:lang w:val="es-ES"/>
              </w:rPr>
            </w:pPr>
          </w:p>
        </w:tc>
      </w:tr>
      <w:tr w:rsidR="001F3849" w:rsidRPr="00B70E6E" w:rsidTr="00A72BBC">
        <w:tc>
          <w:tcPr>
            <w:tcW w:w="4140" w:type="dxa"/>
          </w:tcPr>
          <w:p w:rsidR="001F3849" w:rsidRPr="00B70E6E" w:rsidRDefault="001F3849" w:rsidP="00B70E6E">
            <w:pPr>
              <w:spacing w:line="20" w:lineRule="atLeast"/>
              <w:ind w:left="180"/>
              <w:jc w:val="both"/>
              <w:rPr>
                <w:rFonts w:ascii="Arial" w:hAnsi="Arial" w:cs="Arial"/>
                <w:lang w:val="es-ES"/>
              </w:rPr>
            </w:pPr>
            <w:r w:rsidRPr="00B70E6E">
              <w:rPr>
                <w:rFonts w:ascii="Arial" w:hAnsi="Arial" w:cs="Arial"/>
                <w:lang w:val="es-ES"/>
              </w:rPr>
              <w:t>Costo total del proyecto o programa:</w:t>
            </w:r>
          </w:p>
        </w:tc>
        <w:tc>
          <w:tcPr>
            <w:tcW w:w="4428" w:type="dxa"/>
          </w:tcPr>
          <w:p w:rsidR="001F3849" w:rsidRPr="00B70E6E" w:rsidRDefault="001F3849" w:rsidP="00C311DC">
            <w:pPr>
              <w:spacing w:line="20" w:lineRule="atLeast"/>
              <w:ind w:left="360"/>
              <w:jc w:val="right"/>
              <w:rPr>
                <w:rFonts w:ascii="Arial" w:hAnsi="Arial" w:cs="Arial"/>
                <w:lang w:val="es-ES"/>
              </w:rPr>
            </w:pPr>
            <w:r w:rsidRPr="00B70E6E">
              <w:rPr>
                <w:rFonts w:ascii="Arial" w:hAnsi="Arial" w:cs="Arial"/>
                <w:lang w:val="es-ES"/>
              </w:rPr>
              <w:t>13</w:t>
            </w:r>
            <w:r w:rsidR="00C311DC">
              <w:rPr>
                <w:rFonts w:ascii="Arial" w:hAnsi="Arial" w:cs="Arial"/>
                <w:lang w:val="es-ES"/>
              </w:rPr>
              <w:t>,850,000,000</w:t>
            </w:r>
          </w:p>
        </w:tc>
      </w:tr>
      <w:tr w:rsidR="001F3849" w:rsidRPr="0089701B" w:rsidTr="00A72BBC">
        <w:tc>
          <w:tcPr>
            <w:tcW w:w="4140" w:type="dxa"/>
          </w:tcPr>
          <w:p w:rsidR="001F3849" w:rsidRPr="00B70E6E" w:rsidRDefault="001F3849" w:rsidP="00B70E6E">
            <w:pPr>
              <w:spacing w:line="20" w:lineRule="atLeast"/>
              <w:ind w:left="180"/>
              <w:jc w:val="both"/>
              <w:rPr>
                <w:rFonts w:ascii="Arial" w:hAnsi="Arial" w:cs="Arial"/>
                <w:lang w:val="es-ES"/>
              </w:rPr>
            </w:pPr>
            <w:r w:rsidRPr="00B70E6E">
              <w:rPr>
                <w:rFonts w:ascii="Arial" w:hAnsi="Arial" w:cs="Arial"/>
                <w:lang w:val="es-ES"/>
              </w:rPr>
              <w:t>Necesidad de Financiamiento: (en millones de pesos)</w:t>
            </w:r>
          </w:p>
        </w:tc>
        <w:tc>
          <w:tcPr>
            <w:tcW w:w="4428" w:type="dxa"/>
          </w:tcPr>
          <w:p w:rsidR="001F3849" w:rsidRPr="00B70E6E" w:rsidRDefault="001F3849" w:rsidP="00C311DC">
            <w:pPr>
              <w:spacing w:line="20" w:lineRule="atLeast"/>
              <w:ind w:left="360"/>
              <w:jc w:val="right"/>
              <w:rPr>
                <w:rFonts w:ascii="Arial" w:hAnsi="Arial" w:cs="Arial"/>
                <w:lang w:val="es-ES"/>
              </w:rPr>
            </w:pPr>
          </w:p>
        </w:tc>
      </w:tr>
      <w:tr w:rsidR="001F3849" w:rsidRPr="0089701B" w:rsidTr="00A72BBC">
        <w:tc>
          <w:tcPr>
            <w:tcW w:w="4140" w:type="dxa"/>
          </w:tcPr>
          <w:p w:rsidR="001F3849" w:rsidRPr="00B70E6E" w:rsidRDefault="001F3849" w:rsidP="00B70E6E">
            <w:pPr>
              <w:spacing w:line="20" w:lineRule="atLeast"/>
              <w:ind w:left="180"/>
              <w:jc w:val="both"/>
              <w:rPr>
                <w:rFonts w:ascii="Arial" w:hAnsi="Arial" w:cs="Arial"/>
                <w:lang w:val="es-ES"/>
              </w:rPr>
            </w:pPr>
            <w:r w:rsidRPr="00B70E6E">
              <w:rPr>
                <w:rFonts w:ascii="Arial" w:hAnsi="Arial" w:cs="Arial"/>
                <w:lang w:val="es-ES"/>
              </w:rPr>
              <w:t>Contrapartida Local: (en millones de pesos)</w:t>
            </w:r>
          </w:p>
        </w:tc>
        <w:tc>
          <w:tcPr>
            <w:tcW w:w="4428" w:type="dxa"/>
          </w:tcPr>
          <w:p w:rsidR="001F3849" w:rsidRPr="00B70E6E" w:rsidRDefault="001F3849" w:rsidP="00C311DC">
            <w:pPr>
              <w:spacing w:line="20" w:lineRule="atLeast"/>
              <w:ind w:left="360"/>
              <w:jc w:val="right"/>
              <w:rPr>
                <w:rFonts w:ascii="Arial" w:hAnsi="Arial" w:cs="Arial"/>
                <w:lang w:val="es-ES"/>
              </w:rPr>
            </w:pPr>
          </w:p>
        </w:tc>
      </w:tr>
      <w:tr w:rsidR="001F3849" w:rsidRPr="00B70E6E" w:rsidTr="00A72BBC">
        <w:tc>
          <w:tcPr>
            <w:tcW w:w="4140" w:type="dxa"/>
          </w:tcPr>
          <w:p w:rsidR="001F3849" w:rsidRPr="00B70E6E" w:rsidRDefault="001F3849" w:rsidP="00B70E6E">
            <w:pPr>
              <w:spacing w:line="20" w:lineRule="atLeast"/>
              <w:ind w:left="180"/>
              <w:jc w:val="both"/>
              <w:rPr>
                <w:rFonts w:ascii="Arial" w:hAnsi="Arial" w:cs="Arial"/>
                <w:lang w:val="es-ES"/>
              </w:rPr>
            </w:pPr>
            <w:r w:rsidRPr="00B70E6E">
              <w:rPr>
                <w:rFonts w:ascii="Arial" w:hAnsi="Arial" w:cs="Arial"/>
                <w:lang w:val="es-ES"/>
              </w:rPr>
              <w:t>Periodo de Desembolso (incluye periodo de ejecución):</w:t>
            </w:r>
          </w:p>
        </w:tc>
        <w:tc>
          <w:tcPr>
            <w:tcW w:w="4428" w:type="dxa"/>
          </w:tcPr>
          <w:p w:rsidR="001F3849" w:rsidRPr="00B70E6E" w:rsidRDefault="001F3849" w:rsidP="00C311DC">
            <w:pPr>
              <w:spacing w:line="20" w:lineRule="atLeast"/>
              <w:ind w:left="360"/>
              <w:jc w:val="right"/>
              <w:rPr>
                <w:rFonts w:ascii="Arial" w:hAnsi="Arial" w:cs="Arial"/>
                <w:lang w:val="es-ES"/>
              </w:rPr>
            </w:pPr>
            <w:r w:rsidRPr="00B70E6E">
              <w:rPr>
                <w:rFonts w:ascii="Arial" w:hAnsi="Arial" w:cs="Arial"/>
                <w:lang w:val="es-ES"/>
              </w:rPr>
              <w:t>Un (1) año</w:t>
            </w:r>
          </w:p>
        </w:tc>
      </w:tr>
      <w:tr w:rsidR="001F3849" w:rsidRPr="00B70E6E" w:rsidTr="00A72BBC">
        <w:tc>
          <w:tcPr>
            <w:tcW w:w="4140" w:type="dxa"/>
          </w:tcPr>
          <w:p w:rsidR="001F3849" w:rsidRPr="00B70E6E" w:rsidRDefault="001F3849" w:rsidP="00B70E6E">
            <w:pPr>
              <w:spacing w:line="20" w:lineRule="atLeast"/>
              <w:ind w:left="180"/>
              <w:jc w:val="both"/>
              <w:rPr>
                <w:rFonts w:ascii="Arial" w:hAnsi="Arial" w:cs="Arial"/>
                <w:lang w:val="es-ES"/>
              </w:rPr>
            </w:pPr>
            <w:r w:rsidRPr="00B70E6E">
              <w:rPr>
                <w:rFonts w:ascii="Arial" w:hAnsi="Arial" w:cs="Arial"/>
                <w:lang w:val="es-ES"/>
              </w:rPr>
              <w:t>Fecha de Inicio: (se puede incluir proyectos o programas en ejecución siempre que se hayan iniciado en el 2015)</w:t>
            </w:r>
          </w:p>
        </w:tc>
        <w:tc>
          <w:tcPr>
            <w:tcW w:w="4428" w:type="dxa"/>
          </w:tcPr>
          <w:p w:rsidR="001F3849" w:rsidRPr="00B70E6E" w:rsidRDefault="001F3849" w:rsidP="00C311DC">
            <w:pPr>
              <w:spacing w:line="20" w:lineRule="atLeast"/>
              <w:ind w:left="360"/>
              <w:jc w:val="right"/>
              <w:rPr>
                <w:rFonts w:ascii="Arial" w:hAnsi="Arial" w:cs="Arial"/>
                <w:lang w:val="es-ES"/>
              </w:rPr>
            </w:pPr>
            <w:r w:rsidRPr="00B70E6E">
              <w:rPr>
                <w:rFonts w:ascii="Arial" w:hAnsi="Arial" w:cs="Arial"/>
                <w:lang w:val="es-ES"/>
              </w:rPr>
              <w:t>Por definir</w:t>
            </w:r>
          </w:p>
        </w:tc>
      </w:tr>
    </w:tbl>
    <w:p w:rsidR="00C311DC" w:rsidRDefault="00C311DC" w:rsidP="00C311DC">
      <w:pPr>
        <w:spacing w:after="0" w:line="20" w:lineRule="atLeast"/>
        <w:ind w:left="360"/>
        <w:rPr>
          <w:rFonts w:ascii="Arial" w:eastAsia="Times New Roman" w:hAnsi="Arial" w:cs="Arial"/>
          <w:b/>
          <w:lang w:val="es-ES"/>
        </w:rPr>
      </w:pPr>
    </w:p>
    <w:p w:rsidR="001F3849" w:rsidRDefault="001F3849" w:rsidP="00C311DC">
      <w:pPr>
        <w:numPr>
          <w:ilvl w:val="0"/>
          <w:numId w:val="14"/>
        </w:numPr>
        <w:spacing w:after="0" w:line="20" w:lineRule="atLeast"/>
        <w:rPr>
          <w:rFonts w:ascii="Arial" w:eastAsia="Times New Roman" w:hAnsi="Arial" w:cs="Arial"/>
          <w:b/>
          <w:lang w:val="es-ES"/>
        </w:rPr>
      </w:pPr>
      <w:r w:rsidRPr="00B70E6E">
        <w:rPr>
          <w:rFonts w:ascii="Arial" w:eastAsia="Times New Roman" w:hAnsi="Arial" w:cs="Arial"/>
          <w:b/>
          <w:lang w:val="es-ES"/>
        </w:rPr>
        <w:t xml:space="preserve">Descripción Básica del Proyecto </w:t>
      </w:r>
    </w:p>
    <w:p w:rsidR="00C311DC" w:rsidRPr="00B70E6E" w:rsidRDefault="00C311DC" w:rsidP="00C311DC">
      <w:pPr>
        <w:spacing w:after="0" w:line="20" w:lineRule="atLeast"/>
        <w:ind w:left="360"/>
        <w:rPr>
          <w:rFonts w:ascii="Arial" w:eastAsia="Times New Roman" w:hAnsi="Arial" w:cs="Arial"/>
          <w:b/>
          <w:lang w:val="es-ES"/>
        </w:rPr>
      </w:pPr>
    </w:p>
    <w:p w:rsidR="001F3849" w:rsidRDefault="001F3849" w:rsidP="00C311DC">
      <w:pPr>
        <w:numPr>
          <w:ilvl w:val="1"/>
          <w:numId w:val="14"/>
        </w:numPr>
        <w:spacing w:after="0" w:line="20" w:lineRule="atLeast"/>
        <w:ind w:left="426" w:hanging="568"/>
        <w:jc w:val="both"/>
        <w:rPr>
          <w:rFonts w:ascii="Arial" w:eastAsia="Times New Roman" w:hAnsi="Arial" w:cs="Arial"/>
          <w:lang w:val="es-ES"/>
        </w:rPr>
      </w:pPr>
      <w:r w:rsidRPr="00B70E6E">
        <w:rPr>
          <w:rFonts w:ascii="Arial" w:eastAsia="Times New Roman" w:hAnsi="Arial" w:cs="Arial"/>
          <w:b/>
          <w:lang w:val="es-ES"/>
        </w:rPr>
        <w:t>Problema</w:t>
      </w:r>
      <w:r w:rsidRPr="00B70E6E">
        <w:rPr>
          <w:rFonts w:ascii="Arial" w:eastAsia="Times New Roman" w:hAnsi="Arial" w:cs="Arial"/>
          <w:lang w:val="es-ES"/>
        </w:rPr>
        <w:t xml:space="preserve">: Si bien, el centro tradicional de Montería no ha sido declarado en su conjunto como Bien de Interés Cultural, el sector concentra 121 inmuebles que revisten interés histórico y cultural, identificados de manera preliminar en el Plan de Ordenamiento Territorial vigente, de los cuales sólo el Mercado Central cuenta con una declaratoria como Bien de Interés Cultural del ámbito municipal. Este edificio se encuentra en progresivo estado de deterioro y su rehabilitación se ha definido como prioritaria para integrar las acciones que ya ha emprendido la ciudad en la construcción del espacio público de la ronda próxima, el muelle turístico y la recuperación del espacio público a partir de la reubicación de vendedores informales.  </w:t>
      </w:r>
    </w:p>
    <w:p w:rsidR="00C311DC" w:rsidRPr="00B70E6E" w:rsidRDefault="00C311DC" w:rsidP="00C311DC">
      <w:pPr>
        <w:spacing w:after="0" w:line="20" w:lineRule="atLeast"/>
        <w:ind w:left="426"/>
        <w:jc w:val="both"/>
        <w:rPr>
          <w:rFonts w:ascii="Arial" w:eastAsia="Times New Roman" w:hAnsi="Arial" w:cs="Arial"/>
          <w:lang w:val="es-ES"/>
        </w:rPr>
      </w:pPr>
    </w:p>
    <w:p w:rsidR="001F3849" w:rsidRPr="00B70E6E" w:rsidRDefault="001F3849" w:rsidP="00C311DC">
      <w:pPr>
        <w:numPr>
          <w:ilvl w:val="1"/>
          <w:numId w:val="14"/>
        </w:numPr>
        <w:tabs>
          <w:tab w:val="left" w:pos="450"/>
        </w:tabs>
        <w:spacing w:after="0" w:line="20" w:lineRule="atLeast"/>
        <w:ind w:left="450" w:hanging="630"/>
        <w:jc w:val="both"/>
        <w:rPr>
          <w:rFonts w:ascii="Arial" w:eastAsia="Times New Roman" w:hAnsi="Arial" w:cs="Arial"/>
          <w:lang w:val="es-ES"/>
        </w:rPr>
      </w:pPr>
      <w:r w:rsidRPr="00B70E6E">
        <w:rPr>
          <w:rFonts w:ascii="Arial" w:eastAsia="Times New Roman" w:hAnsi="Arial" w:cs="Arial"/>
          <w:b/>
          <w:lang w:val="es-ES"/>
        </w:rPr>
        <w:t>Objetivo:</w:t>
      </w:r>
      <w:r w:rsidRPr="00B70E6E">
        <w:rPr>
          <w:rFonts w:ascii="Arial" w:eastAsia="Times New Roman" w:hAnsi="Arial" w:cs="Arial"/>
          <w:lang w:val="es-ES"/>
        </w:rPr>
        <w:t xml:space="preserve"> Ejecutar la obra de restauración del Mercado Central y dotación de puestos de ventas.</w:t>
      </w:r>
    </w:p>
    <w:p w:rsidR="001F3849" w:rsidRPr="00B70E6E" w:rsidRDefault="001F3849" w:rsidP="00C311DC">
      <w:pPr>
        <w:numPr>
          <w:ilvl w:val="1"/>
          <w:numId w:val="14"/>
        </w:numPr>
        <w:spacing w:after="0" w:line="20" w:lineRule="atLeast"/>
        <w:ind w:left="426" w:hanging="568"/>
        <w:contextualSpacing/>
        <w:jc w:val="both"/>
        <w:rPr>
          <w:rFonts w:ascii="Arial" w:eastAsia="Times New Roman" w:hAnsi="Arial" w:cs="Arial"/>
          <w:lang w:val="es-ES"/>
        </w:rPr>
      </w:pPr>
      <w:r w:rsidRPr="00B70E6E">
        <w:rPr>
          <w:rFonts w:ascii="Arial" w:eastAsia="Times New Roman" w:hAnsi="Arial" w:cs="Arial"/>
          <w:b/>
          <w:lang w:val="es-ES"/>
        </w:rPr>
        <w:lastRenderedPageBreak/>
        <w:t xml:space="preserve">Situación actual </w:t>
      </w:r>
      <w:r w:rsidRPr="00B70E6E">
        <w:rPr>
          <w:rFonts w:ascii="Arial" w:eastAsia="Times New Roman" w:hAnsi="Arial" w:cs="Arial"/>
          <w:lang w:val="es-ES"/>
        </w:rPr>
        <w:t>El proyecto para la restauración del inmueble patrimonial, de aproximadamente 5.000 m2 de construcción, pretende articular el inmueble a la estrategia de recuperación de espacio público, conservar la actividad de mercado en una escala local (al trasladar la función de mercado de abastos al nuevo Supermercado Popular de Oriente), a partir de una oferta de ventas y servicios gastronómicos que aprovechen la edificación y la localización de la misma, en la zona próxima al muelle turístico y a la ronda del río, principal espacio público de la ciudad. Para materializar esta acción se ha contratado, con recursos de la Unión Europea, fondo LAIF a través de la Agencia Francesa de Desarrollo (AFD) y aportes del municipio, los estudios y diseños arquitectónicos y técnicos para la restauración del edificio del mercado central, consistentes en el diseño arquitectónico, diseño estructural, diseño hidrosanitario, diseño eléctrico, recomendaciones bioclimáticas y presupuesto y programación.</w:t>
      </w:r>
    </w:p>
    <w:p w:rsidR="001F3849" w:rsidRPr="00B70E6E" w:rsidRDefault="001F3849" w:rsidP="00B70E6E">
      <w:pPr>
        <w:spacing w:after="0" w:line="20" w:lineRule="atLeast"/>
        <w:ind w:left="720"/>
        <w:contextualSpacing/>
        <w:jc w:val="both"/>
        <w:rPr>
          <w:rFonts w:ascii="Arial" w:eastAsia="Times New Roman" w:hAnsi="Arial" w:cs="Arial"/>
          <w:lang w:val="es-ES"/>
        </w:rPr>
      </w:pPr>
    </w:p>
    <w:p w:rsidR="001F3849" w:rsidRPr="00C311DC" w:rsidRDefault="001F3849" w:rsidP="00C311DC">
      <w:pPr>
        <w:numPr>
          <w:ilvl w:val="1"/>
          <w:numId w:val="14"/>
        </w:numPr>
        <w:tabs>
          <w:tab w:val="left" w:pos="450"/>
        </w:tabs>
        <w:spacing w:after="0" w:line="20" w:lineRule="atLeast"/>
        <w:ind w:hanging="720"/>
        <w:jc w:val="both"/>
        <w:rPr>
          <w:rFonts w:ascii="Arial" w:eastAsia="Times New Roman" w:hAnsi="Arial" w:cs="Arial"/>
          <w:lang w:val="es-ES"/>
        </w:rPr>
      </w:pPr>
      <w:r w:rsidRPr="00B70E6E">
        <w:rPr>
          <w:rFonts w:ascii="Arial" w:eastAsia="Times New Roman" w:hAnsi="Arial" w:cs="Arial"/>
          <w:b/>
          <w:lang w:val="es-ES"/>
        </w:rPr>
        <w:t xml:space="preserve">Componentes Principales: </w:t>
      </w:r>
    </w:p>
    <w:p w:rsidR="00C311DC" w:rsidRPr="00B70E6E" w:rsidRDefault="00C311DC" w:rsidP="00C311DC">
      <w:pPr>
        <w:tabs>
          <w:tab w:val="left" w:pos="450"/>
        </w:tabs>
        <w:spacing w:after="0" w:line="20" w:lineRule="atLeast"/>
        <w:ind w:left="720"/>
        <w:jc w:val="both"/>
        <w:rPr>
          <w:rFonts w:ascii="Arial" w:eastAsia="Times New Roman" w:hAnsi="Arial" w:cs="Arial"/>
          <w:lang w:val="es-ES"/>
        </w:rPr>
      </w:pPr>
    </w:p>
    <w:p w:rsidR="001F3849" w:rsidRPr="00B70E6E" w:rsidRDefault="001F3849" w:rsidP="00C311DC">
      <w:pPr>
        <w:numPr>
          <w:ilvl w:val="0"/>
          <w:numId w:val="10"/>
        </w:numPr>
        <w:tabs>
          <w:tab w:val="left" w:pos="990"/>
        </w:tabs>
        <w:spacing w:after="0" w:line="20" w:lineRule="atLeast"/>
        <w:ind w:left="1080"/>
        <w:jc w:val="both"/>
        <w:rPr>
          <w:rFonts w:ascii="Arial" w:eastAsia="Times New Roman" w:hAnsi="Arial" w:cs="Arial"/>
          <w:lang w:val="es-ES"/>
        </w:rPr>
      </w:pPr>
      <w:r w:rsidRPr="00B70E6E">
        <w:rPr>
          <w:rFonts w:ascii="Arial" w:eastAsia="Times New Roman" w:hAnsi="Arial" w:cs="Arial"/>
          <w:lang w:val="es-ES"/>
        </w:rPr>
        <w:t>Elaboración de pliegos para la licitación</w:t>
      </w:r>
    </w:p>
    <w:p w:rsidR="001F3849" w:rsidRPr="00B70E6E" w:rsidRDefault="001F3849" w:rsidP="00C311DC">
      <w:pPr>
        <w:numPr>
          <w:ilvl w:val="0"/>
          <w:numId w:val="10"/>
        </w:numPr>
        <w:tabs>
          <w:tab w:val="left" w:pos="990"/>
        </w:tabs>
        <w:spacing w:after="0" w:line="20" w:lineRule="atLeast"/>
        <w:ind w:left="1080"/>
        <w:jc w:val="both"/>
        <w:rPr>
          <w:rFonts w:ascii="Arial" w:eastAsia="Times New Roman" w:hAnsi="Arial" w:cs="Arial"/>
          <w:lang w:val="es-ES"/>
        </w:rPr>
      </w:pPr>
      <w:r w:rsidRPr="00B70E6E">
        <w:rPr>
          <w:rFonts w:ascii="Arial" w:eastAsia="Times New Roman" w:hAnsi="Arial" w:cs="Arial"/>
          <w:lang w:val="es-ES"/>
        </w:rPr>
        <w:t>Ejecución de las obras</w:t>
      </w:r>
    </w:p>
    <w:p w:rsidR="001F3849" w:rsidRPr="00B70E6E" w:rsidRDefault="001F3849" w:rsidP="00C311DC">
      <w:pPr>
        <w:numPr>
          <w:ilvl w:val="0"/>
          <w:numId w:val="10"/>
        </w:numPr>
        <w:tabs>
          <w:tab w:val="left" w:pos="990"/>
        </w:tabs>
        <w:spacing w:after="0" w:line="20" w:lineRule="atLeast"/>
        <w:ind w:left="1080"/>
        <w:jc w:val="both"/>
        <w:rPr>
          <w:rFonts w:ascii="Arial" w:eastAsia="Times New Roman" w:hAnsi="Arial" w:cs="Arial"/>
          <w:lang w:val="es-ES"/>
        </w:rPr>
      </w:pPr>
      <w:r w:rsidRPr="00B70E6E">
        <w:rPr>
          <w:rFonts w:ascii="Arial" w:eastAsia="Times New Roman" w:hAnsi="Arial" w:cs="Arial"/>
          <w:lang w:val="es-ES"/>
        </w:rPr>
        <w:t>Interventoría</w:t>
      </w:r>
    </w:p>
    <w:p w:rsidR="00B1410C" w:rsidRPr="00B70E6E" w:rsidRDefault="00B1410C" w:rsidP="00B70E6E">
      <w:pPr>
        <w:spacing w:after="0" w:line="20" w:lineRule="atLeast"/>
        <w:ind w:left="1350"/>
        <w:jc w:val="both"/>
        <w:rPr>
          <w:rFonts w:ascii="Arial" w:eastAsia="Times New Roman" w:hAnsi="Arial" w:cs="Arial"/>
          <w:lang w:val="es-ES"/>
        </w:rPr>
      </w:pPr>
    </w:p>
    <w:p w:rsidR="001F3849" w:rsidRPr="00B70E6E" w:rsidRDefault="001F3849" w:rsidP="00C311DC">
      <w:pPr>
        <w:numPr>
          <w:ilvl w:val="0"/>
          <w:numId w:val="14"/>
        </w:numPr>
        <w:spacing w:after="0" w:line="20" w:lineRule="atLeast"/>
        <w:rPr>
          <w:rFonts w:ascii="Arial" w:eastAsia="Times New Roman" w:hAnsi="Arial" w:cs="Arial"/>
          <w:lang w:val="es-ES"/>
        </w:rPr>
      </w:pPr>
      <w:r w:rsidRPr="00B70E6E">
        <w:rPr>
          <w:rFonts w:ascii="Arial" w:eastAsia="Times New Roman" w:hAnsi="Arial" w:cs="Arial"/>
          <w:b/>
          <w:lang w:val="es-ES"/>
        </w:rPr>
        <w:t xml:space="preserve">Matriz de </w:t>
      </w:r>
      <w:r w:rsidRPr="00C311DC">
        <w:rPr>
          <w:rFonts w:ascii="Arial" w:eastAsia="Times New Roman" w:hAnsi="Arial" w:cs="Arial"/>
          <w:b/>
          <w:lang w:val="es-ES"/>
        </w:rPr>
        <w:t xml:space="preserve">Resultados </w:t>
      </w:r>
      <w:r w:rsidR="00C311DC" w:rsidRPr="00C311DC">
        <w:rPr>
          <w:rFonts w:ascii="Arial" w:eastAsia="Times New Roman" w:hAnsi="Arial" w:cs="Arial"/>
          <w:b/>
          <w:lang w:val="es-ES"/>
        </w:rPr>
        <w:t>Indicativa</w:t>
      </w:r>
    </w:p>
    <w:p w:rsidR="001F3849" w:rsidRPr="00B70E6E" w:rsidRDefault="001F3849" w:rsidP="00B70E6E">
      <w:pPr>
        <w:spacing w:after="0" w:line="20" w:lineRule="atLeast"/>
        <w:ind w:left="360"/>
        <w:jc w:val="center"/>
        <w:rPr>
          <w:rFonts w:ascii="Arial" w:eastAsia="Times New Roman" w:hAnsi="Arial" w:cs="Arial"/>
          <w:b/>
          <w:lang w:val="es-ES"/>
        </w:rPr>
      </w:pPr>
    </w:p>
    <w:tbl>
      <w:tblPr>
        <w:tblStyle w:val="TableGrid4"/>
        <w:tblW w:w="0" w:type="auto"/>
        <w:jc w:val="center"/>
        <w:tblInd w:w="-552" w:type="dxa"/>
        <w:tblLook w:val="04A0" w:firstRow="1" w:lastRow="0" w:firstColumn="1" w:lastColumn="0" w:noHBand="0" w:noVBand="1"/>
      </w:tblPr>
      <w:tblGrid>
        <w:gridCol w:w="2404"/>
        <w:gridCol w:w="3171"/>
        <w:gridCol w:w="1625"/>
        <w:gridCol w:w="1975"/>
      </w:tblGrid>
      <w:tr w:rsidR="001F3849" w:rsidRPr="00C311DC" w:rsidTr="00C311DC">
        <w:trPr>
          <w:jc w:val="center"/>
        </w:trPr>
        <w:tc>
          <w:tcPr>
            <w:tcW w:w="2404" w:type="dxa"/>
            <w:shd w:val="clear" w:color="auto" w:fill="C2D69B" w:themeFill="accent3" w:themeFillTint="99"/>
            <w:vAlign w:val="center"/>
          </w:tcPr>
          <w:p w:rsidR="001F3849" w:rsidRPr="00C311DC" w:rsidRDefault="00C311DC"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Indicadores</w:t>
            </w:r>
          </w:p>
        </w:tc>
        <w:tc>
          <w:tcPr>
            <w:tcW w:w="3171" w:type="dxa"/>
            <w:shd w:val="clear" w:color="auto" w:fill="C2D69B" w:themeFill="accent3" w:themeFillTint="99"/>
            <w:vAlign w:val="center"/>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Línea de Base (Inicio)</w:t>
            </w:r>
          </w:p>
        </w:tc>
        <w:tc>
          <w:tcPr>
            <w:tcW w:w="1625" w:type="dxa"/>
            <w:shd w:val="clear" w:color="auto" w:fill="C2D69B" w:themeFill="accent3" w:themeFillTint="99"/>
            <w:vAlign w:val="center"/>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Meta</w:t>
            </w:r>
          </w:p>
        </w:tc>
        <w:tc>
          <w:tcPr>
            <w:tcW w:w="1975" w:type="dxa"/>
            <w:shd w:val="clear" w:color="auto" w:fill="C2D69B" w:themeFill="accent3" w:themeFillTint="99"/>
            <w:vAlign w:val="center"/>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Medio de Verificación</w:t>
            </w:r>
          </w:p>
        </w:tc>
      </w:tr>
      <w:tr w:rsidR="001F3849" w:rsidRPr="00C311DC" w:rsidTr="00C311DC">
        <w:trPr>
          <w:trHeight w:val="665"/>
          <w:jc w:val="center"/>
        </w:trPr>
        <w:tc>
          <w:tcPr>
            <w:tcW w:w="2404" w:type="dxa"/>
            <w:vAlign w:val="center"/>
          </w:tcPr>
          <w:p w:rsidR="001F3849" w:rsidRPr="00C311DC" w:rsidRDefault="001F3849" w:rsidP="00B70E6E">
            <w:pPr>
              <w:spacing w:line="20" w:lineRule="atLeast"/>
              <w:rPr>
                <w:rFonts w:ascii="Arial" w:hAnsi="Arial" w:cs="Arial"/>
                <w:sz w:val="18"/>
                <w:szCs w:val="18"/>
                <w:lang w:val="es-ES"/>
              </w:rPr>
            </w:pPr>
            <w:r w:rsidRPr="00C311DC">
              <w:rPr>
                <w:rFonts w:ascii="Arial" w:hAnsi="Arial" w:cs="Arial"/>
                <w:sz w:val="18"/>
                <w:szCs w:val="18"/>
                <w:lang w:val="es-ES"/>
              </w:rPr>
              <w:t>Indicador de Impacto</w:t>
            </w:r>
          </w:p>
        </w:tc>
        <w:tc>
          <w:tcPr>
            <w:tcW w:w="3171" w:type="dxa"/>
            <w:vAlign w:val="center"/>
          </w:tcPr>
          <w:p w:rsidR="001F3849" w:rsidRPr="00C311DC" w:rsidRDefault="001F3849" w:rsidP="00B70E6E">
            <w:pPr>
              <w:spacing w:line="20" w:lineRule="atLeast"/>
              <w:jc w:val="center"/>
              <w:rPr>
                <w:rFonts w:ascii="Arial" w:hAnsi="Arial" w:cs="Arial"/>
                <w:sz w:val="18"/>
                <w:szCs w:val="18"/>
                <w:lang w:val="es-ES"/>
              </w:rPr>
            </w:pPr>
            <w:r w:rsidRPr="00C311DC">
              <w:rPr>
                <w:rFonts w:ascii="Arial" w:hAnsi="Arial" w:cs="Arial"/>
                <w:sz w:val="18"/>
                <w:szCs w:val="18"/>
                <w:lang w:val="es-ES"/>
              </w:rPr>
              <w:t>Edificio de mercado en estado de deterioro</w:t>
            </w:r>
          </w:p>
        </w:tc>
        <w:tc>
          <w:tcPr>
            <w:tcW w:w="1625" w:type="dxa"/>
            <w:vAlign w:val="center"/>
          </w:tcPr>
          <w:p w:rsidR="001F3849" w:rsidRPr="00C311DC" w:rsidRDefault="001F3849" w:rsidP="00B70E6E">
            <w:pPr>
              <w:spacing w:line="20" w:lineRule="atLeast"/>
              <w:jc w:val="center"/>
              <w:rPr>
                <w:rFonts w:ascii="Arial" w:hAnsi="Arial" w:cs="Arial"/>
                <w:sz w:val="18"/>
                <w:szCs w:val="18"/>
                <w:lang w:val="es-ES"/>
              </w:rPr>
            </w:pPr>
            <w:r w:rsidRPr="00C311DC">
              <w:rPr>
                <w:rFonts w:ascii="Arial" w:hAnsi="Arial" w:cs="Arial"/>
                <w:sz w:val="18"/>
                <w:szCs w:val="18"/>
                <w:lang w:val="es-ES"/>
              </w:rPr>
              <w:t>Edificio recuperado y en funcionamiento</w:t>
            </w:r>
          </w:p>
        </w:tc>
        <w:tc>
          <w:tcPr>
            <w:tcW w:w="1975" w:type="dxa"/>
            <w:vAlign w:val="center"/>
          </w:tcPr>
          <w:p w:rsidR="001F3849" w:rsidRPr="00C311DC" w:rsidRDefault="00C311DC" w:rsidP="00B70E6E">
            <w:pPr>
              <w:spacing w:line="20" w:lineRule="atLeast"/>
              <w:jc w:val="center"/>
              <w:rPr>
                <w:rFonts w:ascii="Arial" w:hAnsi="Arial" w:cs="Arial"/>
                <w:sz w:val="18"/>
                <w:szCs w:val="18"/>
                <w:lang w:val="es-ES"/>
              </w:rPr>
            </w:pPr>
            <w:r w:rsidRPr="00C311DC">
              <w:rPr>
                <w:rFonts w:ascii="Arial" w:hAnsi="Arial" w:cs="Arial"/>
                <w:sz w:val="18"/>
                <w:szCs w:val="18"/>
                <w:lang w:val="es-ES"/>
              </w:rPr>
              <w:t>Informes de Interventoría</w:t>
            </w:r>
          </w:p>
        </w:tc>
      </w:tr>
    </w:tbl>
    <w:p w:rsidR="00B1410C" w:rsidRPr="00B70E6E" w:rsidRDefault="00B1410C" w:rsidP="00B70E6E">
      <w:pPr>
        <w:spacing w:after="0" w:line="20" w:lineRule="atLeast"/>
        <w:ind w:left="360"/>
        <w:rPr>
          <w:rFonts w:ascii="Arial" w:eastAsia="Times New Roman" w:hAnsi="Arial" w:cs="Arial"/>
          <w:b/>
          <w:lang w:val="es-ES"/>
        </w:rPr>
      </w:pPr>
    </w:p>
    <w:p w:rsidR="001F3849" w:rsidRPr="00B70E6E" w:rsidRDefault="001F3849" w:rsidP="00C311DC">
      <w:pPr>
        <w:numPr>
          <w:ilvl w:val="0"/>
          <w:numId w:val="14"/>
        </w:numPr>
        <w:spacing w:after="0" w:line="20" w:lineRule="atLeast"/>
        <w:rPr>
          <w:rFonts w:ascii="Arial" w:eastAsia="Times New Roman" w:hAnsi="Arial" w:cs="Arial"/>
          <w:b/>
          <w:lang w:val="es-ES"/>
        </w:rPr>
      </w:pPr>
      <w:r w:rsidRPr="00B70E6E">
        <w:rPr>
          <w:rFonts w:ascii="Arial" w:eastAsia="Times New Roman" w:hAnsi="Arial" w:cs="Arial"/>
          <w:b/>
          <w:lang w:val="es-ES"/>
        </w:rPr>
        <w:t xml:space="preserve">Presupuesto </w:t>
      </w:r>
      <w:r w:rsidR="00C311DC">
        <w:rPr>
          <w:rFonts w:ascii="Arial" w:eastAsia="Times New Roman" w:hAnsi="Arial" w:cs="Arial"/>
          <w:b/>
          <w:lang w:val="es-ES"/>
        </w:rPr>
        <w:t>Indicativo</w:t>
      </w:r>
    </w:p>
    <w:p w:rsidR="001F3849" w:rsidRPr="00B70E6E" w:rsidRDefault="001F3849" w:rsidP="00B70E6E">
      <w:pPr>
        <w:spacing w:after="0" w:line="20" w:lineRule="atLeast"/>
        <w:ind w:left="360"/>
        <w:jc w:val="center"/>
        <w:rPr>
          <w:rFonts w:ascii="Arial" w:eastAsia="Times New Roman" w:hAnsi="Arial" w:cs="Arial"/>
          <w:b/>
          <w:lang w:val="es-ES"/>
        </w:rPr>
      </w:pPr>
    </w:p>
    <w:tbl>
      <w:tblPr>
        <w:tblStyle w:val="TableGrid4"/>
        <w:tblW w:w="9324" w:type="dxa"/>
        <w:jc w:val="center"/>
        <w:tblLayout w:type="fixed"/>
        <w:tblLook w:val="04A0" w:firstRow="1" w:lastRow="0" w:firstColumn="1" w:lastColumn="0" w:noHBand="0" w:noVBand="1"/>
      </w:tblPr>
      <w:tblGrid>
        <w:gridCol w:w="2291"/>
        <w:gridCol w:w="1741"/>
        <w:gridCol w:w="1736"/>
        <w:gridCol w:w="1900"/>
        <w:gridCol w:w="1656"/>
      </w:tblGrid>
      <w:tr w:rsidR="001F3849" w:rsidRPr="00C311DC" w:rsidTr="00C311DC">
        <w:trPr>
          <w:jc w:val="center"/>
        </w:trPr>
        <w:tc>
          <w:tcPr>
            <w:tcW w:w="2291" w:type="dxa"/>
            <w:shd w:val="clear" w:color="auto" w:fill="C2D69B" w:themeFill="accent3" w:themeFillTint="99"/>
            <w:vAlign w:val="center"/>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Componente/Actividad</w:t>
            </w:r>
          </w:p>
        </w:tc>
        <w:tc>
          <w:tcPr>
            <w:tcW w:w="1741" w:type="dxa"/>
            <w:shd w:val="clear" w:color="auto" w:fill="C2D69B" w:themeFill="accent3" w:themeFillTint="99"/>
            <w:vAlign w:val="center"/>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Fuente de Recursos 1</w:t>
            </w:r>
          </w:p>
        </w:tc>
        <w:tc>
          <w:tcPr>
            <w:tcW w:w="1736" w:type="dxa"/>
            <w:shd w:val="clear" w:color="auto" w:fill="C2D69B" w:themeFill="accent3" w:themeFillTint="99"/>
            <w:vAlign w:val="center"/>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Fuente de Recursos 2</w:t>
            </w:r>
          </w:p>
        </w:tc>
        <w:tc>
          <w:tcPr>
            <w:tcW w:w="1900" w:type="dxa"/>
            <w:shd w:val="clear" w:color="auto" w:fill="C2D69B" w:themeFill="accent3" w:themeFillTint="99"/>
            <w:vAlign w:val="center"/>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Financiamiento Solicitado</w:t>
            </w:r>
          </w:p>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(FINDETER-BID)</w:t>
            </w:r>
          </w:p>
        </w:tc>
        <w:tc>
          <w:tcPr>
            <w:tcW w:w="1656" w:type="dxa"/>
            <w:shd w:val="clear" w:color="auto" w:fill="C2D69B" w:themeFill="accent3" w:themeFillTint="99"/>
            <w:vAlign w:val="center"/>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Costo</w:t>
            </w:r>
          </w:p>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Total</w:t>
            </w:r>
          </w:p>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 xml:space="preserve">(en Millones de Pesos) </w:t>
            </w:r>
          </w:p>
        </w:tc>
      </w:tr>
      <w:tr w:rsidR="001F3849" w:rsidRPr="00C311DC" w:rsidTr="00C311DC">
        <w:trPr>
          <w:jc w:val="center"/>
        </w:trPr>
        <w:tc>
          <w:tcPr>
            <w:tcW w:w="2291" w:type="dxa"/>
            <w:vAlign w:val="center"/>
          </w:tcPr>
          <w:p w:rsidR="001F3849" w:rsidRPr="00C311DC" w:rsidRDefault="001F3849" w:rsidP="00B70E6E">
            <w:pPr>
              <w:spacing w:line="20" w:lineRule="atLeast"/>
              <w:rPr>
                <w:rFonts w:ascii="Arial" w:hAnsi="Arial" w:cs="Arial"/>
                <w:sz w:val="18"/>
                <w:szCs w:val="18"/>
                <w:lang w:val="es-ES"/>
              </w:rPr>
            </w:pPr>
            <w:r w:rsidRPr="00C311DC">
              <w:rPr>
                <w:rFonts w:ascii="Arial" w:hAnsi="Arial" w:cs="Arial"/>
                <w:sz w:val="18"/>
                <w:szCs w:val="18"/>
                <w:lang w:val="es-ES"/>
              </w:rPr>
              <w:t>Componente 1 Elaboración pliegos para licitación</w:t>
            </w:r>
          </w:p>
        </w:tc>
        <w:tc>
          <w:tcPr>
            <w:tcW w:w="1741" w:type="dxa"/>
            <w:vAlign w:val="center"/>
          </w:tcPr>
          <w:p w:rsidR="001F3849" w:rsidRPr="00C311DC" w:rsidRDefault="001F3849" w:rsidP="00B70E6E">
            <w:pPr>
              <w:spacing w:line="20" w:lineRule="atLeast"/>
              <w:jc w:val="center"/>
              <w:rPr>
                <w:rFonts w:ascii="Arial" w:hAnsi="Arial" w:cs="Arial"/>
                <w:sz w:val="18"/>
                <w:szCs w:val="18"/>
                <w:lang w:val="es-ES"/>
              </w:rPr>
            </w:pPr>
            <w:r w:rsidRPr="00C311DC">
              <w:rPr>
                <w:rFonts w:ascii="Arial" w:hAnsi="Arial" w:cs="Arial"/>
                <w:sz w:val="18"/>
                <w:szCs w:val="18"/>
                <w:lang w:val="es-ES"/>
              </w:rPr>
              <w:t>Alcaldía</w:t>
            </w:r>
          </w:p>
        </w:tc>
        <w:tc>
          <w:tcPr>
            <w:tcW w:w="1736" w:type="dxa"/>
            <w:vAlign w:val="center"/>
          </w:tcPr>
          <w:p w:rsidR="001F3849" w:rsidRPr="00C311DC" w:rsidRDefault="001F3849" w:rsidP="00B70E6E">
            <w:pPr>
              <w:spacing w:line="20" w:lineRule="atLeast"/>
              <w:jc w:val="center"/>
              <w:rPr>
                <w:rFonts w:ascii="Arial" w:hAnsi="Arial" w:cs="Arial"/>
                <w:sz w:val="18"/>
                <w:szCs w:val="18"/>
                <w:lang w:val="es-ES"/>
              </w:rPr>
            </w:pPr>
          </w:p>
        </w:tc>
        <w:tc>
          <w:tcPr>
            <w:tcW w:w="1900" w:type="dxa"/>
            <w:vAlign w:val="center"/>
          </w:tcPr>
          <w:p w:rsidR="001F3849" w:rsidRPr="00C311DC" w:rsidRDefault="001F3849" w:rsidP="00B70E6E">
            <w:pPr>
              <w:spacing w:line="20" w:lineRule="atLeast"/>
              <w:jc w:val="center"/>
              <w:rPr>
                <w:rFonts w:ascii="Arial" w:hAnsi="Arial" w:cs="Arial"/>
                <w:sz w:val="18"/>
                <w:szCs w:val="18"/>
                <w:lang w:val="es-ES"/>
              </w:rPr>
            </w:pPr>
          </w:p>
        </w:tc>
        <w:tc>
          <w:tcPr>
            <w:tcW w:w="1656" w:type="dxa"/>
            <w:vAlign w:val="center"/>
          </w:tcPr>
          <w:p w:rsidR="001F3849" w:rsidRPr="00C311DC" w:rsidRDefault="001F3849" w:rsidP="00C311DC">
            <w:pPr>
              <w:spacing w:line="20" w:lineRule="atLeast"/>
              <w:jc w:val="center"/>
              <w:rPr>
                <w:rFonts w:ascii="Arial" w:hAnsi="Arial" w:cs="Arial"/>
                <w:sz w:val="18"/>
                <w:szCs w:val="18"/>
                <w:lang w:val="es-ES"/>
              </w:rPr>
            </w:pPr>
            <w:r w:rsidRPr="00C311DC">
              <w:rPr>
                <w:rFonts w:ascii="Arial" w:hAnsi="Arial" w:cs="Arial"/>
                <w:sz w:val="18"/>
                <w:szCs w:val="18"/>
                <w:lang w:val="es-ES"/>
              </w:rPr>
              <w:t>25</w:t>
            </w:r>
            <w:r w:rsidR="00C311DC">
              <w:rPr>
                <w:rFonts w:ascii="Arial" w:hAnsi="Arial" w:cs="Arial"/>
                <w:sz w:val="18"/>
                <w:szCs w:val="18"/>
                <w:lang w:val="es-ES"/>
              </w:rPr>
              <w:t>,000,000</w:t>
            </w:r>
          </w:p>
        </w:tc>
      </w:tr>
      <w:tr w:rsidR="001F3849" w:rsidRPr="00C311DC" w:rsidTr="00C311DC">
        <w:trPr>
          <w:jc w:val="center"/>
        </w:trPr>
        <w:tc>
          <w:tcPr>
            <w:tcW w:w="2291" w:type="dxa"/>
            <w:vAlign w:val="center"/>
          </w:tcPr>
          <w:p w:rsidR="001F3849" w:rsidRPr="00C311DC" w:rsidRDefault="001F3849" w:rsidP="00B70E6E">
            <w:pPr>
              <w:spacing w:line="20" w:lineRule="atLeast"/>
              <w:rPr>
                <w:rFonts w:ascii="Arial" w:hAnsi="Arial" w:cs="Arial"/>
                <w:sz w:val="18"/>
                <w:szCs w:val="18"/>
                <w:lang w:val="es-ES"/>
              </w:rPr>
            </w:pPr>
            <w:r w:rsidRPr="00C311DC">
              <w:rPr>
                <w:rFonts w:ascii="Arial" w:hAnsi="Arial" w:cs="Arial"/>
                <w:sz w:val="18"/>
                <w:szCs w:val="18"/>
                <w:lang w:val="es-ES"/>
              </w:rPr>
              <w:t xml:space="preserve">Componente 2 Construcción </w:t>
            </w:r>
          </w:p>
        </w:tc>
        <w:tc>
          <w:tcPr>
            <w:tcW w:w="1741" w:type="dxa"/>
            <w:vAlign w:val="center"/>
          </w:tcPr>
          <w:p w:rsidR="001F3849" w:rsidRPr="00C311DC" w:rsidRDefault="001F3849" w:rsidP="00B70E6E">
            <w:pPr>
              <w:spacing w:line="20" w:lineRule="atLeast"/>
              <w:jc w:val="center"/>
              <w:rPr>
                <w:rFonts w:ascii="Arial" w:hAnsi="Arial" w:cs="Arial"/>
                <w:sz w:val="18"/>
                <w:szCs w:val="18"/>
                <w:lang w:val="es-ES"/>
              </w:rPr>
            </w:pPr>
          </w:p>
        </w:tc>
        <w:tc>
          <w:tcPr>
            <w:tcW w:w="1736" w:type="dxa"/>
            <w:vAlign w:val="center"/>
          </w:tcPr>
          <w:p w:rsidR="001F3849" w:rsidRPr="00C311DC" w:rsidRDefault="001F3849" w:rsidP="00B70E6E">
            <w:pPr>
              <w:spacing w:line="20" w:lineRule="atLeast"/>
              <w:jc w:val="center"/>
              <w:rPr>
                <w:rFonts w:ascii="Arial" w:hAnsi="Arial" w:cs="Arial"/>
                <w:sz w:val="18"/>
                <w:szCs w:val="18"/>
                <w:lang w:val="es-ES"/>
              </w:rPr>
            </w:pPr>
          </w:p>
        </w:tc>
        <w:tc>
          <w:tcPr>
            <w:tcW w:w="1900" w:type="dxa"/>
            <w:vAlign w:val="center"/>
          </w:tcPr>
          <w:p w:rsidR="001F3849" w:rsidRPr="00C311DC" w:rsidRDefault="001F3849" w:rsidP="00C311DC">
            <w:pPr>
              <w:spacing w:line="20" w:lineRule="atLeast"/>
              <w:jc w:val="center"/>
              <w:rPr>
                <w:rFonts w:ascii="Arial" w:hAnsi="Arial" w:cs="Arial"/>
                <w:sz w:val="18"/>
                <w:szCs w:val="18"/>
                <w:lang w:val="es-ES"/>
              </w:rPr>
            </w:pPr>
            <w:r w:rsidRPr="00C311DC">
              <w:rPr>
                <w:rFonts w:ascii="Arial" w:hAnsi="Arial" w:cs="Arial"/>
                <w:sz w:val="18"/>
                <w:szCs w:val="18"/>
                <w:lang w:val="es-ES"/>
              </w:rPr>
              <w:t>13</w:t>
            </w:r>
            <w:r w:rsidR="00C311DC">
              <w:rPr>
                <w:rFonts w:ascii="Arial" w:hAnsi="Arial" w:cs="Arial"/>
                <w:sz w:val="18"/>
                <w:szCs w:val="18"/>
                <w:lang w:val="es-ES"/>
              </w:rPr>
              <w:t>,000,000,000</w:t>
            </w:r>
          </w:p>
        </w:tc>
        <w:tc>
          <w:tcPr>
            <w:tcW w:w="1656" w:type="dxa"/>
            <w:vAlign w:val="center"/>
          </w:tcPr>
          <w:p w:rsidR="001F3849" w:rsidRPr="00C311DC" w:rsidRDefault="001F3849" w:rsidP="00C311DC">
            <w:pPr>
              <w:spacing w:line="20" w:lineRule="atLeast"/>
              <w:jc w:val="center"/>
              <w:rPr>
                <w:rFonts w:ascii="Arial" w:hAnsi="Arial" w:cs="Arial"/>
                <w:sz w:val="18"/>
                <w:szCs w:val="18"/>
                <w:lang w:val="es-ES"/>
              </w:rPr>
            </w:pPr>
            <w:r w:rsidRPr="00C311DC">
              <w:rPr>
                <w:rFonts w:ascii="Arial" w:hAnsi="Arial" w:cs="Arial"/>
                <w:sz w:val="18"/>
                <w:szCs w:val="18"/>
                <w:lang w:val="es-ES"/>
              </w:rPr>
              <w:t>13</w:t>
            </w:r>
            <w:r w:rsidR="00C311DC">
              <w:rPr>
                <w:rFonts w:ascii="Arial" w:hAnsi="Arial" w:cs="Arial"/>
                <w:sz w:val="18"/>
                <w:szCs w:val="18"/>
                <w:lang w:val="es-ES"/>
              </w:rPr>
              <w:t>,000,000,000</w:t>
            </w:r>
          </w:p>
        </w:tc>
      </w:tr>
      <w:tr w:rsidR="001F3849" w:rsidRPr="00C311DC" w:rsidTr="00C311DC">
        <w:trPr>
          <w:jc w:val="center"/>
        </w:trPr>
        <w:tc>
          <w:tcPr>
            <w:tcW w:w="2291" w:type="dxa"/>
            <w:vAlign w:val="center"/>
          </w:tcPr>
          <w:p w:rsidR="001F3849" w:rsidRPr="00C311DC" w:rsidRDefault="001F3849" w:rsidP="00B70E6E">
            <w:pPr>
              <w:spacing w:line="20" w:lineRule="atLeast"/>
              <w:rPr>
                <w:rFonts w:ascii="Arial" w:hAnsi="Arial" w:cs="Arial"/>
                <w:sz w:val="18"/>
                <w:szCs w:val="18"/>
                <w:lang w:val="es-ES"/>
              </w:rPr>
            </w:pPr>
            <w:r w:rsidRPr="00C311DC">
              <w:rPr>
                <w:rFonts w:ascii="Arial" w:hAnsi="Arial" w:cs="Arial"/>
                <w:sz w:val="18"/>
                <w:szCs w:val="18"/>
                <w:lang w:val="es-ES"/>
              </w:rPr>
              <w:t>Componente 3 Interventoría (7% del valor total)</w:t>
            </w:r>
          </w:p>
        </w:tc>
        <w:tc>
          <w:tcPr>
            <w:tcW w:w="1741" w:type="dxa"/>
            <w:vAlign w:val="center"/>
          </w:tcPr>
          <w:p w:rsidR="001F3849" w:rsidRPr="00C311DC" w:rsidRDefault="001F3849" w:rsidP="00B70E6E">
            <w:pPr>
              <w:spacing w:line="20" w:lineRule="atLeast"/>
              <w:jc w:val="center"/>
              <w:rPr>
                <w:rFonts w:ascii="Arial" w:hAnsi="Arial" w:cs="Arial"/>
                <w:sz w:val="18"/>
                <w:szCs w:val="18"/>
                <w:lang w:val="es-ES"/>
              </w:rPr>
            </w:pPr>
          </w:p>
        </w:tc>
        <w:tc>
          <w:tcPr>
            <w:tcW w:w="1736" w:type="dxa"/>
            <w:vAlign w:val="center"/>
          </w:tcPr>
          <w:p w:rsidR="001F3849" w:rsidRPr="00C311DC" w:rsidRDefault="001F3849" w:rsidP="00B70E6E">
            <w:pPr>
              <w:spacing w:line="20" w:lineRule="atLeast"/>
              <w:jc w:val="center"/>
              <w:rPr>
                <w:rFonts w:ascii="Arial" w:hAnsi="Arial" w:cs="Arial"/>
                <w:sz w:val="18"/>
                <w:szCs w:val="18"/>
                <w:lang w:val="es-ES"/>
              </w:rPr>
            </w:pPr>
          </w:p>
        </w:tc>
        <w:tc>
          <w:tcPr>
            <w:tcW w:w="1900" w:type="dxa"/>
            <w:vAlign w:val="center"/>
          </w:tcPr>
          <w:p w:rsidR="001F3849" w:rsidRPr="00C311DC" w:rsidRDefault="001F3849" w:rsidP="00C311DC">
            <w:pPr>
              <w:spacing w:line="20" w:lineRule="atLeast"/>
              <w:jc w:val="center"/>
              <w:rPr>
                <w:rFonts w:ascii="Arial" w:hAnsi="Arial" w:cs="Arial"/>
                <w:sz w:val="18"/>
                <w:szCs w:val="18"/>
                <w:lang w:val="es-ES"/>
              </w:rPr>
            </w:pPr>
            <w:r w:rsidRPr="00C311DC">
              <w:rPr>
                <w:rFonts w:ascii="Arial" w:hAnsi="Arial" w:cs="Arial"/>
                <w:sz w:val="18"/>
                <w:szCs w:val="18"/>
                <w:lang w:val="es-ES"/>
              </w:rPr>
              <w:t>850</w:t>
            </w:r>
            <w:r w:rsidR="00C311DC">
              <w:rPr>
                <w:rFonts w:ascii="Arial" w:hAnsi="Arial" w:cs="Arial"/>
                <w:sz w:val="18"/>
                <w:szCs w:val="18"/>
                <w:lang w:val="es-ES"/>
              </w:rPr>
              <w:t>,000,000</w:t>
            </w:r>
          </w:p>
        </w:tc>
        <w:tc>
          <w:tcPr>
            <w:tcW w:w="1656" w:type="dxa"/>
            <w:vAlign w:val="center"/>
          </w:tcPr>
          <w:p w:rsidR="001F3849" w:rsidRPr="00C311DC" w:rsidRDefault="001F3849" w:rsidP="00B70E6E">
            <w:pPr>
              <w:spacing w:line="20" w:lineRule="atLeast"/>
              <w:jc w:val="center"/>
              <w:rPr>
                <w:rFonts w:ascii="Arial" w:hAnsi="Arial" w:cs="Arial"/>
                <w:b/>
                <w:sz w:val="18"/>
                <w:szCs w:val="18"/>
                <w:lang w:val="es-ES"/>
              </w:rPr>
            </w:pPr>
          </w:p>
        </w:tc>
      </w:tr>
    </w:tbl>
    <w:p w:rsidR="00B1410C" w:rsidRPr="00B70E6E" w:rsidRDefault="00B1410C" w:rsidP="00B70E6E">
      <w:pPr>
        <w:spacing w:after="0" w:line="20" w:lineRule="atLeast"/>
        <w:ind w:left="360"/>
        <w:rPr>
          <w:rFonts w:ascii="Arial" w:eastAsia="Times New Roman" w:hAnsi="Arial" w:cs="Arial"/>
          <w:b/>
          <w:lang w:val="es-ES"/>
        </w:rPr>
      </w:pPr>
    </w:p>
    <w:p w:rsidR="001F3849" w:rsidRPr="00B70E6E" w:rsidRDefault="001F3849" w:rsidP="00C311DC">
      <w:pPr>
        <w:numPr>
          <w:ilvl w:val="0"/>
          <w:numId w:val="14"/>
        </w:numPr>
        <w:spacing w:after="0" w:line="20" w:lineRule="atLeast"/>
        <w:rPr>
          <w:rFonts w:ascii="Arial" w:eastAsia="Times New Roman" w:hAnsi="Arial" w:cs="Arial"/>
          <w:b/>
          <w:lang w:val="es-ES"/>
        </w:rPr>
      </w:pPr>
      <w:r w:rsidRPr="00B70E6E">
        <w:rPr>
          <w:rFonts w:ascii="Arial" w:eastAsia="Times New Roman" w:hAnsi="Arial" w:cs="Arial"/>
          <w:b/>
          <w:lang w:val="es-ES"/>
        </w:rPr>
        <w:t xml:space="preserve">Cronograma de Desembolsos: </w:t>
      </w:r>
    </w:p>
    <w:p w:rsidR="00B1410C" w:rsidRPr="00B70E6E" w:rsidRDefault="00B1410C" w:rsidP="00B70E6E">
      <w:pPr>
        <w:spacing w:after="0" w:line="20" w:lineRule="atLeast"/>
        <w:ind w:left="360"/>
        <w:rPr>
          <w:rFonts w:ascii="Arial" w:eastAsia="Times New Roman" w:hAnsi="Arial" w:cs="Arial"/>
          <w:b/>
          <w:lang w:val="es-ES"/>
        </w:rPr>
      </w:pPr>
    </w:p>
    <w:tbl>
      <w:tblPr>
        <w:tblStyle w:val="TableGrid4"/>
        <w:tblW w:w="8618" w:type="dxa"/>
        <w:jc w:val="center"/>
        <w:tblLayout w:type="fixed"/>
        <w:tblLook w:val="04A0" w:firstRow="1" w:lastRow="0" w:firstColumn="1" w:lastColumn="0" w:noHBand="0" w:noVBand="1"/>
      </w:tblPr>
      <w:tblGrid>
        <w:gridCol w:w="2291"/>
        <w:gridCol w:w="870"/>
        <w:gridCol w:w="871"/>
        <w:gridCol w:w="868"/>
        <w:gridCol w:w="868"/>
        <w:gridCol w:w="950"/>
        <w:gridCol w:w="950"/>
        <w:gridCol w:w="950"/>
      </w:tblGrid>
      <w:tr w:rsidR="001F3849" w:rsidRPr="00C311DC" w:rsidTr="00A72BBC">
        <w:trPr>
          <w:trHeight w:val="135"/>
          <w:jc w:val="center"/>
        </w:trPr>
        <w:tc>
          <w:tcPr>
            <w:tcW w:w="2291" w:type="dxa"/>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Componente/Actividad</w:t>
            </w:r>
          </w:p>
        </w:tc>
        <w:tc>
          <w:tcPr>
            <w:tcW w:w="870" w:type="dxa"/>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2015</w:t>
            </w:r>
          </w:p>
        </w:tc>
        <w:tc>
          <w:tcPr>
            <w:tcW w:w="871" w:type="dxa"/>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2016</w:t>
            </w:r>
          </w:p>
        </w:tc>
        <w:tc>
          <w:tcPr>
            <w:tcW w:w="868" w:type="dxa"/>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2017</w:t>
            </w:r>
          </w:p>
        </w:tc>
        <w:tc>
          <w:tcPr>
            <w:tcW w:w="868" w:type="dxa"/>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2018</w:t>
            </w:r>
          </w:p>
        </w:tc>
        <w:tc>
          <w:tcPr>
            <w:tcW w:w="950" w:type="dxa"/>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2019</w:t>
            </w:r>
          </w:p>
        </w:tc>
        <w:tc>
          <w:tcPr>
            <w:tcW w:w="950" w:type="dxa"/>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2020</w:t>
            </w:r>
          </w:p>
        </w:tc>
        <w:tc>
          <w:tcPr>
            <w:tcW w:w="950" w:type="dxa"/>
          </w:tcPr>
          <w:p w:rsidR="001F3849" w:rsidRPr="00C311DC" w:rsidRDefault="001F3849"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Costo Total</w:t>
            </w:r>
          </w:p>
        </w:tc>
      </w:tr>
      <w:tr w:rsidR="001F3849" w:rsidRPr="00C311DC" w:rsidTr="00A72BBC">
        <w:trPr>
          <w:trHeight w:val="135"/>
          <w:jc w:val="center"/>
        </w:trPr>
        <w:tc>
          <w:tcPr>
            <w:tcW w:w="2291" w:type="dxa"/>
          </w:tcPr>
          <w:p w:rsidR="001F3849" w:rsidRPr="00C311DC" w:rsidRDefault="001F3849" w:rsidP="00B70E6E">
            <w:pPr>
              <w:spacing w:line="20" w:lineRule="atLeast"/>
              <w:jc w:val="center"/>
              <w:rPr>
                <w:rFonts w:ascii="Arial" w:hAnsi="Arial" w:cs="Arial"/>
                <w:sz w:val="18"/>
                <w:szCs w:val="18"/>
                <w:lang w:val="es-ES"/>
              </w:rPr>
            </w:pPr>
            <w:r w:rsidRPr="00C311DC">
              <w:rPr>
                <w:rFonts w:ascii="Arial" w:hAnsi="Arial" w:cs="Arial"/>
                <w:sz w:val="18"/>
                <w:szCs w:val="18"/>
                <w:lang w:val="es-ES"/>
              </w:rPr>
              <w:t>Componente 1</w:t>
            </w:r>
          </w:p>
        </w:tc>
        <w:tc>
          <w:tcPr>
            <w:tcW w:w="870" w:type="dxa"/>
          </w:tcPr>
          <w:p w:rsidR="001F3849" w:rsidRPr="00C311DC" w:rsidRDefault="001F3849" w:rsidP="00B70E6E">
            <w:pPr>
              <w:spacing w:line="20" w:lineRule="atLeast"/>
              <w:jc w:val="center"/>
              <w:rPr>
                <w:rFonts w:ascii="Arial" w:hAnsi="Arial" w:cs="Arial"/>
                <w:sz w:val="18"/>
                <w:szCs w:val="18"/>
                <w:lang w:val="es-ES"/>
              </w:rPr>
            </w:pPr>
            <w:r w:rsidRPr="00C311DC">
              <w:rPr>
                <w:rFonts w:ascii="Arial" w:hAnsi="Arial" w:cs="Arial"/>
                <w:sz w:val="18"/>
                <w:szCs w:val="18"/>
                <w:lang w:val="es-ES"/>
              </w:rPr>
              <w:t>X</w:t>
            </w:r>
          </w:p>
        </w:tc>
        <w:tc>
          <w:tcPr>
            <w:tcW w:w="871" w:type="dxa"/>
          </w:tcPr>
          <w:p w:rsidR="001F3849" w:rsidRPr="00C311DC" w:rsidRDefault="001F3849" w:rsidP="00B70E6E">
            <w:pPr>
              <w:spacing w:line="20" w:lineRule="atLeast"/>
              <w:jc w:val="center"/>
              <w:rPr>
                <w:rFonts w:ascii="Arial" w:hAnsi="Arial" w:cs="Arial"/>
                <w:sz w:val="18"/>
                <w:szCs w:val="18"/>
                <w:lang w:val="es-ES"/>
              </w:rPr>
            </w:pPr>
          </w:p>
        </w:tc>
        <w:tc>
          <w:tcPr>
            <w:tcW w:w="868" w:type="dxa"/>
          </w:tcPr>
          <w:p w:rsidR="001F3849" w:rsidRPr="00C311DC" w:rsidRDefault="001F3849" w:rsidP="00B70E6E">
            <w:pPr>
              <w:spacing w:line="20" w:lineRule="atLeast"/>
              <w:jc w:val="center"/>
              <w:rPr>
                <w:rFonts w:ascii="Arial" w:hAnsi="Arial" w:cs="Arial"/>
                <w:sz w:val="18"/>
                <w:szCs w:val="18"/>
                <w:lang w:val="es-ES"/>
              </w:rPr>
            </w:pPr>
          </w:p>
        </w:tc>
        <w:tc>
          <w:tcPr>
            <w:tcW w:w="868" w:type="dxa"/>
          </w:tcPr>
          <w:p w:rsidR="001F3849" w:rsidRPr="00C311DC" w:rsidRDefault="001F3849" w:rsidP="00B70E6E">
            <w:pPr>
              <w:spacing w:line="20" w:lineRule="atLeast"/>
              <w:jc w:val="center"/>
              <w:rPr>
                <w:rFonts w:ascii="Arial" w:hAnsi="Arial" w:cs="Arial"/>
                <w:sz w:val="18"/>
                <w:szCs w:val="18"/>
                <w:lang w:val="es-ES"/>
              </w:rPr>
            </w:pPr>
          </w:p>
        </w:tc>
        <w:tc>
          <w:tcPr>
            <w:tcW w:w="950" w:type="dxa"/>
          </w:tcPr>
          <w:p w:rsidR="001F3849" w:rsidRPr="00C311DC" w:rsidRDefault="001F3849" w:rsidP="00B70E6E">
            <w:pPr>
              <w:spacing w:line="20" w:lineRule="atLeast"/>
              <w:jc w:val="center"/>
              <w:rPr>
                <w:rFonts w:ascii="Arial" w:hAnsi="Arial" w:cs="Arial"/>
                <w:sz w:val="18"/>
                <w:szCs w:val="18"/>
                <w:lang w:val="es-ES"/>
              </w:rPr>
            </w:pPr>
          </w:p>
        </w:tc>
        <w:tc>
          <w:tcPr>
            <w:tcW w:w="950" w:type="dxa"/>
          </w:tcPr>
          <w:p w:rsidR="001F3849" w:rsidRPr="00C311DC" w:rsidRDefault="001F3849" w:rsidP="00B70E6E">
            <w:pPr>
              <w:spacing w:line="20" w:lineRule="atLeast"/>
              <w:jc w:val="center"/>
              <w:rPr>
                <w:rFonts w:ascii="Arial" w:hAnsi="Arial" w:cs="Arial"/>
                <w:sz w:val="18"/>
                <w:szCs w:val="18"/>
                <w:lang w:val="es-ES"/>
              </w:rPr>
            </w:pPr>
          </w:p>
        </w:tc>
        <w:tc>
          <w:tcPr>
            <w:tcW w:w="950" w:type="dxa"/>
          </w:tcPr>
          <w:p w:rsidR="001F3849" w:rsidRPr="00C311DC" w:rsidRDefault="001F3849" w:rsidP="00B70E6E">
            <w:pPr>
              <w:spacing w:line="20" w:lineRule="atLeast"/>
              <w:jc w:val="center"/>
              <w:rPr>
                <w:rFonts w:ascii="Arial" w:hAnsi="Arial" w:cs="Arial"/>
                <w:sz w:val="18"/>
                <w:szCs w:val="18"/>
                <w:lang w:val="es-ES"/>
              </w:rPr>
            </w:pPr>
          </w:p>
        </w:tc>
      </w:tr>
      <w:tr w:rsidR="001F3849" w:rsidRPr="00C311DC" w:rsidTr="00A72BBC">
        <w:trPr>
          <w:trHeight w:val="135"/>
          <w:jc w:val="center"/>
        </w:trPr>
        <w:tc>
          <w:tcPr>
            <w:tcW w:w="2291" w:type="dxa"/>
          </w:tcPr>
          <w:p w:rsidR="001F3849" w:rsidRPr="00C311DC" w:rsidRDefault="001F3849" w:rsidP="00B70E6E">
            <w:pPr>
              <w:spacing w:line="20" w:lineRule="atLeast"/>
              <w:jc w:val="center"/>
              <w:rPr>
                <w:rFonts w:ascii="Arial" w:hAnsi="Arial" w:cs="Arial"/>
                <w:sz w:val="18"/>
                <w:szCs w:val="18"/>
                <w:lang w:val="es-ES"/>
              </w:rPr>
            </w:pPr>
            <w:r w:rsidRPr="00C311DC">
              <w:rPr>
                <w:rFonts w:ascii="Arial" w:hAnsi="Arial" w:cs="Arial"/>
                <w:sz w:val="18"/>
                <w:szCs w:val="18"/>
                <w:lang w:val="es-ES"/>
              </w:rPr>
              <w:t>Componente 2</w:t>
            </w:r>
          </w:p>
        </w:tc>
        <w:tc>
          <w:tcPr>
            <w:tcW w:w="870" w:type="dxa"/>
          </w:tcPr>
          <w:p w:rsidR="001F3849" w:rsidRPr="00C311DC" w:rsidRDefault="001F3849" w:rsidP="00B70E6E">
            <w:pPr>
              <w:spacing w:line="20" w:lineRule="atLeast"/>
              <w:jc w:val="center"/>
              <w:rPr>
                <w:rFonts w:ascii="Arial" w:hAnsi="Arial" w:cs="Arial"/>
                <w:sz w:val="18"/>
                <w:szCs w:val="18"/>
                <w:lang w:val="es-ES"/>
              </w:rPr>
            </w:pPr>
            <w:r w:rsidRPr="00C311DC">
              <w:rPr>
                <w:rFonts w:ascii="Arial" w:hAnsi="Arial" w:cs="Arial"/>
                <w:sz w:val="18"/>
                <w:szCs w:val="18"/>
                <w:lang w:val="es-ES"/>
              </w:rPr>
              <w:t>X</w:t>
            </w:r>
          </w:p>
        </w:tc>
        <w:tc>
          <w:tcPr>
            <w:tcW w:w="871" w:type="dxa"/>
          </w:tcPr>
          <w:p w:rsidR="001F3849" w:rsidRPr="00C311DC" w:rsidRDefault="001F3849" w:rsidP="00B70E6E">
            <w:pPr>
              <w:spacing w:line="20" w:lineRule="atLeast"/>
              <w:jc w:val="center"/>
              <w:rPr>
                <w:rFonts w:ascii="Arial" w:hAnsi="Arial" w:cs="Arial"/>
                <w:sz w:val="18"/>
                <w:szCs w:val="18"/>
                <w:lang w:val="es-ES"/>
              </w:rPr>
            </w:pPr>
            <w:r w:rsidRPr="00C311DC">
              <w:rPr>
                <w:rFonts w:ascii="Arial" w:hAnsi="Arial" w:cs="Arial"/>
                <w:sz w:val="18"/>
                <w:szCs w:val="18"/>
                <w:lang w:val="es-ES"/>
              </w:rPr>
              <w:t>X</w:t>
            </w:r>
          </w:p>
        </w:tc>
        <w:tc>
          <w:tcPr>
            <w:tcW w:w="868" w:type="dxa"/>
          </w:tcPr>
          <w:p w:rsidR="001F3849" w:rsidRPr="00C311DC" w:rsidRDefault="001F3849" w:rsidP="00B70E6E">
            <w:pPr>
              <w:spacing w:line="20" w:lineRule="atLeast"/>
              <w:jc w:val="center"/>
              <w:rPr>
                <w:rFonts w:ascii="Arial" w:hAnsi="Arial" w:cs="Arial"/>
                <w:sz w:val="18"/>
                <w:szCs w:val="18"/>
                <w:lang w:val="es-ES"/>
              </w:rPr>
            </w:pPr>
          </w:p>
        </w:tc>
        <w:tc>
          <w:tcPr>
            <w:tcW w:w="868" w:type="dxa"/>
          </w:tcPr>
          <w:p w:rsidR="001F3849" w:rsidRPr="00C311DC" w:rsidRDefault="001F3849" w:rsidP="00B70E6E">
            <w:pPr>
              <w:spacing w:line="20" w:lineRule="atLeast"/>
              <w:jc w:val="center"/>
              <w:rPr>
                <w:rFonts w:ascii="Arial" w:hAnsi="Arial" w:cs="Arial"/>
                <w:sz w:val="18"/>
                <w:szCs w:val="18"/>
                <w:lang w:val="es-ES"/>
              </w:rPr>
            </w:pPr>
          </w:p>
        </w:tc>
        <w:tc>
          <w:tcPr>
            <w:tcW w:w="950" w:type="dxa"/>
          </w:tcPr>
          <w:p w:rsidR="001F3849" w:rsidRPr="00C311DC" w:rsidRDefault="001F3849" w:rsidP="00B70E6E">
            <w:pPr>
              <w:spacing w:line="20" w:lineRule="atLeast"/>
              <w:jc w:val="center"/>
              <w:rPr>
                <w:rFonts w:ascii="Arial" w:hAnsi="Arial" w:cs="Arial"/>
                <w:sz w:val="18"/>
                <w:szCs w:val="18"/>
                <w:lang w:val="es-ES"/>
              </w:rPr>
            </w:pPr>
          </w:p>
        </w:tc>
        <w:tc>
          <w:tcPr>
            <w:tcW w:w="950" w:type="dxa"/>
          </w:tcPr>
          <w:p w:rsidR="001F3849" w:rsidRPr="00C311DC" w:rsidRDefault="001F3849" w:rsidP="00B70E6E">
            <w:pPr>
              <w:spacing w:line="20" w:lineRule="atLeast"/>
              <w:jc w:val="center"/>
              <w:rPr>
                <w:rFonts w:ascii="Arial" w:hAnsi="Arial" w:cs="Arial"/>
                <w:sz w:val="18"/>
                <w:szCs w:val="18"/>
                <w:lang w:val="es-ES"/>
              </w:rPr>
            </w:pPr>
          </w:p>
        </w:tc>
        <w:tc>
          <w:tcPr>
            <w:tcW w:w="950" w:type="dxa"/>
          </w:tcPr>
          <w:p w:rsidR="001F3849" w:rsidRPr="00C311DC" w:rsidRDefault="001F3849" w:rsidP="00B70E6E">
            <w:pPr>
              <w:spacing w:line="20" w:lineRule="atLeast"/>
              <w:jc w:val="center"/>
              <w:rPr>
                <w:rFonts w:ascii="Arial" w:hAnsi="Arial" w:cs="Arial"/>
                <w:sz w:val="18"/>
                <w:szCs w:val="18"/>
                <w:lang w:val="es-ES"/>
              </w:rPr>
            </w:pPr>
          </w:p>
        </w:tc>
      </w:tr>
      <w:tr w:rsidR="001F3849" w:rsidRPr="00C311DC" w:rsidTr="00A72BBC">
        <w:trPr>
          <w:trHeight w:val="135"/>
          <w:jc w:val="center"/>
        </w:trPr>
        <w:tc>
          <w:tcPr>
            <w:tcW w:w="2291" w:type="dxa"/>
          </w:tcPr>
          <w:p w:rsidR="001F3849" w:rsidRPr="00C311DC" w:rsidRDefault="001F3849" w:rsidP="00B70E6E">
            <w:pPr>
              <w:spacing w:line="20" w:lineRule="atLeast"/>
              <w:jc w:val="center"/>
              <w:rPr>
                <w:rFonts w:ascii="Arial" w:hAnsi="Arial" w:cs="Arial"/>
                <w:sz w:val="18"/>
                <w:szCs w:val="18"/>
                <w:lang w:val="es-ES"/>
              </w:rPr>
            </w:pPr>
            <w:r w:rsidRPr="00C311DC">
              <w:rPr>
                <w:rFonts w:ascii="Arial" w:hAnsi="Arial" w:cs="Arial"/>
                <w:sz w:val="18"/>
                <w:szCs w:val="18"/>
                <w:lang w:val="es-ES"/>
              </w:rPr>
              <w:t>Componente 3</w:t>
            </w:r>
          </w:p>
        </w:tc>
        <w:tc>
          <w:tcPr>
            <w:tcW w:w="870" w:type="dxa"/>
          </w:tcPr>
          <w:p w:rsidR="001F3849" w:rsidRPr="00C311DC" w:rsidRDefault="001F3849" w:rsidP="00B70E6E">
            <w:pPr>
              <w:spacing w:line="20" w:lineRule="atLeast"/>
              <w:jc w:val="center"/>
              <w:rPr>
                <w:rFonts w:ascii="Arial" w:hAnsi="Arial" w:cs="Arial"/>
                <w:sz w:val="18"/>
                <w:szCs w:val="18"/>
                <w:lang w:val="es-ES"/>
              </w:rPr>
            </w:pPr>
            <w:r w:rsidRPr="00C311DC">
              <w:rPr>
                <w:rFonts w:ascii="Arial" w:hAnsi="Arial" w:cs="Arial"/>
                <w:sz w:val="18"/>
                <w:szCs w:val="18"/>
                <w:lang w:val="es-ES"/>
              </w:rPr>
              <w:t>X</w:t>
            </w:r>
          </w:p>
        </w:tc>
        <w:tc>
          <w:tcPr>
            <w:tcW w:w="871" w:type="dxa"/>
          </w:tcPr>
          <w:p w:rsidR="001F3849" w:rsidRPr="00C311DC" w:rsidRDefault="001F3849" w:rsidP="00B70E6E">
            <w:pPr>
              <w:spacing w:line="20" w:lineRule="atLeast"/>
              <w:jc w:val="center"/>
              <w:rPr>
                <w:rFonts w:ascii="Arial" w:hAnsi="Arial" w:cs="Arial"/>
                <w:sz w:val="18"/>
                <w:szCs w:val="18"/>
                <w:lang w:val="es-ES"/>
              </w:rPr>
            </w:pPr>
            <w:r w:rsidRPr="00C311DC">
              <w:rPr>
                <w:rFonts w:ascii="Arial" w:hAnsi="Arial" w:cs="Arial"/>
                <w:sz w:val="18"/>
                <w:szCs w:val="18"/>
                <w:lang w:val="es-ES"/>
              </w:rPr>
              <w:t>X</w:t>
            </w:r>
          </w:p>
        </w:tc>
        <w:tc>
          <w:tcPr>
            <w:tcW w:w="868" w:type="dxa"/>
          </w:tcPr>
          <w:p w:rsidR="001F3849" w:rsidRPr="00C311DC" w:rsidRDefault="001F3849" w:rsidP="00B70E6E">
            <w:pPr>
              <w:spacing w:line="20" w:lineRule="atLeast"/>
              <w:jc w:val="center"/>
              <w:rPr>
                <w:rFonts w:ascii="Arial" w:hAnsi="Arial" w:cs="Arial"/>
                <w:sz w:val="18"/>
                <w:szCs w:val="18"/>
                <w:lang w:val="es-ES"/>
              </w:rPr>
            </w:pPr>
          </w:p>
        </w:tc>
        <w:tc>
          <w:tcPr>
            <w:tcW w:w="868" w:type="dxa"/>
          </w:tcPr>
          <w:p w:rsidR="001F3849" w:rsidRPr="00C311DC" w:rsidRDefault="001F3849" w:rsidP="00B70E6E">
            <w:pPr>
              <w:spacing w:line="20" w:lineRule="atLeast"/>
              <w:jc w:val="center"/>
              <w:rPr>
                <w:rFonts w:ascii="Arial" w:hAnsi="Arial" w:cs="Arial"/>
                <w:sz w:val="18"/>
                <w:szCs w:val="18"/>
                <w:lang w:val="es-ES"/>
              </w:rPr>
            </w:pPr>
          </w:p>
        </w:tc>
        <w:tc>
          <w:tcPr>
            <w:tcW w:w="950" w:type="dxa"/>
          </w:tcPr>
          <w:p w:rsidR="001F3849" w:rsidRPr="00C311DC" w:rsidRDefault="001F3849" w:rsidP="00B70E6E">
            <w:pPr>
              <w:spacing w:line="20" w:lineRule="atLeast"/>
              <w:jc w:val="center"/>
              <w:rPr>
                <w:rFonts w:ascii="Arial" w:hAnsi="Arial" w:cs="Arial"/>
                <w:sz w:val="18"/>
                <w:szCs w:val="18"/>
                <w:lang w:val="es-ES"/>
              </w:rPr>
            </w:pPr>
          </w:p>
        </w:tc>
        <w:tc>
          <w:tcPr>
            <w:tcW w:w="950" w:type="dxa"/>
          </w:tcPr>
          <w:p w:rsidR="001F3849" w:rsidRPr="00C311DC" w:rsidRDefault="001F3849" w:rsidP="00B70E6E">
            <w:pPr>
              <w:spacing w:line="20" w:lineRule="atLeast"/>
              <w:jc w:val="center"/>
              <w:rPr>
                <w:rFonts w:ascii="Arial" w:hAnsi="Arial" w:cs="Arial"/>
                <w:sz w:val="18"/>
                <w:szCs w:val="18"/>
                <w:lang w:val="es-ES"/>
              </w:rPr>
            </w:pPr>
          </w:p>
        </w:tc>
        <w:tc>
          <w:tcPr>
            <w:tcW w:w="950" w:type="dxa"/>
          </w:tcPr>
          <w:p w:rsidR="001F3849" w:rsidRPr="00C311DC" w:rsidRDefault="001F3849" w:rsidP="00B70E6E">
            <w:pPr>
              <w:spacing w:line="20" w:lineRule="atLeast"/>
              <w:jc w:val="center"/>
              <w:rPr>
                <w:rFonts w:ascii="Arial" w:hAnsi="Arial" w:cs="Arial"/>
                <w:sz w:val="18"/>
                <w:szCs w:val="18"/>
                <w:lang w:val="es-ES"/>
              </w:rPr>
            </w:pPr>
          </w:p>
        </w:tc>
      </w:tr>
    </w:tbl>
    <w:p w:rsidR="001F3849" w:rsidRPr="00B70E6E" w:rsidRDefault="001F3849" w:rsidP="00B70E6E">
      <w:pPr>
        <w:spacing w:after="0" w:line="20" w:lineRule="atLeast"/>
        <w:ind w:left="360"/>
        <w:jc w:val="both"/>
        <w:rPr>
          <w:rFonts w:ascii="Arial" w:eastAsia="Times New Roman" w:hAnsi="Arial" w:cs="Arial"/>
          <w:lang w:val="es-ES"/>
        </w:rPr>
      </w:pPr>
    </w:p>
    <w:p w:rsidR="00B1410C" w:rsidRPr="00B70E6E" w:rsidRDefault="00C311DC" w:rsidP="00C311DC">
      <w:pPr>
        <w:numPr>
          <w:ilvl w:val="0"/>
          <w:numId w:val="14"/>
        </w:numPr>
        <w:spacing w:after="0" w:line="20" w:lineRule="atLeast"/>
        <w:rPr>
          <w:rFonts w:ascii="Arial" w:eastAsia="Times New Roman" w:hAnsi="Arial" w:cs="Arial"/>
          <w:b/>
          <w:lang w:val="es-ES"/>
        </w:rPr>
      </w:pPr>
      <w:r>
        <w:rPr>
          <w:rFonts w:ascii="Arial" w:eastAsia="Times New Roman" w:hAnsi="Arial" w:cs="Arial"/>
          <w:b/>
          <w:lang w:val="es-ES"/>
        </w:rPr>
        <w:t xml:space="preserve">Adquisiciones / </w:t>
      </w:r>
      <w:r w:rsidR="001F3849" w:rsidRPr="00B70E6E">
        <w:rPr>
          <w:rFonts w:ascii="Arial" w:eastAsia="Times New Roman" w:hAnsi="Arial" w:cs="Arial"/>
          <w:b/>
          <w:lang w:val="es-ES"/>
        </w:rPr>
        <w:t>Contrataciones</w:t>
      </w:r>
      <w:r w:rsidR="006D15E4">
        <w:rPr>
          <w:rFonts w:ascii="Arial" w:eastAsia="Times New Roman" w:hAnsi="Arial" w:cs="Arial"/>
          <w:b/>
          <w:lang w:val="es-ES"/>
        </w:rPr>
        <w:t xml:space="preserve">: </w:t>
      </w:r>
      <w:r w:rsidR="006D15E4" w:rsidRPr="006E35F2">
        <w:rPr>
          <w:rFonts w:ascii="Arial" w:hAnsi="Arial" w:cs="Arial"/>
          <w:lang w:val="es-ES"/>
        </w:rPr>
        <w:t>Sin información.</w:t>
      </w:r>
      <w:r w:rsidR="001F3849" w:rsidRPr="00B70E6E">
        <w:rPr>
          <w:rFonts w:ascii="Arial" w:eastAsia="Times New Roman" w:hAnsi="Arial" w:cs="Arial"/>
          <w:b/>
          <w:lang w:val="es-ES"/>
        </w:rPr>
        <w:t xml:space="preserve"> </w:t>
      </w:r>
    </w:p>
    <w:p w:rsidR="00B1410C" w:rsidRPr="00B70E6E" w:rsidRDefault="00B1410C" w:rsidP="00B70E6E">
      <w:pPr>
        <w:spacing w:after="0" w:line="20" w:lineRule="atLeast"/>
        <w:jc w:val="both"/>
        <w:rPr>
          <w:rFonts w:ascii="Arial" w:eastAsia="Times New Roman" w:hAnsi="Arial" w:cs="Arial"/>
          <w:lang w:val="es-ES"/>
        </w:rPr>
      </w:pPr>
    </w:p>
    <w:p w:rsidR="00B1410C" w:rsidRDefault="001F3849" w:rsidP="00C311DC">
      <w:pPr>
        <w:numPr>
          <w:ilvl w:val="0"/>
          <w:numId w:val="14"/>
        </w:numPr>
        <w:spacing w:after="0" w:line="20" w:lineRule="atLeast"/>
        <w:rPr>
          <w:rFonts w:ascii="Arial" w:eastAsia="Times New Roman" w:hAnsi="Arial" w:cs="Arial"/>
          <w:b/>
          <w:lang w:val="es-ES"/>
        </w:rPr>
      </w:pPr>
      <w:r w:rsidRPr="00B70E6E">
        <w:rPr>
          <w:rFonts w:ascii="Arial" w:eastAsia="Times New Roman" w:hAnsi="Arial" w:cs="Arial"/>
          <w:b/>
          <w:lang w:val="es-ES"/>
        </w:rPr>
        <w:t>Riesgos</w:t>
      </w:r>
      <w:r w:rsidR="006D15E4">
        <w:rPr>
          <w:rFonts w:ascii="Arial" w:eastAsia="Times New Roman" w:hAnsi="Arial" w:cs="Arial"/>
          <w:b/>
          <w:lang w:val="es-ES"/>
        </w:rPr>
        <w:t xml:space="preserve">: </w:t>
      </w:r>
      <w:r w:rsidR="006D15E4" w:rsidRPr="006E35F2">
        <w:rPr>
          <w:rFonts w:ascii="Arial" w:hAnsi="Arial" w:cs="Arial"/>
          <w:lang w:val="es-ES"/>
        </w:rPr>
        <w:t>Sin información.</w:t>
      </w:r>
      <w:r w:rsidRPr="00B70E6E">
        <w:rPr>
          <w:rFonts w:ascii="Arial" w:eastAsia="Times New Roman" w:hAnsi="Arial" w:cs="Arial"/>
          <w:b/>
          <w:lang w:val="es-ES"/>
        </w:rPr>
        <w:t xml:space="preserve"> </w:t>
      </w:r>
    </w:p>
    <w:p w:rsidR="001E6F93" w:rsidRDefault="00C311DC" w:rsidP="00B70E6E">
      <w:pPr>
        <w:spacing w:after="0" w:line="20" w:lineRule="atLeast"/>
        <w:jc w:val="right"/>
        <w:rPr>
          <w:rFonts w:ascii="Arial" w:hAnsi="Arial" w:cs="Arial"/>
          <w:b/>
          <w:lang w:val="es-MX"/>
        </w:rPr>
      </w:pPr>
      <w:r>
        <w:rPr>
          <w:rFonts w:ascii="Arial" w:hAnsi="Arial" w:cs="Arial"/>
          <w:b/>
          <w:lang w:val="es-MX"/>
        </w:rPr>
        <w:lastRenderedPageBreak/>
        <w:t>ANEXO III-c</w:t>
      </w:r>
    </w:p>
    <w:p w:rsidR="00C311DC" w:rsidRDefault="00C311DC" w:rsidP="00B70E6E">
      <w:pPr>
        <w:spacing w:after="0" w:line="20" w:lineRule="atLeast"/>
        <w:jc w:val="right"/>
        <w:rPr>
          <w:rFonts w:ascii="Arial" w:hAnsi="Arial" w:cs="Arial"/>
          <w:b/>
          <w:lang w:val="es-MX"/>
        </w:rPr>
      </w:pPr>
    </w:p>
    <w:p w:rsidR="00C311DC" w:rsidRDefault="00C311DC" w:rsidP="00B70E6E">
      <w:pPr>
        <w:spacing w:after="0" w:line="20" w:lineRule="atLeast"/>
        <w:jc w:val="right"/>
        <w:rPr>
          <w:rFonts w:ascii="Arial" w:hAnsi="Arial" w:cs="Arial"/>
          <w:b/>
          <w:lang w:val="es-MX"/>
        </w:rPr>
      </w:pPr>
    </w:p>
    <w:p w:rsidR="00953998" w:rsidRPr="00B70E6E" w:rsidRDefault="00953998" w:rsidP="00B70E6E">
      <w:pPr>
        <w:spacing w:after="0" w:line="20" w:lineRule="atLeast"/>
        <w:contextualSpacing/>
        <w:jc w:val="center"/>
        <w:outlineLvl w:val="0"/>
        <w:rPr>
          <w:rFonts w:ascii="Arial" w:eastAsia="Times New Roman" w:hAnsi="Arial" w:cs="Arial"/>
          <w:b/>
          <w:bCs/>
          <w:smallCaps/>
          <w:spacing w:val="5"/>
          <w:lang w:val="es-ES" w:bidi="en-US"/>
        </w:rPr>
      </w:pPr>
      <w:r w:rsidRPr="00B70E6E">
        <w:rPr>
          <w:rFonts w:ascii="Arial" w:eastAsia="Times New Roman" w:hAnsi="Arial" w:cs="Arial"/>
          <w:b/>
          <w:bCs/>
          <w:smallCaps/>
          <w:spacing w:val="5"/>
          <w:lang w:val="es-ES" w:bidi="en-US"/>
        </w:rPr>
        <w:t xml:space="preserve">COLOMBIA </w:t>
      </w:r>
    </w:p>
    <w:p w:rsidR="00953998" w:rsidRPr="00B70E6E" w:rsidRDefault="00953998" w:rsidP="00B70E6E">
      <w:pPr>
        <w:spacing w:after="0" w:line="20" w:lineRule="atLeast"/>
        <w:jc w:val="center"/>
        <w:rPr>
          <w:rFonts w:ascii="Arial" w:eastAsia="Times New Roman" w:hAnsi="Arial" w:cs="Arial"/>
          <w:bCs/>
          <w:lang w:val="es-ES_tradnl"/>
        </w:rPr>
      </w:pPr>
      <w:r w:rsidRPr="00B70E6E">
        <w:rPr>
          <w:rFonts w:ascii="Arial" w:eastAsia="Times New Roman" w:hAnsi="Arial" w:cs="Arial"/>
          <w:b/>
          <w:bCs/>
          <w:lang w:val="es-ES_tradnl"/>
        </w:rPr>
        <w:t>Segundo Programa de Fortalecimiento Fiscal y del Gasto en Inversión Pública de las Entidades Territoriales (CO-L1155)</w:t>
      </w:r>
    </w:p>
    <w:p w:rsidR="00C311DC" w:rsidRDefault="00C311DC" w:rsidP="00B70E6E">
      <w:pPr>
        <w:spacing w:after="0" w:line="20" w:lineRule="atLeast"/>
        <w:jc w:val="center"/>
        <w:rPr>
          <w:rFonts w:ascii="Arial" w:eastAsia="Times New Roman" w:hAnsi="Arial" w:cs="Arial"/>
          <w:b/>
          <w:i/>
          <w:lang w:val="es-ES"/>
        </w:rPr>
      </w:pPr>
    </w:p>
    <w:p w:rsidR="00953998" w:rsidRDefault="00953998" w:rsidP="00B70E6E">
      <w:pPr>
        <w:spacing w:after="0" w:line="20" w:lineRule="atLeast"/>
        <w:jc w:val="center"/>
        <w:rPr>
          <w:rFonts w:ascii="Arial" w:eastAsia="Times New Roman" w:hAnsi="Arial" w:cs="Arial"/>
          <w:b/>
          <w:i/>
          <w:lang w:val="es-ES"/>
        </w:rPr>
      </w:pPr>
      <w:r w:rsidRPr="00B70E6E">
        <w:rPr>
          <w:rFonts w:ascii="Arial" w:eastAsia="Times New Roman" w:hAnsi="Arial" w:cs="Arial"/>
          <w:b/>
          <w:i/>
          <w:lang w:val="es-ES"/>
        </w:rPr>
        <w:t>Ficha de Identificación de Proyectos de Inversión</w:t>
      </w:r>
    </w:p>
    <w:p w:rsidR="00C311DC" w:rsidRPr="00B70E6E" w:rsidRDefault="00C311DC" w:rsidP="00B70E6E">
      <w:pPr>
        <w:spacing w:after="0" w:line="20" w:lineRule="atLeast"/>
        <w:jc w:val="center"/>
        <w:rPr>
          <w:rFonts w:ascii="Arial" w:eastAsia="Times New Roman" w:hAnsi="Arial" w:cs="Arial"/>
          <w:b/>
          <w:i/>
          <w:lang w:val="es-ES"/>
        </w:rPr>
      </w:pPr>
    </w:p>
    <w:p w:rsidR="00953998" w:rsidRDefault="00953998" w:rsidP="00C311DC">
      <w:pPr>
        <w:numPr>
          <w:ilvl w:val="0"/>
          <w:numId w:val="11"/>
        </w:numPr>
        <w:spacing w:after="0" w:line="20" w:lineRule="atLeast"/>
        <w:jc w:val="both"/>
        <w:rPr>
          <w:rFonts w:ascii="Arial" w:eastAsia="Times New Roman" w:hAnsi="Arial" w:cs="Arial"/>
          <w:b/>
          <w:lang w:val="es-ES"/>
        </w:rPr>
      </w:pPr>
      <w:r w:rsidRPr="00B70E6E">
        <w:rPr>
          <w:rFonts w:ascii="Arial" w:eastAsia="Times New Roman" w:hAnsi="Arial" w:cs="Arial"/>
          <w:b/>
          <w:lang w:val="es-ES"/>
        </w:rPr>
        <w:t>I</w:t>
      </w:r>
      <w:r w:rsidR="00C311DC">
        <w:rPr>
          <w:rFonts w:ascii="Arial" w:eastAsia="Times New Roman" w:hAnsi="Arial" w:cs="Arial"/>
          <w:b/>
          <w:lang w:val="es-ES"/>
        </w:rPr>
        <w:t>nformación Básica del Proyecto</w:t>
      </w:r>
    </w:p>
    <w:p w:rsidR="00C311DC" w:rsidRPr="00B70E6E" w:rsidRDefault="00C311DC" w:rsidP="00C311DC">
      <w:pPr>
        <w:spacing w:after="0" w:line="20" w:lineRule="atLeast"/>
        <w:ind w:left="360"/>
        <w:jc w:val="both"/>
        <w:rPr>
          <w:rFonts w:ascii="Arial" w:eastAsia="Times New Roman" w:hAnsi="Arial" w:cs="Arial"/>
          <w:b/>
          <w:lang w:val="es-ES"/>
        </w:rPr>
      </w:pPr>
    </w:p>
    <w:tbl>
      <w:tblPr>
        <w:tblStyle w:val="TableGrid5"/>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C311DC" w:rsidRPr="0089701B" w:rsidTr="00A72BBC">
        <w:tc>
          <w:tcPr>
            <w:tcW w:w="4140" w:type="dxa"/>
          </w:tcPr>
          <w:p w:rsidR="00C311DC" w:rsidRPr="00B70E6E" w:rsidRDefault="00C311DC" w:rsidP="00B70E6E">
            <w:pPr>
              <w:spacing w:line="20" w:lineRule="atLeast"/>
              <w:ind w:left="180"/>
              <w:jc w:val="both"/>
              <w:rPr>
                <w:rFonts w:ascii="Arial" w:hAnsi="Arial" w:cs="Arial"/>
                <w:lang w:val="es-ES"/>
              </w:rPr>
            </w:pPr>
            <w:r>
              <w:rPr>
                <w:rFonts w:ascii="Arial" w:hAnsi="Arial" w:cs="Arial"/>
                <w:lang w:val="es-ES"/>
              </w:rPr>
              <w:t>Nombre del Proyecto:</w:t>
            </w:r>
          </w:p>
        </w:tc>
        <w:tc>
          <w:tcPr>
            <w:tcW w:w="4428" w:type="dxa"/>
          </w:tcPr>
          <w:p w:rsidR="00C311DC" w:rsidRPr="00C311DC" w:rsidRDefault="00C311DC" w:rsidP="00C311DC">
            <w:pPr>
              <w:spacing w:line="20" w:lineRule="atLeast"/>
              <w:ind w:left="342"/>
              <w:rPr>
                <w:rFonts w:ascii="Arial" w:hAnsi="Arial" w:cs="Arial"/>
                <w:color w:val="000000" w:themeColor="text1"/>
                <w:lang w:val="es-ES"/>
              </w:rPr>
            </w:pPr>
            <w:r w:rsidRPr="00C311DC">
              <w:rPr>
                <w:rFonts w:ascii="Arial" w:hAnsi="Arial" w:cs="Arial"/>
                <w:color w:val="000000" w:themeColor="text1"/>
                <w:lang w:val="es-ES"/>
              </w:rPr>
              <w:t>Piloto Paseo de Los Libros</w:t>
            </w:r>
          </w:p>
        </w:tc>
      </w:tr>
      <w:tr w:rsidR="00953998" w:rsidRPr="00B70E6E" w:rsidTr="00A72BBC">
        <w:tc>
          <w:tcPr>
            <w:tcW w:w="4140" w:type="dxa"/>
          </w:tcPr>
          <w:p w:rsidR="00953998" w:rsidRPr="00B70E6E" w:rsidRDefault="00953998" w:rsidP="00B70E6E">
            <w:pPr>
              <w:spacing w:line="20" w:lineRule="atLeast"/>
              <w:ind w:left="180"/>
              <w:jc w:val="both"/>
              <w:rPr>
                <w:rFonts w:ascii="Arial" w:hAnsi="Arial" w:cs="Arial"/>
                <w:lang w:val="es-ES"/>
              </w:rPr>
            </w:pPr>
            <w:r w:rsidRPr="00B70E6E">
              <w:rPr>
                <w:rFonts w:ascii="Arial" w:hAnsi="Arial" w:cs="Arial"/>
                <w:lang w:val="es-ES"/>
              </w:rPr>
              <w:t>Ciudad:</w:t>
            </w:r>
          </w:p>
        </w:tc>
        <w:tc>
          <w:tcPr>
            <w:tcW w:w="4428" w:type="dxa"/>
          </w:tcPr>
          <w:p w:rsidR="00953998" w:rsidRPr="00B70E6E" w:rsidRDefault="00953998" w:rsidP="00B70E6E">
            <w:pPr>
              <w:spacing w:line="20" w:lineRule="atLeast"/>
              <w:ind w:left="360"/>
              <w:rPr>
                <w:rFonts w:ascii="Arial" w:hAnsi="Arial" w:cs="Arial"/>
                <w:lang w:val="es-ES"/>
              </w:rPr>
            </w:pPr>
            <w:r w:rsidRPr="00B70E6E">
              <w:rPr>
                <w:rFonts w:ascii="Arial" w:hAnsi="Arial" w:cs="Arial"/>
                <w:lang w:val="es-ES"/>
              </w:rPr>
              <w:t>M</w:t>
            </w:r>
            <w:r w:rsidR="00C311DC" w:rsidRPr="00B70E6E">
              <w:rPr>
                <w:rFonts w:ascii="Arial" w:hAnsi="Arial" w:cs="Arial"/>
                <w:lang w:val="es-ES"/>
              </w:rPr>
              <w:t>ontería</w:t>
            </w:r>
          </w:p>
        </w:tc>
      </w:tr>
      <w:tr w:rsidR="00953998" w:rsidRPr="0089701B" w:rsidTr="00A72BBC">
        <w:tc>
          <w:tcPr>
            <w:tcW w:w="4140" w:type="dxa"/>
          </w:tcPr>
          <w:p w:rsidR="00953998" w:rsidRPr="00B70E6E" w:rsidRDefault="00953998" w:rsidP="00B70E6E">
            <w:pPr>
              <w:spacing w:line="20" w:lineRule="atLeast"/>
              <w:ind w:left="180"/>
              <w:jc w:val="both"/>
              <w:rPr>
                <w:rFonts w:ascii="Arial" w:hAnsi="Arial" w:cs="Arial"/>
                <w:lang w:val="es-ES"/>
              </w:rPr>
            </w:pPr>
            <w:r w:rsidRPr="00B70E6E">
              <w:rPr>
                <w:rFonts w:ascii="Arial" w:hAnsi="Arial" w:cs="Arial"/>
                <w:lang w:val="es-ES"/>
              </w:rPr>
              <w:t xml:space="preserve">Entidad Responsable y nombre de contacto (Gobierno Local, Agencia o Empresa) </w:t>
            </w:r>
          </w:p>
        </w:tc>
        <w:tc>
          <w:tcPr>
            <w:tcW w:w="4428" w:type="dxa"/>
          </w:tcPr>
          <w:p w:rsidR="00953998" w:rsidRPr="00B70E6E" w:rsidRDefault="00953998" w:rsidP="00B70E6E">
            <w:pPr>
              <w:spacing w:line="20" w:lineRule="atLeast"/>
              <w:ind w:left="360"/>
              <w:rPr>
                <w:rFonts w:ascii="Arial" w:hAnsi="Arial" w:cs="Arial"/>
                <w:lang w:val="es-ES"/>
              </w:rPr>
            </w:pPr>
            <w:r w:rsidRPr="00B70E6E">
              <w:rPr>
                <w:rFonts w:ascii="Arial" w:hAnsi="Arial" w:cs="Arial"/>
                <w:lang w:val="es-ES"/>
              </w:rPr>
              <w:t>Secretaría de Planeación</w:t>
            </w:r>
          </w:p>
          <w:p w:rsidR="00953998" w:rsidRPr="00B70E6E" w:rsidRDefault="00953998" w:rsidP="00B70E6E">
            <w:pPr>
              <w:spacing w:line="20" w:lineRule="atLeast"/>
              <w:ind w:left="360"/>
              <w:rPr>
                <w:rFonts w:ascii="Arial" w:hAnsi="Arial" w:cs="Arial"/>
                <w:lang w:val="es-ES"/>
              </w:rPr>
            </w:pPr>
            <w:r w:rsidRPr="00B70E6E">
              <w:rPr>
                <w:rFonts w:ascii="Arial" w:hAnsi="Arial" w:cs="Arial"/>
                <w:lang w:val="es-ES"/>
              </w:rPr>
              <w:t>Arquitecto Carlos D. Montoya Baquero</w:t>
            </w:r>
          </w:p>
        </w:tc>
      </w:tr>
      <w:tr w:rsidR="00953998" w:rsidRPr="0089701B" w:rsidTr="00A72BBC">
        <w:tc>
          <w:tcPr>
            <w:tcW w:w="4140" w:type="dxa"/>
          </w:tcPr>
          <w:p w:rsidR="00953998" w:rsidRPr="00B70E6E" w:rsidDel="00B513CC" w:rsidRDefault="00953998" w:rsidP="00B70E6E">
            <w:pPr>
              <w:spacing w:line="20" w:lineRule="atLeast"/>
              <w:ind w:left="180"/>
              <w:jc w:val="both"/>
              <w:rPr>
                <w:rFonts w:ascii="Arial" w:hAnsi="Arial" w:cs="Arial"/>
                <w:lang w:val="es-ES"/>
              </w:rPr>
            </w:pPr>
            <w:r w:rsidRPr="00B70E6E">
              <w:rPr>
                <w:rFonts w:ascii="Arial" w:hAnsi="Arial" w:cs="Arial"/>
                <w:lang w:val="es-ES"/>
              </w:rPr>
              <w:t>Agencia Ejecutora y nombre de contacto (si esta fuese diferente a la Entidad Responsable).</w:t>
            </w:r>
          </w:p>
        </w:tc>
        <w:tc>
          <w:tcPr>
            <w:tcW w:w="4428" w:type="dxa"/>
          </w:tcPr>
          <w:p w:rsidR="00953998" w:rsidRPr="00B70E6E" w:rsidRDefault="00953998" w:rsidP="00B70E6E">
            <w:pPr>
              <w:spacing w:line="20" w:lineRule="atLeast"/>
              <w:ind w:left="360"/>
              <w:rPr>
                <w:rFonts w:ascii="Arial" w:hAnsi="Arial" w:cs="Arial"/>
                <w:lang w:val="es-ES"/>
              </w:rPr>
            </w:pPr>
          </w:p>
        </w:tc>
      </w:tr>
      <w:tr w:rsidR="00953998" w:rsidRPr="00B70E6E" w:rsidTr="00A72BBC">
        <w:tc>
          <w:tcPr>
            <w:tcW w:w="4140" w:type="dxa"/>
          </w:tcPr>
          <w:p w:rsidR="00953998" w:rsidRPr="00B70E6E" w:rsidRDefault="00953998" w:rsidP="00B70E6E">
            <w:pPr>
              <w:spacing w:line="20" w:lineRule="atLeast"/>
              <w:ind w:left="180"/>
              <w:jc w:val="both"/>
              <w:rPr>
                <w:rFonts w:ascii="Arial" w:hAnsi="Arial" w:cs="Arial"/>
                <w:lang w:val="es-ES"/>
              </w:rPr>
            </w:pPr>
            <w:r w:rsidRPr="00B70E6E">
              <w:rPr>
                <w:rFonts w:ascii="Arial" w:hAnsi="Arial" w:cs="Arial"/>
                <w:lang w:val="es-ES"/>
              </w:rPr>
              <w:t>Costo total del proyecto o programa:</w:t>
            </w:r>
          </w:p>
        </w:tc>
        <w:tc>
          <w:tcPr>
            <w:tcW w:w="4428" w:type="dxa"/>
          </w:tcPr>
          <w:p w:rsidR="00953998" w:rsidRPr="00B70E6E" w:rsidRDefault="00953998" w:rsidP="00B70E6E">
            <w:pPr>
              <w:spacing w:line="20" w:lineRule="atLeast"/>
              <w:ind w:left="360"/>
              <w:rPr>
                <w:rFonts w:ascii="Arial" w:hAnsi="Arial" w:cs="Arial"/>
                <w:lang w:val="es-ES"/>
              </w:rPr>
            </w:pPr>
            <w:r w:rsidRPr="00B70E6E">
              <w:rPr>
                <w:rFonts w:ascii="Arial" w:hAnsi="Arial" w:cs="Arial"/>
                <w:lang w:val="es-ES"/>
              </w:rPr>
              <w:t>3.826 millones</w:t>
            </w:r>
          </w:p>
        </w:tc>
      </w:tr>
      <w:tr w:rsidR="00953998" w:rsidRPr="00B70E6E" w:rsidTr="00A72BBC">
        <w:tc>
          <w:tcPr>
            <w:tcW w:w="4140" w:type="dxa"/>
          </w:tcPr>
          <w:p w:rsidR="00953998" w:rsidRPr="00B70E6E" w:rsidRDefault="00953998" w:rsidP="00B70E6E">
            <w:pPr>
              <w:spacing w:line="20" w:lineRule="atLeast"/>
              <w:ind w:left="180"/>
              <w:jc w:val="both"/>
              <w:rPr>
                <w:rFonts w:ascii="Arial" w:hAnsi="Arial" w:cs="Arial"/>
                <w:lang w:val="es-ES"/>
              </w:rPr>
            </w:pPr>
            <w:r w:rsidRPr="00B70E6E">
              <w:rPr>
                <w:rFonts w:ascii="Arial" w:hAnsi="Arial" w:cs="Arial"/>
                <w:lang w:val="es-ES"/>
              </w:rPr>
              <w:t>Necesidad de Financiamiento: (en millones de pesos)</w:t>
            </w:r>
          </w:p>
        </w:tc>
        <w:tc>
          <w:tcPr>
            <w:tcW w:w="4428" w:type="dxa"/>
          </w:tcPr>
          <w:p w:rsidR="00953998" w:rsidRPr="00B70E6E" w:rsidRDefault="00953998" w:rsidP="00B70E6E">
            <w:pPr>
              <w:spacing w:line="20" w:lineRule="atLeast"/>
              <w:ind w:left="360"/>
              <w:rPr>
                <w:rFonts w:ascii="Arial" w:hAnsi="Arial" w:cs="Arial"/>
                <w:lang w:val="es-ES"/>
              </w:rPr>
            </w:pPr>
            <w:r w:rsidRPr="00B70E6E">
              <w:rPr>
                <w:rFonts w:ascii="Arial" w:hAnsi="Arial" w:cs="Arial"/>
                <w:lang w:val="es-ES"/>
              </w:rPr>
              <w:t>3.826 millones</w:t>
            </w:r>
          </w:p>
        </w:tc>
      </w:tr>
      <w:tr w:rsidR="00953998" w:rsidRPr="0089701B" w:rsidTr="00A72BBC">
        <w:tc>
          <w:tcPr>
            <w:tcW w:w="4140" w:type="dxa"/>
          </w:tcPr>
          <w:p w:rsidR="00953998" w:rsidRPr="00B70E6E" w:rsidRDefault="00953998" w:rsidP="00B70E6E">
            <w:pPr>
              <w:spacing w:line="20" w:lineRule="atLeast"/>
              <w:ind w:left="180"/>
              <w:jc w:val="both"/>
              <w:rPr>
                <w:rFonts w:ascii="Arial" w:hAnsi="Arial" w:cs="Arial"/>
                <w:lang w:val="es-ES"/>
              </w:rPr>
            </w:pPr>
            <w:r w:rsidRPr="00B70E6E">
              <w:rPr>
                <w:rFonts w:ascii="Arial" w:hAnsi="Arial" w:cs="Arial"/>
                <w:lang w:val="es-ES"/>
              </w:rPr>
              <w:t>Contrapartida Local: (en millones de pesos)</w:t>
            </w:r>
          </w:p>
        </w:tc>
        <w:tc>
          <w:tcPr>
            <w:tcW w:w="4428" w:type="dxa"/>
          </w:tcPr>
          <w:p w:rsidR="00953998" w:rsidRPr="00B70E6E" w:rsidRDefault="00953998" w:rsidP="00B70E6E">
            <w:pPr>
              <w:spacing w:line="20" w:lineRule="atLeast"/>
              <w:ind w:left="360"/>
              <w:rPr>
                <w:rFonts w:ascii="Arial" w:hAnsi="Arial" w:cs="Arial"/>
                <w:lang w:val="es-ES"/>
              </w:rPr>
            </w:pPr>
          </w:p>
        </w:tc>
      </w:tr>
      <w:tr w:rsidR="00953998" w:rsidRPr="00B70E6E" w:rsidTr="00A72BBC">
        <w:tc>
          <w:tcPr>
            <w:tcW w:w="4140" w:type="dxa"/>
          </w:tcPr>
          <w:p w:rsidR="00953998" w:rsidRPr="00B70E6E" w:rsidRDefault="00953998" w:rsidP="00B70E6E">
            <w:pPr>
              <w:spacing w:line="20" w:lineRule="atLeast"/>
              <w:ind w:left="180"/>
              <w:jc w:val="both"/>
              <w:rPr>
                <w:rFonts w:ascii="Arial" w:hAnsi="Arial" w:cs="Arial"/>
                <w:lang w:val="es-ES"/>
              </w:rPr>
            </w:pPr>
            <w:r w:rsidRPr="00B70E6E">
              <w:rPr>
                <w:rFonts w:ascii="Arial" w:hAnsi="Arial" w:cs="Arial"/>
                <w:lang w:val="es-ES"/>
              </w:rPr>
              <w:t>Periodo de Desembolso (incluye periodo de ejecución):</w:t>
            </w:r>
          </w:p>
        </w:tc>
        <w:tc>
          <w:tcPr>
            <w:tcW w:w="4428" w:type="dxa"/>
          </w:tcPr>
          <w:p w:rsidR="00953998" w:rsidRPr="00B70E6E" w:rsidRDefault="00953998" w:rsidP="00B70E6E">
            <w:pPr>
              <w:spacing w:line="20" w:lineRule="atLeast"/>
              <w:ind w:left="360"/>
              <w:rPr>
                <w:rFonts w:ascii="Arial" w:hAnsi="Arial" w:cs="Arial"/>
                <w:lang w:val="es-ES"/>
              </w:rPr>
            </w:pPr>
            <w:r w:rsidRPr="00B70E6E">
              <w:rPr>
                <w:rFonts w:ascii="Arial" w:hAnsi="Arial" w:cs="Arial"/>
                <w:lang w:val="es-ES"/>
              </w:rPr>
              <w:t>Un (1) año</w:t>
            </w:r>
          </w:p>
        </w:tc>
      </w:tr>
      <w:tr w:rsidR="00953998" w:rsidRPr="00B70E6E" w:rsidTr="00A72BBC">
        <w:tc>
          <w:tcPr>
            <w:tcW w:w="4140" w:type="dxa"/>
          </w:tcPr>
          <w:p w:rsidR="00953998" w:rsidRPr="00B70E6E" w:rsidRDefault="00953998" w:rsidP="00B70E6E">
            <w:pPr>
              <w:spacing w:line="20" w:lineRule="atLeast"/>
              <w:ind w:left="180"/>
              <w:jc w:val="both"/>
              <w:rPr>
                <w:rFonts w:ascii="Arial" w:hAnsi="Arial" w:cs="Arial"/>
                <w:lang w:val="es-ES"/>
              </w:rPr>
            </w:pPr>
            <w:r w:rsidRPr="00B70E6E">
              <w:rPr>
                <w:rFonts w:ascii="Arial" w:hAnsi="Arial" w:cs="Arial"/>
                <w:lang w:val="es-ES"/>
              </w:rPr>
              <w:t>Fecha de Inicio: (se puede incluir proyectos o programas en ejecución siempre que se hayan iniciado en el 2015)</w:t>
            </w:r>
          </w:p>
        </w:tc>
        <w:tc>
          <w:tcPr>
            <w:tcW w:w="4428" w:type="dxa"/>
          </w:tcPr>
          <w:p w:rsidR="00953998" w:rsidRPr="00B70E6E" w:rsidRDefault="00953998" w:rsidP="00B70E6E">
            <w:pPr>
              <w:spacing w:line="20" w:lineRule="atLeast"/>
              <w:ind w:left="360"/>
              <w:rPr>
                <w:rFonts w:ascii="Arial" w:hAnsi="Arial" w:cs="Arial"/>
                <w:lang w:val="es-ES"/>
              </w:rPr>
            </w:pPr>
            <w:r w:rsidRPr="00B70E6E">
              <w:rPr>
                <w:rFonts w:ascii="Arial" w:hAnsi="Arial" w:cs="Arial"/>
                <w:lang w:val="es-ES"/>
              </w:rPr>
              <w:t>Por definir</w:t>
            </w:r>
          </w:p>
        </w:tc>
      </w:tr>
    </w:tbl>
    <w:p w:rsidR="00C311DC" w:rsidRDefault="00C311DC" w:rsidP="00C311DC">
      <w:pPr>
        <w:spacing w:after="0" w:line="20" w:lineRule="atLeast"/>
        <w:ind w:left="360"/>
        <w:rPr>
          <w:rFonts w:ascii="Arial" w:eastAsia="Times New Roman" w:hAnsi="Arial" w:cs="Arial"/>
          <w:b/>
          <w:lang w:val="es-ES"/>
        </w:rPr>
      </w:pPr>
    </w:p>
    <w:p w:rsidR="00953998" w:rsidRDefault="00953998" w:rsidP="00C311DC">
      <w:pPr>
        <w:numPr>
          <w:ilvl w:val="0"/>
          <w:numId w:val="11"/>
        </w:numPr>
        <w:spacing w:after="0" w:line="20" w:lineRule="atLeast"/>
        <w:rPr>
          <w:rFonts w:ascii="Arial" w:eastAsia="Times New Roman" w:hAnsi="Arial" w:cs="Arial"/>
          <w:b/>
          <w:lang w:val="es-ES"/>
        </w:rPr>
      </w:pPr>
      <w:r w:rsidRPr="00B70E6E">
        <w:rPr>
          <w:rFonts w:ascii="Arial" w:eastAsia="Times New Roman" w:hAnsi="Arial" w:cs="Arial"/>
          <w:b/>
          <w:lang w:val="es-ES"/>
        </w:rPr>
        <w:t xml:space="preserve">Descripción Básica del Proyecto </w:t>
      </w:r>
    </w:p>
    <w:p w:rsidR="00C311DC" w:rsidRPr="00B70E6E" w:rsidRDefault="00C311DC" w:rsidP="00C311DC">
      <w:pPr>
        <w:spacing w:after="0" w:line="20" w:lineRule="atLeast"/>
        <w:ind w:left="360"/>
        <w:rPr>
          <w:rFonts w:ascii="Arial" w:eastAsia="Times New Roman" w:hAnsi="Arial" w:cs="Arial"/>
          <w:b/>
          <w:lang w:val="es-ES"/>
        </w:rPr>
      </w:pPr>
    </w:p>
    <w:p w:rsidR="00953998" w:rsidRDefault="00953998" w:rsidP="00C311DC">
      <w:pPr>
        <w:numPr>
          <w:ilvl w:val="1"/>
          <w:numId w:val="11"/>
        </w:numPr>
        <w:spacing w:after="0" w:line="20" w:lineRule="atLeast"/>
        <w:jc w:val="both"/>
        <w:rPr>
          <w:rFonts w:ascii="Arial" w:eastAsia="Times New Roman" w:hAnsi="Arial" w:cs="Arial"/>
          <w:lang w:val="es-ES"/>
        </w:rPr>
      </w:pPr>
      <w:r w:rsidRPr="00B70E6E">
        <w:rPr>
          <w:rFonts w:ascii="Arial" w:eastAsia="Times New Roman" w:hAnsi="Arial" w:cs="Arial"/>
          <w:b/>
          <w:lang w:val="es-ES"/>
        </w:rPr>
        <w:t>Problema</w:t>
      </w:r>
      <w:r w:rsidRPr="00B70E6E">
        <w:rPr>
          <w:rFonts w:ascii="Arial" w:eastAsia="Times New Roman" w:hAnsi="Arial" w:cs="Arial"/>
          <w:lang w:val="es-ES"/>
        </w:rPr>
        <w:t>: En la actualidad se registra en Montería un total de 7,5 hectáreas de espacio libre por cada 100.000 habitantes, ubicándose en un rango intermedio en relación con el parámetro de referencia ICES, indicador que puede mejorarse a partir de las diferentes iniciativas para el acondicionamiento de los parques existentes y el incremento de espacio público en la ciudad, tanto en la margen derecha como en la izquierda.</w:t>
      </w:r>
    </w:p>
    <w:p w:rsidR="00C311DC" w:rsidRPr="00B70E6E" w:rsidRDefault="00C311DC" w:rsidP="00C311DC">
      <w:pPr>
        <w:spacing w:after="0" w:line="20" w:lineRule="atLeast"/>
        <w:ind w:left="720"/>
        <w:jc w:val="both"/>
        <w:rPr>
          <w:rFonts w:ascii="Arial" w:eastAsia="Times New Roman" w:hAnsi="Arial" w:cs="Arial"/>
          <w:lang w:val="es-ES"/>
        </w:rPr>
      </w:pPr>
    </w:p>
    <w:p w:rsidR="00953998" w:rsidRDefault="00953998" w:rsidP="00C311DC">
      <w:pPr>
        <w:numPr>
          <w:ilvl w:val="1"/>
          <w:numId w:val="11"/>
        </w:numPr>
        <w:spacing w:after="0" w:line="20" w:lineRule="atLeast"/>
        <w:jc w:val="both"/>
        <w:rPr>
          <w:rFonts w:ascii="Arial" w:eastAsia="Times New Roman" w:hAnsi="Arial" w:cs="Arial"/>
          <w:lang w:val="es-ES"/>
        </w:rPr>
      </w:pPr>
      <w:r w:rsidRPr="00B70E6E">
        <w:rPr>
          <w:rFonts w:ascii="Arial" w:eastAsia="Times New Roman" w:hAnsi="Arial" w:cs="Arial"/>
          <w:b/>
          <w:lang w:val="es-ES"/>
        </w:rPr>
        <w:t>Objetivo:</w:t>
      </w:r>
      <w:r w:rsidRPr="00B70E6E">
        <w:rPr>
          <w:rFonts w:ascii="Arial" w:eastAsia="Times New Roman" w:hAnsi="Arial" w:cs="Arial"/>
          <w:lang w:val="es-ES"/>
        </w:rPr>
        <w:t xml:space="preserve"> Elaborar los diseños definitivos y ejecución del piloto del paseo de los libros que incluye el parque de los libros (parque Montería Moderno) </w:t>
      </w:r>
    </w:p>
    <w:p w:rsidR="00C311DC" w:rsidRPr="00B70E6E" w:rsidRDefault="00C311DC" w:rsidP="00C311DC">
      <w:pPr>
        <w:spacing w:after="0" w:line="20" w:lineRule="atLeast"/>
        <w:ind w:left="720"/>
        <w:jc w:val="both"/>
        <w:rPr>
          <w:rFonts w:ascii="Arial" w:eastAsia="Times New Roman" w:hAnsi="Arial" w:cs="Arial"/>
          <w:lang w:val="es-ES"/>
        </w:rPr>
      </w:pPr>
    </w:p>
    <w:p w:rsidR="00953998" w:rsidRDefault="00953998" w:rsidP="00C311DC">
      <w:pPr>
        <w:numPr>
          <w:ilvl w:val="1"/>
          <w:numId w:val="11"/>
        </w:numPr>
        <w:spacing w:after="0" w:line="20" w:lineRule="atLeast"/>
        <w:jc w:val="both"/>
        <w:rPr>
          <w:rFonts w:ascii="Arial" w:eastAsia="Times New Roman" w:hAnsi="Arial" w:cs="Arial"/>
          <w:lang w:val="es-ES"/>
        </w:rPr>
      </w:pPr>
      <w:r w:rsidRPr="00B70E6E">
        <w:rPr>
          <w:rFonts w:ascii="Arial" w:eastAsia="Times New Roman" w:hAnsi="Arial" w:cs="Arial"/>
          <w:b/>
          <w:lang w:val="es-ES"/>
        </w:rPr>
        <w:t>Situación actual</w:t>
      </w:r>
      <w:r w:rsidRPr="00B70E6E">
        <w:rPr>
          <w:rFonts w:ascii="Arial" w:eastAsia="Times New Roman" w:hAnsi="Arial" w:cs="Arial"/>
          <w:lang w:val="es-ES"/>
        </w:rPr>
        <w:t xml:space="preserve">: A partir de los diseños conceptuales elaborados por el Taller Urbano Bogotá Viena se cuenta con una aproximación en diseño y arquitectura de detalle así como un presupuesto preliminar para la ejecución del mismo.   </w:t>
      </w:r>
    </w:p>
    <w:p w:rsidR="00C311DC" w:rsidRPr="00B70E6E" w:rsidRDefault="00C311DC" w:rsidP="00C311DC">
      <w:pPr>
        <w:spacing w:after="0" w:line="20" w:lineRule="atLeast"/>
        <w:ind w:left="720"/>
        <w:jc w:val="both"/>
        <w:rPr>
          <w:rFonts w:ascii="Arial" w:eastAsia="Times New Roman" w:hAnsi="Arial" w:cs="Arial"/>
          <w:lang w:val="es-ES"/>
        </w:rPr>
      </w:pPr>
    </w:p>
    <w:p w:rsidR="00953998" w:rsidRPr="00C311DC" w:rsidRDefault="00C311DC" w:rsidP="00C311DC">
      <w:pPr>
        <w:numPr>
          <w:ilvl w:val="1"/>
          <w:numId w:val="11"/>
        </w:numPr>
        <w:spacing w:after="0" w:line="20" w:lineRule="atLeast"/>
        <w:ind w:hanging="540"/>
        <w:jc w:val="both"/>
        <w:rPr>
          <w:rFonts w:ascii="Arial" w:eastAsia="Times New Roman" w:hAnsi="Arial" w:cs="Arial"/>
          <w:lang w:val="es-ES"/>
        </w:rPr>
      </w:pPr>
      <w:r>
        <w:rPr>
          <w:rFonts w:ascii="Arial" w:eastAsia="Times New Roman" w:hAnsi="Arial" w:cs="Arial"/>
          <w:b/>
          <w:lang w:val="es-ES"/>
        </w:rPr>
        <w:t>Componentes Principales</w:t>
      </w:r>
      <w:r w:rsidR="00953998" w:rsidRPr="00B70E6E">
        <w:rPr>
          <w:rFonts w:ascii="Arial" w:eastAsia="Times New Roman" w:hAnsi="Arial" w:cs="Arial"/>
          <w:b/>
          <w:lang w:val="es-ES"/>
        </w:rPr>
        <w:t xml:space="preserve"> </w:t>
      </w:r>
    </w:p>
    <w:p w:rsidR="00C311DC" w:rsidRPr="00B70E6E" w:rsidRDefault="00C311DC" w:rsidP="00C311DC">
      <w:pPr>
        <w:spacing w:after="0" w:line="20" w:lineRule="atLeast"/>
        <w:ind w:left="720"/>
        <w:jc w:val="both"/>
        <w:rPr>
          <w:rFonts w:ascii="Arial" w:eastAsia="Times New Roman" w:hAnsi="Arial" w:cs="Arial"/>
          <w:lang w:val="es-ES"/>
        </w:rPr>
      </w:pPr>
    </w:p>
    <w:p w:rsidR="00953998" w:rsidRPr="00B70E6E" w:rsidRDefault="00953998" w:rsidP="00C311DC">
      <w:pPr>
        <w:pStyle w:val="ListParagraph"/>
        <w:numPr>
          <w:ilvl w:val="0"/>
          <w:numId w:val="12"/>
        </w:numPr>
        <w:spacing w:after="0" w:line="20" w:lineRule="atLeast"/>
        <w:jc w:val="both"/>
        <w:rPr>
          <w:rFonts w:ascii="Arial" w:eastAsia="Times New Roman" w:hAnsi="Arial" w:cs="Arial"/>
          <w:lang w:val="es-ES"/>
        </w:rPr>
      </w:pPr>
      <w:r w:rsidRPr="00B70E6E">
        <w:rPr>
          <w:rFonts w:ascii="Arial" w:eastAsia="Times New Roman" w:hAnsi="Arial" w:cs="Arial"/>
          <w:lang w:val="es-ES"/>
        </w:rPr>
        <w:t>Ajuste de los diseños conceptuales para llevar a fase III</w:t>
      </w:r>
    </w:p>
    <w:p w:rsidR="00953998" w:rsidRPr="00B70E6E" w:rsidRDefault="00953998" w:rsidP="00C311DC">
      <w:pPr>
        <w:pStyle w:val="ListParagraph"/>
        <w:numPr>
          <w:ilvl w:val="0"/>
          <w:numId w:val="12"/>
        </w:numPr>
        <w:spacing w:after="0" w:line="20" w:lineRule="atLeast"/>
        <w:jc w:val="both"/>
        <w:rPr>
          <w:rFonts w:ascii="Arial" w:eastAsia="Times New Roman" w:hAnsi="Arial" w:cs="Arial"/>
          <w:lang w:val="es-ES"/>
        </w:rPr>
      </w:pPr>
      <w:r w:rsidRPr="00B70E6E">
        <w:rPr>
          <w:rFonts w:ascii="Arial" w:eastAsia="Times New Roman" w:hAnsi="Arial" w:cs="Arial"/>
          <w:lang w:val="es-ES"/>
        </w:rPr>
        <w:lastRenderedPageBreak/>
        <w:t>Ejecución</w:t>
      </w:r>
    </w:p>
    <w:p w:rsidR="00953998" w:rsidRPr="00B70E6E" w:rsidRDefault="00953998" w:rsidP="00C311DC">
      <w:pPr>
        <w:pStyle w:val="ListParagraph"/>
        <w:numPr>
          <w:ilvl w:val="0"/>
          <w:numId w:val="12"/>
        </w:numPr>
        <w:spacing w:after="0" w:line="20" w:lineRule="atLeast"/>
        <w:jc w:val="both"/>
        <w:rPr>
          <w:rFonts w:ascii="Arial" w:eastAsia="Times New Roman" w:hAnsi="Arial" w:cs="Arial"/>
          <w:lang w:val="es-ES"/>
        </w:rPr>
      </w:pPr>
      <w:r w:rsidRPr="00B70E6E">
        <w:rPr>
          <w:rFonts w:ascii="Arial" w:eastAsia="Times New Roman" w:hAnsi="Arial" w:cs="Arial"/>
          <w:lang w:val="es-ES"/>
        </w:rPr>
        <w:t>Interventoría</w:t>
      </w:r>
    </w:p>
    <w:p w:rsidR="00953998" w:rsidRPr="00B70E6E" w:rsidRDefault="00953998" w:rsidP="00B70E6E">
      <w:pPr>
        <w:spacing w:after="0" w:line="20" w:lineRule="atLeast"/>
        <w:ind w:left="360"/>
        <w:jc w:val="both"/>
        <w:rPr>
          <w:rFonts w:ascii="Arial" w:eastAsia="Times New Roman" w:hAnsi="Arial" w:cs="Arial"/>
          <w:lang w:val="es-ES"/>
        </w:rPr>
      </w:pPr>
    </w:p>
    <w:p w:rsidR="00B1410C" w:rsidRPr="00B70E6E" w:rsidRDefault="00953998" w:rsidP="00C311DC">
      <w:pPr>
        <w:numPr>
          <w:ilvl w:val="0"/>
          <w:numId w:val="11"/>
        </w:numPr>
        <w:spacing w:after="0" w:line="20" w:lineRule="atLeast"/>
        <w:rPr>
          <w:rFonts w:ascii="Arial" w:eastAsia="Times New Roman" w:hAnsi="Arial" w:cs="Arial"/>
          <w:b/>
          <w:lang w:val="es-ES"/>
        </w:rPr>
      </w:pPr>
      <w:r w:rsidRPr="00B70E6E">
        <w:rPr>
          <w:rFonts w:ascii="Arial" w:eastAsia="Times New Roman" w:hAnsi="Arial" w:cs="Arial"/>
          <w:b/>
          <w:lang w:val="es-ES"/>
        </w:rPr>
        <w:t xml:space="preserve">Matriz de Resultados: </w:t>
      </w:r>
    </w:p>
    <w:p w:rsidR="00B1410C" w:rsidRPr="00B70E6E" w:rsidRDefault="00B1410C" w:rsidP="00B70E6E">
      <w:pPr>
        <w:spacing w:after="0" w:line="20" w:lineRule="atLeast"/>
        <w:ind w:left="720"/>
        <w:jc w:val="both"/>
        <w:rPr>
          <w:rFonts w:ascii="Arial" w:eastAsia="Times New Roman" w:hAnsi="Arial" w:cs="Arial"/>
          <w:b/>
          <w:lang w:val="es-ES"/>
        </w:rPr>
      </w:pPr>
    </w:p>
    <w:p w:rsidR="00953998" w:rsidRPr="00B70E6E" w:rsidRDefault="00953998" w:rsidP="00C311DC">
      <w:pPr>
        <w:tabs>
          <w:tab w:val="left" w:pos="450"/>
        </w:tabs>
        <w:spacing w:after="0" w:line="20" w:lineRule="atLeast"/>
        <w:ind w:left="450"/>
        <w:jc w:val="both"/>
        <w:rPr>
          <w:rFonts w:ascii="Arial" w:eastAsia="Times New Roman" w:hAnsi="Arial" w:cs="Arial"/>
          <w:b/>
          <w:lang w:val="es-ES"/>
        </w:rPr>
      </w:pPr>
      <w:r w:rsidRPr="00B70E6E">
        <w:rPr>
          <w:rFonts w:ascii="Arial" w:eastAsia="Times New Roman" w:hAnsi="Arial" w:cs="Arial"/>
          <w:lang w:val="es-ES"/>
        </w:rPr>
        <w:t>Contar con una red de corredores verdes que articule el sistema ambiental con los sistemas de espacio público y de movilidad genera para la ciudad condiciones de confort urbano que impacta de manera directa en la calidad de vida de los habitantes. El fomento de modos no motorizados de transporte como el peatonal y la bicicleta contribuyen a la reducción de emisiones de GEI, además, la arborización propuesta se convierte en un mecanismo para su absorción. Un beneficio asociado a esta estrategia para incrementar el espacio público es la recuperación de sectores urbanos, tanto en términos físicos como en la generación de nuevos usos y actividades asociados a comercio y servicios que dinamizan estas áreas y fomentan actividades de ocio y cultura que a su vez contribuyen a la identidad y la cohesión social.</w:t>
      </w:r>
    </w:p>
    <w:p w:rsidR="00953998" w:rsidRPr="00B70E6E" w:rsidRDefault="00953998" w:rsidP="00B70E6E">
      <w:pPr>
        <w:spacing w:after="0" w:line="20" w:lineRule="atLeast"/>
        <w:ind w:left="720"/>
        <w:jc w:val="both"/>
        <w:rPr>
          <w:rFonts w:ascii="Arial" w:eastAsia="Times New Roman" w:hAnsi="Arial" w:cs="Arial"/>
          <w:b/>
          <w:lang w:val="es-ES"/>
        </w:rPr>
      </w:pPr>
    </w:p>
    <w:p w:rsidR="00953998" w:rsidRPr="00B70E6E" w:rsidRDefault="00953998" w:rsidP="00B70E6E">
      <w:pPr>
        <w:spacing w:after="0" w:line="20" w:lineRule="atLeast"/>
        <w:ind w:left="720"/>
        <w:jc w:val="center"/>
        <w:rPr>
          <w:rFonts w:ascii="Arial" w:eastAsia="Times New Roman" w:hAnsi="Arial" w:cs="Arial"/>
          <w:b/>
          <w:lang w:val="es-ES"/>
        </w:rPr>
      </w:pPr>
      <w:r w:rsidRPr="00B70E6E">
        <w:rPr>
          <w:rFonts w:ascii="Arial" w:eastAsia="Times New Roman" w:hAnsi="Arial" w:cs="Arial"/>
          <w:b/>
          <w:lang w:val="es-ES"/>
        </w:rPr>
        <w:t>Matriz de Resultados Indicativa</w:t>
      </w:r>
    </w:p>
    <w:tbl>
      <w:tblPr>
        <w:tblStyle w:val="TableGrid5"/>
        <w:tblW w:w="0" w:type="auto"/>
        <w:jc w:val="center"/>
        <w:tblInd w:w="-822" w:type="dxa"/>
        <w:tblLook w:val="04A0" w:firstRow="1" w:lastRow="0" w:firstColumn="1" w:lastColumn="0" w:noHBand="0" w:noVBand="1"/>
      </w:tblPr>
      <w:tblGrid>
        <w:gridCol w:w="3334"/>
        <w:gridCol w:w="2511"/>
        <w:gridCol w:w="1440"/>
        <w:gridCol w:w="2160"/>
      </w:tblGrid>
      <w:tr w:rsidR="00953998" w:rsidRPr="00C311DC" w:rsidTr="00C311DC">
        <w:trPr>
          <w:trHeight w:val="341"/>
          <w:jc w:val="center"/>
        </w:trPr>
        <w:tc>
          <w:tcPr>
            <w:tcW w:w="3334" w:type="dxa"/>
            <w:shd w:val="clear" w:color="auto" w:fill="C2D69B" w:themeFill="accent3" w:themeFillTint="99"/>
            <w:vAlign w:val="center"/>
          </w:tcPr>
          <w:p w:rsidR="00953998" w:rsidRPr="00C311DC" w:rsidRDefault="00C311DC"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Indicadores</w:t>
            </w:r>
          </w:p>
        </w:tc>
        <w:tc>
          <w:tcPr>
            <w:tcW w:w="2511"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Línea de Base (Inicio)</w:t>
            </w:r>
          </w:p>
        </w:tc>
        <w:tc>
          <w:tcPr>
            <w:tcW w:w="1440"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Meta</w:t>
            </w:r>
          </w:p>
        </w:tc>
        <w:tc>
          <w:tcPr>
            <w:tcW w:w="2160"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Medio de Verificación</w:t>
            </w:r>
          </w:p>
        </w:tc>
      </w:tr>
      <w:tr w:rsidR="00953998" w:rsidRPr="00C311DC" w:rsidTr="00C311DC">
        <w:trPr>
          <w:trHeight w:val="350"/>
          <w:jc w:val="center"/>
        </w:trPr>
        <w:tc>
          <w:tcPr>
            <w:tcW w:w="3334" w:type="dxa"/>
            <w:vAlign w:val="center"/>
          </w:tcPr>
          <w:p w:rsidR="00953998" w:rsidRPr="00C311DC" w:rsidRDefault="00953998" w:rsidP="00B70E6E">
            <w:pPr>
              <w:spacing w:line="20" w:lineRule="atLeast"/>
              <w:rPr>
                <w:rFonts w:ascii="Arial" w:hAnsi="Arial" w:cs="Arial"/>
                <w:sz w:val="18"/>
                <w:szCs w:val="18"/>
                <w:lang w:val="es-ES"/>
              </w:rPr>
            </w:pPr>
            <w:r w:rsidRPr="00C311DC">
              <w:rPr>
                <w:rFonts w:ascii="Arial" w:hAnsi="Arial" w:cs="Arial"/>
                <w:sz w:val="18"/>
                <w:szCs w:val="18"/>
                <w:lang w:val="es-ES"/>
              </w:rPr>
              <w:t>Indicador de Impacto</w:t>
            </w:r>
            <w:r w:rsidRPr="00C311DC">
              <w:rPr>
                <w:rFonts w:ascii="Arial" w:hAnsi="Arial" w:cs="Arial"/>
                <w:color w:val="000000"/>
                <w:sz w:val="18"/>
                <w:szCs w:val="18"/>
                <w:lang w:val="es-CO"/>
              </w:rPr>
              <w:t xml:space="preserve"> </w:t>
            </w:r>
            <w:r w:rsidRPr="00C311DC">
              <w:rPr>
                <w:rFonts w:ascii="Arial" w:hAnsi="Arial" w:cs="Arial"/>
                <w:sz w:val="18"/>
                <w:szCs w:val="18"/>
                <w:lang w:val="es-ES"/>
              </w:rPr>
              <w:t>Espacios públicos de recreación x 100.000 hbts</w:t>
            </w:r>
          </w:p>
        </w:tc>
        <w:tc>
          <w:tcPr>
            <w:tcW w:w="2511" w:type="dxa"/>
            <w:vAlign w:val="center"/>
          </w:tcPr>
          <w:p w:rsidR="00953998" w:rsidRPr="00C311DC" w:rsidRDefault="00953998" w:rsidP="00B70E6E">
            <w:pPr>
              <w:spacing w:line="20" w:lineRule="atLeast"/>
              <w:jc w:val="center"/>
              <w:rPr>
                <w:rFonts w:ascii="Arial" w:hAnsi="Arial" w:cs="Arial"/>
                <w:sz w:val="18"/>
                <w:szCs w:val="18"/>
                <w:lang w:val="es-ES"/>
              </w:rPr>
            </w:pPr>
            <w:r w:rsidRPr="00C311DC">
              <w:rPr>
                <w:rFonts w:ascii="Arial" w:hAnsi="Arial" w:cs="Arial"/>
                <w:sz w:val="18"/>
                <w:szCs w:val="18"/>
                <w:lang w:val="es-ES"/>
              </w:rPr>
              <w:t>7,5</w:t>
            </w:r>
          </w:p>
        </w:tc>
        <w:tc>
          <w:tcPr>
            <w:tcW w:w="1440" w:type="dxa"/>
            <w:vAlign w:val="center"/>
          </w:tcPr>
          <w:p w:rsidR="00953998" w:rsidRPr="00C311DC" w:rsidRDefault="00953998" w:rsidP="00B70E6E">
            <w:pPr>
              <w:spacing w:line="20" w:lineRule="atLeast"/>
              <w:jc w:val="center"/>
              <w:rPr>
                <w:rFonts w:ascii="Arial" w:hAnsi="Arial" w:cs="Arial"/>
                <w:sz w:val="18"/>
                <w:szCs w:val="18"/>
                <w:lang w:val="es-ES"/>
              </w:rPr>
            </w:pPr>
            <w:r w:rsidRPr="00C311DC">
              <w:rPr>
                <w:rFonts w:ascii="Arial" w:hAnsi="Arial" w:cs="Arial"/>
                <w:sz w:val="18"/>
                <w:szCs w:val="18"/>
                <w:lang w:val="es-ES"/>
              </w:rPr>
              <w:t>12,26</w:t>
            </w:r>
          </w:p>
        </w:tc>
        <w:tc>
          <w:tcPr>
            <w:tcW w:w="2160" w:type="dxa"/>
            <w:vAlign w:val="center"/>
          </w:tcPr>
          <w:p w:rsidR="00953998" w:rsidRPr="00C311DC" w:rsidRDefault="00953998" w:rsidP="00B70E6E">
            <w:pPr>
              <w:spacing w:line="20" w:lineRule="atLeast"/>
              <w:jc w:val="center"/>
              <w:rPr>
                <w:rFonts w:ascii="Arial" w:hAnsi="Arial" w:cs="Arial"/>
                <w:sz w:val="18"/>
                <w:szCs w:val="18"/>
                <w:lang w:val="es-ES"/>
              </w:rPr>
            </w:pPr>
            <w:r w:rsidRPr="00C311DC">
              <w:rPr>
                <w:rFonts w:ascii="Arial" w:hAnsi="Arial" w:cs="Arial"/>
                <w:sz w:val="18"/>
                <w:szCs w:val="18"/>
                <w:lang w:val="es-ES"/>
              </w:rPr>
              <w:t>Secretaría de Planeación Municipal</w:t>
            </w:r>
          </w:p>
        </w:tc>
      </w:tr>
    </w:tbl>
    <w:p w:rsidR="00953998" w:rsidRPr="00B70E6E" w:rsidRDefault="00953998" w:rsidP="00B70E6E">
      <w:pPr>
        <w:spacing w:after="0" w:line="20" w:lineRule="atLeast"/>
        <w:ind w:left="360"/>
        <w:jc w:val="both"/>
        <w:rPr>
          <w:rFonts w:ascii="Arial" w:eastAsia="Times New Roman" w:hAnsi="Arial" w:cs="Arial"/>
          <w:b/>
          <w:lang w:val="es-ES"/>
        </w:rPr>
      </w:pPr>
    </w:p>
    <w:p w:rsidR="00953998" w:rsidRPr="00C311DC" w:rsidRDefault="00C311DC" w:rsidP="00C311DC">
      <w:pPr>
        <w:numPr>
          <w:ilvl w:val="0"/>
          <w:numId w:val="11"/>
        </w:numPr>
        <w:spacing w:after="0" w:line="20" w:lineRule="atLeast"/>
        <w:rPr>
          <w:rFonts w:ascii="Arial" w:eastAsia="Times New Roman" w:hAnsi="Arial" w:cs="Arial"/>
          <w:b/>
          <w:lang w:val="es-ES"/>
        </w:rPr>
      </w:pPr>
      <w:r>
        <w:rPr>
          <w:rFonts w:ascii="Arial" w:eastAsia="Times New Roman" w:hAnsi="Arial" w:cs="Arial"/>
          <w:b/>
          <w:lang w:val="es-ES"/>
        </w:rPr>
        <w:t xml:space="preserve">Presupuesto </w:t>
      </w:r>
      <w:r w:rsidR="00953998" w:rsidRPr="00C311DC">
        <w:rPr>
          <w:rFonts w:ascii="Arial" w:eastAsia="Times New Roman" w:hAnsi="Arial" w:cs="Arial"/>
          <w:b/>
          <w:lang w:val="es-ES"/>
        </w:rPr>
        <w:t xml:space="preserve">Indicativo </w:t>
      </w:r>
      <w:r w:rsidR="00953998" w:rsidRPr="00C311DC">
        <w:rPr>
          <w:rFonts w:ascii="Arial" w:eastAsia="Times New Roman" w:hAnsi="Arial" w:cs="Arial"/>
          <w:lang w:val="es-ES"/>
        </w:rPr>
        <w:t>)</w:t>
      </w:r>
    </w:p>
    <w:p w:rsidR="00C311DC" w:rsidRPr="00C311DC" w:rsidRDefault="00C311DC" w:rsidP="00C311DC">
      <w:pPr>
        <w:spacing w:after="0" w:line="20" w:lineRule="atLeast"/>
        <w:ind w:left="360"/>
        <w:rPr>
          <w:rFonts w:ascii="Arial" w:eastAsia="Times New Roman" w:hAnsi="Arial" w:cs="Arial"/>
          <w:b/>
          <w:lang w:val="es-ES"/>
        </w:rPr>
      </w:pPr>
    </w:p>
    <w:tbl>
      <w:tblPr>
        <w:tblStyle w:val="TableGrid5"/>
        <w:tblW w:w="9612" w:type="dxa"/>
        <w:jc w:val="center"/>
        <w:tblInd w:w="-288" w:type="dxa"/>
        <w:tblLayout w:type="fixed"/>
        <w:tblLook w:val="04A0" w:firstRow="1" w:lastRow="0" w:firstColumn="1" w:lastColumn="0" w:noHBand="0" w:noVBand="1"/>
      </w:tblPr>
      <w:tblGrid>
        <w:gridCol w:w="2579"/>
        <w:gridCol w:w="1741"/>
        <w:gridCol w:w="1736"/>
        <w:gridCol w:w="1900"/>
        <w:gridCol w:w="1656"/>
      </w:tblGrid>
      <w:tr w:rsidR="00953998" w:rsidRPr="00C311DC" w:rsidTr="00C311DC">
        <w:trPr>
          <w:jc w:val="center"/>
        </w:trPr>
        <w:tc>
          <w:tcPr>
            <w:tcW w:w="2579" w:type="dxa"/>
            <w:shd w:val="clear" w:color="auto" w:fill="C2D69B" w:themeFill="accent3" w:themeFillTint="99"/>
            <w:vAlign w:val="center"/>
          </w:tcPr>
          <w:p w:rsidR="00953998" w:rsidRPr="00C311DC" w:rsidRDefault="00953998" w:rsidP="00C311DC">
            <w:pPr>
              <w:spacing w:line="20" w:lineRule="atLeast"/>
              <w:jc w:val="center"/>
              <w:rPr>
                <w:rFonts w:ascii="Arial" w:hAnsi="Arial" w:cs="Arial"/>
                <w:b/>
                <w:sz w:val="18"/>
                <w:szCs w:val="18"/>
                <w:lang w:val="es-ES"/>
              </w:rPr>
            </w:pPr>
            <w:r w:rsidRPr="00C311DC">
              <w:rPr>
                <w:rFonts w:ascii="Arial" w:hAnsi="Arial" w:cs="Arial"/>
                <w:b/>
                <w:sz w:val="18"/>
                <w:szCs w:val="18"/>
                <w:lang w:val="es-ES"/>
              </w:rPr>
              <w:t>Componente</w:t>
            </w:r>
          </w:p>
        </w:tc>
        <w:tc>
          <w:tcPr>
            <w:tcW w:w="1741"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Fuente de Recursos 1</w:t>
            </w:r>
          </w:p>
        </w:tc>
        <w:tc>
          <w:tcPr>
            <w:tcW w:w="1736"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Fuente de Recursos 2</w:t>
            </w:r>
          </w:p>
        </w:tc>
        <w:tc>
          <w:tcPr>
            <w:tcW w:w="1900"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Financiamiento Solicitado</w:t>
            </w:r>
          </w:p>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(FINDETER-BID)</w:t>
            </w:r>
          </w:p>
        </w:tc>
        <w:tc>
          <w:tcPr>
            <w:tcW w:w="1656"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Costo</w:t>
            </w:r>
          </w:p>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Total</w:t>
            </w:r>
          </w:p>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 xml:space="preserve">(en Millones de Pesos) </w:t>
            </w:r>
          </w:p>
        </w:tc>
      </w:tr>
      <w:tr w:rsidR="00C311DC" w:rsidRPr="00C311DC" w:rsidTr="00C311DC">
        <w:trPr>
          <w:jc w:val="center"/>
        </w:trPr>
        <w:tc>
          <w:tcPr>
            <w:tcW w:w="2579" w:type="dxa"/>
            <w:vAlign w:val="center"/>
          </w:tcPr>
          <w:p w:rsidR="00C311DC" w:rsidRPr="00C311DC" w:rsidRDefault="00C311DC" w:rsidP="00B70E6E">
            <w:pPr>
              <w:spacing w:line="20" w:lineRule="atLeast"/>
              <w:rPr>
                <w:rFonts w:ascii="Arial" w:hAnsi="Arial" w:cs="Arial"/>
                <w:sz w:val="18"/>
                <w:szCs w:val="18"/>
                <w:lang w:val="es-ES"/>
              </w:rPr>
            </w:pPr>
            <w:r w:rsidRPr="00C311DC">
              <w:rPr>
                <w:rFonts w:ascii="Arial" w:hAnsi="Arial" w:cs="Arial"/>
                <w:sz w:val="18"/>
                <w:szCs w:val="18"/>
                <w:lang w:val="es-ES"/>
              </w:rPr>
              <w:t>Componente 1 Ajuste diseños conceptuales</w:t>
            </w:r>
          </w:p>
        </w:tc>
        <w:tc>
          <w:tcPr>
            <w:tcW w:w="1741" w:type="dxa"/>
            <w:vAlign w:val="center"/>
          </w:tcPr>
          <w:p w:rsidR="00C311DC" w:rsidRPr="00C311DC" w:rsidRDefault="00C311DC" w:rsidP="00B70E6E">
            <w:pPr>
              <w:spacing w:line="20" w:lineRule="atLeast"/>
              <w:jc w:val="center"/>
              <w:rPr>
                <w:rFonts w:ascii="Arial" w:hAnsi="Arial" w:cs="Arial"/>
                <w:sz w:val="18"/>
                <w:szCs w:val="18"/>
                <w:lang w:val="es-ES"/>
              </w:rPr>
            </w:pPr>
          </w:p>
        </w:tc>
        <w:tc>
          <w:tcPr>
            <w:tcW w:w="1736" w:type="dxa"/>
            <w:vAlign w:val="center"/>
          </w:tcPr>
          <w:p w:rsidR="00C311DC" w:rsidRPr="00C311DC" w:rsidRDefault="00C311DC" w:rsidP="00B70E6E">
            <w:pPr>
              <w:spacing w:line="20" w:lineRule="atLeast"/>
              <w:jc w:val="center"/>
              <w:rPr>
                <w:rFonts w:ascii="Arial" w:hAnsi="Arial" w:cs="Arial"/>
                <w:sz w:val="18"/>
                <w:szCs w:val="18"/>
                <w:lang w:val="es-ES"/>
              </w:rPr>
            </w:pPr>
          </w:p>
        </w:tc>
        <w:tc>
          <w:tcPr>
            <w:tcW w:w="1900" w:type="dxa"/>
            <w:vAlign w:val="center"/>
          </w:tcPr>
          <w:p w:rsidR="00C311DC" w:rsidRPr="00C311DC" w:rsidRDefault="00C311DC" w:rsidP="00C311DC">
            <w:pPr>
              <w:spacing w:line="20" w:lineRule="atLeast"/>
              <w:jc w:val="center"/>
              <w:rPr>
                <w:rFonts w:ascii="Arial" w:hAnsi="Arial" w:cs="Arial"/>
                <w:sz w:val="18"/>
                <w:szCs w:val="18"/>
                <w:lang w:val="es-ES"/>
              </w:rPr>
            </w:pPr>
            <w:r w:rsidRPr="00C311DC">
              <w:rPr>
                <w:rFonts w:ascii="Arial" w:hAnsi="Arial" w:cs="Arial"/>
                <w:sz w:val="18"/>
                <w:szCs w:val="18"/>
                <w:lang w:val="es-ES"/>
              </w:rPr>
              <w:t>300</w:t>
            </w:r>
            <w:r>
              <w:rPr>
                <w:rFonts w:ascii="Arial" w:hAnsi="Arial" w:cs="Arial"/>
                <w:sz w:val="18"/>
                <w:szCs w:val="18"/>
                <w:lang w:val="es-ES"/>
              </w:rPr>
              <w:t>,000,000</w:t>
            </w:r>
          </w:p>
        </w:tc>
        <w:tc>
          <w:tcPr>
            <w:tcW w:w="1656" w:type="dxa"/>
            <w:vAlign w:val="center"/>
          </w:tcPr>
          <w:p w:rsidR="00C311DC" w:rsidRPr="00C311DC" w:rsidRDefault="00C311DC" w:rsidP="00220574">
            <w:pPr>
              <w:spacing w:line="20" w:lineRule="atLeast"/>
              <w:jc w:val="center"/>
              <w:rPr>
                <w:rFonts w:ascii="Arial" w:hAnsi="Arial" w:cs="Arial"/>
                <w:sz w:val="18"/>
                <w:szCs w:val="18"/>
                <w:lang w:val="es-ES"/>
              </w:rPr>
            </w:pPr>
            <w:r w:rsidRPr="00C311DC">
              <w:rPr>
                <w:rFonts w:ascii="Arial" w:hAnsi="Arial" w:cs="Arial"/>
                <w:sz w:val="18"/>
                <w:szCs w:val="18"/>
                <w:lang w:val="es-ES"/>
              </w:rPr>
              <w:t>300</w:t>
            </w:r>
            <w:r>
              <w:rPr>
                <w:rFonts w:ascii="Arial" w:hAnsi="Arial" w:cs="Arial"/>
                <w:sz w:val="18"/>
                <w:szCs w:val="18"/>
                <w:lang w:val="es-ES"/>
              </w:rPr>
              <w:t>,000,000</w:t>
            </w:r>
          </w:p>
        </w:tc>
      </w:tr>
      <w:tr w:rsidR="00C311DC" w:rsidRPr="00C311DC" w:rsidTr="00C311DC">
        <w:trPr>
          <w:trHeight w:val="305"/>
          <w:jc w:val="center"/>
        </w:trPr>
        <w:tc>
          <w:tcPr>
            <w:tcW w:w="2579" w:type="dxa"/>
            <w:vAlign w:val="center"/>
          </w:tcPr>
          <w:p w:rsidR="00C311DC" w:rsidRPr="00C311DC" w:rsidRDefault="00C311DC" w:rsidP="00B70E6E">
            <w:pPr>
              <w:spacing w:line="20" w:lineRule="atLeast"/>
              <w:rPr>
                <w:rFonts w:ascii="Arial" w:hAnsi="Arial" w:cs="Arial"/>
                <w:sz w:val="18"/>
                <w:szCs w:val="18"/>
                <w:lang w:val="es-ES"/>
              </w:rPr>
            </w:pPr>
            <w:r w:rsidRPr="00C311DC">
              <w:rPr>
                <w:rFonts w:ascii="Arial" w:hAnsi="Arial" w:cs="Arial"/>
                <w:sz w:val="18"/>
                <w:szCs w:val="18"/>
                <w:lang w:val="es-ES"/>
              </w:rPr>
              <w:t>Componente 2 Ejecución</w:t>
            </w:r>
          </w:p>
        </w:tc>
        <w:tc>
          <w:tcPr>
            <w:tcW w:w="1741" w:type="dxa"/>
            <w:vAlign w:val="center"/>
          </w:tcPr>
          <w:p w:rsidR="00C311DC" w:rsidRPr="00C311DC" w:rsidRDefault="00C311DC" w:rsidP="00B70E6E">
            <w:pPr>
              <w:spacing w:line="20" w:lineRule="atLeast"/>
              <w:jc w:val="center"/>
              <w:rPr>
                <w:rFonts w:ascii="Arial" w:hAnsi="Arial" w:cs="Arial"/>
                <w:sz w:val="18"/>
                <w:szCs w:val="18"/>
                <w:lang w:val="es-ES"/>
              </w:rPr>
            </w:pPr>
          </w:p>
        </w:tc>
        <w:tc>
          <w:tcPr>
            <w:tcW w:w="1736" w:type="dxa"/>
            <w:vAlign w:val="center"/>
          </w:tcPr>
          <w:p w:rsidR="00C311DC" w:rsidRPr="00C311DC" w:rsidRDefault="00C311DC" w:rsidP="00B70E6E">
            <w:pPr>
              <w:spacing w:line="20" w:lineRule="atLeast"/>
              <w:jc w:val="center"/>
              <w:rPr>
                <w:rFonts w:ascii="Arial" w:hAnsi="Arial" w:cs="Arial"/>
                <w:sz w:val="18"/>
                <w:szCs w:val="18"/>
                <w:lang w:val="es-ES"/>
              </w:rPr>
            </w:pPr>
          </w:p>
        </w:tc>
        <w:tc>
          <w:tcPr>
            <w:tcW w:w="1900" w:type="dxa"/>
            <w:vAlign w:val="center"/>
          </w:tcPr>
          <w:p w:rsidR="00C311DC" w:rsidRPr="00C311DC" w:rsidRDefault="00C311DC" w:rsidP="00C311DC">
            <w:pPr>
              <w:spacing w:line="20" w:lineRule="atLeast"/>
              <w:jc w:val="center"/>
              <w:rPr>
                <w:rFonts w:ascii="Arial" w:hAnsi="Arial" w:cs="Arial"/>
                <w:sz w:val="18"/>
                <w:szCs w:val="18"/>
                <w:lang w:val="es-ES"/>
              </w:rPr>
            </w:pPr>
            <w:r>
              <w:rPr>
                <w:rFonts w:ascii="Arial" w:hAnsi="Arial" w:cs="Arial"/>
                <w:sz w:val="18"/>
                <w:szCs w:val="18"/>
                <w:lang w:val="es-ES"/>
              </w:rPr>
              <w:t>3.500,000,000</w:t>
            </w:r>
          </w:p>
        </w:tc>
        <w:tc>
          <w:tcPr>
            <w:tcW w:w="1656" w:type="dxa"/>
            <w:vAlign w:val="center"/>
          </w:tcPr>
          <w:p w:rsidR="00C311DC" w:rsidRPr="00C311DC" w:rsidRDefault="00C311DC" w:rsidP="00220574">
            <w:pPr>
              <w:spacing w:line="20" w:lineRule="atLeast"/>
              <w:jc w:val="center"/>
              <w:rPr>
                <w:rFonts w:ascii="Arial" w:hAnsi="Arial" w:cs="Arial"/>
                <w:sz w:val="18"/>
                <w:szCs w:val="18"/>
                <w:lang w:val="es-ES"/>
              </w:rPr>
            </w:pPr>
            <w:r>
              <w:rPr>
                <w:rFonts w:ascii="Arial" w:hAnsi="Arial" w:cs="Arial"/>
                <w:sz w:val="18"/>
                <w:szCs w:val="18"/>
                <w:lang w:val="es-ES"/>
              </w:rPr>
              <w:t>3.500,000,000</w:t>
            </w:r>
          </w:p>
        </w:tc>
      </w:tr>
      <w:tr w:rsidR="00C311DC" w:rsidRPr="00C311DC" w:rsidTr="00C311DC">
        <w:trPr>
          <w:jc w:val="center"/>
        </w:trPr>
        <w:tc>
          <w:tcPr>
            <w:tcW w:w="2579" w:type="dxa"/>
            <w:vAlign w:val="center"/>
          </w:tcPr>
          <w:p w:rsidR="00C311DC" w:rsidRPr="00C311DC" w:rsidRDefault="00C311DC" w:rsidP="00B70E6E">
            <w:pPr>
              <w:spacing w:line="20" w:lineRule="atLeast"/>
              <w:rPr>
                <w:rFonts w:ascii="Arial" w:hAnsi="Arial" w:cs="Arial"/>
                <w:sz w:val="18"/>
                <w:szCs w:val="18"/>
                <w:lang w:val="es-ES"/>
              </w:rPr>
            </w:pPr>
            <w:r w:rsidRPr="00C311DC">
              <w:rPr>
                <w:rFonts w:ascii="Arial" w:hAnsi="Arial" w:cs="Arial"/>
                <w:sz w:val="18"/>
                <w:szCs w:val="18"/>
                <w:lang w:val="es-ES"/>
              </w:rPr>
              <w:t>Componente 3 Interventoría</w:t>
            </w:r>
          </w:p>
        </w:tc>
        <w:tc>
          <w:tcPr>
            <w:tcW w:w="1741" w:type="dxa"/>
            <w:vAlign w:val="center"/>
          </w:tcPr>
          <w:p w:rsidR="00C311DC" w:rsidRPr="00C311DC" w:rsidRDefault="00C311DC" w:rsidP="00B70E6E">
            <w:pPr>
              <w:spacing w:line="20" w:lineRule="atLeast"/>
              <w:jc w:val="center"/>
              <w:rPr>
                <w:rFonts w:ascii="Arial" w:hAnsi="Arial" w:cs="Arial"/>
                <w:sz w:val="18"/>
                <w:szCs w:val="18"/>
                <w:lang w:val="es-ES"/>
              </w:rPr>
            </w:pPr>
          </w:p>
        </w:tc>
        <w:tc>
          <w:tcPr>
            <w:tcW w:w="1736" w:type="dxa"/>
            <w:vAlign w:val="center"/>
          </w:tcPr>
          <w:p w:rsidR="00C311DC" w:rsidRPr="00C311DC" w:rsidRDefault="00C311DC" w:rsidP="00B70E6E">
            <w:pPr>
              <w:spacing w:line="20" w:lineRule="atLeast"/>
              <w:jc w:val="center"/>
              <w:rPr>
                <w:rFonts w:ascii="Arial" w:hAnsi="Arial" w:cs="Arial"/>
                <w:sz w:val="18"/>
                <w:szCs w:val="18"/>
                <w:lang w:val="es-ES"/>
              </w:rPr>
            </w:pPr>
          </w:p>
        </w:tc>
        <w:tc>
          <w:tcPr>
            <w:tcW w:w="1900" w:type="dxa"/>
            <w:vAlign w:val="center"/>
          </w:tcPr>
          <w:p w:rsidR="00C311DC" w:rsidRPr="00C311DC" w:rsidRDefault="00C311DC" w:rsidP="00C311DC">
            <w:pPr>
              <w:spacing w:line="20" w:lineRule="atLeast"/>
              <w:jc w:val="center"/>
              <w:rPr>
                <w:rFonts w:ascii="Arial" w:hAnsi="Arial" w:cs="Arial"/>
                <w:sz w:val="18"/>
                <w:szCs w:val="18"/>
                <w:lang w:val="es-ES"/>
              </w:rPr>
            </w:pPr>
            <w:r w:rsidRPr="00C311DC">
              <w:rPr>
                <w:rFonts w:ascii="Arial" w:hAnsi="Arial" w:cs="Arial"/>
                <w:sz w:val="18"/>
                <w:szCs w:val="18"/>
                <w:lang w:val="es-ES"/>
              </w:rPr>
              <w:t>26</w:t>
            </w:r>
            <w:r>
              <w:rPr>
                <w:rFonts w:ascii="Arial" w:hAnsi="Arial" w:cs="Arial"/>
                <w:sz w:val="18"/>
                <w:szCs w:val="18"/>
                <w:lang w:val="es-ES"/>
              </w:rPr>
              <w:t>,000,000</w:t>
            </w:r>
          </w:p>
        </w:tc>
        <w:tc>
          <w:tcPr>
            <w:tcW w:w="1656" w:type="dxa"/>
            <w:vAlign w:val="center"/>
          </w:tcPr>
          <w:p w:rsidR="00C311DC" w:rsidRPr="00C311DC" w:rsidRDefault="00C311DC" w:rsidP="00220574">
            <w:pPr>
              <w:spacing w:line="20" w:lineRule="atLeast"/>
              <w:jc w:val="center"/>
              <w:rPr>
                <w:rFonts w:ascii="Arial" w:hAnsi="Arial" w:cs="Arial"/>
                <w:sz w:val="18"/>
                <w:szCs w:val="18"/>
                <w:lang w:val="es-ES"/>
              </w:rPr>
            </w:pPr>
            <w:r w:rsidRPr="00C311DC">
              <w:rPr>
                <w:rFonts w:ascii="Arial" w:hAnsi="Arial" w:cs="Arial"/>
                <w:sz w:val="18"/>
                <w:szCs w:val="18"/>
                <w:lang w:val="es-ES"/>
              </w:rPr>
              <w:t>26</w:t>
            </w:r>
            <w:r>
              <w:rPr>
                <w:rFonts w:ascii="Arial" w:hAnsi="Arial" w:cs="Arial"/>
                <w:sz w:val="18"/>
                <w:szCs w:val="18"/>
                <w:lang w:val="es-ES"/>
              </w:rPr>
              <w:t>,000,000</w:t>
            </w:r>
          </w:p>
        </w:tc>
      </w:tr>
    </w:tbl>
    <w:p w:rsidR="00953998" w:rsidRPr="00B70E6E" w:rsidRDefault="00953998" w:rsidP="00B70E6E">
      <w:pPr>
        <w:spacing w:after="0" w:line="20" w:lineRule="atLeast"/>
        <w:ind w:left="360"/>
        <w:jc w:val="both"/>
        <w:rPr>
          <w:rFonts w:ascii="Arial" w:eastAsia="Times New Roman" w:hAnsi="Arial" w:cs="Arial"/>
          <w:b/>
          <w:lang w:val="es-ES"/>
        </w:rPr>
      </w:pPr>
    </w:p>
    <w:p w:rsidR="00953998" w:rsidRPr="00B70E6E" w:rsidRDefault="00953998" w:rsidP="00C311DC">
      <w:pPr>
        <w:numPr>
          <w:ilvl w:val="0"/>
          <w:numId w:val="11"/>
        </w:numPr>
        <w:spacing w:after="0" w:line="20" w:lineRule="atLeast"/>
        <w:rPr>
          <w:rFonts w:ascii="Arial" w:eastAsia="Times New Roman" w:hAnsi="Arial" w:cs="Arial"/>
          <w:b/>
          <w:lang w:val="es-ES"/>
        </w:rPr>
      </w:pPr>
      <w:r w:rsidRPr="00B70E6E">
        <w:rPr>
          <w:rFonts w:ascii="Arial" w:eastAsia="Times New Roman" w:hAnsi="Arial" w:cs="Arial"/>
          <w:b/>
          <w:lang w:val="es-ES"/>
        </w:rPr>
        <w:t xml:space="preserve">Cronograma de Desembolsos: </w:t>
      </w:r>
    </w:p>
    <w:p w:rsidR="00B1410C" w:rsidRPr="00B70E6E" w:rsidRDefault="00B1410C" w:rsidP="00B70E6E">
      <w:pPr>
        <w:spacing w:after="0" w:line="20" w:lineRule="atLeast"/>
        <w:ind w:left="360"/>
        <w:rPr>
          <w:rFonts w:ascii="Arial" w:eastAsia="Times New Roman" w:hAnsi="Arial" w:cs="Arial"/>
          <w:b/>
          <w:lang w:val="es-ES"/>
        </w:rPr>
      </w:pPr>
    </w:p>
    <w:tbl>
      <w:tblPr>
        <w:tblStyle w:val="TableGrid5"/>
        <w:tblW w:w="9424" w:type="dxa"/>
        <w:jc w:val="center"/>
        <w:tblLayout w:type="fixed"/>
        <w:tblLook w:val="04A0" w:firstRow="1" w:lastRow="0" w:firstColumn="1" w:lastColumn="0" w:noHBand="0" w:noVBand="1"/>
      </w:tblPr>
      <w:tblGrid>
        <w:gridCol w:w="3097"/>
        <w:gridCol w:w="870"/>
        <w:gridCol w:w="871"/>
        <w:gridCol w:w="868"/>
        <w:gridCol w:w="868"/>
        <w:gridCol w:w="950"/>
        <w:gridCol w:w="950"/>
        <w:gridCol w:w="950"/>
      </w:tblGrid>
      <w:tr w:rsidR="00953998" w:rsidRPr="00C311DC" w:rsidTr="00C311DC">
        <w:trPr>
          <w:trHeight w:val="135"/>
          <w:jc w:val="center"/>
        </w:trPr>
        <w:tc>
          <w:tcPr>
            <w:tcW w:w="3097" w:type="dxa"/>
            <w:shd w:val="clear" w:color="auto" w:fill="C2D69B" w:themeFill="accent3" w:themeFillTint="99"/>
            <w:vAlign w:val="center"/>
          </w:tcPr>
          <w:p w:rsidR="00953998" w:rsidRPr="00C311DC" w:rsidRDefault="00953998" w:rsidP="00C311DC">
            <w:pPr>
              <w:spacing w:line="20" w:lineRule="atLeast"/>
              <w:jc w:val="center"/>
              <w:rPr>
                <w:rFonts w:ascii="Arial" w:hAnsi="Arial" w:cs="Arial"/>
                <w:b/>
                <w:sz w:val="18"/>
                <w:szCs w:val="18"/>
                <w:lang w:val="es-ES"/>
              </w:rPr>
            </w:pPr>
            <w:r w:rsidRPr="00C311DC">
              <w:rPr>
                <w:rFonts w:ascii="Arial" w:hAnsi="Arial" w:cs="Arial"/>
                <w:b/>
                <w:sz w:val="18"/>
                <w:szCs w:val="18"/>
                <w:lang w:val="es-ES"/>
              </w:rPr>
              <w:t>Componente</w:t>
            </w:r>
          </w:p>
        </w:tc>
        <w:tc>
          <w:tcPr>
            <w:tcW w:w="870"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2015</w:t>
            </w:r>
          </w:p>
        </w:tc>
        <w:tc>
          <w:tcPr>
            <w:tcW w:w="871"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2016</w:t>
            </w:r>
          </w:p>
        </w:tc>
        <w:tc>
          <w:tcPr>
            <w:tcW w:w="868"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2017</w:t>
            </w:r>
          </w:p>
        </w:tc>
        <w:tc>
          <w:tcPr>
            <w:tcW w:w="868"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2018</w:t>
            </w:r>
          </w:p>
        </w:tc>
        <w:tc>
          <w:tcPr>
            <w:tcW w:w="950"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2019</w:t>
            </w:r>
          </w:p>
        </w:tc>
        <w:tc>
          <w:tcPr>
            <w:tcW w:w="950"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2020</w:t>
            </w:r>
          </w:p>
        </w:tc>
        <w:tc>
          <w:tcPr>
            <w:tcW w:w="950" w:type="dxa"/>
            <w:shd w:val="clear" w:color="auto" w:fill="C2D69B" w:themeFill="accent3" w:themeFillTint="99"/>
            <w:vAlign w:val="center"/>
          </w:tcPr>
          <w:p w:rsidR="00953998" w:rsidRPr="00C311DC" w:rsidRDefault="00953998"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Costo Total</w:t>
            </w:r>
          </w:p>
        </w:tc>
      </w:tr>
      <w:tr w:rsidR="00C311DC" w:rsidRPr="00C311DC" w:rsidTr="00C311DC">
        <w:trPr>
          <w:trHeight w:val="135"/>
          <w:jc w:val="center"/>
        </w:trPr>
        <w:tc>
          <w:tcPr>
            <w:tcW w:w="3097" w:type="dxa"/>
            <w:vAlign w:val="center"/>
          </w:tcPr>
          <w:p w:rsidR="00C311DC" w:rsidRPr="00C311DC" w:rsidRDefault="00C311DC" w:rsidP="00220574">
            <w:pPr>
              <w:spacing w:line="20" w:lineRule="atLeast"/>
              <w:rPr>
                <w:rFonts w:ascii="Arial" w:hAnsi="Arial" w:cs="Arial"/>
                <w:sz w:val="18"/>
                <w:szCs w:val="18"/>
                <w:lang w:val="es-ES"/>
              </w:rPr>
            </w:pPr>
            <w:r w:rsidRPr="00C311DC">
              <w:rPr>
                <w:rFonts w:ascii="Arial" w:hAnsi="Arial" w:cs="Arial"/>
                <w:sz w:val="18"/>
                <w:szCs w:val="18"/>
                <w:lang w:val="es-ES"/>
              </w:rPr>
              <w:t>Componente 1 Ajuste diseños conceptuales</w:t>
            </w:r>
          </w:p>
        </w:tc>
        <w:tc>
          <w:tcPr>
            <w:tcW w:w="870" w:type="dxa"/>
            <w:vAlign w:val="center"/>
          </w:tcPr>
          <w:p w:rsidR="00C311DC" w:rsidRPr="00C311DC" w:rsidRDefault="00C311DC"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X</w:t>
            </w:r>
          </w:p>
        </w:tc>
        <w:tc>
          <w:tcPr>
            <w:tcW w:w="871"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868"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868"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950"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950"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950" w:type="dxa"/>
            <w:vAlign w:val="center"/>
          </w:tcPr>
          <w:p w:rsidR="00C311DC" w:rsidRPr="00C311DC" w:rsidRDefault="00C311DC" w:rsidP="00B70E6E">
            <w:pPr>
              <w:spacing w:line="20" w:lineRule="atLeast"/>
              <w:jc w:val="center"/>
              <w:rPr>
                <w:rFonts w:ascii="Arial" w:hAnsi="Arial" w:cs="Arial"/>
                <w:b/>
                <w:sz w:val="18"/>
                <w:szCs w:val="18"/>
                <w:lang w:val="es-ES"/>
              </w:rPr>
            </w:pPr>
          </w:p>
        </w:tc>
      </w:tr>
      <w:tr w:rsidR="00C311DC" w:rsidRPr="00C311DC" w:rsidTr="00C311DC">
        <w:trPr>
          <w:trHeight w:val="135"/>
          <w:jc w:val="center"/>
        </w:trPr>
        <w:tc>
          <w:tcPr>
            <w:tcW w:w="3097" w:type="dxa"/>
            <w:vAlign w:val="center"/>
          </w:tcPr>
          <w:p w:rsidR="00C311DC" w:rsidRPr="00C311DC" w:rsidRDefault="00C311DC" w:rsidP="00220574">
            <w:pPr>
              <w:spacing w:line="20" w:lineRule="atLeast"/>
              <w:rPr>
                <w:rFonts w:ascii="Arial" w:hAnsi="Arial" w:cs="Arial"/>
                <w:sz w:val="18"/>
                <w:szCs w:val="18"/>
                <w:lang w:val="es-ES"/>
              </w:rPr>
            </w:pPr>
            <w:r w:rsidRPr="00C311DC">
              <w:rPr>
                <w:rFonts w:ascii="Arial" w:hAnsi="Arial" w:cs="Arial"/>
                <w:sz w:val="18"/>
                <w:szCs w:val="18"/>
                <w:lang w:val="es-ES"/>
              </w:rPr>
              <w:t>Componente 2 Ejecución</w:t>
            </w:r>
          </w:p>
        </w:tc>
        <w:tc>
          <w:tcPr>
            <w:tcW w:w="870" w:type="dxa"/>
            <w:vAlign w:val="center"/>
          </w:tcPr>
          <w:p w:rsidR="00C311DC" w:rsidRPr="00C311DC" w:rsidRDefault="00C311DC"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X</w:t>
            </w:r>
          </w:p>
        </w:tc>
        <w:tc>
          <w:tcPr>
            <w:tcW w:w="871" w:type="dxa"/>
            <w:vAlign w:val="center"/>
          </w:tcPr>
          <w:p w:rsidR="00C311DC" w:rsidRPr="00C311DC" w:rsidRDefault="00C311DC"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X</w:t>
            </w:r>
          </w:p>
        </w:tc>
        <w:tc>
          <w:tcPr>
            <w:tcW w:w="868"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868"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950"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950"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950" w:type="dxa"/>
            <w:vAlign w:val="center"/>
          </w:tcPr>
          <w:p w:rsidR="00C311DC" w:rsidRPr="00C311DC" w:rsidRDefault="00C311DC" w:rsidP="00B70E6E">
            <w:pPr>
              <w:spacing w:line="20" w:lineRule="atLeast"/>
              <w:jc w:val="center"/>
              <w:rPr>
                <w:rFonts w:ascii="Arial" w:hAnsi="Arial" w:cs="Arial"/>
                <w:b/>
                <w:sz w:val="18"/>
                <w:szCs w:val="18"/>
                <w:lang w:val="es-ES"/>
              </w:rPr>
            </w:pPr>
          </w:p>
        </w:tc>
      </w:tr>
      <w:tr w:rsidR="00C311DC" w:rsidRPr="00C311DC" w:rsidTr="00C311DC">
        <w:trPr>
          <w:trHeight w:val="135"/>
          <w:jc w:val="center"/>
        </w:trPr>
        <w:tc>
          <w:tcPr>
            <w:tcW w:w="3097" w:type="dxa"/>
            <w:vAlign w:val="center"/>
          </w:tcPr>
          <w:p w:rsidR="00C311DC" w:rsidRPr="00C311DC" w:rsidRDefault="00C311DC" w:rsidP="00220574">
            <w:pPr>
              <w:spacing w:line="20" w:lineRule="atLeast"/>
              <w:rPr>
                <w:rFonts w:ascii="Arial" w:hAnsi="Arial" w:cs="Arial"/>
                <w:sz w:val="18"/>
                <w:szCs w:val="18"/>
                <w:lang w:val="es-ES"/>
              </w:rPr>
            </w:pPr>
            <w:r w:rsidRPr="00C311DC">
              <w:rPr>
                <w:rFonts w:ascii="Arial" w:hAnsi="Arial" w:cs="Arial"/>
                <w:sz w:val="18"/>
                <w:szCs w:val="18"/>
                <w:lang w:val="es-ES"/>
              </w:rPr>
              <w:t>Componente 3 Interventoría</w:t>
            </w:r>
          </w:p>
        </w:tc>
        <w:tc>
          <w:tcPr>
            <w:tcW w:w="870" w:type="dxa"/>
            <w:vAlign w:val="center"/>
          </w:tcPr>
          <w:p w:rsidR="00C311DC" w:rsidRPr="00C311DC" w:rsidRDefault="00C311DC"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X</w:t>
            </w:r>
          </w:p>
        </w:tc>
        <w:tc>
          <w:tcPr>
            <w:tcW w:w="871" w:type="dxa"/>
            <w:vAlign w:val="center"/>
          </w:tcPr>
          <w:p w:rsidR="00C311DC" w:rsidRPr="00C311DC" w:rsidRDefault="00C311DC" w:rsidP="00B70E6E">
            <w:pPr>
              <w:spacing w:line="20" w:lineRule="atLeast"/>
              <w:jc w:val="center"/>
              <w:rPr>
                <w:rFonts w:ascii="Arial" w:hAnsi="Arial" w:cs="Arial"/>
                <w:b/>
                <w:sz w:val="18"/>
                <w:szCs w:val="18"/>
                <w:lang w:val="es-ES"/>
              </w:rPr>
            </w:pPr>
            <w:r w:rsidRPr="00C311DC">
              <w:rPr>
                <w:rFonts w:ascii="Arial" w:hAnsi="Arial" w:cs="Arial"/>
                <w:b/>
                <w:sz w:val="18"/>
                <w:szCs w:val="18"/>
                <w:lang w:val="es-ES"/>
              </w:rPr>
              <w:t>X</w:t>
            </w:r>
          </w:p>
        </w:tc>
        <w:tc>
          <w:tcPr>
            <w:tcW w:w="868"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868"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950"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950" w:type="dxa"/>
            <w:vAlign w:val="center"/>
          </w:tcPr>
          <w:p w:rsidR="00C311DC" w:rsidRPr="00C311DC" w:rsidRDefault="00C311DC" w:rsidP="00B70E6E">
            <w:pPr>
              <w:spacing w:line="20" w:lineRule="atLeast"/>
              <w:jc w:val="center"/>
              <w:rPr>
                <w:rFonts w:ascii="Arial" w:hAnsi="Arial" w:cs="Arial"/>
                <w:b/>
                <w:sz w:val="18"/>
                <w:szCs w:val="18"/>
                <w:lang w:val="es-ES"/>
              </w:rPr>
            </w:pPr>
          </w:p>
        </w:tc>
        <w:tc>
          <w:tcPr>
            <w:tcW w:w="950" w:type="dxa"/>
            <w:vAlign w:val="center"/>
          </w:tcPr>
          <w:p w:rsidR="00C311DC" w:rsidRPr="00C311DC" w:rsidRDefault="00C311DC" w:rsidP="00B70E6E">
            <w:pPr>
              <w:spacing w:line="20" w:lineRule="atLeast"/>
              <w:jc w:val="center"/>
              <w:rPr>
                <w:rFonts w:ascii="Arial" w:hAnsi="Arial" w:cs="Arial"/>
                <w:b/>
                <w:sz w:val="18"/>
                <w:szCs w:val="18"/>
                <w:lang w:val="es-ES"/>
              </w:rPr>
            </w:pPr>
          </w:p>
        </w:tc>
      </w:tr>
    </w:tbl>
    <w:p w:rsidR="00953998" w:rsidRDefault="00953998" w:rsidP="00B70E6E">
      <w:pPr>
        <w:spacing w:after="0" w:line="20" w:lineRule="atLeast"/>
        <w:ind w:left="360"/>
        <w:jc w:val="both"/>
        <w:rPr>
          <w:rFonts w:ascii="Arial" w:eastAsia="Times New Roman" w:hAnsi="Arial" w:cs="Arial"/>
          <w:lang w:val="es-ES"/>
        </w:rPr>
      </w:pPr>
    </w:p>
    <w:p w:rsidR="00C311DC" w:rsidRPr="00B70E6E" w:rsidRDefault="00C311DC" w:rsidP="00B70E6E">
      <w:pPr>
        <w:spacing w:after="0" w:line="20" w:lineRule="atLeast"/>
        <w:ind w:left="360"/>
        <w:jc w:val="both"/>
        <w:rPr>
          <w:rFonts w:ascii="Arial" w:eastAsia="Times New Roman" w:hAnsi="Arial" w:cs="Arial"/>
          <w:lang w:val="es-ES"/>
        </w:rPr>
      </w:pPr>
    </w:p>
    <w:p w:rsidR="00B1410C" w:rsidRPr="00B70E6E" w:rsidRDefault="00C311DC" w:rsidP="00C311DC">
      <w:pPr>
        <w:numPr>
          <w:ilvl w:val="0"/>
          <w:numId w:val="11"/>
        </w:numPr>
        <w:spacing w:after="0" w:line="20" w:lineRule="atLeast"/>
        <w:rPr>
          <w:rFonts w:ascii="Arial" w:eastAsia="Times New Roman" w:hAnsi="Arial" w:cs="Arial"/>
          <w:lang w:val="es-ES"/>
        </w:rPr>
      </w:pPr>
      <w:r>
        <w:rPr>
          <w:rFonts w:ascii="Arial" w:eastAsia="Times New Roman" w:hAnsi="Arial" w:cs="Arial"/>
          <w:b/>
          <w:lang w:val="es-ES"/>
        </w:rPr>
        <w:t xml:space="preserve">Adquisiciones / </w:t>
      </w:r>
      <w:r w:rsidR="00953998" w:rsidRPr="00B70E6E">
        <w:rPr>
          <w:rFonts w:ascii="Arial" w:eastAsia="Times New Roman" w:hAnsi="Arial" w:cs="Arial"/>
          <w:b/>
          <w:lang w:val="es-ES"/>
        </w:rPr>
        <w:t>Contrataciones</w:t>
      </w:r>
      <w:r w:rsidR="006D15E4">
        <w:rPr>
          <w:rFonts w:ascii="Arial" w:eastAsia="Times New Roman" w:hAnsi="Arial" w:cs="Arial"/>
          <w:b/>
          <w:lang w:val="es-ES"/>
        </w:rPr>
        <w:t xml:space="preserve">: </w:t>
      </w:r>
      <w:r w:rsidR="006D15E4" w:rsidRPr="006E35F2">
        <w:rPr>
          <w:rFonts w:ascii="Arial" w:hAnsi="Arial" w:cs="Arial"/>
          <w:lang w:val="es-ES"/>
        </w:rPr>
        <w:t>Sin información.</w:t>
      </w:r>
      <w:r w:rsidR="00953998" w:rsidRPr="00B70E6E">
        <w:rPr>
          <w:rFonts w:ascii="Arial" w:eastAsia="Times New Roman" w:hAnsi="Arial" w:cs="Arial"/>
          <w:lang w:val="es-ES"/>
        </w:rPr>
        <w:t xml:space="preserve"> </w:t>
      </w:r>
    </w:p>
    <w:p w:rsidR="00B1410C" w:rsidRPr="00B70E6E" w:rsidRDefault="00B1410C" w:rsidP="00B70E6E">
      <w:pPr>
        <w:spacing w:after="0" w:line="20" w:lineRule="atLeast"/>
        <w:ind w:left="720"/>
        <w:jc w:val="both"/>
        <w:rPr>
          <w:rFonts w:ascii="Arial" w:eastAsia="Times New Roman" w:hAnsi="Arial" w:cs="Arial"/>
          <w:lang w:val="es-ES"/>
        </w:rPr>
      </w:pPr>
    </w:p>
    <w:p w:rsidR="00B1410C" w:rsidRPr="00B70E6E" w:rsidRDefault="00B1410C" w:rsidP="00B70E6E">
      <w:pPr>
        <w:spacing w:after="0" w:line="20" w:lineRule="atLeast"/>
        <w:jc w:val="both"/>
        <w:rPr>
          <w:rFonts w:ascii="Arial" w:eastAsia="Times New Roman" w:hAnsi="Arial" w:cs="Arial"/>
          <w:lang w:val="es-ES"/>
        </w:rPr>
      </w:pPr>
    </w:p>
    <w:p w:rsidR="00B1410C" w:rsidRPr="00B70E6E" w:rsidRDefault="00953998" w:rsidP="00C311DC">
      <w:pPr>
        <w:numPr>
          <w:ilvl w:val="0"/>
          <w:numId w:val="11"/>
        </w:numPr>
        <w:spacing w:after="0" w:line="20" w:lineRule="atLeast"/>
        <w:rPr>
          <w:rFonts w:ascii="Arial" w:eastAsia="Times New Roman" w:hAnsi="Arial" w:cs="Arial"/>
          <w:b/>
          <w:lang w:val="es-ES"/>
        </w:rPr>
      </w:pPr>
      <w:r w:rsidRPr="00B70E6E">
        <w:rPr>
          <w:rFonts w:ascii="Arial" w:eastAsia="Times New Roman" w:hAnsi="Arial" w:cs="Arial"/>
          <w:b/>
          <w:lang w:val="es-ES"/>
        </w:rPr>
        <w:t>Riesgos</w:t>
      </w:r>
      <w:r w:rsidR="006D15E4">
        <w:rPr>
          <w:rFonts w:ascii="Arial" w:eastAsia="Times New Roman" w:hAnsi="Arial" w:cs="Arial"/>
          <w:b/>
          <w:lang w:val="es-ES"/>
        </w:rPr>
        <w:t xml:space="preserve">: </w:t>
      </w:r>
      <w:r w:rsidR="006D15E4" w:rsidRPr="006E35F2">
        <w:rPr>
          <w:rFonts w:ascii="Arial" w:hAnsi="Arial" w:cs="Arial"/>
          <w:lang w:val="es-ES"/>
        </w:rPr>
        <w:t>Sin información.</w:t>
      </w:r>
      <w:r w:rsidRPr="00B70E6E">
        <w:rPr>
          <w:rFonts w:ascii="Arial" w:eastAsia="Times New Roman" w:hAnsi="Arial" w:cs="Arial"/>
          <w:b/>
          <w:lang w:val="es-ES"/>
        </w:rPr>
        <w:t xml:space="preserve"> </w:t>
      </w:r>
    </w:p>
    <w:p w:rsidR="00B1410C" w:rsidRPr="00B70E6E" w:rsidRDefault="00B1410C" w:rsidP="00B70E6E">
      <w:pPr>
        <w:spacing w:after="0" w:line="20" w:lineRule="atLeast"/>
        <w:jc w:val="both"/>
        <w:rPr>
          <w:rFonts w:ascii="Arial" w:eastAsia="Times New Roman" w:hAnsi="Arial" w:cs="Arial"/>
          <w:b/>
          <w:lang w:val="es-ES"/>
        </w:rPr>
      </w:pPr>
    </w:p>
    <w:p w:rsidR="00990A0A" w:rsidRPr="00B70E6E" w:rsidRDefault="00990A0A" w:rsidP="00B70E6E">
      <w:pPr>
        <w:pStyle w:val="Heading1"/>
        <w:spacing w:before="0" w:line="20" w:lineRule="atLeast"/>
        <w:jc w:val="right"/>
        <w:rPr>
          <w:rFonts w:ascii="Arial" w:hAnsi="Arial" w:cs="Arial"/>
          <w:b/>
          <w:bCs/>
          <w:i/>
          <w:sz w:val="22"/>
          <w:szCs w:val="22"/>
        </w:rPr>
      </w:pPr>
    </w:p>
    <w:sectPr w:rsidR="00990A0A" w:rsidRPr="00B70E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6E" w:rsidRDefault="00B70E6E" w:rsidP="00780A50">
      <w:pPr>
        <w:spacing w:after="0" w:line="240" w:lineRule="auto"/>
      </w:pPr>
      <w:r>
        <w:separator/>
      </w:r>
    </w:p>
  </w:endnote>
  <w:endnote w:type="continuationSeparator" w:id="0">
    <w:p w:rsidR="00B70E6E" w:rsidRDefault="00B70E6E" w:rsidP="0078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6299"/>
      <w:docPartObj>
        <w:docPartGallery w:val="Page Numbers (Bottom of Page)"/>
        <w:docPartUnique/>
      </w:docPartObj>
    </w:sdtPr>
    <w:sdtEndPr>
      <w:rPr>
        <w:rFonts w:ascii="Arial" w:hAnsi="Arial" w:cs="Arial"/>
        <w:noProof/>
        <w:sz w:val="20"/>
        <w:szCs w:val="20"/>
      </w:rPr>
    </w:sdtEndPr>
    <w:sdtContent>
      <w:p w:rsidR="00B70E6E" w:rsidRPr="00947E92" w:rsidRDefault="00B70E6E">
        <w:pPr>
          <w:pStyle w:val="Footer"/>
          <w:jc w:val="right"/>
          <w:rPr>
            <w:rFonts w:ascii="Arial" w:hAnsi="Arial" w:cs="Arial"/>
            <w:sz w:val="20"/>
            <w:szCs w:val="20"/>
          </w:rPr>
        </w:pPr>
        <w:r w:rsidRPr="00947E92">
          <w:rPr>
            <w:rFonts w:ascii="Arial" w:hAnsi="Arial" w:cs="Arial"/>
            <w:sz w:val="20"/>
            <w:szCs w:val="20"/>
          </w:rPr>
          <w:fldChar w:fldCharType="begin"/>
        </w:r>
        <w:r w:rsidRPr="00947E92">
          <w:rPr>
            <w:rFonts w:ascii="Arial" w:hAnsi="Arial" w:cs="Arial"/>
            <w:sz w:val="20"/>
            <w:szCs w:val="20"/>
          </w:rPr>
          <w:instrText xml:space="preserve"> PAGE   \* MERGEFORMAT </w:instrText>
        </w:r>
        <w:r w:rsidRPr="00947E92">
          <w:rPr>
            <w:rFonts w:ascii="Arial" w:hAnsi="Arial" w:cs="Arial"/>
            <w:sz w:val="20"/>
            <w:szCs w:val="20"/>
          </w:rPr>
          <w:fldChar w:fldCharType="separate"/>
        </w:r>
        <w:r w:rsidR="00824857">
          <w:rPr>
            <w:rFonts w:ascii="Arial" w:hAnsi="Arial" w:cs="Arial"/>
            <w:noProof/>
            <w:sz w:val="20"/>
            <w:szCs w:val="20"/>
          </w:rPr>
          <w:t>10</w:t>
        </w:r>
        <w:r w:rsidRPr="00947E92">
          <w:rPr>
            <w:rFonts w:ascii="Arial" w:hAnsi="Arial" w:cs="Arial"/>
            <w:noProof/>
            <w:sz w:val="20"/>
            <w:szCs w:val="20"/>
          </w:rPr>
          <w:fldChar w:fldCharType="end"/>
        </w:r>
      </w:p>
    </w:sdtContent>
  </w:sdt>
  <w:p w:rsidR="00B70E6E" w:rsidRDefault="00B70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6E" w:rsidRDefault="00B70E6E" w:rsidP="00780A50">
      <w:pPr>
        <w:spacing w:after="0" w:line="240" w:lineRule="auto"/>
      </w:pPr>
      <w:r>
        <w:separator/>
      </w:r>
    </w:p>
  </w:footnote>
  <w:footnote w:type="continuationSeparator" w:id="0">
    <w:p w:rsidR="00B70E6E" w:rsidRDefault="00B70E6E" w:rsidP="00780A50">
      <w:pPr>
        <w:spacing w:after="0" w:line="240" w:lineRule="auto"/>
      </w:pPr>
      <w:r>
        <w:continuationSeparator/>
      </w:r>
    </w:p>
  </w:footnote>
  <w:footnote w:id="1">
    <w:p w:rsidR="00B70E6E" w:rsidRPr="00B70E6E" w:rsidRDefault="00B70E6E" w:rsidP="00A72BBC">
      <w:pPr>
        <w:pStyle w:val="FootnoteText"/>
        <w:rPr>
          <w:rFonts w:ascii="Arial" w:hAnsi="Arial" w:cs="Arial"/>
          <w:sz w:val="18"/>
          <w:szCs w:val="18"/>
          <w:lang w:val="es-BO"/>
        </w:rPr>
      </w:pPr>
      <w:r w:rsidRPr="00B70E6E">
        <w:rPr>
          <w:rStyle w:val="FootnoteReference"/>
          <w:rFonts w:ascii="Arial" w:hAnsi="Arial" w:cs="Arial"/>
          <w:sz w:val="18"/>
          <w:szCs w:val="18"/>
        </w:rPr>
        <w:footnoteRef/>
      </w:r>
      <w:r w:rsidRPr="00B70E6E">
        <w:rPr>
          <w:rFonts w:ascii="Arial" w:hAnsi="Arial" w:cs="Arial"/>
          <w:sz w:val="18"/>
          <w:szCs w:val="18"/>
          <w:lang w:val="es-BO"/>
        </w:rPr>
        <w:t xml:space="preserve"> Entre 2010 y 2014, el servicio de la deuda del municipio presentó una tasa de crecimiento anual de -15%.</w:t>
      </w:r>
    </w:p>
  </w:footnote>
  <w:footnote w:id="2">
    <w:p w:rsidR="00B70E6E" w:rsidRPr="00B70E6E" w:rsidRDefault="00B70E6E" w:rsidP="00A72BBC">
      <w:pPr>
        <w:kinsoku w:val="0"/>
        <w:overflowPunct w:val="0"/>
        <w:spacing w:after="0" w:line="240" w:lineRule="auto"/>
        <w:contextualSpacing/>
        <w:jc w:val="both"/>
        <w:rPr>
          <w:rFonts w:ascii="Arial" w:hAnsi="Arial" w:cs="Arial"/>
          <w:sz w:val="18"/>
          <w:szCs w:val="18"/>
          <w:lang w:val="es-BO"/>
        </w:rPr>
      </w:pPr>
      <w:r w:rsidRPr="00B70E6E">
        <w:rPr>
          <w:rStyle w:val="FootnoteReference"/>
          <w:rFonts w:ascii="Arial" w:hAnsi="Arial" w:cs="Arial"/>
          <w:sz w:val="18"/>
          <w:szCs w:val="18"/>
        </w:rPr>
        <w:footnoteRef/>
      </w:r>
      <w:r w:rsidRPr="00B70E6E">
        <w:rPr>
          <w:rFonts w:ascii="Arial" w:hAnsi="Arial" w:cs="Arial"/>
          <w:sz w:val="18"/>
          <w:szCs w:val="18"/>
          <w:lang w:val="es-BO"/>
        </w:rPr>
        <w:t xml:space="preserve"> </w:t>
      </w:r>
      <w:r w:rsidRPr="00B70E6E">
        <w:rPr>
          <w:rFonts w:ascii="Arial" w:hAnsi="Arial" w:cs="Arial"/>
          <w:sz w:val="18"/>
          <w:szCs w:val="18"/>
          <w:lang w:val="es-BO" w:eastAsia="es-CO"/>
        </w:rPr>
        <w:t xml:space="preserve">El </w:t>
      </w:r>
      <w:r w:rsidRPr="00B70E6E">
        <w:rPr>
          <w:rFonts w:ascii="Arial" w:hAnsi="Arial" w:cs="Arial"/>
          <w:sz w:val="18"/>
          <w:szCs w:val="18"/>
          <w:lang w:val="es-BO"/>
        </w:rPr>
        <w:t xml:space="preserve">Índice de Desempeño Fiscal permite analizar la gestión fiscal de los gobiernos departamentales y municipales mediante el cálculo de un índice integral que se construye a partir de los siguientes indicadores: 1) capacidad de autofinanciamiento de sus gastos de funcionamiento, 2) respaldo del servicio de la deuda, 3) dependencia de las transferencias y regalías, 4) generación de recursos propios, 5) magnitud de la inversión y 6) capacidad de ahorro. El índice se calcula en una escala de 0 a 100, donde calificaciones cercanas a 100 corresponden a los municipios de mejor desempeño. </w:t>
      </w:r>
    </w:p>
  </w:footnote>
  <w:footnote w:id="3">
    <w:p w:rsidR="00B70E6E" w:rsidRPr="00B70E6E" w:rsidRDefault="00B70E6E" w:rsidP="00A72BBC">
      <w:pPr>
        <w:pStyle w:val="FootnoteText"/>
        <w:rPr>
          <w:rFonts w:ascii="Arial" w:hAnsi="Arial" w:cs="Arial"/>
          <w:sz w:val="18"/>
          <w:szCs w:val="18"/>
          <w:lang w:val="es-BO"/>
        </w:rPr>
      </w:pPr>
      <w:r w:rsidRPr="00B70E6E">
        <w:rPr>
          <w:rStyle w:val="FootnoteReference"/>
          <w:rFonts w:ascii="Arial" w:hAnsi="Arial" w:cs="Arial"/>
          <w:sz w:val="18"/>
          <w:szCs w:val="18"/>
        </w:rPr>
        <w:footnoteRef/>
      </w:r>
      <w:r w:rsidRPr="00B70E6E">
        <w:rPr>
          <w:rFonts w:ascii="Arial" w:hAnsi="Arial" w:cs="Arial"/>
          <w:sz w:val="18"/>
          <w:szCs w:val="18"/>
          <w:lang w:val="es-BO"/>
        </w:rPr>
        <w:t xml:space="preserve"> Adicionalmente, a la fecha la cartera vencida por concepto de IP supera los COP 100 mil millones.</w:t>
      </w:r>
    </w:p>
  </w:footnote>
  <w:footnote w:id="4">
    <w:p w:rsidR="00B70E6E" w:rsidRPr="00B70E6E" w:rsidRDefault="00B70E6E" w:rsidP="00A72BBC">
      <w:pPr>
        <w:pStyle w:val="FootnoteText"/>
        <w:jc w:val="both"/>
        <w:rPr>
          <w:rFonts w:ascii="Arial" w:hAnsi="Arial" w:cs="Arial"/>
          <w:sz w:val="18"/>
          <w:szCs w:val="18"/>
          <w:lang w:val="es-BO"/>
        </w:rPr>
      </w:pPr>
      <w:r w:rsidRPr="00B70E6E">
        <w:rPr>
          <w:rStyle w:val="FootnoteReference"/>
          <w:rFonts w:ascii="Arial" w:hAnsi="Arial" w:cs="Arial"/>
          <w:sz w:val="18"/>
          <w:szCs w:val="18"/>
        </w:rPr>
        <w:footnoteRef/>
      </w:r>
      <w:r w:rsidRPr="00B70E6E">
        <w:rPr>
          <w:rFonts w:ascii="Arial" w:hAnsi="Arial" w:cs="Arial"/>
          <w:sz w:val="18"/>
          <w:szCs w:val="18"/>
          <w:lang w:val="es-BO"/>
        </w:rPr>
        <w:t xml:space="preserve"> A lo largo del mismo período, el gasto de funcionamiento de dichos municipios representó en promedio 11% y 14% respectivamente. </w:t>
      </w:r>
    </w:p>
  </w:footnote>
  <w:footnote w:id="5">
    <w:p w:rsidR="00B70E6E" w:rsidRPr="00B70E6E" w:rsidRDefault="00B70E6E" w:rsidP="00A72BBC">
      <w:pPr>
        <w:pStyle w:val="FootnoteText"/>
        <w:jc w:val="both"/>
        <w:rPr>
          <w:rFonts w:ascii="Arial" w:hAnsi="Arial" w:cs="Arial"/>
          <w:sz w:val="18"/>
          <w:szCs w:val="18"/>
          <w:lang w:val="es-BO"/>
        </w:rPr>
      </w:pPr>
      <w:r w:rsidRPr="00B70E6E">
        <w:rPr>
          <w:rStyle w:val="FootnoteReference"/>
          <w:rFonts w:ascii="Arial" w:hAnsi="Arial" w:cs="Arial"/>
          <w:sz w:val="18"/>
          <w:szCs w:val="18"/>
        </w:rPr>
        <w:footnoteRef/>
      </w:r>
      <w:r w:rsidRPr="00B70E6E">
        <w:rPr>
          <w:rFonts w:ascii="Arial" w:hAnsi="Arial" w:cs="Arial"/>
          <w:sz w:val="18"/>
          <w:szCs w:val="18"/>
          <w:lang w:val="es-BO"/>
        </w:rPr>
        <w:t xml:space="preserve"> En 2014, el gasto de funcionamiento representó 99% del gasto corriente, mientras que los intereses por deuda pública representaron apenas el 1% restante.</w:t>
      </w:r>
    </w:p>
  </w:footnote>
  <w:footnote w:id="6">
    <w:p w:rsidR="00B70E6E" w:rsidRPr="00B70E6E" w:rsidRDefault="00B70E6E" w:rsidP="00A72BBC">
      <w:pPr>
        <w:pStyle w:val="FootnoteText"/>
        <w:jc w:val="both"/>
        <w:rPr>
          <w:rFonts w:ascii="Arial" w:hAnsi="Arial" w:cs="Arial"/>
          <w:sz w:val="18"/>
          <w:szCs w:val="18"/>
          <w:lang w:val="es-BO"/>
        </w:rPr>
      </w:pPr>
      <w:r w:rsidRPr="00B70E6E">
        <w:rPr>
          <w:rStyle w:val="FootnoteReference"/>
          <w:rFonts w:ascii="Arial" w:hAnsi="Arial" w:cs="Arial"/>
          <w:sz w:val="18"/>
          <w:szCs w:val="18"/>
        </w:rPr>
        <w:footnoteRef/>
      </w:r>
      <w:r w:rsidRPr="00B70E6E">
        <w:rPr>
          <w:rFonts w:ascii="Arial" w:hAnsi="Arial" w:cs="Arial"/>
          <w:sz w:val="18"/>
          <w:szCs w:val="18"/>
          <w:lang w:val="es-BO"/>
        </w:rPr>
        <w:t xml:space="preserve"> La administración municipal tiene  a su cargo la ejecución de obras de infraestructura vial, equipamiento urbano, programas de vivienda, saneamiento ambiental y la prestación de servicios básicos a la ciudadanía como educación, salud, agua potable y saneamiento básico, recreación y otros.</w:t>
      </w:r>
    </w:p>
  </w:footnote>
  <w:footnote w:id="7">
    <w:p w:rsidR="00B70E6E" w:rsidRPr="00B70E6E" w:rsidRDefault="00B70E6E" w:rsidP="00A72BBC">
      <w:pPr>
        <w:spacing w:after="0" w:line="240" w:lineRule="auto"/>
        <w:jc w:val="both"/>
        <w:rPr>
          <w:rFonts w:ascii="Arial" w:hAnsi="Arial" w:cs="Arial"/>
          <w:sz w:val="18"/>
          <w:szCs w:val="18"/>
          <w:lang w:val="es-ES"/>
        </w:rPr>
      </w:pPr>
      <w:r w:rsidRPr="00B70E6E">
        <w:rPr>
          <w:rStyle w:val="FootnoteReference"/>
          <w:rFonts w:ascii="Arial" w:hAnsi="Arial" w:cs="Arial"/>
          <w:sz w:val="18"/>
          <w:szCs w:val="18"/>
        </w:rPr>
        <w:footnoteRef/>
      </w:r>
      <w:r w:rsidRPr="00B70E6E">
        <w:rPr>
          <w:rFonts w:ascii="Arial" w:hAnsi="Arial" w:cs="Arial"/>
          <w:sz w:val="18"/>
          <w:szCs w:val="18"/>
          <w:lang w:val="es-BO"/>
        </w:rPr>
        <w:t xml:space="preserve"> La inversión reportada incluye los conceptos de Formación Bruta de Capital Fijo y Otras Inversiones, que incluyen principalmente: i)  gasto destinado al pago de nómina docente, a alimentación  y transporte escolar y otros gastos destinados al funcionamiento de establecimientos educativos públicos; ii)  financiación del régimen subsidiado en salud, de programas de vacunación y salud pública, funcionamiento de hospitales públicos, equipos e insumos para salud y prestación del servicio para población pobre no cubierta con régimen subsidiado, entre otros; iii) subsidios para agua potable, estudios de pre-inversión, fortalecimiento institucional del sector agua y compra de micro medidores; iv) actividades relacionadas con los servicios de deporte, recreación y cultura.; v) recursos para la conservación y restauración de recursos naturales, educación ambiental y protección de población en alto riesgo; vii) recursos orientados a promover el empleo y el desarrollo local; y (viii) en general recursos orientados a financiar actividades relacionadas con los sectores agropecuario, prevención de desastres y actividades de justicia.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6E" w:rsidRPr="006B7C7A" w:rsidRDefault="00B70E6E" w:rsidP="007755B4">
    <w:pPr>
      <w:pStyle w:val="Heading1"/>
      <w:jc w:val="center"/>
      <w:rPr>
        <w:rFonts w:ascii="Arial" w:hAnsi="Arial" w:cs="Arial"/>
        <w:b/>
        <w:bCs/>
        <w:i/>
        <w:sz w:val="24"/>
        <w:szCs w:val="24"/>
      </w:rPr>
    </w:pPr>
  </w:p>
  <w:p w:rsidR="00B70E6E" w:rsidRDefault="00B70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346"/>
    <w:multiLevelType w:val="hybridMultilevel"/>
    <w:tmpl w:val="96E457F8"/>
    <w:lvl w:ilvl="0" w:tplc="59B4E9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D0EB6"/>
    <w:multiLevelType w:val="hybridMultilevel"/>
    <w:tmpl w:val="AD3C4ED0"/>
    <w:lvl w:ilvl="0" w:tplc="290AE0C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84929"/>
    <w:multiLevelType w:val="hybridMultilevel"/>
    <w:tmpl w:val="C57004EA"/>
    <w:lvl w:ilvl="0" w:tplc="0376252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996D41"/>
    <w:multiLevelType w:val="multilevel"/>
    <w:tmpl w:val="5880C3A4"/>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b/>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2A3E5511"/>
    <w:multiLevelType w:val="multilevel"/>
    <w:tmpl w:val="923CA11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53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nsid w:val="2F836E58"/>
    <w:multiLevelType w:val="multilevel"/>
    <w:tmpl w:val="0A5476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D2D1A1B"/>
    <w:multiLevelType w:val="multilevel"/>
    <w:tmpl w:val="D1B6ADE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031F68"/>
    <w:multiLevelType w:val="multilevel"/>
    <w:tmpl w:val="1A5230D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4BDE417A"/>
    <w:multiLevelType w:val="hybridMultilevel"/>
    <w:tmpl w:val="6038AE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B675DD"/>
    <w:multiLevelType w:val="hybridMultilevel"/>
    <w:tmpl w:val="E4E830AC"/>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21F2BED"/>
    <w:multiLevelType w:val="multilevel"/>
    <w:tmpl w:val="1EF4C8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5C242348"/>
    <w:multiLevelType w:val="hybridMultilevel"/>
    <w:tmpl w:val="51FE0694"/>
    <w:lvl w:ilvl="0" w:tplc="183E5FA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697DE9"/>
    <w:multiLevelType w:val="hybridMultilevel"/>
    <w:tmpl w:val="44083B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875D88"/>
    <w:multiLevelType w:val="multilevel"/>
    <w:tmpl w:val="416A1286"/>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73DA472B"/>
    <w:multiLevelType w:val="multilevel"/>
    <w:tmpl w:val="5880C3A4"/>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b/>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6"/>
  </w:num>
  <w:num w:numId="2">
    <w:abstractNumId w:val="1"/>
  </w:num>
  <w:num w:numId="3">
    <w:abstractNumId w:val="14"/>
  </w:num>
  <w:num w:numId="4">
    <w:abstractNumId w:val="5"/>
  </w:num>
  <w:num w:numId="5">
    <w:abstractNumId w:val="10"/>
  </w:num>
  <w:num w:numId="6">
    <w:abstractNumId w:val="4"/>
  </w:num>
  <w:num w:numId="7">
    <w:abstractNumId w:val="0"/>
  </w:num>
  <w:num w:numId="8">
    <w:abstractNumId w:val="11"/>
  </w:num>
  <w:num w:numId="9">
    <w:abstractNumId w:val="2"/>
  </w:num>
  <w:num w:numId="10">
    <w:abstractNumId w:val="9"/>
  </w:num>
  <w:num w:numId="11">
    <w:abstractNumId w:val="13"/>
  </w:num>
  <w:num w:numId="12">
    <w:abstractNumId w:val="12"/>
  </w:num>
  <w:num w:numId="13">
    <w:abstractNumId w:val="7"/>
  </w:num>
  <w:num w:numId="14">
    <w:abstractNumId w:val="3"/>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BE"/>
    <w:rsid w:val="000004AD"/>
    <w:rsid w:val="00015752"/>
    <w:rsid w:val="000241B0"/>
    <w:rsid w:val="00037367"/>
    <w:rsid w:val="00040791"/>
    <w:rsid w:val="00047973"/>
    <w:rsid w:val="0006706C"/>
    <w:rsid w:val="000808FC"/>
    <w:rsid w:val="0009187D"/>
    <w:rsid w:val="000947E6"/>
    <w:rsid w:val="000A37E8"/>
    <w:rsid w:val="000B0DF4"/>
    <w:rsid w:val="000C00AB"/>
    <w:rsid w:val="000D6D0D"/>
    <w:rsid w:val="000E0E81"/>
    <w:rsid w:val="000F0FC3"/>
    <w:rsid w:val="00103478"/>
    <w:rsid w:val="00116542"/>
    <w:rsid w:val="00130A3E"/>
    <w:rsid w:val="0014117C"/>
    <w:rsid w:val="00155DA3"/>
    <w:rsid w:val="001675D8"/>
    <w:rsid w:val="00187FEA"/>
    <w:rsid w:val="001A572D"/>
    <w:rsid w:val="001B2349"/>
    <w:rsid w:val="001C4E09"/>
    <w:rsid w:val="001C66AE"/>
    <w:rsid w:val="001D6C3E"/>
    <w:rsid w:val="001D71BC"/>
    <w:rsid w:val="001E4FA7"/>
    <w:rsid w:val="001E6F93"/>
    <w:rsid w:val="001F3849"/>
    <w:rsid w:val="00201E4F"/>
    <w:rsid w:val="00205AE9"/>
    <w:rsid w:val="00206D48"/>
    <w:rsid w:val="0022325E"/>
    <w:rsid w:val="002248EC"/>
    <w:rsid w:val="00227BEA"/>
    <w:rsid w:val="0024482F"/>
    <w:rsid w:val="0024586A"/>
    <w:rsid w:val="0025658D"/>
    <w:rsid w:val="002633FB"/>
    <w:rsid w:val="002823ED"/>
    <w:rsid w:val="00292DA2"/>
    <w:rsid w:val="00293334"/>
    <w:rsid w:val="002A1DFE"/>
    <w:rsid w:val="002A2E98"/>
    <w:rsid w:val="002B2ED2"/>
    <w:rsid w:val="002C637D"/>
    <w:rsid w:val="002D3C98"/>
    <w:rsid w:val="002D6C86"/>
    <w:rsid w:val="003238C9"/>
    <w:rsid w:val="00323AB1"/>
    <w:rsid w:val="00337AB1"/>
    <w:rsid w:val="003466D5"/>
    <w:rsid w:val="00376450"/>
    <w:rsid w:val="00377B86"/>
    <w:rsid w:val="00381FEF"/>
    <w:rsid w:val="00382F66"/>
    <w:rsid w:val="003A4329"/>
    <w:rsid w:val="003A471B"/>
    <w:rsid w:val="003A7A82"/>
    <w:rsid w:val="003E3A22"/>
    <w:rsid w:val="003F571A"/>
    <w:rsid w:val="00405EF9"/>
    <w:rsid w:val="00420053"/>
    <w:rsid w:val="00437995"/>
    <w:rsid w:val="00437B9C"/>
    <w:rsid w:val="00452D1B"/>
    <w:rsid w:val="004674EA"/>
    <w:rsid w:val="00474728"/>
    <w:rsid w:val="0047743B"/>
    <w:rsid w:val="004800FA"/>
    <w:rsid w:val="00487085"/>
    <w:rsid w:val="004A1EE5"/>
    <w:rsid w:val="004A5306"/>
    <w:rsid w:val="004C0F98"/>
    <w:rsid w:val="004D2304"/>
    <w:rsid w:val="004F1BA6"/>
    <w:rsid w:val="00523505"/>
    <w:rsid w:val="005241A0"/>
    <w:rsid w:val="00542631"/>
    <w:rsid w:val="00551831"/>
    <w:rsid w:val="00551E69"/>
    <w:rsid w:val="0057487E"/>
    <w:rsid w:val="00590EBB"/>
    <w:rsid w:val="0059111E"/>
    <w:rsid w:val="00591CD6"/>
    <w:rsid w:val="005B4479"/>
    <w:rsid w:val="005C1055"/>
    <w:rsid w:val="005C1CA5"/>
    <w:rsid w:val="005C5ED0"/>
    <w:rsid w:val="005C69A4"/>
    <w:rsid w:val="005D3D78"/>
    <w:rsid w:val="005E4CFD"/>
    <w:rsid w:val="005F4D99"/>
    <w:rsid w:val="00617BEE"/>
    <w:rsid w:val="00621BE9"/>
    <w:rsid w:val="0062462C"/>
    <w:rsid w:val="006306B3"/>
    <w:rsid w:val="00636D15"/>
    <w:rsid w:val="00640187"/>
    <w:rsid w:val="00642DB7"/>
    <w:rsid w:val="00646254"/>
    <w:rsid w:val="00656ABC"/>
    <w:rsid w:val="00675992"/>
    <w:rsid w:val="0068173C"/>
    <w:rsid w:val="0069072D"/>
    <w:rsid w:val="00692620"/>
    <w:rsid w:val="006A1379"/>
    <w:rsid w:val="006A3B68"/>
    <w:rsid w:val="006B013C"/>
    <w:rsid w:val="006B7C7A"/>
    <w:rsid w:val="006D15E4"/>
    <w:rsid w:val="006D658F"/>
    <w:rsid w:val="006D76D9"/>
    <w:rsid w:val="006E16EE"/>
    <w:rsid w:val="006F7802"/>
    <w:rsid w:val="00706B60"/>
    <w:rsid w:val="00726859"/>
    <w:rsid w:val="00727FDB"/>
    <w:rsid w:val="007335B8"/>
    <w:rsid w:val="00752A9D"/>
    <w:rsid w:val="0077055F"/>
    <w:rsid w:val="007755B4"/>
    <w:rsid w:val="00780A50"/>
    <w:rsid w:val="0079404E"/>
    <w:rsid w:val="007952DD"/>
    <w:rsid w:val="007973E7"/>
    <w:rsid w:val="007A3E7D"/>
    <w:rsid w:val="007C6766"/>
    <w:rsid w:val="007E5E48"/>
    <w:rsid w:val="007F46F6"/>
    <w:rsid w:val="007F7C58"/>
    <w:rsid w:val="00824857"/>
    <w:rsid w:val="008314B5"/>
    <w:rsid w:val="00833BA0"/>
    <w:rsid w:val="00837047"/>
    <w:rsid w:val="0085339C"/>
    <w:rsid w:val="00856A6D"/>
    <w:rsid w:val="00883AE3"/>
    <w:rsid w:val="00896BAA"/>
    <w:rsid w:val="0089701B"/>
    <w:rsid w:val="008A0D13"/>
    <w:rsid w:val="008A4E91"/>
    <w:rsid w:val="008B0728"/>
    <w:rsid w:val="008C2E93"/>
    <w:rsid w:val="00905919"/>
    <w:rsid w:val="00906F93"/>
    <w:rsid w:val="009159FC"/>
    <w:rsid w:val="00927566"/>
    <w:rsid w:val="00937C2D"/>
    <w:rsid w:val="00947B0A"/>
    <w:rsid w:val="00947E92"/>
    <w:rsid w:val="00953998"/>
    <w:rsid w:val="00967602"/>
    <w:rsid w:val="00990A0A"/>
    <w:rsid w:val="00993609"/>
    <w:rsid w:val="00996B01"/>
    <w:rsid w:val="00997BC4"/>
    <w:rsid w:val="009A160B"/>
    <w:rsid w:val="009A69BE"/>
    <w:rsid w:val="009D40A2"/>
    <w:rsid w:val="009D64B7"/>
    <w:rsid w:val="009E4011"/>
    <w:rsid w:val="009F50FC"/>
    <w:rsid w:val="009F69FF"/>
    <w:rsid w:val="00A044C5"/>
    <w:rsid w:val="00A1269A"/>
    <w:rsid w:val="00A1610A"/>
    <w:rsid w:val="00A1693D"/>
    <w:rsid w:val="00A552FC"/>
    <w:rsid w:val="00A72BBC"/>
    <w:rsid w:val="00A87CD3"/>
    <w:rsid w:val="00A92012"/>
    <w:rsid w:val="00A92C8E"/>
    <w:rsid w:val="00A958B2"/>
    <w:rsid w:val="00AA1FA0"/>
    <w:rsid w:val="00AA6F25"/>
    <w:rsid w:val="00AB1B36"/>
    <w:rsid w:val="00AB3BBD"/>
    <w:rsid w:val="00AB4410"/>
    <w:rsid w:val="00AC2EEC"/>
    <w:rsid w:val="00AD070C"/>
    <w:rsid w:val="00AD1049"/>
    <w:rsid w:val="00AD209E"/>
    <w:rsid w:val="00AD2301"/>
    <w:rsid w:val="00B05870"/>
    <w:rsid w:val="00B06CB9"/>
    <w:rsid w:val="00B1410C"/>
    <w:rsid w:val="00B45CAF"/>
    <w:rsid w:val="00B471BE"/>
    <w:rsid w:val="00B47F5E"/>
    <w:rsid w:val="00B5023F"/>
    <w:rsid w:val="00B5790B"/>
    <w:rsid w:val="00B618AB"/>
    <w:rsid w:val="00B70E6E"/>
    <w:rsid w:val="00B75E18"/>
    <w:rsid w:val="00B91F7C"/>
    <w:rsid w:val="00BA3E21"/>
    <w:rsid w:val="00BC1F86"/>
    <w:rsid w:val="00BC449A"/>
    <w:rsid w:val="00BC7F2B"/>
    <w:rsid w:val="00BE0EE7"/>
    <w:rsid w:val="00C0168A"/>
    <w:rsid w:val="00C10FCE"/>
    <w:rsid w:val="00C311DC"/>
    <w:rsid w:val="00C356C7"/>
    <w:rsid w:val="00C66CED"/>
    <w:rsid w:val="00C67615"/>
    <w:rsid w:val="00C72436"/>
    <w:rsid w:val="00C77057"/>
    <w:rsid w:val="00C83787"/>
    <w:rsid w:val="00C8661B"/>
    <w:rsid w:val="00C86D50"/>
    <w:rsid w:val="00CA2944"/>
    <w:rsid w:val="00CA7D5F"/>
    <w:rsid w:val="00CC5215"/>
    <w:rsid w:val="00CD4F16"/>
    <w:rsid w:val="00CE240A"/>
    <w:rsid w:val="00D00EBE"/>
    <w:rsid w:val="00D17DB6"/>
    <w:rsid w:val="00D266F5"/>
    <w:rsid w:val="00D34D52"/>
    <w:rsid w:val="00D706AE"/>
    <w:rsid w:val="00D70DEB"/>
    <w:rsid w:val="00D73540"/>
    <w:rsid w:val="00D749BE"/>
    <w:rsid w:val="00D952F8"/>
    <w:rsid w:val="00DA095F"/>
    <w:rsid w:val="00DC14A4"/>
    <w:rsid w:val="00DD1351"/>
    <w:rsid w:val="00DD6630"/>
    <w:rsid w:val="00DD7C3B"/>
    <w:rsid w:val="00DE3592"/>
    <w:rsid w:val="00DF2942"/>
    <w:rsid w:val="00DF3F82"/>
    <w:rsid w:val="00DF7E2E"/>
    <w:rsid w:val="00E13F07"/>
    <w:rsid w:val="00E170B3"/>
    <w:rsid w:val="00E33ECD"/>
    <w:rsid w:val="00E67FFD"/>
    <w:rsid w:val="00E7385F"/>
    <w:rsid w:val="00E95D9F"/>
    <w:rsid w:val="00EA572F"/>
    <w:rsid w:val="00EB1B32"/>
    <w:rsid w:val="00EB3001"/>
    <w:rsid w:val="00EB73D1"/>
    <w:rsid w:val="00EC197A"/>
    <w:rsid w:val="00EC6679"/>
    <w:rsid w:val="00EF6015"/>
    <w:rsid w:val="00F0070C"/>
    <w:rsid w:val="00F21AFF"/>
    <w:rsid w:val="00F24C9A"/>
    <w:rsid w:val="00F35579"/>
    <w:rsid w:val="00F44035"/>
    <w:rsid w:val="00F44288"/>
    <w:rsid w:val="00F60278"/>
    <w:rsid w:val="00F606DA"/>
    <w:rsid w:val="00F62037"/>
    <w:rsid w:val="00F672F7"/>
    <w:rsid w:val="00F70A3B"/>
    <w:rsid w:val="00F770C8"/>
    <w:rsid w:val="00FA1C3F"/>
    <w:rsid w:val="00FC036B"/>
    <w:rsid w:val="00FC0D02"/>
    <w:rsid w:val="00FD5D60"/>
    <w:rsid w:val="00FE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001"/>
    <w:pPr>
      <w:spacing w:before="480" w:after="0"/>
      <w:contextualSpacing/>
      <w:outlineLvl w:val="0"/>
    </w:pPr>
    <w:rPr>
      <w:rFonts w:ascii="Cambria" w:eastAsia="Times New Roman" w:hAnsi="Cambria" w:cs="Times New Roman"/>
      <w:smallCaps/>
      <w:spacing w:val="5"/>
      <w:sz w:val="36"/>
      <w:szCs w:val="36"/>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luvial1,titulo 3,Párrafo de lista1"/>
    <w:basedOn w:val="Normal"/>
    <w:link w:val="ListParagraphChar"/>
    <w:uiPriority w:val="34"/>
    <w:qFormat/>
    <w:rsid w:val="00FC0D02"/>
    <w:pPr>
      <w:ind w:left="720"/>
      <w:contextualSpacing/>
    </w:pPr>
  </w:style>
  <w:style w:type="paragraph" w:styleId="NormalWeb">
    <w:name w:val="Normal (Web)"/>
    <w:basedOn w:val="Normal"/>
    <w:uiPriority w:val="99"/>
    <w:semiHidden/>
    <w:unhideWhenUsed/>
    <w:rsid w:val="00FC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Grid1-Accent2Char">
    <w:name w:val="Medium Grid 1 - Accent 2 Char"/>
    <w:link w:val="MediumGrid1-Accent2"/>
    <w:uiPriority w:val="34"/>
    <w:rsid w:val="00DE3592"/>
    <w:rPr>
      <w:rFonts w:ascii="Times New Roman" w:hAnsi="Times New Roman"/>
      <w:spacing w:val="-3"/>
      <w:sz w:val="24"/>
      <w:lang w:val="es-ES_tradnl"/>
    </w:rPr>
  </w:style>
  <w:style w:type="table" w:styleId="MediumGrid1-Accent2">
    <w:name w:val="Medium Grid 1 Accent 2"/>
    <w:basedOn w:val="TableNormal"/>
    <w:link w:val="MediumGrid1-Accent2Char"/>
    <w:uiPriority w:val="34"/>
    <w:rsid w:val="00DE3592"/>
    <w:pPr>
      <w:spacing w:after="0" w:line="240" w:lineRule="auto"/>
    </w:pPr>
    <w:rPr>
      <w:rFonts w:ascii="Times New Roman" w:hAnsi="Times New Roman"/>
      <w:spacing w:val="-3"/>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1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5DA3"/>
    <w:rPr>
      <w:strike w:val="0"/>
      <w:dstrike w:val="0"/>
      <w:color w:val="799A51"/>
      <w:u w:val="none"/>
      <w:effect w:val="none"/>
    </w:rPr>
  </w:style>
  <w:style w:type="paragraph" w:styleId="FootnoteText">
    <w:name w:val="footnote text"/>
    <w:aliases w:val="fn,texto de nota al pie,Nota a pie/Bibliog,footnote,foottextfra,F,Texto nota pie Car Car Car Car,Texto nota pie1,single space,Char,FOOTNOTES,Footnote text Char Char,Footnote text,Footnote Text Char Char Char Char Char Char,Footnote,text,f"/>
    <w:basedOn w:val="Normal"/>
    <w:link w:val="FootnoteTextChar"/>
    <w:uiPriority w:val="99"/>
    <w:unhideWhenUsed/>
    <w:qFormat/>
    <w:rsid w:val="00780A50"/>
    <w:pPr>
      <w:spacing w:after="0" w:line="240" w:lineRule="auto"/>
    </w:pPr>
    <w:rPr>
      <w:sz w:val="20"/>
      <w:szCs w:val="20"/>
    </w:rPr>
  </w:style>
  <w:style w:type="character" w:customStyle="1" w:styleId="FootnoteTextChar">
    <w:name w:val="Footnote Text Char"/>
    <w:aliases w:val="fn Char,texto de nota al pie Char,Nota a pie/Bibliog Char,footnote Char,foottextfra Char,F Char,Texto nota pie Car Car Car Car Char,Texto nota pie1 Char,single space Char,Char Char,FOOTNOTES Char,Footnote text Char Char Char,text Char"/>
    <w:basedOn w:val="DefaultParagraphFont"/>
    <w:link w:val="FootnoteText"/>
    <w:uiPriority w:val="99"/>
    <w:rsid w:val="00780A50"/>
    <w:rPr>
      <w:sz w:val="20"/>
      <w:szCs w:val="20"/>
    </w:rPr>
  </w:style>
  <w:style w:type="character" w:styleId="FootnoteReference">
    <w:name w:val="footnote reference"/>
    <w:aliases w:val="16 Point,Superscript 6 Point,referencia nota al pie,Nota de pie,Texto nota al pie,BVI fnr,Texto de nota al pie,Ref. de nota al pie2,Fußnotenzeichen DISS,ftref,Ref,de nota al pie,Footnote symbol,FC"/>
    <w:basedOn w:val="DefaultParagraphFont"/>
    <w:uiPriority w:val="99"/>
    <w:unhideWhenUsed/>
    <w:rsid w:val="00780A50"/>
    <w:rPr>
      <w:vertAlign w:val="superscript"/>
    </w:rPr>
  </w:style>
  <w:style w:type="character" w:customStyle="1" w:styleId="Heading1Char">
    <w:name w:val="Heading 1 Char"/>
    <w:basedOn w:val="DefaultParagraphFont"/>
    <w:link w:val="Heading1"/>
    <w:uiPriority w:val="9"/>
    <w:rsid w:val="00EB3001"/>
    <w:rPr>
      <w:rFonts w:ascii="Cambria" w:eastAsia="Times New Roman" w:hAnsi="Cambria" w:cs="Times New Roman"/>
      <w:smallCaps/>
      <w:spacing w:val="5"/>
      <w:sz w:val="36"/>
      <w:szCs w:val="36"/>
      <w:lang w:val="es-ES" w:bidi="en-US"/>
    </w:rPr>
  </w:style>
  <w:style w:type="paragraph" w:customStyle="1" w:styleId="TableParagraph">
    <w:name w:val="Table Paragraph"/>
    <w:basedOn w:val="Normal"/>
    <w:uiPriority w:val="1"/>
    <w:qFormat/>
    <w:rsid w:val="00833BA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C1F8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2D6C86"/>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F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1A"/>
  </w:style>
  <w:style w:type="paragraph" w:styleId="Footer">
    <w:name w:val="footer"/>
    <w:basedOn w:val="Normal"/>
    <w:link w:val="FooterChar"/>
    <w:uiPriority w:val="99"/>
    <w:unhideWhenUsed/>
    <w:rsid w:val="003F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1A"/>
  </w:style>
  <w:style w:type="paragraph" w:styleId="BalloonText">
    <w:name w:val="Balloon Text"/>
    <w:basedOn w:val="Normal"/>
    <w:link w:val="BalloonTextChar"/>
    <w:uiPriority w:val="99"/>
    <w:semiHidden/>
    <w:unhideWhenUsed/>
    <w:rsid w:val="0047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28"/>
    <w:rPr>
      <w:rFonts w:ascii="Tahoma" w:hAnsi="Tahoma" w:cs="Tahoma"/>
      <w:sz w:val="16"/>
      <w:szCs w:val="16"/>
    </w:rPr>
  </w:style>
  <w:style w:type="table" w:customStyle="1" w:styleId="TableGrid2">
    <w:name w:val="Table Grid2"/>
    <w:basedOn w:val="TableNormal"/>
    <w:next w:val="TableGrid"/>
    <w:uiPriority w:val="59"/>
    <w:rsid w:val="006B7C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7C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201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character" w:customStyle="1" w:styleId="ListParagraphChar">
    <w:name w:val="List Paragraph Char"/>
    <w:aliases w:val="Fluvial1 Char,titulo 3 Char,Párrafo de lista1 Char"/>
    <w:basedOn w:val="DefaultParagraphFont"/>
    <w:link w:val="ListParagraph"/>
    <w:uiPriority w:val="34"/>
    <w:rsid w:val="00A92012"/>
  </w:style>
  <w:style w:type="paragraph" w:customStyle="1" w:styleId="Tablas">
    <w:name w:val="Tablas"/>
    <w:basedOn w:val="Normal"/>
    <w:link w:val="TablasCar"/>
    <w:qFormat/>
    <w:rsid w:val="00A92012"/>
    <w:pPr>
      <w:tabs>
        <w:tab w:val="left" w:pos="426"/>
        <w:tab w:val="left" w:pos="1418"/>
      </w:tabs>
      <w:spacing w:after="0" w:line="240" w:lineRule="auto"/>
      <w:jc w:val="center"/>
    </w:pPr>
    <w:rPr>
      <w:rFonts w:eastAsia="Calibri" w:cs="Times New Roman"/>
      <w:bCs/>
      <w:sz w:val="20"/>
      <w:szCs w:val="18"/>
      <w:lang w:val="es-CO" w:eastAsia="es-CO" w:bidi="en-US"/>
    </w:rPr>
  </w:style>
  <w:style w:type="character" w:customStyle="1" w:styleId="TablasCar">
    <w:name w:val="Tablas Car"/>
    <w:basedOn w:val="DefaultParagraphFont"/>
    <w:link w:val="Tablas"/>
    <w:rsid w:val="00A92012"/>
    <w:rPr>
      <w:rFonts w:eastAsia="Calibri" w:cs="Times New Roman"/>
      <w:bCs/>
      <w:sz w:val="20"/>
      <w:szCs w:val="18"/>
      <w:lang w:val="es-CO" w:eastAsia="es-CO" w:bidi="en-US"/>
    </w:rPr>
  </w:style>
  <w:style w:type="table" w:customStyle="1" w:styleId="TableGrid4">
    <w:name w:val="Table Grid4"/>
    <w:basedOn w:val="TableNormal"/>
    <w:next w:val="TableGrid"/>
    <w:uiPriority w:val="59"/>
    <w:rsid w:val="001F384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5399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001"/>
    <w:pPr>
      <w:spacing w:before="480" w:after="0"/>
      <w:contextualSpacing/>
      <w:outlineLvl w:val="0"/>
    </w:pPr>
    <w:rPr>
      <w:rFonts w:ascii="Cambria" w:eastAsia="Times New Roman" w:hAnsi="Cambria" w:cs="Times New Roman"/>
      <w:smallCaps/>
      <w:spacing w:val="5"/>
      <w:sz w:val="36"/>
      <w:szCs w:val="36"/>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luvial1,titulo 3,Párrafo de lista1"/>
    <w:basedOn w:val="Normal"/>
    <w:link w:val="ListParagraphChar"/>
    <w:uiPriority w:val="34"/>
    <w:qFormat/>
    <w:rsid w:val="00FC0D02"/>
    <w:pPr>
      <w:ind w:left="720"/>
      <w:contextualSpacing/>
    </w:pPr>
  </w:style>
  <w:style w:type="paragraph" w:styleId="NormalWeb">
    <w:name w:val="Normal (Web)"/>
    <w:basedOn w:val="Normal"/>
    <w:uiPriority w:val="99"/>
    <w:semiHidden/>
    <w:unhideWhenUsed/>
    <w:rsid w:val="00FC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Grid1-Accent2Char">
    <w:name w:val="Medium Grid 1 - Accent 2 Char"/>
    <w:link w:val="MediumGrid1-Accent2"/>
    <w:uiPriority w:val="34"/>
    <w:rsid w:val="00DE3592"/>
    <w:rPr>
      <w:rFonts w:ascii="Times New Roman" w:hAnsi="Times New Roman"/>
      <w:spacing w:val="-3"/>
      <w:sz w:val="24"/>
      <w:lang w:val="es-ES_tradnl"/>
    </w:rPr>
  </w:style>
  <w:style w:type="table" w:styleId="MediumGrid1-Accent2">
    <w:name w:val="Medium Grid 1 Accent 2"/>
    <w:basedOn w:val="TableNormal"/>
    <w:link w:val="MediumGrid1-Accent2Char"/>
    <w:uiPriority w:val="34"/>
    <w:rsid w:val="00DE3592"/>
    <w:pPr>
      <w:spacing w:after="0" w:line="240" w:lineRule="auto"/>
    </w:pPr>
    <w:rPr>
      <w:rFonts w:ascii="Times New Roman" w:hAnsi="Times New Roman"/>
      <w:spacing w:val="-3"/>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1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5DA3"/>
    <w:rPr>
      <w:strike w:val="0"/>
      <w:dstrike w:val="0"/>
      <w:color w:val="799A51"/>
      <w:u w:val="none"/>
      <w:effect w:val="none"/>
    </w:rPr>
  </w:style>
  <w:style w:type="paragraph" w:styleId="FootnoteText">
    <w:name w:val="footnote text"/>
    <w:aliases w:val="fn,texto de nota al pie,Nota a pie/Bibliog,footnote,foottextfra,F,Texto nota pie Car Car Car Car,Texto nota pie1,single space,Char,FOOTNOTES,Footnote text Char Char,Footnote text,Footnote Text Char Char Char Char Char Char,Footnote,text,f"/>
    <w:basedOn w:val="Normal"/>
    <w:link w:val="FootnoteTextChar"/>
    <w:uiPriority w:val="99"/>
    <w:unhideWhenUsed/>
    <w:qFormat/>
    <w:rsid w:val="00780A50"/>
    <w:pPr>
      <w:spacing w:after="0" w:line="240" w:lineRule="auto"/>
    </w:pPr>
    <w:rPr>
      <w:sz w:val="20"/>
      <w:szCs w:val="20"/>
    </w:rPr>
  </w:style>
  <w:style w:type="character" w:customStyle="1" w:styleId="FootnoteTextChar">
    <w:name w:val="Footnote Text Char"/>
    <w:aliases w:val="fn Char,texto de nota al pie Char,Nota a pie/Bibliog Char,footnote Char,foottextfra Char,F Char,Texto nota pie Car Car Car Car Char,Texto nota pie1 Char,single space Char,Char Char,FOOTNOTES Char,Footnote text Char Char Char,text Char"/>
    <w:basedOn w:val="DefaultParagraphFont"/>
    <w:link w:val="FootnoteText"/>
    <w:uiPriority w:val="99"/>
    <w:rsid w:val="00780A50"/>
    <w:rPr>
      <w:sz w:val="20"/>
      <w:szCs w:val="20"/>
    </w:rPr>
  </w:style>
  <w:style w:type="character" w:styleId="FootnoteReference">
    <w:name w:val="footnote reference"/>
    <w:aliases w:val="16 Point,Superscript 6 Point,referencia nota al pie,Nota de pie,Texto nota al pie,BVI fnr,Texto de nota al pie,Ref. de nota al pie2,Fußnotenzeichen DISS,ftref,Ref,de nota al pie,Footnote symbol,FC"/>
    <w:basedOn w:val="DefaultParagraphFont"/>
    <w:uiPriority w:val="99"/>
    <w:unhideWhenUsed/>
    <w:rsid w:val="00780A50"/>
    <w:rPr>
      <w:vertAlign w:val="superscript"/>
    </w:rPr>
  </w:style>
  <w:style w:type="character" w:customStyle="1" w:styleId="Heading1Char">
    <w:name w:val="Heading 1 Char"/>
    <w:basedOn w:val="DefaultParagraphFont"/>
    <w:link w:val="Heading1"/>
    <w:uiPriority w:val="9"/>
    <w:rsid w:val="00EB3001"/>
    <w:rPr>
      <w:rFonts w:ascii="Cambria" w:eastAsia="Times New Roman" w:hAnsi="Cambria" w:cs="Times New Roman"/>
      <w:smallCaps/>
      <w:spacing w:val="5"/>
      <w:sz w:val="36"/>
      <w:szCs w:val="36"/>
      <w:lang w:val="es-ES" w:bidi="en-US"/>
    </w:rPr>
  </w:style>
  <w:style w:type="paragraph" w:customStyle="1" w:styleId="TableParagraph">
    <w:name w:val="Table Paragraph"/>
    <w:basedOn w:val="Normal"/>
    <w:uiPriority w:val="1"/>
    <w:qFormat/>
    <w:rsid w:val="00833BA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C1F8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2D6C86"/>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F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1A"/>
  </w:style>
  <w:style w:type="paragraph" w:styleId="Footer">
    <w:name w:val="footer"/>
    <w:basedOn w:val="Normal"/>
    <w:link w:val="FooterChar"/>
    <w:uiPriority w:val="99"/>
    <w:unhideWhenUsed/>
    <w:rsid w:val="003F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1A"/>
  </w:style>
  <w:style w:type="paragraph" w:styleId="BalloonText">
    <w:name w:val="Balloon Text"/>
    <w:basedOn w:val="Normal"/>
    <w:link w:val="BalloonTextChar"/>
    <w:uiPriority w:val="99"/>
    <w:semiHidden/>
    <w:unhideWhenUsed/>
    <w:rsid w:val="0047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28"/>
    <w:rPr>
      <w:rFonts w:ascii="Tahoma" w:hAnsi="Tahoma" w:cs="Tahoma"/>
      <w:sz w:val="16"/>
      <w:szCs w:val="16"/>
    </w:rPr>
  </w:style>
  <w:style w:type="table" w:customStyle="1" w:styleId="TableGrid2">
    <w:name w:val="Table Grid2"/>
    <w:basedOn w:val="TableNormal"/>
    <w:next w:val="TableGrid"/>
    <w:uiPriority w:val="59"/>
    <w:rsid w:val="006B7C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7C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201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character" w:customStyle="1" w:styleId="ListParagraphChar">
    <w:name w:val="List Paragraph Char"/>
    <w:aliases w:val="Fluvial1 Char,titulo 3 Char,Párrafo de lista1 Char"/>
    <w:basedOn w:val="DefaultParagraphFont"/>
    <w:link w:val="ListParagraph"/>
    <w:uiPriority w:val="34"/>
    <w:rsid w:val="00A92012"/>
  </w:style>
  <w:style w:type="paragraph" w:customStyle="1" w:styleId="Tablas">
    <w:name w:val="Tablas"/>
    <w:basedOn w:val="Normal"/>
    <w:link w:val="TablasCar"/>
    <w:qFormat/>
    <w:rsid w:val="00A92012"/>
    <w:pPr>
      <w:tabs>
        <w:tab w:val="left" w:pos="426"/>
        <w:tab w:val="left" w:pos="1418"/>
      </w:tabs>
      <w:spacing w:after="0" w:line="240" w:lineRule="auto"/>
      <w:jc w:val="center"/>
    </w:pPr>
    <w:rPr>
      <w:rFonts w:eastAsia="Calibri" w:cs="Times New Roman"/>
      <w:bCs/>
      <w:sz w:val="20"/>
      <w:szCs w:val="18"/>
      <w:lang w:val="es-CO" w:eastAsia="es-CO" w:bidi="en-US"/>
    </w:rPr>
  </w:style>
  <w:style w:type="character" w:customStyle="1" w:styleId="TablasCar">
    <w:name w:val="Tablas Car"/>
    <w:basedOn w:val="DefaultParagraphFont"/>
    <w:link w:val="Tablas"/>
    <w:rsid w:val="00A92012"/>
    <w:rPr>
      <w:rFonts w:eastAsia="Calibri" w:cs="Times New Roman"/>
      <w:bCs/>
      <w:sz w:val="20"/>
      <w:szCs w:val="18"/>
      <w:lang w:val="es-CO" w:eastAsia="es-CO" w:bidi="en-US"/>
    </w:rPr>
  </w:style>
  <w:style w:type="table" w:customStyle="1" w:styleId="TableGrid4">
    <w:name w:val="Table Grid4"/>
    <w:basedOn w:val="TableNormal"/>
    <w:next w:val="TableGrid"/>
    <w:uiPriority w:val="59"/>
    <w:rsid w:val="001F384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5399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3720">
      <w:bodyDiv w:val="1"/>
      <w:marLeft w:val="0"/>
      <w:marRight w:val="0"/>
      <w:marTop w:val="0"/>
      <w:marBottom w:val="0"/>
      <w:divBdr>
        <w:top w:val="none" w:sz="0" w:space="0" w:color="auto"/>
        <w:left w:val="none" w:sz="0" w:space="0" w:color="auto"/>
        <w:bottom w:val="none" w:sz="0" w:space="0" w:color="auto"/>
        <w:right w:val="none" w:sz="0" w:space="0" w:color="auto"/>
      </w:divBdr>
    </w:div>
    <w:div w:id="704406851">
      <w:bodyDiv w:val="1"/>
      <w:marLeft w:val="0"/>
      <w:marRight w:val="0"/>
      <w:marTop w:val="0"/>
      <w:marBottom w:val="0"/>
      <w:divBdr>
        <w:top w:val="none" w:sz="0" w:space="0" w:color="auto"/>
        <w:left w:val="none" w:sz="0" w:space="0" w:color="auto"/>
        <w:bottom w:val="none" w:sz="0" w:space="0" w:color="auto"/>
        <w:right w:val="none" w:sz="0" w:space="0" w:color="auto"/>
      </w:divBdr>
    </w:div>
    <w:div w:id="825901029">
      <w:bodyDiv w:val="1"/>
      <w:marLeft w:val="0"/>
      <w:marRight w:val="0"/>
      <w:marTop w:val="0"/>
      <w:marBottom w:val="0"/>
      <w:divBdr>
        <w:top w:val="none" w:sz="0" w:space="0" w:color="auto"/>
        <w:left w:val="none" w:sz="0" w:space="0" w:color="auto"/>
        <w:bottom w:val="none" w:sz="0" w:space="0" w:color="auto"/>
        <w:right w:val="none" w:sz="0" w:space="0" w:color="auto"/>
      </w:divBdr>
      <w:divsChild>
        <w:div w:id="173502493">
          <w:marLeft w:val="0"/>
          <w:marRight w:val="0"/>
          <w:marTop w:val="0"/>
          <w:marBottom w:val="0"/>
          <w:divBdr>
            <w:top w:val="none" w:sz="0" w:space="0" w:color="auto"/>
            <w:left w:val="none" w:sz="0" w:space="0" w:color="auto"/>
            <w:bottom w:val="none" w:sz="0" w:space="0" w:color="auto"/>
            <w:right w:val="none" w:sz="0" w:space="0" w:color="auto"/>
          </w:divBdr>
          <w:divsChild>
            <w:div w:id="770510262">
              <w:marLeft w:val="0"/>
              <w:marRight w:val="0"/>
              <w:marTop w:val="0"/>
              <w:marBottom w:val="0"/>
              <w:divBdr>
                <w:top w:val="none" w:sz="0" w:space="0" w:color="auto"/>
                <w:left w:val="none" w:sz="0" w:space="0" w:color="auto"/>
                <w:bottom w:val="none" w:sz="0" w:space="0" w:color="auto"/>
                <w:right w:val="none" w:sz="0" w:space="0" w:color="auto"/>
              </w:divBdr>
              <w:divsChild>
                <w:div w:id="948270296">
                  <w:marLeft w:val="0"/>
                  <w:marRight w:val="0"/>
                  <w:marTop w:val="0"/>
                  <w:marBottom w:val="0"/>
                  <w:divBdr>
                    <w:top w:val="none" w:sz="0" w:space="0" w:color="auto"/>
                    <w:left w:val="none" w:sz="0" w:space="0" w:color="auto"/>
                    <w:bottom w:val="none" w:sz="0" w:space="0" w:color="auto"/>
                    <w:right w:val="none" w:sz="0" w:space="0" w:color="auto"/>
                  </w:divBdr>
                  <w:divsChild>
                    <w:div w:id="1372880339">
                      <w:marLeft w:val="0"/>
                      <w:marRight w:val="0"/>
                      <w:marTop w:val="0"/>
                      <w:marBottom w:val="1320"/>
                      <w:divBdr>
                        <w:top w:val="none" w:sz="0" w:space="0" w:color="auto"/>
                        <w:left w:val="none" w:sz="0" w:space="0" w:color="auto"/>
                        <w:bottom w:val="none" w:sz="0" w:space="0" w:color="auto"/>
                        <w:right w:val="none" w:sz="0" w:space="0" w:color="auto"/>
                      </w:divBdr>
                      <w:divsChild>
                        <w:div w:id="403065943">
                          <w:marLeft w:val="0"/>
                          <w:marRight w:val="0"/>
                          <w:marTop w:val="0"/>
                          <w:marBottom w:val="0"/>
                          <w:divBdr>
                            <w:top w:val="none" w:sz="0" w:space="0" w:color="auto"/>
                            <w:left w:val="none" w:sz="0" w:space="0" w:color="auto"/>
                            <w:bottom w:val="none" w:sz="0" w:space="0" w:color="auto"/>
                            <w:right w:val="none" w:sz="0" w:space="0" w:color="auto"/>
                          </w:divBdr>
                          <w:divsChild>
                            <w:div w:id="1080784882">
                              <w:marLeft w:val="0"/>
                              <w:marRight w:val="0"/>
                              <w:marTop w:val="0"/>
                              <w:marBottom w:val="0"/>
                              <w:divBdr>
                                <w:top w:val="none" w:sz="0" w:space="0" w:color="auto"/>
                                <w:left w:val="none" w:sz="0" w:space="0" w:color="auto"/>
                                <w:bottom w:val="none" w:sz="0" w:space="0" w:color="auto"/>
                                <w:right w:val="none" w:sz="0" w:space="0" w:color="auto"/>
                              </w:divBdr>
                              <w:divsChild>
                                <w:div w:id="971590767">
                                  <w:marLeft w:val="0"/>
                                  <w:marRight w:val="0"/>
                                  <w:marTop w:val="0"/>
                                  <w:marBottom w:val="0"/>
                                  <w:divBdr>
                                    <w:top w:val="none" w:sz="0" w:space="0" w:color="auto"/>
                                    <w:left w:val="none" w:sz="0" w:space="0" w:color="auto"/>
                                    <w:bottom w:val="none" w:sz="0" w:space="0" w:color="auto"/>
                                    <w:right w:val="none" w:sz="0" w:space="0" w:color="auto"/>
                                  </w:divBdr>
                                </w:div>
                                <w:div w:id="1411730235">
                                  <w:marLeft w:val="0"/>
                                  <w:marRight w:val="0"/>
                                  <w:marTop w:val="0"/>
                                  <w:marBottom w:val="0"/>
                                  <w:divBdr>
                                    <w:top w:val="none" w:sz="0" w:space="0" w:color="auto"/>
                                    <w:left w:val="none" w:sz="0" w:space="0" w:color="auto"/>
                                    <w:bottom w:val="none" w:sz="0" w:space="0" w:color="auto"/>
                                    <w:right w:val="none" w:sz="0" w:space="0" w:color="auto"/>
                                  </w:divBdr>
                                </w:div>
                                <w:div w:id="587353269">
                                  <w:marLeft w:val="0"/>
                                  <w:marRight w:val="0"/>
                                  <w:marTop w:val="0"/>
                                  <w:marBottom w:val="0"/>
                                  <w:divBdr>
                                    <w:top w:val="none" w:sz="0" w:space="0" w:color="auto"/>
                                    <w:left w:val="none" w:sz="0" w:space="0" w:color="auto"/>
                                    <w:bottom w:val="none" w:sz="0" w:space="0" w:color="auto"/>
                                    <w:right w:val="none" w:sz="0" w:space="0" w:color="auto"/>
                                  </w:divBdr>
                                </w:div>
                                <w:div w:id="1591503059">
                                  <w:marLeft w:val="0"/>
                                  <w:marRight w:val="0"/>
                                  <w:marTop w:val="0"/>
                                  <w:marBottom w:val="0"/>
                                  <w:divBdr>
                                    <w:top w:val="none" w:sz="0" w:space="0" w:color="auto"/>
                                    <w:left w:val="none" w:sz="0" w:space="0" w:color="auto"/>
                                    <w:bottom w:val="none" w:sz="0" w:space="0" w:color="auto"/>
                                    <w:right w:val="none" w:sz="0" w:space="0" w:color="auto"/>
                                  </w:divBdr>
                                </w:div>
                                <w:div w:id="242644682">
                                  <w:marLeft w:val="0"/>
                                  <w:marRight w:val="0"/>
                                  <w:marTop w:val="0"/>
                                  <w:marBottom w:val="0"/>
                                  <w:divBdr>
                                    <w:top w:val="none" w:sz="0" w:space="0" w:color="auto"/>
                                    <w:left w:val="none" w:sz="0" w:space="0" w:color="auto"/>
                                    <w:bottom w:val="none" w:sz="0" w:space="0" w:color="auto"/>
                                    <w:right w:val="none" w:sz="0" w:space="0" w:color="auto"/>
                                  </w:divBdr>
                                </w:div>
                                <w:div w:id="1117027161">
                                  <w:marLeft w:val="0"/>
                                  <w:marRight w:val="0"/>
                                  <w:marTop w:val="0"/>
                                  <w:marBottom w:val="0"/>
                                  <w:divBdr>
                                    <w:top w:val="none" w:sz="0" w:space="0" w:color="auto"/>
                                    <w:left w:val="none" w:sz="0" w:space="0" w:color="auto"/>
                                    <w:bottom w:val="none" w:sz="0" w:space="0" w:color="auto"/>
                                    <w:right w:val="none" w:sz="0" w:space="0" w:color="auto"/>
                                  </w:divBdr>
                                </w:div>
                                <w:div w:id="648444009">
                                  <w:marLeft w:val="0"/>
                                  <w:marRight w:val="0"/>
                                  <w:marTop w:val="0"/>
                                  <w:marBottom w:val="0"/>
                                  <w:divBdr>
                                    <w:top w:val="none" w:sz="0" w:space="0" w:color="auto"/>
                                    <w:left w:val="none" w:sz="0" w:space="0" w:color="auto"/>
                                    <w:bottom w:val="none" w:sz="0" w:space="0" w:color="auto"/>
                                    <w:right w:val="none" w:sz="0" w:space="0" w:color="auto"/>
                                  </w:divBdr>
                                </w:div>
                                <w:div w:id="1945530783">
                                  <w:marLeft w:val="0"/>
                                  <w:marRight w:val="0"/>
                                  <w:marTop w:val="0"/>
                                  <w:marBottom w:val="0"/>
                                  <w:divBdr>
                                    <w:top w:val="none" w:sz="0" w:space="0" w:color="auto"/>
                                    <w:left w:val="none" w:sz="0" w:space="0" w:color="auto"/>
                                    <w:bottom w:val="none" w:sz="0" w:space="0" w:color="auto"/>
                                    <w:right w:val="none" w:sz="0" w:space="0" w:color="auto"/>
                                  </w:divBdr>
                                </w:div>
                                <w:div w:id="261106507">
                                  <w:marLeft w:val="0"/>
                                  <w:marRight w:val="0"/>
                                  <w:marTop w:val="0"/>
                                  <w:marBottom w:val="0"/>
                                  <w:divBdr>
                                    <w:top w:val="none" w:sz="0" w:space="0" w:color="auto"/>
                                    <w:left w:val="none" w:sz="0" w:space="0" w:color="auto"/>
                                    <w:bottom w:val="none" w:sz="0" w:space="0" w:color="auto"/>
                                    <w:right w:val="none" w:sz="0" w:space="0" w:color="auto"/>
                                  </w:divBdr>
                                </w:div>
                                <w:div w:id="2052269112">
                                  <w:marLeft w:val="0"/>
                                  <w:marRight w:val="0"/>
                                  <w:marTop w:val="0"/>
                                  <w:marBottom w:val="0"/>
                                  <w:divBdr>
                                    <w:top w:val="none" w:sz="0" w:space="0" w:color="auto"/>
                                    <w:left w:val="none" w:sz="0" w:space="0" w:color="auto"/>
                                    <w:bottom w:val="none" w:sz="0" w:space="0" w:color="auto"/>
                                    <w:right w:val="none" w:sz="0" w:space="0" w:color="auto"/>
                                  </w:divBdr>
                                </w:div>
                                <w:div w:id="2084376741">
                                  <w:marLeft w:val="0"/>
                                  <w:marRight w:val="0"/>
                                  <w:marTop w:val="0"/>
                                  <w:marBottom w:val="0"/>
                                  <w:divBdr>
                                    <w:top w:val="none" w:sz="0" w:space="0" w:color="auto"/>
                                    <w:left w:val="none" w:sz="0" w:space="0" w:color="auto"/>
                                    <w:bottom w:val="none" w:sz="0" w:space="0" w:color="auto"/>
                                    <w:right w:val="none" w:sz="0" w:space="0" w:color="auto"/>
                                  </w:divBdr>
                                </w:div>
                                <w:div w:id="259727061">
                                  <w:marLeft w:val="0"/>
                                  <w:marRight w:val="0"/>
                                  <w:marTop w:val="0"/>
                                  <w:marBottom w:val="0"/>
                                  <w:divBdr>
                                    <w:top w:val="none" w:sz="0" w:space="0" w:color="auto"/>
                                    <w:left w:val="none" w:sz="0" w:space="0" w:color="auto"/>
                                    <w:bottom w:val="none" w:sz="0" w:space="0" w:color="auto"/>
                                    <w:right w:val="none" w:sz="0" w:space="0" w:color="auto"/>
                                  </w:divBdr>
                                </w:div>
                                <w:div w:id="1905918141">
                                  <w:marLeft w:val="0"/>
                                  <w:marRight w:val="0"/>
                                  <w:marTop w:val="0"/>
                                  <w:marBottom w:val="0"/>
                                  <w:divBdr>
                                    <w:top w:val="none" w:sz="0" w:space="0" w:color="auto"/>
                                    <w:left w:val="none" w:sz="0" w:space="0" w:color="auto"/>
                                    <w:bottom w:val="none" w:sz="0" w:space="0" w:color="auto"/>
                                    <w:right w:val="none" w:sz="0" w:space="0" w:color="auto"/>
                                  </w:divBdr>
                                </w:div>
                                <w:div w:id="1230733022">
                                  <w:marLeft w:val="0"/>
                                  <w:marRight w:val="0"/>
                                  <w:marTop w:val="0"/>
                                  <w:marBottom w:val="0"/>
                                  <w:divBdr>
                                    <w:top w:val="none" w:sz="0" w:space="0" w:color="auto"/>
                                    <w:left w:val="none" w:sz="0" w:space="0" w:color="auto"/>
                                    <w:bottom w:val="none" w:sz="0" w:space="0" w:color="auto"/>
                                    <w:right w:val="none" w:sz="0" w:space="0" w:color="auto"/>
                                  </w:divBdr>
                                </w:div>
                                <w:div w:id="801505888">
                                  <w:marLeft w:val="0"/>
                                  <w:marRight w:val="0"/>
                                  <w:marTop w:val="0"/>
                                  <w:marBottom w:val="0"/>
                                  <w:divBdr>
                                    <w:top w:val="none" w:sz="0" w:space="0" w:color="auto"/>
                                    <w:left w:val="none" w:sz="0" w:space="0" w:color="auto"/>
                                    <w:bottom w:val="none" w:sz="0" w:space="0" w:color="auto"/>
                                    <w:right w:val="none" w:sz="0" w:space="0" w:color="auto"/>
                                  </w:divBdr>
                                </w:div>
                                <w:div w:id="667025837">
                                  <w:marLeft w:val="0"/>
                                  <w:marRight w:val="0"/>
                                  <w:marTop w:val="0"/>
                                  <w:marBottom w:val="0"/>
                                  <w:divBdr>
                                    <w:top w:val="none" w:sz="0" w:space="0" w:color="auto"/>
                                    <w:left w:val="none" w:sz="0" w:space="0" w:color="auto"/>
                                    <w:bottom w:val="none" w:sz="0" w:space="0" w:color="auto"/>
                                    <w:right w:val="none" w:sz="0" w:space="0" w:color="auto"/>
                                  </w:divBdr>
                                </w:div>
                                <w:div w:id="1391073205">
                                  <w:marLeft w:val="0"/>
                                  <w:marRight w:val="0"/>
                                  <w:marTop w:val="0"/>
                                  <w:marBottom w:val="0"/>
                                  <w:divBdr>
                                    <w:top w:val="none" w:sz="0" w:space="0" w:color="auto"/>
                                    <w:left w:val="none" w:sz="0" w:space="0" w:color="auto"/>
                                    <w:bottom w:val="none" w:sz="0" w:space="0" w:color="auto"/>
                                    <w:right w:val="none" w:sz="0" w:space="0" w:color="auto"/>
                                  </w:divBdr>
                                </w:div>
                                <w:div w:id="257367352">
                                  <w:marLeft w:val="0"/>
                                  <w:marRight w:val="0"/>
                                  <w:marTop w:val="0"/>
                                  <w:marBottom w:val="0"/>
                                  <w:divBdr>
                                    <w:top w:val="none" w:sz="0" w:space="0" w:color="auto"/>
                                    <w:left w:val="none" w:sz="0" w:space="0" w:color="auto"/>
                                    <w:bottom w:val="none" w:sz="0" w:space="0" w:color="auto"/>
                                    <w:right w:val="none" w:sz="0" w:space="0" w:color="auto"/>
                                  </w:divBdr>
                                </w:div>
                                <w:div w:id="1972859464">
                                  <w:marLeft w:val="0"/>
                                  <w:marRight w:val="0"/>
                                  <w:marTop w:val="0"/>
                                  <w:marBottom w:val="0"/>
                                  <w:divBdr>
                                    <w:top w:val="none" w:sz="0" w:space="0" w:color="auto"/>
                                    <w:left w:val="none" w:sz="0" w:space="0" w:color="auto"/>
                                    <w:bottom w:val="none" w:sz="0" w:space="0" w:color="auto"/>
                                    <w:right w:val="none" w:sz="0" w:space="0" w:color="auto"/>
                                  </w:divBdr>
                                </w:div>
                                <w:div w:id="16685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753788">
      <w:bodyDiv w:val="1"/>
      <w:marLeft w:val="0"/>
      <w:marRight w:val="0"/>
      <w:marTop w:val="0"/>
      <w:marBottom w:val="0"/>
      <w:divBdr>
        <w:top w:val="none" w:sz="0" w:space="0" w:color="auto"/>
        <w:left w:val="none" w:sz="0" w:space="0" w:color="auto"/>
        <w:bottom w:val="none" w:sz="0" w:space="0" w:color="auto"/>
        <w:right w:val="none" w:sz="0" w:space="0" w:color="auto"/>
      </w:divBdr>
      <w:divsChild>
        <w:div w:id="66155923">
          <w:marLeft w:val="0"/>
          <w:marRight w:val="0"/>
          <w:marTop w:val="0"/>
          <w:marBottom w:val="0"/>
          <w:divBdr>
            <w:top w:val="none" w:sz="0" w:space="0" w:color="auto"/>
            <w:left w:val="none" w:sz="0" w:space="0" w:color="auto"/>
            <w:bottom w:val="none" w:sz="0" w:space="0" w:color="auto"/>
            <w:right w:val="none" w:sz="0" w:space="0" w:color="auto"/>
          </w:divBdr>
          <w:divsChild>
            <w:div w:id="97221367">
              <w:marLeft w:val="0"/>
              <w:marRight w:val="0"/>
              <w:marTop w:val="0"/>
              <w:marBottom w:val="0"/>
              <w:divBdr>
                <w:top w:val="none" w:sz="0" w:space="0" w:color="auto"/>
                <w:left w:val="none" w:sz="0" w:space="0" w:color="auto"/>
                <w:bottom w:val="none" w:sz="0" w:space="0" w:color="auto"/>
                <w:right w:val="none" w:sz="0" w:space="0" w:color="auto"/>
              </w:divBdr>
              <w:divsChild>
                <w:div w:id="1263147240">
                  <w:marLeft w:val="0"/>
                  <w:marRight w:val="0"/>
                  <w:marTop w:val="0"/>
                  <w:marBottom w:val="0"/>
                  <w:divBdr>
                    <w:top w:val="none" w:sz="0" w:space="0" w:color="auto"/>
                    <w:left w:val="none" w:sz="0" w:space="0" w:color="auto"/>
                    <w:bottom w:val="none" w:sz="0" w:space="0" w:color="auto"/>
                    <w:right w:val="none" w:sz="0" w:space="0" w:color="auto"/>
                  </w:divBdr>
                  <w:divsChild>
                    <w:div w:id="1113595424">
                      <w:marLeft w:val="0"/>
                      <w:marRight w:val="0"/>
                      <w:marTop w:val="100"/>
                      <w:marBottom w:val="100"/>
                      <w:divBdr>
                        <w:top w:val="none" w:sz="0" w:space="0" w:color="auto"/>
                        <w:left w:val="none" w:sz="0" w:space="0" w:color="auto"/>
                        <w:bottom w:val="none" w:sz="0" w:space="0" w:color="auto"/>
                        <w:right w:val="none" w:sz="0" w:space="0" w:color="auto"/>
                      </w:divBdr>
                      <w:divsChild>
                        <w:div w:id="1849756447">
                          <w:marLeft w:val="0"/>
                          <w:marRight w:val="0"/>
                          <w:marTop w:val="100"/>
                          <w:marBottom w:val="100"/>
                          <w:divBdr>
                            <w:top w:val="none" w:sz="0" w:space="0" w:color="auto"/>
                            <w:left w:val="none" w:sz="0" w:space="0" w:color="auto"/>
                            <w:bottom w:val="none" w:sz="0" w:space="0" w:color="auto"/>
                            <w:right w:val="none" w:sz="0" w:space="0" w:color="auto"/>
                          </w:divBdr>
                          <w:divsChild>
                            <w:div w:id="1102726372">
                              <w:marLeft w:val="0"/>
                              <w:marRight w:val="0"/>
                              <w:marTop w:val="100"/>
                              <w:marBottom w:val="100"/>
                              <w:divBdr>
                                <w:top w:val="none" w:sz="0" w:space="0" w:color="auto"/>
                                <w:left w:val="none" w:sz="0" w:space="0" w:color="auto"/>
                                <w:bottom w:val="none" w:sz="0" w:space="0" w:color="auto"/>
                                <w:right w:val="none" w:sz="0" w:space="0" w:color="auto"/>
                              </w:divBdr>
                              <w:divsChild>
                                <w:div w:id="599335516">
                                  <w:marLeft w:val="0"/>
                                  <w:marRight w:val="0"/>
                                  <w:marTop w:val="0"/>
                                  <w:marBottom w:val="0"/>
                                  <w:divBdr>
                                    <w:top w:val="none" w:sz="0" w:space="0" w:color="auto"/>
                                    <w:left w:val="none" w:sz="0" w:space="0" w:color="auto"/>
                                    <w:bottom w:val="none" w:sz="0" w:space="0" w:color="auto"/>
                                    <w:right w:val="none" w:sz="0" w:space="0" w:color="auto"/>
                                  </w:divBdr>
                                  <w:divsChild>
                                    <w:div w:id="1716347191">
                                      <w:marLeft w:val="0"/>
                                      <w:marRight w:val="0"/>
                                      <w:marTop w:val="0"/>
                                      <w:marBottom w:val="0"/>
                                      <w:divBdr>
                                        <w:top w:val="none" w:sz="0" w:space="0" w:color="auto"/>
                                        <w:left w:val="none" w:sz="0" w:space="0" w:color="auto"/>
                                        <w:bottom w:val="none" w:sz="0" w:space="0" w:color="auto"/>
                                        <w:right w:val="none" w:sz="0" w:space="0" w:color="auto"/>
                                      </w:divBdr>
                                      <w:divsChild>
                                        <w:div w:id="1417507967">
                                          <w:marLeft w:val="0"/>
                                          <w:marRight w:val="0"/>
                                          <w:marTop w:val="0"/>
                                          <w:marBottom w:val="0"/>
                                          <w:divBdr>
                                            <w:top w:val="none" w:sz="0" w:space="0" w:color="auto"/>
                                            <w:left w:val="none" w:sz="0" w:space="0" w:color="auto"/>
                                            <w:bottom w:val="none" w:sz="0" w:space="0" w:color="auto"/>
                                            <w:right w:val="none" w:sz="0" w:space="0" w:color="auto"/>
                                          </w:divBdr>
                                          <w:divsChild>
                                            <w:div w:id="9251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932697">
      <w:bodyDiv w:val="1"/>
      <w:marLeft w:val="0"/>
      <w:marRight w:val="0"/>
      <w:marTop w:val="0"/>
      <w:marBottom w:val="0"/>
      <w:divBdr>
        <w:top w:val="none" w:sz="0" w:space="0" w:color="auto"/>
        <w:left w:val="none" w:sz="0" w:space="0" w:color="auto"/>
        <w:bottom w:val="none" w:sz="0" w:space="0" w:color="auto"/>
        <w:right w:val="none" w:sz="0" w:space="0" w:color="auto"/>
      </w:divBdr>
    </w:div>
    <w:div w:id="1014066721">
      <w:bodyDiv w:val="1"/>
      <w:marLeft w:val="0"/>
      <w:marRight w:val="0"/>
      <w:marTop w:val="0"/>
      <w:marBottom w:val="0"/>
      <w:divBdr>
        <w:top w:val="none" w:sz="0" w:space="0" w:color="auto"/>
        <w:left w:val="none" w:sz="0" w:space="0" w:color="auto"/>
        <w:bottom w:val="none" w:sz="0" w:space="0" w:color="auto"/>
        <w:right w:val="none" w:sz="0" w:space="0" w:color="auto"/>
      </w:divBdr>
    </w:div>
    <w:div w:id="1116145950">
      <w:bodyDiv w:val="1"/>
      <w:marLeft w:val="0"/>
      <w:marRight w:val="0"/>
      <w:marTop w:val="0"/>
      <w:marBottom w:val="0"/>
      <w:divBdr>
        <w:top w:val="none" w:sz="0" w:space="0" w:color="auto"/>
        <w:left w:val="none" w:sz="0" w:space="0" w:color="auto"/>
        <w:bottom w:val="none" w:sz="0" w:space="0" w:color="auto"/>
        <w:right w:val="none" w:sz="0" w:space="0" w:color="auto"/>
      </w:divBdr>
    </w:div>
    <w:div w:id="1415012674">
      <w:bodyDiv w:val="1"/>
      <w:marLeft w:val="0"/>
      <w:marRight w:val="0"/>
      <w:marTop w:val="0"/>
      <w:marBottom w:val="0"/>
      <w:divBdr>
        <w:top w:val="none" w:sz="0" w:space="0" w:color="auto"/>
        <w:left w:val="none" w:sz="0" w:space="0" w:color="auto"/>
        <w:bottom w:val="none" w:sz="0" w:space="0" w:color="auto"/>
        <w:right w:val="none" w:sz="0" w:space="0" w:color="auto"/>
      </w:divBdr>
      <w:divsChild>
        <w:div w:id="687292903">
          <w:marLeft w:val="0"/>
          <w:marRight w:val="0"/>
          <w:marTop w:val="0"/>
          <w:marBottom w:val="0"/>
          <w:divBdr>
            <w:top w:val="none" w:sz="0" w:space="0" w:color="auto"/>
            <w:left w:val="none" w:sz="0" w:space="0" w:color="auto"/>
            <w:bottom w:val="none" w:sz="0" w:space="0" w:color="auto"/>
            <w:right w:val="none" w:sz="0" w:space="0" w:color="auto"/>
          </w:divBdr>
          <w:divsChild>
            <w:div w:id="1213350047">
              <w:marLeft w:val="0"/>
              <w:marRight w:val="0"/>
              <w:marTop w:val="0"/>
              <w:marBottom w:val="0"/>
              <w:divBdr>
                <w:top w:val="none" w:sz="0" w:space="0" w:color="auto"/>
                <w:left w:val="none" w:sz="0" w:space="0" w:color="auto"/>
                <w:bottom w:val="none" w:sz="0" w:space="0" w:color="auto"/>
                <w:right w:val="none" w:sz="0" w:space="0" w:color="auto"/>
              </w:divBdr>
              <w:divsChild>
                <w:div w:id="696854326">
                  <w:marLeft w:val="0"/>
                  <w:marRight w:val="0"/>
                  <w:marTop w:val="0"/>
                  <w:marBottom w:val="0"/>
                  <w:divBdr>
                    <w:top w:val="none" w:sz="0" w:space="0" w:color="auto"/>
                    <w:left w:val="none" w:sz="0" w:space="0" w:color="auto"/>
                    <w:bottom w:val="none" w:sz="0" w:space="0" w:color="auto"/>
                    <w:right w:val="none" w:sz="0" w:space="0" w:color="auto"/>
                  </w:divBdr>
                  <w:divsChild>
                    <w:div w:id="1141266933">
                      <w:marLeft w:val="0"/>
                      <w:marRight w:val="0"/>
                      <w:marTop w:val="0"/>
                      <w:marBottom w:val="1320"/>
                      <w:divBdr>
                        <w:top w:val="none" w:sz="0" w:space="0" w:color="auto"/>
                        <w:left w:val="none" w:sz="0" w:space="0" w:color="auto"/>
                        <w:bottom w:val="none" w:sz="0" w:space="0" w:color="auto"/>
                        <w:right w:val="none" w:sz="0" w:space="0" w:color="auto"/>
                      </w:divBdr>
                      <w:divsChild>
                        <w:div w:id="371731828">
                          <w:marLeft w:val="0"/>
                          <w:marRight w:val="0"/>
                          <w:marTop w:val="0"/>
                          <w:marBottom w:val="0"/>
                          <w:divBdr>
                            <w:top w:val="none" w:sz="0" w:space="0" w:color="auto"/>
                            <w:left w:val="none" w:sz="0" w:space="0" w:color="auto"/>
                            <w:bottom w:val="none" w:sz="0" w:space="0" w:color="auto"/>
                            <w:right w:val="none" w:sz="0" w:space="0" w:color="auto"/>
                          </w:divBdr>
                          <w:divsChild>
                            <w:div w:id="969290613">
                              <w:marLeft w:val="0"/>
                              <w:marRight w:val="0"/>
                              <w:marTop w:val="0"/>
                              <w:marBottom w:val="0"/>
                              <w:divBdr>
                                <w:top w:val="none" w:sz="0" w:space="0" w:color="auto"/>
                                <w:left w:val="none" w:sz="0" w:space="0" w:color="auto"/>
                                <w:bottom w:val="none" w:sz="0" w:space="0" w:color="auto"/>
                                <w:right w:val="none" w:sz="0" w:space="0" w:color="auto"/>
                              </w:divBdr>
                              <w:divsChild>
                                <w:div w:id="745760584">
                                  <w:marLeft w:val="0"/>
                                  <w:marRight w:val="0"/>
                                  <w:marTop w:val="0"/>
                                  <w:marBottom w:val="0"/>
                                  <w:divBdr>
                                    <w:top w:val="none" w:sz="0" w:space="0" w:color="auto"/>
                                    <w:left w:val="none" w:sz="0" w:space="0" w:color="auto"/>
                                    <w:bottom w:val="none" w:sz="0" w:space="0" w:color="auto"/>
                                    <w:right w:val="none" w:sz="0" w:space="0" w:color="auto"/>
                                  </w:divBdr>
                                </w:div>
                                <w:div w:id="1240872274">
                                  <w:marLeft w:val="0"/>
                                  <w:marRight w:val="0"/>
                                  <w:marTop w:val="0"/>
                                  <w:marBottom w:val="0"/>
                                  <w:divBdr>
                                    <w:top w:val="none" w:sz="0" w:space="0" w:color="auto"/>
                                    <w:left w:val="none" w:sz="0" w:space="0" w:color="auto"/>
                                    <w:bottom w:val="none" w:sz="0" w:space="0" w:color="auto"/>
                                    <w:right w:val="none" w:sz="0" w:space="0" w:color="auto"/>
                                  </w:divBdr>
                                </w:div>
                                <w:div w:id="611860714">
                                  <w:marLeft w:val="0"/>
                                  <w:marRight w:val="0"/>
                                  <w:marTop w:val="0"/>
                                  <w:marBottom w:val="0"/>
                                  <w:divBdr>
                                    <w:top w:val="none" w:sz="0" w:space="0" w:color="auto"/>
                                    <w:left w:val="none" w:sz="0" w:space="0" w:color="auto"/>
                                    <w:bottom w:val="none" w:sz="0" w:space="0" w:color="auto"/>
                                    <w:right w:val="none" w:sz="0" w:space="0" w:color="auto"/>
                                  </w:divBdr>
                                </w:div>
                                <w:div w:id="1932085965">
                                  <w:marLeft w:val="0"/>
                                  <w:marRight w:val="0"/>
                                  <w:marTop w:val="0"/>
                                  <w:marBottom w:val="0"/>
                                  <w:divBdr>
                                    <w:top w:val="none" w:sz="0" w:space="0" w:color="auto"/>
                                    <w:left w:val="none" w:sz="0" w:space="0" w:color="auto"/>
                                    <w:bottom w:val="none" w:sz="0" w:space="0" w:color="auto"/>
                                    <w:right w:val="none" w:sz="0" w:space="0" w:color="auto"/>
                                  </w:divBdr>
                                </w:div>
                                <w:div w:id="10269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892921">
      <w:bodyDiv w:val="1"/>
      <w:marLeft w:val="0"/>
      <w:marRight w:val="0"/>
      <w:marTop w:val="0"/>
      <w:marBottom w:val="0"/>
      <w:divBdr>
        <w:top w:val="none" w:sz="0" w:space="0" w:color="auto"/>
        <w:left w:val="none" w:sz="0" w:space="0" w:color="auto"/>
        <w:bottom w:val="none" w:sz="0" w:space="0" w:color="auto"/>
        <w:right w:val="none" w:sz="0" w:space="0" w:color="auto"/>
      </w:divBdr>
    </w:div>
    <w:div w:id="1778207472">
      <w:bodyDiv w:val="1"/>
      <w:marLeft w:val="0"/>
      <w:marRight w:val="0"/>
      <w:marTop w:val="0"/>
      <w:marBottom w:val="0"/>
      <w:divBdr>
        <w:top w:val="none" w:sz="0" w:space="0" w:color="auto"/>
        <w:left w:val="none" w:sz="0" w:space="0" w:color="auto"/>
        <w:bottom w:val="none" w:sz="0" w:space="0" w:color="auto"/>
        <w:right w:val="none" w:sz="0" w:space="0" w:color="auto"/>
      </w:divBdr>
      <w:divsChild>
        <w:div w:id="1048644868">
          <w:marLeft w:val="0"/>
          <w:marRight w:val="0"/>
          <w:marTop w:val="0"/>
          <w:marBottom w:val="0"/>
          <w:divBdr>
            <w:top w:val="none" w:sz="0" w:space="0" w:color="auto"/>
            <w:left w:val="none" w:sz="0" w:space="0" w:color="auto"/>
            <w:bottom w:val="none" w:sz="0" w:space="0" w:color="auto"/>
            <w:right w:val="none" w:sz="0" w:space="0" w:color="auto"/>
          </w:divBdr>
          <w:divsChild>
            <w:div w:id="2086098645">
              <w:marLeft w:val="0"/>
              <w:marRight w:val="0"/>
              <w:marTop w:val="0"/>
              <w:marBottom w:val="0"/>
              <w:divBdr>
                <w:top w:val="none" w:sz="0" w:space="0" w:color="auto"/>
                <w:left w:val="none" w:sz="0" w:space="0" w:color="auto"/>
                <w:bottom w:val="none" w:sz="0" w:space="0" w:color="auto"/>
                <w:right w:val="none" w:sz="0" w:space="0" w:color="auto"/>
              </w:divBdr>
              <w:divsChild>
                <w:div w:id="705914560">
                  <w:marLeft w:val="0"/>
                  <w:marRight w:val="0"/>
                  <w:marTop w:val="0"/>
                  <w:marBottom w:val="0"/>
                  <w:divBdr>
                    <w:top w:val="none" w:sz="0" w:space="0" w:color="auto"/>
                    <w:left w:val="none" w:sz="0" w:space="0" w:color="auto"/>
                    <w:bottom w:val="none" w:sz="0" w:space="0" w:color="auto"/>
                    <w:right w:val="none" w:sz="0" w:space="0" w:color="auto"/>
                  </w:divBdr>
                  <w:divsChild>
                    <w:div w:id="563373925">
                      <w:marLeft w:val="0"/>
                      <w:marRight w:val="0"/>
                      <w:marTop w:val="0"/>
                      <w:marBottom w:val="1320"/>
                      <w:divBdr>
                        <w:top w:val="none" w:sz="0" w:space="0" w:color="auto"/>
                        <w:left w:val="none" w:sz="0" w:space="0" w:color="auto"/>
                        <w:bottom w:val="none" w:sz="0" w:space="0" w:color="auto"/>
                        <w:right w:val="none" w:sz="0" w:space="0" w:color="auto"/>
                      </w:divBdr>
                      <w:divsChild>
                        <w:div w:id="2082215601">
                          <w:marLeft w:val="0"/>
                          <w:marRight w:val="0"/>
                          <w:marTop w:val="0"/>
                          <w:marBottom w:val="0"/>
                          <w:divBdr>
                            <w:top w:val="none" w:sz="0" w:space="0" w:color="auto"/>
                            <w:left w:val="none" w:sz="0" w:space="0" w:color="auto"/>
                            <w:bottom w:val="none" w:sz="0" w:space="0" w:color="auto"/>
                            <w:right w:val="none" w:sz="0" w:space="0" w:color="auto"/>
                          </w:divBdr>
                          <w:divsChild>
                            <w:div w:id="2137719978">
                              <w:marLeft w:val="0"/>
                              <w:marRight w:val="0"/>
                              <w:marTop w:val="0"/>
                              <w:marBottom w:val="0"/>
                              <w:divBdr>
                                <w:top w:val="none" w:sz="0" w:space="0" w:color="auto"/>
                                <w:left w:val="none" w:sz="0" w:space="0" w:color="auto"/>
                                <w:bottom w:val="none" w:sz="0" w:space="0" w:color="auto"/>
                                <w:right w:val="none" w:sz="0" w:space="0" w:color="auto"/>
                              </w:divBdr>
                              <w:divsChild>
                                <w:div w:id="676276184">
                                  <w:marLeft w:val="0"/>
                                  <w:marRight w:val="0"/>
                                  <w:marTop w:val="0"/>
                                  <w:marBottom w:val="0"/>
                                  <w:divBdr>
                                    <w:top w:val="none" w:sz="0" w:space="0" w:color="auto"/>
                                    <w:left w:val="none" w:sz="0" w:space="0" w:color="auto"/>
                                    <w:bottom w:val="none" w:sz="0" w:space="0" w:color="auto"/>
                                    <w:right w:val="none" w:sz="0" w:space="0" w:color="auto"/>
                                  </w:divBdr>
                                </w:div>
                                <w:div w:id="385379698">
                                  <w:marLeft w:val="0"/>
                                  <w:marRight w:val="0"/>
                                  <w:marTop w:val="0"/>
                                  <w:marBottom w:val="0"/>
                                  <w:divBdr>
                                    <w:top w:val="none" w:sz="0" w:space="0" w:color="auto"/>
                                    <w:left w:val="none" w:sz="0" w:space="0" w:color="auto"/>
                                    <w:bottom w:val="none" w:sz="0" w:space="0" w:color="auto"/>
                                    <w:right w:val="none" w:sz="0" w:space="0" w:color="auto"/>
                                  </w:divBdr>
                                </w:div>
                                <w:div w:id="1192263026">
                                  <w:marLeft w:val="0"/>
                                  <w:marRight w:val="0"/>
                                  <w:marTop w:val="0"/>
                                  <w:marBottom w:val="0"/>
                                  <w:divBdr>
                                    <w:top w:val="none" w:sz="0" w:space="0" w:color="auto"/>
                                    <w:left w:val="none" w:sz="0" w:space="0" w:color="auto"/>
                                    <w:bottom w:val="none" w:sz="0" w:space="0" w:color="auto"/>
                                    <w:right w:val="none" w:sz="0" w:space="0" w:color="auto"/>
                                  </w:divBdr>
                                </w:div>
                                <w:div w:id="665015918">
                                  <w:marLeft w:val="0"/>
                                  <w:marRight w:val="0"/>
                                  <w:marTop w:val="0"/>
                                  <w:marBottom w:val="0"/>
                                  <w:divBdr>
                                    <w:top w:val="none" w:sz="0" w:space="0" w:color="auto"/>
                                    <w:left w:val="none" w:sz="0" w:space="0" w:color="auto"/>
                                    <w:bottom w:val="none" w:sz="0" w:space="0" w:color="auto"/>
                                    <w:right w:val="none" w:sz="0" w:space="0" w:color="auto"/>
                                  </w:divBdr>
                                </w:div>
                                <w:div w:id="1261990873">
                                  <w:marLeft w:val="0"/>
                                  <w:marRight w:val="0"/>
                                  <w:marTop w:val="0"/>
                                  <w:marBottom w:val="0"/>
                                  <w:divBdr>
                                    <w:top w:val="none" w:sz="0" w:space="0" w:color="auto"/>
                                    <w:left w:val="none" w:sz="0" w:space="0" w:color="auto"/>
                                    <w:bottom w:val="none" w:sz="0" w:space="0" w:color="auto"/>
                                    <w:right w:val="none" w:sz="0" w:space="0" w:color="auto"/>
                                  </w:divBdr>
                                </w:div>
                                <w:div w:id="2146387738">
                                  <w:marLeft w:val="0"/>
                                  <w:marRight w:val="0"/>
                                  <w:marTop w:val="0"/>
                                  <w:marBottom w:val="0"/>
                                  <w:divBdr>
                                    <w:top w:val="none" w:sz="0" w:space="0" w:color="auto"/>
                                    <w:left w:val="none" w:sz="0" w:space="0" w:color="auto"/>
                                    <w:bottom w:val="none" w:sz="0" w:space="0" w:color="auto"/>
                                    <w:right w:val="none" w:sz="0" w:space="0" w:color="auto"/>
                                  </w:divBdr>
                                </w:div>
                                <w:div w:id="1524128102">
                                  <w:marLeft w:val="0"/>
                                  <w:marRight w:val="0"/>
                                  <w:marTop w:val="0"/>
                                  <w:marBottom w:val="0"/>
                                  <w:divBdr>
                                    <w:top w:val="none" w:sz="0" w:space="0" w:color="auto"/>
                                    <w:left w:val="none" w:sz="0" w:space="0" w:color="auto"/>
                                    <w:bottom w:val="none" w:sz="0" w:space="0" w:color="auto"/>
                                    <w:right w:val="none" w:sz="0" w:space="0" w:color="auto"/>
                                  </w:divBdr>
                                </w:div>
                                <w:div w:id="869991246">
                                  <w:marLeft w:val="0"/>
                                  <w:marRight w:val="0"/>
                                  <w:marTop w:val="0"/>
                                  <w:marBottom w:val="0"/>
                                  <w:divBdr>
                                    <w:top w:val="none" w:sz="0" w:space="0" w:color="auto"/>
                                    <w:left w:val="none" w:sz="0" w:space="0" w:color="auto"/>
                                    <w:bottom w:val="none" w:sz="0" w:space="0" w:color="auto"/>
                                    <w:right w:val="none" w:sz="0" w:space="0" w:color="auto"/>
                                  </w:divBdr>
                                </w:div>
                                <w:div w:id="1100029805">
                                  <w:marLeft w:val="0"/>
                                  <w:marRight w:val="0"/>
                                  <w:marTop w:val="0"/>
                                  <w:marBottom w:val="0"/>
                                  <w:divBdr>
                                    <w:top w:val="none" w:sz="0" w:space="0" w:color="auto"/>
                                    <w:left w:val="none" w:sz="0" w:space="0" w:color="auto"/>
                                    <w:bottom w:val="none" w:sz="0" w:space="0" w:color="auto"/>
                                    <w:right w:val="none" w:sz="0" w:space="0" w:color="auto"/>
                                  </w:divBdr>
                                </w:div>
                                <w:div w:id="6505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194FF117A6C6A41820AD53491BE7D27" ma:contentTypeVersion="0" ma:contentTypeDescription="A content type to manage public (operations) IDB documents" ma:contentTypeScope="" ma:versionID="7ca13c2b8d26068271a24032963d6b4d">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39810002</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IFD/FMM</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Lopez Ghio, Ramiro Andres</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CO-L1155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RM-FIS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F44BD8AF-F393-43B2-99C9-A3E75BFC79F2}"/>
</file>

<file path=customXml/itemProps2.xml><?xml version="1.0" encoding="utf-8"?>
<ds:datastoreItem xmlns:ds="http://schemas.openxmlformats.org/officeDocument/2006/customXml" ds:itemID="{0DEEF627-6452-43CE-8A3D-3DBF7A507BF0}"/>
</file>

<file path=customXml/itemProps3.xml><?xml version="1.0" encoding="utf-8"?>
<ds:datastoreItem xmlns:ds="http://schemas.openxmlformats.org/officeDocument/2006/customXml" ds:itemID="{990A2E64-71E2-4671-82B5-131653E02DF0}"/>
</file>

<file path=customXml/itemProps4.xml><?xml version="1.0" encoding="utf-8"?>
<ds:datastoreItem xmlns:ds="http://schemas.openxmlformats.org/officeDocument/2006/customXml" ds:itemID="{7C850FB6-280A-419F-9293-0C7397A4D580}"/>
</file>

<file path=customXml/itemProps5.xml><?xml version="1.0" encoding="utf-8"?>
<ds:datastoreItem xmlns:ds="http://schemas.openxmlformats.org/officeDocument/2006/customXml" ds:itemID="{AE49B403-CEE0-4916-BDBC-161C2131787C}"/>
</file>

<file path=customXml/itemProps6.xml><?xml version="1.0" encoding="utf-8"?>
<ds:datastoreItem xmlns:ds="http://schemas.openxmlformats.org/officeDocument/2006/customXml" ds:itemID="{B6B63775-650A-43F7-A6C5-5EE6E70A9184}"/>
</file>

<file path=docProps/app.xml><?xml version="1.0" encoding="utf-8"?>
<Properties xmlns="http://schemas.openxmlformats.org/officeDocument/2006/extended-properties" xmlns:vt="http://schemas.openxmlformats.org/officeDocument/2006/docPropsVTypes">
  <Template>Normal.dotm</Template>
  <TotalTime>78</TotalTime>
  <Pages>17</Pages>
  <Words>5932</Words>
  <Characters>33816</Characters>
  <Application>Microsoft Office Word</Application>
  <DocSecurity>0</DocSecurity>
  <Lines>281</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39669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de Ciudad (Montería)</dc:title>
  <dc:creator>Inter-American Development Bank</dc:creator>
  <cp:lastModifiedBy>Marianac</cp:lastModifiedBy>
  <cp:revision>15</cp:revision>
  <dcterms:created xsi:type="dcterms:W3CDTF">2015-08-03T21:54:00Z</dcterms:created>
  <dcterms:modified xsi:type="dcterms:W3CDTF">2015-11-09T19:44:00Z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0x01010046CF21643EE8D14686A648AA6DAD0892008194FF117A6C6A41820AD53491BE7D27</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