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40" w:rsidRPr="00E70693" w:rsidRDefault="00D02240" w:rsidP="00FA2C9A">
      <w:pPr>
        <w:keepNext/>
        <w:keepLines/>
        <w:widowControl w:val="0"/>
        <w:tabs>
          <w:tab w:val="left" w:pos="1260"/>
        </w:tabs>
        <w:jc w:val="both"/>
        <w:rPr>
          <w:rFonts w:ascii="Arial" w:hAnsi="Arial" w:cs="Arial"/>
          <w:spacing w:val="-3"/>
          <w:sz w:val="20"/>
        </w:rPr>
      </w:pPr>
    </w:p>
    <w:p w:rsidR="00FA2C9A" w:rsidRPr="00E70693" w:rsidRDefault="00FA2C9A" w:rsidP="00FA2C9A">
      <w:pPr>
        <w:jc w:val="center"/>
        <w:rPr>
          <w:rFonts w:ascii="Arial" w:hAnsi="Arial" w:cs="Arial"/>
        </w:rPr>
      </w:pPr>
      <w:r w:rsidRPr="00E70693">
        <w:rPr>
          <w:rFonts w:ascii="Arial" w:hAnsi="Arial" w:cs="Arial"/>
        </w:rPr>
        <w:t xml:space="preserve"> Banco Interamericano de Desarrollo</w:t>
      </w:r>
    </w:p>
    <w:p w:rsidR="00FA2C9A" w:rsidRPr="00E70693" w:rsidRDefault="00FA2C9A" w:rsidP="00FA2C9A">
      <w:pPr>
        <w:pStyle w:val="ListParagraph"/>
        <w:rPr>
          <w:rFonts w:ascii="Arial" w:hAnsi="Arial" w:cs="Arial"/>
        </w:rPr>
      </w:pPr>
    </w:p>
    <w:p w:rsidR="00FA2C9A" w:rsidRPr="00E70693" w:rsidRDefault="00FA2C9A" w:rsidP="00FA2C9A">
      <w:pPr>
        <w:rPr>
          <w:rFonts w:ascii="Arial" w:hAnsi="Arial" w:cs="Arial"/>
        </w:rPr>
      </w:pPr>
    </w:p>
    <w:p w:rsidR="00FA2C9A" w:rsidRPr="00E70693" w:rsidRDefault="00FA2C9A" w:rsidP="00FA2C9A">
      <w:pPr>
        <w:rPr>
          <w:rFonts w:ascii="Arial" w:hAnsi="Arial" w:cs="Arial"/>
        </w:rPr>
      </w:pPr>
    </w:p>
    <w:p w:rsidR="00FA2C9A" w:rsidRPr="00E70693" w:rsidRDefault="00FA2C9A" w:rsidP="00FA2C9A">
      <w:pPr>
        <w:jc w:val="center"/>
        <w:rPr>
          <w:rFonts w:ascii="Arial" w:hAnsi="Arial" w:cs="Arial"/>
        </w:rPr>
      </w:pPr>
      <w:r w:rsidRPr="00E70693">
        <w:rPr>
          <w:rFonts w:ascii="Arial" w:hAnsi="Arial" w:cs="Arial"/>
        </w:rPr>
        <w:t>NICARAGUA</w:t>
      </w:r>
    </w:p>
    <w:p w:rsidR="00FA2C9A" w:rsidRPr="00E70693" w:rsidRDefault="00FA2C9A" w:rsidP="00FA2C9A">
      <w:pPr>
        <w:jc w:val="center"/>
        <w:rPr>
          <w:rFonts w:ascii="Arial" w:hAnsi="Arial" w:cs="Arial"/>
        </w:rPr>
      </w:pPr>
    </w:p>
    <w:p w:rsidR="009F23C4" w:rsidRPr="00E70693" w:rsidRDefault="000D2F86" w:rsidP="009F23C4">
      <w:pPr>
        <w:jc w:val="center"/>
        <w:rPr>
          <w:rFonts w:ascii="Arial" w:hAnsi="Arial" w:cs="Arial"/>
          <w:lang w:val="es-SV"/>
        </w:rPr>
      </w:pPr>
      <w:r w:rsidRPr="00E70693">
        <w:rPr>
          <w:rFonts w:ascii="Arial" w:hAnsi="Arial" w:cs="Arial"/>
          <w:lang w:val="es-SV"/>
        </w:rPr>
        <w:t>PRO</w:t>
      </w:r>
      <w:r w:rsidR="00714F17" w:rsidRPr="00E70693">
        <w:rPr>
          <w:rFonts w:ascii="Arial" w:hAnsi="Arial" w:cs="Arial"/>
          <w:lang w:val="es-SV"/>
        </w:rPr>
        <w:t>GRAMA</w:t>
      </w:r>
      <w:r w:rsidRPr="00E70693">
        <w:rPr>
          <w:rFonts w:ascii="Arial" w:hAnsi="Arial" w:cs="Arial"/>
          <w:lang w:val="es-SV"/>
        </w:rPr>
        <w:t xml:space="preserve"> DE INTEGRACIÓN VIAL</w:t>
      </w:r>
    </w:p>
    <w:p w:rsidR="00FA2C9A" w:rsidRPr="00E70693" w:rsidRDefault="009F23C4" w:rsidP="009F23C4">
      <w:pPr>
        <w:jc w:val="center"/>
        <w:rPr>
          <w:rFonts w:ascii="Arial" w:hAnsi="Arial" w:cs="Arial"/>
        </w:rPr>
      </w:pPr>
      <w:r w:rsidRPr="00E70693">
        <w:rPr>
          <w:rFonts w:ascii="Arial" w:hAnsi="Arial" w:cs="Arial"/>
        </w:rPr>
        <w:t xml:space="preserve"> </w:t>
      </w:r>
      <w:r w:rsidR="00FA2C9A" w:rsidRPr="00E70693">
        <w:rPr>
          <w:rFonts w:ascii="Arial" w:hAnsi="Arial" w:cs="Arial"/>
        </w:rPr>
        <w:t>(NI-</w:t>
      </w:r>
      <w:r w:rsidR="00FE226D" w:rsidRPr="00E70693">
        <w:rPr>
          <w:rFonts w:ascii="Arial" w:hAnsi="Arial" w:cs="Arial"/>
        </w:rPr>
        <w:t>L1092</w:t>
      </w:r>
      <w:r w:rsidR="00FA2C9A" w:rsidRPr="00E70693">
        <w:rPr>
          <w:rFonts w:ascii="Arial" w:hAnsi="Arial" w:cs="Arial"/>
        </w:rPr>
        <w:t>)</w:t>
      </w:r>
    </w:p>
    <w:p w:rsidR="00FA2C9A" w:rsidRPr="00E70693" w:rsidRDefault="00FA2C9A" w:rsidP="00FA2C9A">
      <w:pPr>
        <w:pStyle w:val="Newpage"/>
        <w:rPr>
          <w:rFonts w:ascii="Arial" w:hAnsi="Arial" w:cs="Arial"/>
        </w:rPr>
      </w:pPr>
    </w:p>
    <w:p w:rsidR="00FA2C9A" w:rsidRPr="00E70693" w:rsidRDefault="00FA2C9A" w:rsidP="00FA2C9A">
      <w:pPr>
        <w:jc w:val="center"/>
        <w:rPr>
          <w:rFonts w:ascii="Arial" w:hAnsi="Arial" w:cs="Arial"/>
        </w:rPr>
      </w:pPr>
    </w:p>
    <w:p w:rsidR="00FA2C9A" w:rsidRPr="00E70693" w:rsidRDefault="00FA2C9A" w:rsidP="00FA2C9A">
      <w:pPr>
        <w:jc w:val="center"/>
        <w:rPr>
          <w:rFonts w:ascii="Arial" w:hAnsi="Arial" w:cs="Arial"/>
        </w:rPr>
      </w:pPr>
      <w:r w:rsidRPr="00E70693">
        <w:rPr>
          <w:rFonts w:ascii="Arial" w:hAnsi="Arial" w:cs="Arial"/>
        </w:rPr>
        <w:t xml:space="preserve">Análisis de Capacidad Institucional </w:t>
      </w:r>
      <w:r w:rsidR="007C5160">
        <w:rPr>
          <w:rFonts w:ascii="Arial" w:hAnsi="Arial" w:cs="Arial"/>
        </w:rPr>
        <w:t xml:space="preserve">e </w:t>
      </w:r>
      <w:bookmarkStart w:id="0" w:name="_GoBack"/>
      <w:bookmarkEnd w:id="0"/>
      <w:r w:rsidRPr="00E70693">
        <w:rPr>
          <w:rFonts w:ascii="Arial" w:hAnsi="Arial" w:cs="Arial"/>
        </w:rPr>
        <w:t xml:space="preserve"> Implementación</w:t>
      </w:r>
    </w:p>
    <w:p w:rsidR="00FA2C9A" w:rsidRPr="00E70693" w:rsidRDefault="00FE226D" w:rsidP="00FA2C9A">
      <w:pPr>
        <w:jc w:val="center"/>
        <w:rPr>
          <w:rFonts w:ascii="Arial" w:hAnsi="Arial" w:cs="Arial"/>
        </w:rPr>
      </w:pPr>
      <w:r w:rsidRPr="00E70693">
        <w:rPr>
          <w:rFonts w:ascii="Arial" w:hAnsi="Arial" w:cs="Arial"/>
        </w:rPr>
        <w:t xml:space="preserve">Mayo </w:t>
      </w:r>
      <w:r w:rsidR="00FA2C9A" w:rsidRPr="00E70693">
        <w:rPr>
          <w:rFonts w:ascii="Arial" w:hAnsi="Arial" w:cs="Arial"/>
        </w:rPr>
        <w:t xml:space="preserve">de </w:t>
      </w:r>
      <w:r w:rsidRPr="00E70693">
        <w:rPr>
          <w:rFonts w:ascii="Arial" w:hAnsi="Arial" w:cs="Arial"/>
        </w:rPr>
        <w:t>2015</w:t>
      </w:r>
    </w:p>
    <w:p w:rsidR="00FA2C9A" w:rsidRPr="00E70693" w:rsidRDefault="00FA2C9A" w:rsidP="00FA2C9A">
      <w:pPr>
        <w:pStyle w:val="ListParagraph"/>
        <w:jc w:val="center"/>
        <w:rPr>
          <w:rFonts w:ascii="Arial" w:hAnsi="Arial" w:cs="Arial"/>
        </w:rPr>
      </w:pPr>
    </w:p>
    <w:p w:rsidR="00FA2C9A" w:rsidRPr="00E70693" w:rsidRDefault="00FA2C9A" w:rsidP="00FA2C9A">
      <w:pPr>
        <w:pStyle w:val="ListParagraph"/>
        <w:rPr>
          <w:rFonts w:ascii="Arial" w:hAnsi="Arial" w:cs="Arial"/>
        </w:rPr>
      </w:pPr>
    </w:p>
    <w:p w:rsidR="00FA2C9A" w:rsidRPr="00E70693" w:rsidRDefault="00FA2C9A" w:rsidP="00FA2C9A">
      <w:pPr>
        <w:pStyle w:val="ListParagraph"/>
        <w:rPr>
          <w:rFonts w:ascii="Arial" w:hAnsi="Arial" w:cs="Arial"/>
        </w:rPr>
      </w:pPr>
    </w:p>
    <w:p w:rsidR="00FA2C9A" w:rsidRPr="00E70693" w:rsidRDefault="00FA2C9A" w:rsidP="00FA2C9A">
      <w:pPr>
        <w:pStyle w:val="ListParagraph"/>
        <w:rPr>
          <w:rFonts w:ascii="Arial" w:hAnsi="Arial" w:cs="Arial"/>
        </w:rPr>
      </w:pPr>
    </w:p>
    <w:p w:rsidR="00FA2C9A" w:rsidRPr="00E70693" w:rsidRDefault="00FA2C9A" w:rsidP="00FA2C9A">
      <w:pPr>
        <w:pStyle w:val="ListParagraph"/>
        <w:rPr>
          <w:rFonts w:ascii="Arial" w:hAnsi="Arial" w:cs="Arial"/>
        </w:rPr>
      </w:pPr>
    </w:p>
    <w:p w:rsidR="00FA2C9A" w:rsidRPr="00E70693" w:rsidRDefault="00FA2C9A" w:rsidP="00FA2C9A">
      <w:pPr>
        <w:pStyle w:val="ListParagraph"/>
        <w:rPr>
          <w:rFonts w:ascii="Arial" w:hAnsi="Arial" w:cs="Arial"/>
        </w:rPr>
      </w:pPr>
    </w:p>
    <w:p w:rsidR="00FA2C9A" w:rsidRPr="00E70693" w:rsidRDefault="00FA2C9A" w:rsidP="00FA2C9A">
      <w:pPr>
        <w:pStyle w:val="ListParagraph"/>
        <w:rPr>
          <w:rFonts w:ascii="Arial" w:hAnsi="Arial" w:cs="Arial"/>
        </w:rPr>
      </w:pPr>
    </w:p>
    <w:p w:rsidR="00FA2C9A" w:rsidRPr="00E70693" w:rsidRDefault="00FA2C9A" w:rsidP="00FA2C9A">
      <w:pPr>
        <w:pStyle w:val="ListParagraph"/>
        <w:rPr>
          <w:rFonts w:ascii="Arial" w:hAnsi="Arial" w:cs="Arial"/>
        </w:rPr>
      </w:pPr>
    </w:p>
    <w:p w:rsidR="00FA2C9A" w:rsidRPr="00E70693" w:rsidRDefault="00090D65" w:rsidP="00FA2C9A">
      <w:pPr>
        <w:pStyle w:val="BodyText"/>
        <w:pBdr>
          <w:top w:val="single" w:sz="4" w:space="1" w:color="auto"/>
          <w:left w:val="single" w:sz="4" w:space="4" w:color="auto"/>
          <w:bottom w:val="single" w:sz="4" w:space="1" w:color="auto"/>
          <w:right w:val="single" w:sz="4" w:space="4" w:color="auto"/>
        </w:pBdr>
        <w:jc w:val="both"/>
        <w:rPr>
          <w:rFonts w:ascii="Arial" w:hAnsi="Arial" w:cs="Arial"/>
        </w:rPr>
      </w:pPr>
      <w:r w:rsidRPr="00E70693">
        <w:rPr>
          <w:rFonts w:ascii="Arial" w:hAnsi="Arial" w:cs="Arial"/>
          <w:lang w:val="es-PY"/>
        </w:rPr>
        <w:t xml:space="preserve">El presente documento fue elaborado por Alcides Moreno Arréllaga, consultor contratado por el Banco Interamericano de Desarrollo para apoyar las operaciones del sector Trasporte en Nicaragua. </w:t>
      </w:r>
      <w:r w:rsidR="00D2672F" w:rsidRPr="00E70693">
        <w:rPr>
          <w:rFonts w:ascii="Arial" w:hAnsi="Arial" w:cs="Arial"/>
          <w:lang w:val="es-PY"/>
        </w:rPr>
        <w:t xml:space="preserve">Cualquier concepto vertido en este análisis es responsabilidad exclusiva del consultor. </w:t>
      </w:r>
      <w:r w:rsidRPr="00E70693">
        <w:rPr>
          <w:rFonts w:ascii="Arial" w:hAnsi="Arial" w:cs="Arial"/>
          <w:lang w:val="es-PY"/>
        </w:rPr>
        <w:t>No es un documento oficial del BID.</w:t>
      </w:r>
    </w:p>
    <w:p w:rsidR="00FA2C9A" w:rsidRPr="00E70693" w:rsidRDefault="00FA2C9A" w:rsidP="00FA2C9A">
      <w:pPr>
        <w:rPr>
          <w:rFonts w:ascii="Arial" w:hAnsi="Arial" w:cs="Arial"/>
        </w:rPr>
      </w:pPr>
    </w:p>
    <w:p w:rsidR="00FA2C9A" w:rsidRPr="00E70693" w:rsidRDefault="00FA2C9A" w:rsidP="00FA2C9A">
      <w:pPr>
        <w:rPr>
          <w:rFonts w:ascii="Arial" w:hAnsi="Arial" w:cs="Arial"/>
        </w:rPr>
        <w:sectPr w:rsidR="00FA2C9A" w:rsidRPr="00E70693" w:rsidSect="00F13526">
          <w:footerReference w:type="default" r:id="rId9"/>
          <w:footerReference w:type="first" r:id="rId10"/>
          <w:pgSz w:w="11907" w:h="16839" w:code="9"/>
          <w:pgMar w:top="1440" w:right="1800" w:bottom="1440" w:left="1800" w:header="720" w:footer="432" w:gutter="0"/>
          <w:cols w:space="720"/>
          <w:vAlign w:val="both"/>
          <w:docGrid w:linePitch="360"/>
        </w:sectPr>
      </w:pPr>
    </w:p>
    <w:p w:rsidR="00FA2C9A" w:rsidRPr="00E70693" w:rsidRDefault="00FA2C9A" w:rsidP="00FA2C9A">
      <w:pPr>
        <w:pStyle w:val="Newpage"/>
        <w:rPr>
          <w:rFonts w:ascii="Arial" w:hAnsi="Arial" w:cs="Arial"/>
          <w:sz w:val="28"/>
          <w:szCs w:val="28"/>
        </w:rPr>
      </w:pPr>
    </w:p>
    <w:p w:rsidR="00FA2C9A" w:rsidRPr="00E70693" w:rsidRDefault="00FA2C9A" w:rsidP="00FA2C9A">
      <w:pPr>
        <w:pStyle w:val="Newpage"/>
        <w:rPr>
          <w:rFonts w:ascii="Arial" w:hAnsi="Arial" w:cs="Arial"/>
          <w:szCs w:val="24"/>
          <w:lang w:val="es-ES_tradnl"/>
        </w:rPr>
      </w:pPr>
      <w:r w:rsidRPr="00E70693">
        <w:rPr>
          <w:rFonts w:ascii="Arial" w:hAnsi="Arial" w:cs="Arial"/>
          <w:szCs w:val="24"/>
          <w:lang w:val="es-ES_tradnl"/>
        </w:rPr>
        <w:t>Siglas y Abreviaturas</w:t>
      </w:r>
    </w:p>
    <w:p w:rsidR="00FA2C9A" w:rsidRPr="00E70693" w:rsidRDefault="00FA2C9A" w:rsidP="00FA2C9A">
      <w:pPr>
        <w:tabs>
          <w:tab w:val="left" w:pos="3060"/>
        </w:tabs>
        <w:jc w:val="both"/>
        <w:rPr>
          <w:rFonts w:ascii="Arial" w:hAnsi="Arial" w:cs="Arial"/>
          <w:b/>
          <w:szCs w:val="24"/>
        </w:rPr>
      </w:pPr>
    </w:p>
    <w:tbl>
      <w:tblPr>
        <w:tblW w:w="8578" w:type="dxa"/>
        <w:tblInd w:w="392" w:type="dxa"/>
        <w:tblLayout w:type="fixed"/>
        <w:tblLook w:val="0000" w:firstRow="0" w:lastRow="0" w:firstColumn="0" w:lastColumn="0" w:noHBand="0" w:noVBand="0"/>
      </w:tblPr>
      <w:tblGrid>
        <w:gridCol w:w="1559"/>
        <w:gridCol w:w="7019"/>
      </w:tblGrid>
      <w:tr w:rsidR="00FA2C9A" w:rsidRPr="00E70693" w:rsidTr="000701AD">
        <w:trPr>
          <w:cantSplit/>
          <w:trHeight w:val="20"/>
        </w:trPr>
        <w:tc>
          <w:tcPr>
            <w:tcW w:w="1559" w:type="dxa"/>
            <w:vAlign w:val="center"/>
          </w:tcPr>
          <w:p w:rsidR="00FA2C9A" w:rsidRPr="00E70693" w:rsidRDefault="00FA2C9A" w:rsidP="000701AD">
            <w:pPr>
              <w:keepNext/>
              <w:widowControl w:val="0"/>
              <w:spacing w:before="40" w:after="40"/>
              <w:ind w:left="40"/>
              <w:rPr>
                <w:rFonts w:ascii="Arial" w:hAnsi="Arial" w:cs="Arial"/>
                <w:szCs w:val="24"/>
                <w:lang w:val="es-ES"/>
              </w:rPr>
            </w:pPr>
            <w:r w:rsidRPr="00E70693">
              <w:rPr>
                <w:rFonts w:ascii="Arial" w:hAnsi="Arial" w:cs="Arial"/>
                <w:szCs w:val="24"/>
                <w:lang w:val="es-ES"/>
              </w:rPr>
              <w:t>BID</w:t>
            </w:r>
          </w:p>
        </w:tc>
        <w:tc>
          <w:tcPr>
            <w:tcW w:w="7019" w:type="dxa"/>
            <w:vAlign w:val="center"/>
          </w:tcPr>
          <w:p w:rsidR="00FA2C9A" w:rsidRPr="00E70693" w:rsidRDefault="00FA2C9A" w:rsidP="00DF3FFF">
            <w:pPr>
              <w:keepNext/>
              <w:widowControl w:val="0"/>
              <w:spacing w:before="40" w:after="40"/>
              <w:ind w:left="34"/>
              <w:rPr>
                <w:rFonts w:ascii="Arial" w:hAnsi="Arial" w:cs="Arial"/>
                <w:szCs w:val="24"/>
                <w:lang w:val="es-ES"/>
              </w:rPr>
            </w:pPr>
            <w:r w:rsidRPr="00E70693">
              <w:rPr>
                <w:rFonts w:ascii="Arial" w:hAnsi="Arial" w:cs="Arial"/>
                <w:szCs w:val="24"/>
                <w:lang w:val="es-ES"/>
              </w:rPr>
              <w:t>Banco Interamericano de Desarrollo</w:t>
            </w:r>
          </w:p>
        </w:tc>
      </w:tr>
      <w:tr w:rsidR="00FA2C9A" w:rsidRPr="00E70693" w:rsidTr="000701AD">
        <w:trPr>
          <w:cantSplit/>
          <w:trHeight w:val="20"/>
        </w:trPr>
        <w:tc>
          <w:tcPr>
            <w:tcW w:w="1559" w:type="dxa"/>
            <w:vAlign w:val="center"/>
          </w:tcPr>
          <w:p w:rsidR="00FA2C9A" w:rsidRPr="00E70693" w:rsidRDefault="00FA2C9A" w:rsidP="000701AD">
            <w:pPr>
              <w:keepNext/>
              <w:widowControl w:val="0"/>
              <w:spacing w:before="40" w:after="40"/>
              <w:ind w:left="40"/>
              <w:rPr>
                <w:rFonts w:ascii="Arial" w:hAnsi="Arial" w:cs="Arial"/>
                <w:szCs w:val="24"/>
                <w:lang w:val="es-ES"/>
              </w:rPr>
            </w:pPr>
            <w:r w:rsidRPr="00E70693">
              <w:rPr>
                <w:rFonts w:ascii="Arial" w:hAnsi="Arial" w:cs="Arial"/>
                <w:szCs w:val="24"/>
                <w:lang w:val="es-ES"/>
              </w:rPr>
              <w:t>MTI</w:t>
            </w:r>
          </w:p>
        </w:tc>
        <w:tc>
          <w:tcPr>
            <w:tcW w:w="7019" w:type="dxa"/>
            <w:vAlign w:val="center"/>
          </w:tcPr>
          <w:p w:rsidR="00FA2C9A" w:rsidRPr="00E70693" w:rsidRDefault="00FA2C9A" w:rsidP="00DF3FFF">
            <w:pPr>
              <w:keepNext/>
              <w:widowControl w:val="0"/>
              <w:spacing w:before="40" w:after="40"/>
              <w:ind w:left="34"/>
              <w:rPr>
                <w:rFonts w:ascii="Arial" w:hAnsi="Arial" w:cs="Arial"/>
                <w:szCs w:val="24"/>
                <w:lang w:val="pt-BR"/>
              </w:rPr>
            </w:pPr>
            <w:proofErr w:type="spellStart"/>
            <w:r w:rsidRPr="00E70693">
              <w:rPr>
                <w:rFonts w:ascii="Arial" w:hAnsi="Arial" w:cs="Arial"/>
                <w:szCs w:val="24"/>
                <w:lang w:val="pt-BR"/>
              </w:rPr>
              <w:t>Ministerio</w:t>
            </w:r>
            <w:proofErr w:type="spellEnd"/>
            <w:r w:rsidRPr="00E70693">
              <w:rPr>
                <w:rFonts w:ascii="Arial" w:hAnsi="Arial" w:cs="Arial"/>
                <w:szCs w:val="24"/>
                <w:lang w:val="pt-BR"/>
              </w:rPr>
              <w:t xml:space="preserve"> de Transporte e </w:t>
            </w:r>
            <w:proofErr w:type="spellStart"/>
            <w:r w:rsidRPr="00E70693">
              <w:rPr>
                <w:rFonts w:ascii="Arial" w:hAnsi="Arial" w:cs="Arial"/>
                <w:szCs w:val="24"/>
                <w:lang w:val="pt-BR"/>
              </w:rPr>
              <w:t>Infraestructura</w:t>
            </w:r>
            <w:proofErr w:type="spellEnd"/>
            <w:r w:rsidRPr="00E70693">
              <w:rPr>
                <w:rFonts w:ascii="Arial" w:hAnsi="Arial" w:cs="Arial"/>
                <w:szCs w:val="24"/>
                <w:lang w:val="pt-BR"/>
              </w:rPr>
              <w:t xml:space="preserve"> - </w:t>
            </w:r>
            <w:proofErr w:type="spellStart"/>
            <w:r w:rsidRPr="00E70693">
              <w:rPr>
                <w:rFonts w:ascii="Arial" w:hAnsi="Arial" w:cs="Arial"/>
                <w:szCs w:val="24"/>
                <w:lang w:val="pt-BR"/>
              </w:rPr>
              <w:t>Nicaragua</w:t>
            </w:r>
            <w:proofErr w:type="spellEnd"/>
          </w:p>
        </w:tc>
      </w:tr>
      <w:tr w:rsidR="00FA2C9A" w:rsidRPr="00E70693" w:rsidTr="000701AD">
        <w:trPr>
          <w:cantSplit/>
          <w:trHeight w:val="20"/>
        </w:trPr>
        <w:tc>
          <w:tcPr>
            <w:tcW w:w="1559" w:type="dxa"/>
            <w:vAlign w:val="center"/>
          </w:tcPr>
          <w:p w:rsidR="00FA2C9A" w:rsidRPr="00E70693" w:rsidRDefault="00FA2C9A" w:rsidP="000701AD">
            <w:pPr>
              <w:keepNext/>
              <w:widowControl w:val="0"/>
              <w:spacing w:before="40" w:after="40"/>
              <w:ind w:left="40"/>
              <w:rPr>
                <w:rFonts w:ascii="Arial" w:hAnsi="Arial" w:cs="Arial"/>
                <w:szCs w:val="24"/>
                <w:lang w:val="es-ES"/>
              </w:rPr>
            </w:pPr>
            <w:r w:rsidRPr="00E70693">
              <w:rPr>
                <w:rFonts w:ascii="Arial" w:hAnsi="Arial" w:cs="Arial"/>
                <w:szCs w:val="24"/>
                <w:lang w:val="es-ES"/>
              </w:rPr>
              <w:t>FOMAV</w:t>
            </w:r>
          </w:p>
        </w:tc>
        <w:tc>
          <w:tcPr>
            <w:tcW w:w="7019" w:type="dxa"/>
            <w:vAlign w:val="center"/>
          </w:tcPr>
          <w:p w:rsidR="00FA2C9A" w:rsidRPr="00E70693" w:rsidRDefault="00FA2C9A" w:rsidP="00DF3FFF">
            <w:pPr>
              <w:keepNext/>
              <w:widowControl w:val="0"/>
              <w:spacing w:before="40" w:after="40"/>
              <w:ind w:left="34"/>
              <w:rPr>
                <w:rFonts w:ascii="Arial" w:hAnsi="Arial" w:cs="Arial"/>
                <w:szCs w:val="24"/>
                <w:lang w:val="es-ES"/>
              </w:rPr>
            </w:pPr>
            <w:r w:rsidRPr="00E70693">
              <w:rPr>
                <w:rFonts w:ascii="Arial" w:hAnsi="Arial" w:cs="Arial"/>
                <w:szCs w:val="24"/>
                <w:lang w:val="es-ES"/>
              </w:rPr>
              <w:t>Fondo de Mantenimiento Vial - Nicaragua</w:t>
            </w:r>
          </w:p>
        </w:tc>
      </w:tr>
      <w:tr w:rsidR="00FA2C9A" w:rsidRPr="00E70693" w:rsidTr="000701AD">
        <w:trPr>
          <w:cantSplit/>
          <w:trHeight w:val="20"/>
        </w:trPr>
        <w:tc>
          <w:tcPr>
            <w:tcW w:w="1559" w:type="dxa"/>
            <w:vAlign w:val="center"/>
          </w:tcPr>
          <w:p w:rsidR="00FA2C9A" w:rsidRPr="00E70693" w:rsidRDefault="00FA2C9A" w:rsidP="000701AD">
            <w:pPr>
              <w:keepNext/>
              <w:widowControl w:val="0"/>
              <w:spacing w:before="40" w:after="40"/>
              <w:ind w:left="40"/>
              <w:rPr>
                <w:rFonts w:ascii="Arial" w:hAnsi="Arial" w:cs="Arial"/>
                <w:szCs w:val="24"/>
                <w:lang w:val="es-ES"/>
              </w:rPr>
            </w:pPr>
            <w:bookmarkStart w:id="1" w:name="ESSectionPages0"/>
            <w:bookmarkStart w:id="2" w:name="ESSectionPages"/>
            <w:bookmarkStart w:id="3" w:name="_Toc190151125"/>
            <w:bookmarkStart w:id="4" w:name="_Toc203361946"/>
            <w:bookmarkStart w:id="5" w:name="_Toc203380412"/>
            <w:bookmarkStart w:id="6" w:name="_Toc203380789"/>
            <w:bookmarkStart w:id="7" w:name="_Toc205005140"/>
            <w:bookmarkEnd w:id="1"/>
            <w:bookmarkEnd w:id="2"/>
            <w:r w:rsidRPr="00E70693">
              <w:rPr>
                <w:rFonts w:ascii="Arial" w:hAnsi="Arial" w:cs="Arial"/>
                <w:szCs w:val="24"/>
                <w:lang w:val="es-ES"/>
              </w:rPr>
              <w:t>UCP</w:t>
            </w:r>
            <w:r w:rsidR="001B0603" w:rsidRPr="00E70693">
              <w:rPr>
                <w:rFonts w:ascii="Arial" w:hAnsi="Arial" w:cs="Arial"/>
                <w:szCs w:val="24"/>
                <w:lang w:val="es-ES"/>
              </w:rPr>
              <w:t>-BID</w:t>
            </w:r>
          </w:p>
        </w:tc>
        <w:tc>
          <w:tcPr>
            <w:tcW w:w="7019" w:type="dxa"/>
            <w:vAlign w:val="center"/>
          </w:tcPr>
          <w:p w:rsidR="00FA2C9A" w:rsidRPr="00E70693" w:rsidRDefault="00FA2C9A" w:rsidP="00DF3FFF">
            <w:pPr>
              <w:keepNext/>
              <w:widowControl w:val="0"/>
              <w:spacing w:before="40" w:after="40"/>
              <w:ind w:left="34"/>
              <w:rPr>
                <w:rFonts w:ascii="Arial" w:hAnsi="Arial" w:cs="Arial"/>
                <w:szCs w:val="24"/>
                <w:lang w:val="es-ES"/>
              </w:rPr>
            </w:pPr>
            <w:r w:rsidRPr="00E70693">
              <w:rPr>
                <w:rFonts w:ascii="Arial" w:hAnsi="Arial" w:cs="Arial"/>
                <w:szCs w:val="24"/>
                <w:lang w:val="es-ES"/>
              </w:rPr>
              <w:t xml:space="preserve">Unidad </w:t>
            </w:r>
            <w:r w:rsidR="001B0603" w:rsidRPr="00E70693">
              <w:rPr>
                <w:rFonts w:ascii="Arial" w:hAnsi="Arial" w:cs="Arial"/>
                <w:szCs w:val="24"/>
                <w:lang w:val="es-ES"/>
              </w:rPr>
              <w:t>Coordinadora</w:t>
            </w:r>
            <w:r w:rsidRPr="00E70693">
              <w:rPr>
                <w:rFonts w:ascii="Arial" w:hAnsi="Arial" w:cs="Arial"/>
                <w:szCs w:val="24"/>
                <w:lang w:val="es-ES"/>
              </w:rPr>
              <w:t xml:space="preserve"> de Proyecto</w:t>
            </w:r>
            <w:r w:rsidR="001B0603" w:rsidRPr="00E70693">
              <w:rPr>
                <w:rFonts w:ascii="Arial" w:hAnsi="Arial" w:cs="Arial"/>
                <w:szCs w:val="24"/>
                <w:lang w:val="es-ES"/>
              </w:rPr>
              <w:t>s</w:t>
            </w:r>
            <w:r w:rsidRPr="00E70693">
              <w:rPr>
                <w:rFonts w:ascii="Arial" w:hAnsi="Arial" w:cs="Arial"/>
                <w:szCs w:val="24"/>
                <w:lang w:val="es-ES"/>
              </w:rPr>
              <w:t xml:space="preserve"> </w:t>
            </w:r>
            <w:r w:rsidR="001B0603" w:rsidRPr="00E70693">
              <w:rPr>
                <w:rFonts w:ascii="Arial" w:hAnsi="Arial" w:cs="Arial"/>
                <w:szCs w:val="24"/>
                <w:lang w:val="es-ES"/>
              </w:rPr>
              <w:t>-</w:t>
            </w:r>
            <w:r w:rsidRPr="00E70693">
              <w:rPr>
                <w:rFonts w:ascii="Arial" w:hAnsi="Arial" w:cs="Arial"/>
                <w:szCs w:val="24"/>
                <w:lang w:val="es-ES"/>
              </w:rPr>
              <w:t xml:space="preserve"> Recursos BID</w:t>
            </w:r>
            <w:r w:rsidR="001B0603" w:rsidRPr="00E70693">
              <w:rPr>
                <w:rFonts w:ascii="Arial" w:hAnsi="Arial" w:cs="Arial"/>
                <w:szCs w:val="24"/>
                <w:lang w:val="es-ES"/>
              </w:rPr>
              <w:t xml:space="preserve"> del</w:t>
            </w:r>
            <w:r w:rsidRPr="00E70693">
              <w:rPr>
                <w:rFonts w:ascii="Arial" w:hAnsi="Arial" w:cs="Arial"/>
                <w:szCs w:val="24"/>
                <w:lang w:val="es-ES"/>
              </w:rPr>
              <w:t xml:space="preserve"> MTI</w:t>
            </w:r>
          </w:p>
        </w:tc>
      </w:tr>
      <w:tr w:rsidR="00FA2C9A" w:rsidRPr="00E70693" w:rsidTr="000701AD">
        <w:trPr>
          <w:cantSplit/>
          <w:trHeight w:val="20"/>
        </w:trPr>
        <w:tc>
          <w:tcPr>
            <w:tcW w:w="1559" w:type="dxa"/>
            <w:vAlign w:val="center"/>
          </w:tcPr>
          <w:p w:rsidR="00FA2C9A" w:rsidRPr="00E70693" w:rsidRDefault="00FA2C9A" w:rsidP="000701AD">
            <w:pPr>
              <w:keepNext/>
              <w:widowControl w:val="0"/>
              <w:spacing w:before="40" w:after="40"/>
              <w:ind w:left="40"/>
              <w:rPr>
                <w:rFonts w:ascii="Arial" w:hAnsi="Arial" w:cs="Arial"/>
                <w:szCs w:val="24"/>
                <w:lang w:val="es-ES"/>
              </w:rPr>
            </w:pPr>
            <w:r w:rsidRPr="00E70693">
              <w:rPr>
                <w:rFonts w:ascii="Arial" w:hAnsi="Arial" w:cs="Arial"/>
                <w:szCs w:val="24"/>
                <w:lang w:val="es-ES"/>
              </w:rPr>
              <w:t>OE</w:t>
            </w:r>
          </w:p>
        </w:tc>
        <w:tc>
          <w:tcPr>
            <w:tcW w:w="7019" w:type="dxa"/>
            <w:vAlign w:val="center"/>
          </w:tcPr>
          <w:p w:rsidR="00FA2C9A" w:rsidRPr="00E70693" w:rsidRDefault="00FA2C9A" w:rsidP="00DF3FFF">
            <w:pPr>
              <w:keepNext/>
              <w:widowControl w:val="0"/>
              <w:spacing w:before="40" w:after="40"/>
              <w:ind w:left="34"/>
              <w:rPr>
                <w:rFonts w:ascii="Arial" w:hAnsi="Arial" w:cs="Arial"/>
                <w:szCs w:val="24"/>
                <w:lang w:val="es-ES"/>
              </w:rPr>
            </w:pPr>
            <w:r w:rsidRPr="00E70693">
              <w:rPr>
                <w:rFonts w:ascii="Arial" w:hAnsi="Arial" w:cs="Arial"/>
                <w:szCs w:val="24"/>
                <w:lang w:val="es-ES"/>
              </w:rPr>
              <w:t>Organismo Ejecutor</w:t>
            </w:r>
          </w:p>
        </w:tc>
      </w:tr>
      <w:tr w:rsidR="00157CF8" w:rsidRPr="00E70693" w:rsidTr="000701AD">
        <w:trPr>
          <w:cantSplit/>
          <w:trHeight w:val="20"/>
        </w:trPr>
        <w:tc>
          <w:tcPr>
            <w:tcW w:w="1559" w:type="dxa"/>
            <w:vAlign w:val="center"/>
          </w:tcPr>
          <w:p w:rsidR="00157CF8" w:rsidRPr="00E70693" w:rsidRDefault="008859DE">
            <w:pPr>
              <w:keepNext/>
              <w:widowControl w:val="0"/>
              <w:spacing w:before="40" w:after="40"/>
              <w:ind w:left="40"/>
              <w:rPr>
                <w:rFonts w:ascii="Arial" w:hAnsi="Arial" w:cs="Arial"/>
                <w:szCs w:val="24"/>
                <w:lang w:val="es-ES"/>
              </w:rPr>
            </w:pPr>
            <w:r w:rsidRPr="00E70693">
              <w:rPr>
                <w:rFonts w:ascii="Arial" w:hAnsi="Arial" w:cs="Arial"/>
                <w:szCs w:val="24"/>
                <w:lang w:val="es-ES"/>
              </w:rPr>
              <w:t>RACCN</w:t>
            </w:r>
          </w:p>
        </w:tc>
        <w:tc>
          <w:tcPr>
            <w:tcW w:w="7019" w:type="dxa"/>
            <w:vAlign w:val="center"/>
          </w:tcPr>
          <w:p w:rsidR="00157CF8" w:rsidRPr="00E70693" w:rsidRDefault="00157CF8" w:rsidP="00DF3FFF">
            <w:pPr>
              <w:keepNext/>
              <w:widowControl w:val="0"/>
              <w:spacing w:before="40" w:after="40"/>
              <w:ind w:left="34"/>
              <w:rPr>
                <w:rFonts w:ascii="Arial" w:hAnsi="Arial" w:cs="Arial"/>
                <w:szCs w:val="24"/>
                <w:lang w:val="es-ES"/>
              </w:rPr>
            </w:pPr>
            <w:r w:rsidRPr="00E70693">
              <w:rPr>
                <w:rFonts w:ascii="Arial" w:hAnsi="Arial" w:cs="Arial"/>
                <w:szCs w:val="24"/>
                <w:lang w:val="es-ES"/>
              </w:rPr>
              <w:t xml:space="preserve">Región Autónoma </w:t>
            </w:r>
            <w:r w:rsidR="008859DE" w:rsidRPr="00E70693">
              <w:rPr>
                <w:rFonts w:ascii="Arial" w:hAnsi="Arial" w:cs="Arial"/>
                <w:szCs w:val="24"/>
                <w:lang w:val="es-ES"/>
              </w:rPr>
              <w:t>Costa Caribe Norte</w:t>
            </w:r>
            <w:r w:rsidRPr="00E70693">
              <w:rPr>
                <w:rFonts w:ascii="Arial" w:hAnsi="Arial" w:cs="Arial"/>
                <w:szCs w:val="24"/>
                <w:lang w:val="es-ES"/>
              </w:rPr>
              <w:t xml:space="preserve"> - Nicaragua</w:t>
            </w:r>
          </w:p>
        </w:tc>
      </w:tr>
      <w:tr w:rsidR="00157CF8" w:rsidRPr="00E70693" w:rsidTr="000701AD">
        <w:trPr>
          <w:cantSplit/>
          <w:trHeight w:val="20"/>
        </w:trPr>
        <w:tc>
          <w:tcPr>
            <w:tcW w:w="1559" w:type="dxa"/>
            <w:vAlign w:val="center"/>
          </w:tcPr>
          <w:p w:rsidR="00157CF8" w:rsidRPr="00E70693" w:rsidRDefault="008859DE">
            <w:pPr>
              <w:keepNext/>
              <w:widowControl w:val="0"/>
              <w:spacing w:before="40" w:after="40"/>
              <w:ind w:left="40"/>
              <w:rPr>
                <w:rFonts w:ascii="Arial" w:hAnsi="Arial" w:cs="Arial"/>
                <w:szCs w:val="24"/>
                <w:lang w:val="es-ES"/>
              </w:rPr>
            </w:pPr>
            <w:r w:rsidRPr="00E70693">
              <w:rPr>
                <w:rFonts w:ascii="Arial" w:hAnsi="Arial" w:cs="Arial"/>
                <w:szCs w:val="24"/>
                <w:lang w:val="es-ES"/>
              </w:rPr>
              <w:t>RACCS</w:t>
            </w:r>
          </w:p>
        </w:tc>
        <w:tc>
          <w:tcPr>
            <w:tcW w:w="7019" w:type="dxa"/>
            <w:vAlign w:val="center"/>
          </w:tcPr>
          <w:p w:rsidR="00157CF8" w:rsidRPr="00E70693" w:rsidRDefault="00157CF8" w:rsidP="00DF3FFF">
            <w:pPr>
              <w:keepNext/>
              <w:widowControl w:val="0"/>
              <w:spacing w:before="40" w:after="40"/>
              <w:ind w:left="34"/>
              <w:rPr>
                <w:rFonts w:ascii="Arial" w:hAnsi="Arial" w:cs="Arial"/>
                <w:szCs w:val="24"/>
                <w:lang w:val="es-ES"/>
              </w:rPr>
            </w:pPr>
            <w:r w:rsidRPr="00E70693">
              <w:rPr>
                <w:rFonts w:ascii="Arial" w:hAnsi="Arial" w:cs="Arial"/>
                <w:szCs w:val="24"/>
                <w:lang w:val="es-ES"/>
              </w:rPr>
              <w:t xml:space="preserve">Región Autónoma </w:t>
            </w:r>
            <w:r w:rsidR="008859DE" w:rsidRPr="00E70693">
              <w:rPr>
                <w:rFonts w:ascii="Arial" w:hAnsi="Arial" w:cs="Arial"/>
                <w:szCs w:val="24"/>
                <w:lang w:val="es-ES"/>
              </w:rPr>
              <w:t xml:space="preserve">Costa Caribe </w:t>
            </w:r>
            <w:r w:rsidRPr="00E70693">
              <w:rPr>
                <w:rFonts w:ascii="Arial" w:hAnsi="Arial" w:cs="Arial"/>
                <w:szCs w:val="24"/>
                <w:lang w:val="es-ES"/>
              </w:rPr>
              <w:t>Sur - Nicaragua</w:t>
            </w:r>
          </w:p>
        </w:tc>
      </w:tr>
      <w:tr w:rsidR="00FA2C9A" w:rsidRPr="00E70693" w:rsidTr="000701AD">
        <w:trPr>
          <w:cantSplit/>
          <w:trHeight w:val="20"/>
        </w:trPr>
        <w:tc>
          <w:tcPr>
            <w:tcW w:w="1559" w:type="dxa"/>
            <w:vAlign w:val="center"/>
          </w:tcPr>
          <w:p w:rsidR="00FA2C9A" w:rsidRPr="00E70693" w:rsidRDefault="00FA2C9A" w:rsidP="000701AD">
            <w:pPr>
              <w:keepNext/>
              <w:widowControl w:val="0"/>
              <w:spacing w:before="40" w:after="40"/>
              <w:ind w:left="40"/>
              <w:rPr>
                <w:rFonts w:ascii="Arial" w:hAnsi="Arial" w:cs="Arial"/>
                <w:szCs w:val="24"/>
                <w:lang w:val="es-ES"/>
              </w:rPr>
            </w:pPr>
            <w:proofErr w:type="spellStart"/>
            <w:r w:rsidRPr="00E70693">
              <w:rPr>
                <w:rFonts w:ascii="Arial" w:hAnsi="Arial" w:cs="Arial"/>
                <w:szCs w:val="24"/>
                <w:lang w:val="es-ES"/>
              </w:rPr>
              <w:t>TdR</w:t>
            </w:r>
            <w:proofErr w:type="spellEnd"/>
          </w:p>
        </w:tc>
        <w:tc>
          <w:tcPr>
            <w:tcW w:w="7019" w:type="dxa"/>
            <w:vAlign w:val="center"/>
          </w:tcPr>
          <w:p w:rsidR="00FA2C9A" w:rsidRPr="00E70693" w:rsidRDefault="00FA2C9A" w:rsidP="00DF3FFF">
            <w:pPr>
              <w:keepNext/>
              <w:widowControl w:val="0"/>
              <w:spacing w:before="40" w:after="40"/>
              <w:ind w:left="34"/>
              <w:rPr>
                <w:rFonts w:ascii="Arial" w:hAnsi="Arial" w:cs="Arial"/>
                <w:szCs w:val="24"/>
                <w:lang w:val="es-ES"/>
              </w:rPr>
            </w:pPr>
            <w:r w:rsidRPr="00E70693">
              <w:rPr>
                <w:rFonts w:ascii="Arial" w:hAnsi="Arial" w:cs="Arial"/>
                <w:szCs w:val="24"/>
                <w:lang w:val="es-ES"/>
              </w:rPr>
              <w:t>Términos de Referencia</w:t>
            </w:r>
          </w:p>
        </w:tc>
      </w:tr>
      <w:tr w:rsidR="00E50638" w:rsidRPr="00E70693" w:rsidTr="000701AD">
        <w:trPr>
          <w:cantSplit/>
          <w:trHeight w:val="20"/>
        </w:trPr>
        <w:tc>
          <w:tcPr>
            <w:tcW w:w="1559" w:type="dxa"/>
            <w:vAlign w:val="center"/>
          </w:tcPr>
          <w:p w:rsidR="00E50638" w:rsidRPr="00E70693" w:rsidRDefault="00E50638" w:rsidP="000701AD">
            <w:pPr>
              <w:keepNext/>
              <w:widowControl w:val="0"/>
              <w:spacing w:before="40" w:after="40"/>
              <w:ind w:left="40"/>
              <w:rPr>
                <w:rFonts w:ascii="Arial" w:hAnsi="Arial" w:cs="Arial"/>
                <w:szCs w:val="24"/>
                <w:lang w:val="es-ES"/>
              </w:rPr>
            </w:pPr>
            <w:r w:rsidRPr="00E70693">
              <w:rPr>
                <w:rFonts w:ascii="Arial" w:hAnsi="Arial" w:cs="Arial"/>
                <w:szCs w:val="24"/>
                <w:lang w:val="es-ES"/>
              </w:rPr>
              <w:t>SISCAE</w:t>
            </w:r>
          </w:p>
        </w:tc>
        <w:tc>
          <w:tcPr>
            <w:tcW w:w="7019" w:type="dxa"/>
            <w:vAlign w:val="center"/>
          </w:tcPr>
          <w:p w:rsidR="00E50638" w:rsidRPr="00E70693" w:rsidRDefault="00BE283B" w:rsidP="00DF3FFF">
            <w:pPr>
              <w:keepNext/>
              <w:widowControl w:val="0"/>
              <w:spacing w:before="40" w:after="40"/>
              <w:ind w:left="34"/>
              <w:rPr>
                <w:rFonts w:ascii="Arial" w:hAnsi="Arial" w:cs="Arial"/>
                <w:szCs w:val="24"/>
                <w:lang w:val="es-ES"/>
              </w:rPr>
            </w:pPr>
            <w:r w:rsidRPr="00E70693">
              <w:rPr>
                <w:rFonts w:ascii="Arial" w:hAnsi="Arial" w:cs="Arial"/>
                <w:szCs w:val="24"/>
              </w:rPr>
              <w:t>Sistema de Contrataciones Administrativas Electrónicas</w:t>
            </w:r>
            <w:r w:rsidRPr="00E70693" w:rsidDel="00BE283B">
              <w:rPr>
                <w:rFonts w:ascii="Arial" w:hAnsi="Arial" w:cs="Arial"/>
                <w:szCs w:val="24"/>
                <w:lang w:val="es-ES"/>
              </w:rPr>
              <w:t xml:space="preserve"> </w:t>
            </w:r>
          </w:p>
        </w:tc>
      </w:tr>
      <w:tr w:rsidR="00E50638" w:rsidRPr="00E70693" w:rsidTr="000701AD">
        <w:trPr>
          <w:cantSplit/>
          <w:trHeight w:val="20"/>
        </w:trPr>
        <w:tc>
          <w:tcPr>
            <w:tcW w:w="1559" w:type="dxa"/>
            <w:vAlign w:val="center"/>
          </w:tcPr>
          <w:p w:rsidR="00E50638" w:rsidRPr="00E70693" w:rsidRDefault="00096D31" w:rsidP="000701AD">
            <w:pPr>
              <w:keepNext/>
              <w:widowControl w:val="0"/>
              <w:spacing w:before="40" w:after="40"/>
              <w:ind w:left="40"/>
              <w:rPr>
                <w:rFonts w:ascii="Arial" w:hAnsi="Arial" w:cs="Arial"/>
                <w:szCs w:val="24"/>
                <w:lang w:val="es-ES"/>
              </w:rPr>
            </w:pPr>
            <w:r w:rsidRPr="00E70693">
              <w:rPr>
                <w:rFonts w:ascii="Arial" w:hAnsi="Arial" w:cs="Arial"/>
                <w:szCs w:val="24"/>
                <w:lang w:val="es-ES"/>
              </w:rPr>
              <w:t>SEPA</w:t>
            </w:r>
          </w:p>
        </w:tc>
        <w:tc>
          <w:tcPr>
            <w:tcW w:w="7019" w:type="dxa"/>
            <w:vAlign w:val="center"/>
          </w:tcPr>
          <w:p w:rsidR="00E50638" w:rsidRPr="00E70693" w:rsidRDefault="00096D31" w:rsidP="00DF3FFF">
            <w:pPr>
              <w:keepNext/>
              <w:widowControl w:val="0"/>
              <w:spacing w:before="40" w:after="40"/>
              <w:ind w:left="34"/>
              <w:rPr>
                <w:rFonts w:ascii="Arial" w:hAnsi="Arial" w:cs="Arial"/>
                <w:szCs w:val="24"/>
                <w:lang w:val="es-ES"/>
              </w:rPr>
            </w:pPr>
            <w:r w:rsidRPr="00E70693">
              <w:rPr>
                <w:rFonts w:ascii="Arial" w:hAnsi="Arial" w:cs="Arial"/>
                <w:szCs w:val="24"/>
                <w:lang w:val="es-ES"/>
              </w:rPr>
              <w:t>Sistema de Ejecución de Planes de Adquisiciones</w:t>
            </w:r>
          </w:p>
        </w:tc>
      </w:tr>
      <w:tr w:rsidR="007C0321" w:rsidRPr="00E70693" w:rsidTr="000701AD">
        <w:trPr>
          <w:cantSplit/>
          <w:trHeight w:val="20"/>
        </w:trPr>
        <w:tc>
          <w:tcPr>
            <w:tcW w:w="1559" w:type="dxa"/>
            <w:vAlign w:val="center"/>
          </w:tcPr>
          <w:p w:rsidR="007C0321" w:rsidRPr="00E70693" w:rsidRDefault="007C0321" w:rsidP="000701AD">
            <w:pPr>
              <w:keepNext/>
              <w:widowControl w:val="0"/>
              <w:spacing w:before="40" w:after="40"/>
              <w:ind w:left="40"/>
              <w:rPr>
                <w:rFonts w:ascii="Arial" w:hAnsi="Arial" w:cs="Arial"/>
                <w:szCs w:val="24"/>
                <w:lang w:val="es-ES"/>
              </w:rPr>
            </w:pPr>
            <w:r w:rsidRPr="00E70693">
              <w:rPr>
                <w:rFonts w:ascii="Arial" w:hAnsi="Arial" w:cs="Arial"/>
                <w:szCs w:val="24"/>
                <w:lang w:val="es-ES"/>
              </w:rPr>
              <w:t>PAST</w:t>
            </w:r>
          </w:p>
        </w:tc>
        <w:tc>
          <w:tcPr>
            <w:tcW w:w="7019" w:type="dxa"/>
            <w:vAlign w:val="center"/>
          </w:tcPr>
          <w:p w:rsidR="007C0321" w:rsidRPr="00E70693" w:rsidRDefault="007C0321" w:rsidP="00DF3FFF">
            <w:pPr>
              <w:keepNext/>
              <w:widowControl w:val="0"/>
              <w:spacing w:before="40" w:after="40"/>
              <w:ind w:left="34"/>
              <w:rPr>
                <w:rFonts w:ascii="Arial" w:hAnsi="Arial" w:cs="Arial"/>
                <w:szCs w:val="24"/>
                <w:lang w:val="es-ES"/>
              </w:rPr>
            </w:pPr>
            <w:r w:rsidRPr="00E70693">
              <w:rPr>
                <w:rFonts w:ascii="Arial" w:hAnsi="Arial" w:cs="Arial"/>
                <w:szCs w:val="24"/>
                <w:lang w:val="es-ES"/>
              </w:rPr>
              <w:t>Programa de Apoyo al Sector Transporte</w:t>
            </w:r>
          </w:p>
        </w:tc>
      </w:tr>
    </w:tbl>
    <w:p w:rsidR="00FA2C9A" w:rsidRPr="00E70693" w:rsidRDefault="00FA2C9A" w:rsidP="00FA2C9A">
      <w:pPr>
        <w:tabs>
          <w:tab w:val="left" w:pos="2610"/>
        </w:tabs>
        <w:rPr>
          <w:rFonts w:ascii="Arial" w:hAnsi="Arial" w:cs="Arial"/>
          <w:szCs w:val="24"/>
        </w:rPr>
      </w:pPr>
    </w:p>
    <w:p w:rsidR="00FA2C9A" w:rsidRPr="00E70693" w:rsidRDefault="00FA2C9A" w:rsidP="00FA2C9A">
      <w:pPr>
        <w:tabs>
          <w:tab w:val="left" w:pos="2610"/>
        </w:tabs>
        <w:rPr>
          <w:rFonts w:ascii="Arial" w:hAnsi="Arial" w:cs="Arial"/>
          <w:szCs w:val="24"/>
        </w:rPr>
      </w:pPr>
    </w:p>
    <w:p w:rsidR="00FA2C9A" w:rsidRPr="00E70693" w:rsidRDefault="00FA2C9A" w:rsidP="00FA2C9A">
      <w:pPr>
        <w:tabs>
          <w:tab w:val="left" w:pos="2610"/>
        </w:tabs>
        <w:rPr>
          <w:rFonts w:ascii="Arial" w:hAnsi="Arial" w:cs="Arial"/>
          <w:szCs w:val="24"/>
        </w:rPr>
        <w:sectPr w:rsidR="00FA2C9A" w:rsidRPr="00E70693" w:rsidSect="00F13526">
          <w:headerReference w:type="default" r:id="rId11"/>
          <w:footerReference w:type="default" r:id="rId12"/>
          <w:footerReference w:type="first" r:id="rId13"/>
          <w:pgSz w:w="11907" w:h="16839" w:code="9"/>
          <w:pgMar w:top="1440" w:right="1750" w:bottom="1440" w:left="1800" w:header="720" w:footer="720" w:gutter="0"/>
          <w:pgNumType w:start="1"/>
          <w:cols w:space="720"/>
          <w:docGrid w:linePitch="326"/>
        </w:sectPr>
      </w:pPr>
    </w:p>
    <w:bookmarkEnd w:id="7" w:displacedByCustomXml="next"/>
    <w:bookmarkEnd w:id="6" w:displacedByCustomXml="next"/>
    <w:bookmarkEnd w:id="5" w:displacedByCustomXml="next"/>
    <w:bookmarkEnd w:id="4" w:displacedByCustomXml="next"/>
    <w:bookmarkEnd w:id="3" w:displacedByCustomXml="next"/>
    <w:sdt>
      <w:sdtPr>
        <w:rPr>
          <w:rFonts w:ascii="Arial" w:eastAsia="Times New Roman" w:hAnsi="Arial" w:cs="Arial"/>
          <w:b w:val="0"/>
          <w:bCs w:val="0"/>
          <w:color w:val="auto"/>
          <w:sz w:val="24"/>
          <w:szCs w:val="20"/>
          <w:lang w:val="es-ES" w:eastAsia="en-US"/>
        </w:rPr>
        <w:id w:val="248312558"/>
        <w:docPartObj>
          <w:docPartGallery w:val="Table of Contents"/>
          <w:docPartUnique/>
        </w:docPartObj>
      </w:sdtPr>
      <w:sdtEndPr>
        <w:rPr>
          <w:smallCaps/>
          <w:szCs w:val="24"/>
          <w:lang w:val="es-ES_tradnl"/>
        </w:rPr>
      </w:sdtEndPr>
      <w:sdtContent>
        <w:p w:rsidR="00784A10" w:rsidRPr="00E70693" w:rsidRDefault="00784A10" w:rsidP="00D94F16">
          <w:pPr>
            <w:pStyle w:val="TOCHeading"/>
            <w:rPr>
              <w:rFonts w:ascii="Arial" w:eastAsia="Times New Roman" w:hAnsi="Arial" w:cs="Arial"/>
              <w:color w:val="auto"/>
            </w:rPr>
          </w:pPr>
          <w:r w:rsidRPr="00E70693">
            <w:rPr>
              <w:rFonts w:ascii="Arial" w:eastAsia="Times New Roman" w:hAnsi="Arial" w:cs="Arial"/>
              <w:color w:val="auto"/>
            </w:rPr>
            <w:t>Contenido</w:t>
          </w:r>
        </w:p>
        <w:p w:rsidR="002B5AA2" w:rsidRPr="00E70693" w:rsidRDefault="00784A10">
          <w:pPr>
            <w:pStyle w:val="TOC1"/>
            <w:tabs>
              <w:tab w:val="left" w:pos="440"/>
              <w:tab w:val="right" w:leader="dot" w:pos="8347"/>
            </w:tabs>
            <w:rPr>
              <w:rFonts w:ascii="Arial" w:eastAsiaTheme="minorEastAsia" w:hAnsi="Arial" w:cs="Arial"/>
              <w:noProof/>
              <w:sz w:val="22"/>
              <w:szCs w:val="22"/>
              <w:lang w:val="es-PY" w:eastAsia="es-PY"/>
            </w:rPr>
          </w:pPr>
          <w:r w:rsidRPr="00E70693">
            <w:rPr>
              <w:rFonts w:ascii="Arial" w:hAnsi="Arial" w:cs="Arial"/>
              <w:b/>
              <w:smallCaps/>
              <w:szCs w:val="24"/>
            </w:rPr>
            <w:fldChar w:fldCharType="begin"/>
          </w:r>
          <w:r w:rsidRPr="00E70693">
            <w:rPr>
              <w:rFonts w:ascii="Arial" w:hAnsi="Arial" w:cs="Arial"/>
              <w:b/>
              <w:smallCaps/>
              <w:szCs w:val="24"/>
            </w:rPr>
            <w:instrText xml:space="preserve"> TOC \o "1-3" \h \z \u </w:instrText>
          </w:r>
          <w:r w:rsidRPr="00E70693">
            <w:rPr>
              <w:rFonts w:ascii="Arial" w:hAnsi="Arial" w:cs="Arial"/>
              <w:b/>
              <w:smallCaps/>
              <w:szCs w:val="24"/>
            </w:rPr>
            <w:fldChar w:fldCharType="separate"/>
          </w:r>
          <w:hyperlink w:anchor="_Toc422154434" w:history="1">
            <w:r w:rsidR="002B5AA2" w:rsidRPr="00E70693">
              <w:rPr>
                <w:rStyle w:val="Hyperlink"/>
                <w:rFonts w:ascii="Arial" w:hAnsi="Arial" w:cs="Arial"/>
                <w:noProof/>
              </w:rPr>
              <w:t>1.</w:t>
            </w:r>
            <w:r w:rsidR="002B5AA2" w:rsidRPr="00E70693">
              <w:rPr>
                <w:rFonts w:ascii="Arial" w:eastAsiaTheme="minorEastAsia" w:hAnsi="Arial" w:cs="Arial"/>
                <w:noProof/>
                <w:sz w:val="22"/>
                <w:szCs w:val="22"/>
                <w:lang w:val="es-PY" w:eastAsia="es-PY"/>
              </w:rPr>
              <w:tab/>
            </w:r>
            <w:r w:rsidR="002B5AA2" w:rsidRPr="00E70693">
              <w:rPr>
                <w:rStyle w:val="Hyperlink"/>
                <w:rFonts w:ascii="Arial" w:hAnsi="Arial" w:cs="Arial"/>
                <w:noProof/>
              </w:rPr>
              <w:t>Alcance del documento y metodología.</w:t>
            </w:r>
            <w:r w:rsidR="002B5AA2" w:rsidRPr="00E70693">
              <w:rPr>
                <w:rFonts w:ascii="Arial" w:hAnsi="Arial" w:cs="Arial"/>
                <w:noProof/>
                <w:webHidden/>
              </w:rPr>
              <w:tab/>
            </w:r>
            <w:r w:rsidR="002B5AA2" w:rsidRPr="00E70693">
              <w:rPr>
                <w:rFonts w:ascii="Arial" w:hAnsi="Arial" w:cs="Arial"/>
                <w:noProof/>
                <w:webHidden/>
              </w:rPr>
              <w:fldChar w:fldCharType="begin"/>
            </w:r>
            <w:r w:rsidR="002B5AA2" w:rsidRPr="00E70693">
              <w:rPr>
                <w:rFonts w:ascii="Arial" w:hAnsi="Arial" w:cs="Arial"/>
                <w:noProof/>
                <w:webHidden/>
              </w:rPr>
              <w:instrText xml:space="preserve"> PAGEREF _Toc422154434 \h </w:instrText>
            </w:r>
            <w:r w:rsidR="002B5AA2" w:rsidRPr="00E70693">
              <w:rPr>
                <w:rFonts w:ascii="Arial" w:hAnsi="Arial" w:cs="Arial"/>
                <w:noProof/>
                <w:webHidden/>
              </w:rPr>
            </w:r>
            <w:r w:rsidR="002B5AA2" w:rsidRPr="00E70693">
              <w:rPr>
                <w:rFonts w:ascii="Arial" w:hAnsi="Arial" w:cs="Arial"/>
                <w:noProof/>
                <w:webHidden/>
              </w:rPr>
              <w:fldChar w:fldCharType="separate"/>
            </w:r>
            <w:r w:rsidR="002B5AA2" w:rsidRPr="00E70693">
              <w:rPr>
                <w:rFonts w:ascii="Arial" w:hAnsi="Arial" w:cs="Arial"/>
                <w:noProof/>
                <w:webHidden/>
              </w:rPr>
              <w:t>2</w:t>
            </w:r>
            <w:r w:rsidR="002B5AA2" w:rsidRPr="00E70693">
              <w:rPr>
                <w:rFonts w:ascii="Arial" w:hAnsi="Arial" w:cs="Arial"/>
                <w:noProof/>
                <w:webHidden/>
              </w:rPr>
              <w:fldChar w:fldCharType="end"/>
            </w:r>
          </w:hyperlink>
        </w:p>
        <w:p w:rsidR="002B5AA2" w:rsidRPr="00E70693" w:rsidRDefault="007C5160">
          <w:pPr>
            <w:pStyle w:val="TOC1"/>
            <w:tabs>
              <w:tab w:val="left" w:pos="440"/>
              <w:tab w:val="right" w:leader="dot" w:pos="8347"/>
            </w:tabs>
            <w:rPr>
              <w:rFonts w:ascii="Arial" w:eastAsiaTheme="minorEastAsia" w:hAnsi="Arial" w:cs="Arial"/>
              <w:noProof/>
              <w:sz w:val="22"/>
              <w:szCs w:val="22"/>
              <w:lang w:val="es-PY" w:eastAsia="es-PY"/>
            </w:rPr>
          </w:pPr>
          <w:hyperlink w:anchor="_Toc422154435" w:history="1">
            <w:r w:rsidR="002B5AA2" w:rsidRPr="00E70693">
              <w:rPr>
                <w:rStyle w:val="Hyperlink"/>
                <w:rFonts w:ascii="Arial" w:hAnsi="Arial" w:cs="Arial"/>
                <w:noProof/>
              </w:rPr>
              <w:t>2.</w:t>
            </w:r>
            <w:r w:rsidR="002B5AA2" w:rsidRPr="00E70693">
              <w:rPr>
                <w:rFonts w:ascii="Arial" w:eastAsiaTheme="minorEastAsia" w:hAnsi="Arial" w:cs="Arial"/>
                <w:noProof/>
                <w:sz w:val="22"/>
                <w:szCs w:val="22"/>
                <w:lang w:val="es-PY" w:eastAsia="es-PY"/>
              </w:rPr>
              <w:tab/>
            </w:r>
            <w:r w:rsidR="002B5AA2" w:rsidRPr="00E70693">
              <w:rPr>
                <w:rStyle w:val="Hyperlink"/>
                <w:rFonts w:ascii="Arial" w:hAnsi="Arial" w:cs="Arial"/>
                <w:noProof/>
              </w:rPr>
              <w:t>La ejecución de los contratos de préstamo del BID.</w:t>
            </w:r>
            <w:r w:rsidR="002B5AA2" w:rsidRPr="00E70693">
              <w:rPr>
                <w:rFonts w:ascii="Arial" w:hAnsi="Arial" w:cs="Arial"/>
                <w:noProof/>
                <w:webHidden/>
              </w:rPr>
              <w:tab/>
            </w:r>
            <w:r w:rsidR="002B5AA2" w:rsidRPr="00E70693">
              <w:rPr>
                <w:rFonts w:ascii="Arial" w:hAnsi="Arial" w:cs="Arial"/>
                <w:noProof/>
                <w:webHidden/>
              </w:rPr>
              <w:fldChar w:fldCharType="begin"/>
            </w:r>
            <w:r w:rsidR="002B5AA2" w:rsidRPr="00E70693">
              <w:rPr>
                <w:rFonts w:ascii="Arial" w:hAnsi="Arial" w:cs="Arial"/>
                <w:noProof/>
                <w:webHidden/>
              </w:rPr>
              <w:instrText xml:space="preserve"> PAGEREF _Toc422154435 \h </w:instrText>
            </w:r>
            <w:r w:rsidR="002B5AA2" w:rsidRPr="00E70693">
              <w:rPr>
                <w:rFonts w:ascii="Arial" w:hAnsi="Arial" w:cs="Arial"/>
                <w:noProof/>
                <w:webHidden/>
              </w:rPr>
            </w:r>
            <w:r w:rsidR="002B5AA2" w:rsidRPr="00E70693">
              <w:rPr>
                <w:rFonts w:ascii="Arial" w:hAnsi="Arial" w:cs="Arial"/>
                <w:noProof/>
                <w:webHidden/>
              </w:rPr>
              <w:fldChar w:fldCharType="separate"/>
            </w:r>
            <w:r w:rsidR="002B5AA2" w:rsidRPr="00E70693">
              <w:rPr>
                <w:rFonts w:ascii="Arial" w:hAnsi="Arial" w:cs="Arial"/>
                <w:noProof/>
                <w:webHidden/>
              </w:rPr>
              <w:t>2</w:t>
            </w:r>
            <w:r w:rsidR="002B5AA2" w:rsidRPr="00E70693">
              <w:rPr>
                <w:rFonts w:ascii="Arial" w:hAnsi="Arial" w:cs="Arial"/>
                <w:noProof/>
                <w:webHidden/>
              </w:rPr>
              <w:fldChar w:fldCharType="end"/>
            </w:r>
          </w:hyperlink>
        </w:p>
        <w:p w:rsidR="002B5AA2" w:rsidRPr="00E70693" w:rsidRDefault="007C5160">
          <w:pPr>
            <w:pStyle w:val="TOC1"/>
            <w:tabs>
              <w:tab w:val="left" w:pos="440"/>
              <w:tab w:val="right" w:leader="dot" w:pos="8347"/>
            </w:tabs>
            <w:rPr>
              <w:rFonts w:ascii="Arial" w:eastAsiaTheme="minorEastAsia" w:hAnsi="Arial" w:cs="Arial"/>
              <w:noProof/>
              <w:sz w:val="22"/>
              <w:szCs w:val="22"/>
              <w:lang w:val="es-PY" w:eastAsia="es-PY"/>
            </w:rPr>
          </w:pPr>
          <w:hyperlink w:anchor="_Toc422154436" w:history="1">
            <w:r w:rsidR="002B5AA2" w:rsidRPr="00E70693">
              <w:rPr>
                <w:rStyle w:val="Hyperlink"/>
                <w:rFonts w:ascii="Arial" w:hAnsi="Arial" w:cs="Arial"/>
                <w:noProof/>
              </w:rPr>
              <w:t>3.</w:t>
            </w:r>
            <w:r w:rsidR="002B5AA2" w:rsidRPr="00E70693">
              <w:rPr>
                <w:rFonts w:ascii="Arial" w:eastAsiaTheme="minorEastAsia" w:hAnsi="Arial" w:cs="Arial"/>
                <w:noProof/>
                <w:sz w:val="22"/>
                <w:szCs w:val="22"/>
                <w:lang w:val="es-PY" w:eastAsia="es-PY"/>
              </w:rPr>
              <w:tab/>
            </w:r>
            <w:r w:rsidR="002B5AA2" w:rsidRPr="00E70693">
              <w:rPr>
                <w:rStyle w:val="Hyperlink"/>
                <w:rFonts w:ascii="Arial" w:hAnsi="Arial" w:cs="Arial"/>
                <w:noProof/>
              </w:rPr>
              <w:t>La ejecución de proyectos viales en la Costa Caribe y en Jinotega.</w:t>
            </w:r>
            <w:r w:rsidR="002B5AA2" w:rsidRPr="00E70693">
              <w:rPr>
                <w:rFonts w:ascii="Arial" w:hAnsi="Arial" w:cs="Arial"/>
                <w:noProof/>
                <w:webHidden/>
              </w:rPr>
              <w:tab/>
            </w:r>
            <w:r w:rsidR="002B5AA2" w:rsidRPr="00E70693">
              <w:rPr>
                <w:rFonts w:ascii="Arial" w:hAnsi="Arial" w:cs="Arial"/>
                <w:noProof/>
                <w:webHidden/>
              </w:rPr>
              <w:fldChar w:fldCharType="begin"/>
            </w:r>
            <w:r w:rsidR="002B5AA2" w:rsidRPr="00E70693">
              <w:rPr>
                <w:rFonts w:ascii="Arial" w:hAnsi="Arial" w:cs="Arial"/>
                <w:noProof/>
                <w:webHidden/>
              </w:rPr>
              <w:instrText xml:space="preserve"> PAGEREF _Toc422154436 \h </w:instrText>
            </w:r>
            <w:r w:rsidR="002B5AA2" w:rsidRPr="00E70693">
              <w:rPr>
                <w:rFonts w:ascii="Arial" w:hAnsi="Arial" w:cs="Arial"/>
                <w:noProof/>
                <w:webHidden/>
              </w:rPr>
            </w:r>
            <w:r w:rsidR="002B5AA2" w:rsidRPr="00E70693">
              <w:rPr>
                <w:rFonts w:ascii="Arial" w:hAnsi="Arial" w:cs="Arial"/>
                <w:noProof/>
                <w:webHidden/>
              </w:rPr>
              <w:fldChar w:fldCharType="separate"/>
            </w:r>
            <w:r w:rsidR="002B5AA2" w:rsidRPr="00E70693">
              <w:rPr>
                <w:rFonts w:ascii="Arial" w:hAnsi="Arial" w:cs="Arial"/>
                <w:noProof/>
                <w:webHidden/>
              </w:rPr>
              <w:t>12</w:t>
            </w:r>
            <w:r w:rsidR="002B5AA2" w:rsidRPr="00E70693">
              <w:rPr>
                <w:rFonts w:ascii="Arial" w:hAnsi="Arial" w:cs="Arial"/>
                <w:noProof/>
                <w:webHidden/>
              </w:rPr>
              <w:fldChar w:fldCharType="end"/>
            </w:r>
          </w:hyperlink>
        </w:p>
        <w:p w:rsidR="002B5AA2" w:rsidRPr="00E70693" w:rsidRDefault="007C5160">
          <w:pPr>
            <w:pStyle w:val="TOC1"/>
            <w:tabs>
              <w:tab w:val="left" w:pos="440"/>
              <w:tab w:val="right" w:leader="dot" w:pos="8347"/>
            </w:tabs>
            <w:rPr>
              <w:rFonts w:ascii="Arial" w:eastAsiaTheme="minorEastAsia" w:hAnsi="Arial" w:cs="Arial"/>
              <w:noProof/>
              <w:sz w:val="22"/>
              <w:szCs w:val="22"/>
              <w:lang w:val="es-PY" w:eastAsia="es-PY"/>
            </w:rPr>
          </w:pPr>
          <w:hyperlink w:anchor="_Toc422154437" w:history="1">
            <w:r w:rsidR="002B5AA2" w:rsidRPr="00E70693">
              <w:rPr>
                <w:rStyle w:val="Hyperlink"/>
                <w:rFonts w:ascii="Arial" w:hAnsi="Arial" w:cs="Arial"/>
                <w:noProof/>
              </w:rPr>
              <w:t>4.</w:t>
            </w:r>
            <w:r w:rsidR="002B5AA2" w:rsidRPr="00E70693">
              <w:rPr>
                <w:rFonts w:ascii="Arial" w:eastAsiaTheme="minorEastAsia" w:hAnsi="Arial" w:cs="Arial"/>
                <w:noProof/>
                <w:sz w:val="22"/>
                <w:szCs w:val="22"/>
                <w:lang w:val="es-PY" w:eastAsia="es-PY"/>
              </w:rPr>
              <w:tab/>
            </w:r>
            <w:r w:rsidR="002B5AA2" w:rsidRPr="00E70693">
              <w:rPr>
                <w:rStyle w:val="Hyperlink"/>
                <w:rFonts w:ascii="Arial" w:hAnsi="Arial" w:cs="Arial"/>
                <w:noProof/>
              </w:rPr>
              <w:t>La ejecución del presupuesto nacional.</w:t>
            </w:r>
            <w:r w:rsidR="002B5AA2" w:rsidRPr="00E70693">
              <w:rPr>
                <w:rFonts w:ascii="Arial" w:hAnsi="Arial" w:cs="Arial"/>
                <w:noProof/>
                <w:webHidden/>
              </w:rPr>
              <w:tab/>
            </w:r>
            <w:r w:rsidR="002B5AA2" w:rsidRPr="00E70693">
              <w:rPr>
                <w:rFonts w:ascii="Arial" w:hAnsi="Arial" w:cs="Arial"/>
                <w:noProof/>
                <w:webHidden/>
              </w:rPr>
              <w:fldChar w:fldCharType="begin"/>
            </w:r>
            <w:r w:rsidR="002B5AA2" w:rsidRPr="00E70693">
              <w:rPr>
                <w:rFonts w:ascii="Arial" w:hAnsi="Arial" w:cs="Arial"/>
                <w:noProof/>
                <w:webHidden/>
              </w:rPr>
              <w:instrText xml:space="preserve"> PAGEREF _Toc422154437 \h </w:instrText>
            </w:r>
            <w:r w:rsidR="002B5AA2" w:rsidRPr="00E70693">
              <w:rPr>
                <w:rFonts w:ascii="Arial" w:hAnsi="Arial" w:cs="Arial"/>
                <w:noProof/>
                <w:webHidden/>
              </w:rPr>
            </w:r>
            <w:r w:rsidR="002B5AA2" w:rsidRPr="00E70693">
              <w:rPr>
                <w:rFonts w:ascii="Arial" w:hAnsi="Arial" w:cs="Arial"/>
                <w:noProof/>
                <w:webHidden/>
              </w:rPr>
              <w:fldChar w:fldCharType="separate"/>
            </w:r>
            <w:r w:rsidR="002B5AA2" w:rsidRPr="00E70693">
              <w:rPr>
                <w:rFonts w:ascii="Arial" w:hAnsi="Arial" w:cs="Arial"/>
                <w:noProof/>
                <w:webHidden/>
              </w:rPr>
              <w:t>13</w:t>
            </w:r>
            <w:r w:rsidR="002B5AA2" w:rsidRPr="00E70693">
              <w:rPr>
                <w:rFonts w:ascii="Arial" w:hAnsi="Arial" w:cs="Arial"/>
                <w:noProof/>
                <w:webHidden/>
              </w:rPr>
              <w:fldChar w:fldCharType="end"/>
            </w:r>
          </w:hyperlink>
        </w:p>
        <w:p w:rsidR="002B5AA2" w:rsidRPr="00E70693" w:rsidRDefault="007C5160">
          <w:pPr>
            <w:pStyle w:val="TOC1"/>
            <w:tabs>
              <w:tab w:val="left" w:pos="440"/>
              <w:tab w:val="right" w:leader="dot" w:pos="8347"/>
            </w:tabs>
            <w:rPr>
              <w:rFonts w:ascii="Arial" w:eastAsiaTheme="minorEastAsia" w:hAnsi="Arial" w:cs="Arial"/>
              <w:noProof/>
              <w:sz w:val="22"/>
              <w:szCs w:val="22"/>
              <w:lang w:val="es-PY" w:eastAsia="es-PY"/>
            </w:rPr>
          </w:pPr>
          <w:hyperlink w:anchor="_Toc422154438" w:history="1">
            <w:r w:rsidR="002B5AA2" w:rsidRPr="00E70693">
              <w:rPr>
                <w:rStyle w:val="Hyperlink"/>
                <w:rFonts w:ascii="Arial" w:hAnsi="Arial" w:cs="Arial"/>
                <w:noProof/>
              </w:rPr>
              <w:t>5.</w:t>
            </w:r>
            <w:r w:rsidR="002B5AA2" w:rsidRPr="00E70693">
              <w:rPr>
                <w:rFonts w:ascii="Arial" w:eastAsiaTheme="minorEastAsia" w:hAnsi="Arial" w:cs="Arial"/>
                <w:noProof/>
                <w:sz w:val="22"/>
                <w:szCs w:val="22"/>
                <w:lang w:val="es-PY" w:eastAsia="es-PY"/>
              </w:rPr>
              <w:tab/>
            </w:r>
            <w:r w:rsidR="002B5AA2" w:rsidRPr="00E70693">
              <w:rPr>
                <w:rStyle w:val="Hyperlink"/>
                <w:rFonts w:ascii="Arial" w:hAnsi="Arial" w:cs="Arial"/>
                <w:noProof/>
              </w:rPr>
              <w:t>La organización funcional del MTI.</w:t>
            </w:r>
            <w:r w:rsidR="002B5AA2" w:rsidRPr="00E70693">
              <w:rPr>
                <w:rFonts w:ascii="Arial" w:hAnsi="Arial" w:cs="Arial"/>
                <w:noProof/>
                <w:webHidden/>
              </w:rPr>
              <w:tab/>
            </w:r>
            <w:r w:rsidR="002B5AA2" w:rsidRPr="00E70693">
              <w:rPr>
                <w:rFonts w:ascii="Arial" w:hAnsi="Arial" w:cs="Arial"/>
                <w:noProof/>
                <w:webHidden/>
              </w:rPr>
              <w:fldChar w:fldCharType="begin"/>
            </w:r>
            <w:r w:rsidR="002B5AA2" w:rsidRPr="00E70693">
              <w:rPr>
                <w:rFonts w:ascii="Arial" w:hAnsi="Arial" w:cs="Arial"/>
                <w:noProof/>
                <w:webHidden/>
              </w:rPr>
              <w:instrText xml:space="preserve"> PAGEREF _Toc422154438 \h </w:instrText>
            </w:r>
            <w:r w:rsidR="002B5AA2" w:rsidRPr="00E70693">
              <w:rPr>
                <w:rFonts w:ascii="Arial" w:hAnsi="Arial" w:cs="Arial"/>
                <w:noProof/>
                <w:webHidden/>
              </w:rPr>
            </w:r>
            <w:r w:rsidR="002B5AA2" w:rsidRPr="00E70693">
              <w:rPr>
                <w:rFonts w:ascii="Arial" w:hAnsi="Arial" w:cs="Arial"/>
                <w:noProof/>
                <w:webHidden/>
              </w:rPr>
              <w:fldChar w:fldCharType="separate"/>
            </w:r>
            <w:r w:rsidR="002B5AA2" w:rsidRPr="00E70693">
              <w:rPr>
                <w:rFonts w:ascii="Arial" w:hAnsi="Arial" w:cs="Arial"/>
                <w:noProof/>
                <w:webHidden/>
              </w:rPr>
              <w:t>14</w:t>
            </w:r>
            <w:r w:rsidR="002B5AA2" w:rsidRPr="00E70693">
              <w:rPr>
                <w:rFonts w:ascii="Arial" w:hAnsi="Arial" w:cs="Arial"/>
                <w:noProof/>
                <w:webHidden/>
              </w:rPr>
              <w:fldChar w:fldCharType="end"/>
            </w:r>
          </w:hyperlink>
        </w:p>
        <w:p w:rsidR="002B5AA2" w:rsidRPr="00E70693" w:rsidRDefault="007C5160">
          <w:pPr>
            <w:pStyle w:val="TOC1"/>
            <w:tabs>
              <w:tab w:val="left" w:pos="440"/>
              <w:tab w:val="right" w:leader="dot" w:pos="8347"/>
            </w:tabs>
            <w:rPr>
              <w:rFonts w:ascii="Arial" w:eastAsiaTheme="minorEastAsia" w:hAnsi="Arial" w:cs="Arial"/>
              <w:noProof/>
              <w:sz w:val="22"/>
              <w:szCs w:val="22"/>
              <w:lang w:val="es-PY" w:eastAsia="es-PY"/>
            </w:rPr>
          </w:pPr>
          <w:hyperlink w:anchor="_Toc422154439" w:history="1">
            <w:r w:rsidR="002B5AA2" w:rsidRPr="00E70693">
              <w:rPr>
                <w:rStyle w:val="Hyperlink"/>
                <w:rFonts w:ascii="Arial" w:hAnsi="Arial" w:cs="Arial"/>
                <w:noProof/>
              </w:rPr>
              <w:t>6.</w:t>
            </w:r>
            <w:r w:rsidR="002B5AA2" w:rsidRPr="00E70693">
              <w:rPr>
                <w:rFonts w:ascii="Arial" w:eastAsiaTheme="minorEastAsia" w:hAnsi="Arial" w:cs="Arial"/>
                <w:noProof/>
                <w:sz w:val="22"/>
                <w:szCs w:val="22"/>
                <w:lang w:val="es-PY" w:eastAsia="es-PY"/>
              </w:rPr>
              <w:tab/>
            </w:r>
            <w:r w:rsidR="002B5AA2" w:rsidRPr="00E70693">
              <w:rPr>
                <w:rStyle w:val="Hyperlink"/>
                <w:rFonts w:ascii="Arial" w:hAnsi="Arial" w:cs="Arial"/>
                <w:noProof/>
              </w:rPr>
              <w:t>Fortalecimiento Institucional.</w:t>
            </w:r>
            <w:r w:rsidR="002B5AA2" w:rsidRPr="00E70693">
              <w:rPr>
                <w:rFonts w:ascii="Arial" w:hAnsi="Arial" w:cs="Arial"/>
                <w:noProof/>
                <w:webHidden/>
              </w:rPr>
              <w:tab/>
            </w:r>
            <w:r w:rsidR="002B5AA2" w:rsidRPr="00E70693">
              <w:rPr>
                <w:rFonts w:ascii="Arial" w:hAnsi="Arial" w:cs="Arial"/>
                <w:noProof/>
                <w:webHidden/>
              </w:rPr>
              <w:fldChar w:fldCharType="begin"/>
            </w:r>
            <w:r w:rsidR="002B5AA2" w:rsidRPr="00E70693">
              <w:rPr>
                <w:rFonts w:ascii="Arial" w:hAnsi="Arial" w:cs="Arial"/>
                <w:noProof/>
                <w:webHidden/>
              </w:rPr>
              <w:instrText xml:space="preserve"> PAGEREF _Toc422154439 \h </w:instrText>
            </w:r>
            <w:r w:rsidR="002B5AA2" w:rsidRPr="00E70693">
              <w:rPr>
                <w:rFonts w:ascii="Arial" w:hAnsi="Arial" w:cs="Arial"/>
                <w:noProof/>
                <w:webHidden/>
              </w:rPr>
            </w:r>
            <w:r w:rsidR="002B5AA2" w:rsidRPr="00E70693">
              <w:rPr>
                <w:rFonts w:ascii="Arial" w:hAnsi="Arial" w:cs="Arial"/>
                <w:noProof/>
                <w:webHidden/>
              </w:rPr>
              <w:fldChar w:fldCharType="separate"/>
            </w:r>
            <w:r w:rsidR="002B5AA2" w:rsidRPr="00E70693">
              <w:rPr>
                <w:rFonts w:ascii="Arial" w:hAnsi="Arial" w:cs="Arial"/>
                <w:noProof/>
                <w:webHidden/>
              </w:rPr>
              <w:t>20</w:t>
            </w:r>
            <w:r w:rsidR="002B5AA2" w:rsidRPr="00E70693">
              <w:rPr>
                <w:rFonts w:ascii="Arial" w:hAnsi="Arial" w:cs="Arial"/>
                <w:noProof/>
                <w:webHidden/>
              </w:rPr>
              <w:fldChar w:fldCharType="end"/>
            </w:r>
          </w:hyperlink>
        </w:p>
        <w:p w:rsidR="002B5AA2" w:rsidRPr="00E70693" w:rsidRDefault="007C5160">
          <w:pPr>
            <w:pStyle w:val="TOC1"/>
            <w:tabs>
              <w:tab w:val="left" w:pos="440"/>
              <w:tab w:val="right" w:leader="dot" w:pos="8347"/>
            </w:tabs>
            <w:rPr>
              <w:rFonts w:ascii="Arial" w:eastAsiaTheme="minorEastAsia" w:hAnsi="Arial" w:cs="Arial"/>
              <w:noProof/>
              <w:sz w:val="22"/>
              <w:szCs w:val="22"/>
              <w:lang w:val="es-PY" w:eastAsia="es-PY"/>
            </w:rPr>
          </w:pPr>
          <w:hyperlink w:anchor="_Toc422154440" w:history="1">
            <w:r w:rsidR="002B5AA2" w:rsidRPr="00E70693">
              <w:rPr>
                <w:rStyle w:val="Hyperlink"/>
                <w:rFonts w:ascii="Arial" w:hAnsi="Arial" w:cs="Arial"/>
                <w:noProof/>
              </w:rPr>
              <w:t>7.</w:t>
            </w:r>
            <w:r w:rsidR="002B5AA2" w:rsidRPr="00E70693">
              <w:rPr>
                <w:rFonts w:ascii="Arial" w:eastAsiaTheme="minorEastAsia" w:hAnsi="Arial" w:cs="Arial"/>
                <w:noProof/>
                <w:sz w:val="22"/>
                <w:szCs w:val="22"/>
                <w:lang w:val="es-PY" w:eastAsia="es-PY"/>
              </w:rPr>
              <w:tab/>
            </w:r>
            <w:r w:rsidR="002B5AA2" w:rsidRPr="00E70693">
              <w:rPr>
                <w:rStyle w:val="Hyperlink"/>
                <w:rFonts w:ascii="Arial" w:hAnsi="Arial" w:cs="Arial"/>
                <w:noProof/>
              </w:rPr>
              <w:t>La gestión del Banco.</w:t>
            </w:r>
            <w:r w:rsidR="002B5AA2" w:rsidRPr="00E70693">
              <w:rPr>
                <w:rFonts w:ascii="Arial" w:hAnsi="Arial" w:cs="Arial"/>
                <w:noProof/>
                <w:webHidden/>
              </w:rPr>
              <w:tab/>
            </w:r>
            <w:r w:rsidR="002B5AA2" w:rsidRPr="00E70693">
              <w:rPr>
                <w:rFonts w:ascii="Arial" w:hAnsi="Arial" w:cs="Arial"/>
                <w:noProof/>
                <w:webHidden/>
              </w:rPr>
              <w:fldChar w:fldCharType="begin"/>
            </w:r>
            <w:r w:rsidR="002B5AA2" w:rsidRPr="00E70693">
              <w:rPr>
                <w:rFonts w:ascii="Arial" w:hAnsi="Arial" w:cs="Arial"/>
                <w:noProof/>
                <w:webHidden/>
              </w:rPr>
              <w:instrText xml:space="preserve"> PAGEREF _Toc422154440 \h </w:instrText>
            </w:r>
            <w:r w:rsidR="002B5AA2" w:rsidRPr="00E70693">
              <w:rPr>
                <w:rFonts w:ascii="Arial" w:hAnsi="Arial" w:cs="Arial"/>
                <w:noProof/>
                <w:webHidden/>
              </w:rPr>
            </w:r>
            <w:r w:rsidR="002B5AA2" w:rsidRPr="00E70693">
              <w:rPr>
                <w:rFonts w:ascii="Arial" w:hAnsi="Arial" w:cs="Arial"/>
                <w:noProof/>
                <w:webHidden/>
              </w:rPr>
              <w:fldChar w:fldCharType="separate"/>
            </w:r>
            <w:r w:rsidR="002B5AA2" w:rsidRPr="00E70693">
              <w:rPr>
                <w:rFonts w:ascii="Arial" w:hAnsi="Arial" w:cs="Arial"/>
                <w:noProof/>
                <w:webHidden/>
              </w:rPr>
              <w:t>21</w:t>
            </w:r>
            <w:r w:rsidR="002B5AA2" w:rsidRPr="00E70693">
              <w:rPr>
                <w:rFonts w:ascii="Arial" w:hAnsi="Arial" w:cs="Arial"/>
                <w:noProof/>
                <w:webHidden/>
              </w:rPr>
              <w:fldChar w:fldCharType="end"/>
            </w:r>
          </w:hyperlink>
        </w:p>
        <w:p w:rsidR="002B5AA2" w:rsidRPr="00E70693" w:rsidRDefault="007C5160">
          <w:pPr>
            <w:pStyle w:val="TOC1"/>
            <w:tabs>
              <w:tab w:val="left" w:pos="440"/>
              <w:tab w:val="right" w:leader="dot" w:pos="8347"/>
            </w:tabs>
            <w:rPr>
              <w:rFonts w:ascii="Arial" w:eastAsiaTheme="minorEastAsia" w:hAnsi="Arial" w:cs="Arial"/>
              <w:noProof/>
              <w:sz w:val="22"/>
              <w:szCs w:val="22"/>
              <w:lang w:val="es-PY" w:eastAsia="es-PY"/>
            </w:rPr>
          </w:pPr>
          <w:hyperlink w:anchor="_Toc422154441" w:history="1">
            <w:r w:rsidR="002B5AA2" w:rsidRPr="00E70693">
              <w:rPr>
                <w:rStyle w:val="Hyperlink"/>
                <w:rFonts w:ascii="Arial" w:hAnsi="Arial" w:cs="Arial"/>
                <w:noProof/>
              </w:rPr>
              <w:t>8.</w:t>
            </w:r>
            <w:r w:rsidR="002B5AA2" w:rsidRPr="00E70693">
              <w:rPr>
                <w:rFonts w:ascii="Arial" w:eastAsiaTheme="minorEastAsia" w:hAnsi="Arial" w:cs="Arial"/>
                <w:noProof/>
                <w:sz w:val="22"/>
                <w:szCs w:val="22"/>
                <w:lang w:val="es-PY" w:eastAsia="es-PY"/>
              </w:rPr>
              <w:tab/>
            </w:r>
            <w:r w:rsidR="002B5AA2" w:rsidRPr="00E70693">
              <w:rPr>
                <w:rStyle w:val="Hyperlink"/>
                <w:rFonts w:ascii="Arial" w:hAnsi="Arial" w:cs="Arial"/>
                <w:noProof/>
              </w:rPr>
              <w:t>Consideraciones finales.</w:t>
            </w:r>
            <w:r w:rsidR="002B5AA2" w:rsidRPr="00E70693">
              <w:rPr>
                <w:rFonts w:ascii="Arial" w:hAnsi="Arial" w:cs="Arial"/>
                <w:noProof/>
                <w:webHidden/>
              </w:rPr>
              <w:tab/>
            </w:r>
            <w:r w:rsidR="002B5AA2" w:rsidRPr="00E70693">
              <w:rPr>
                <w:rFonts w:ascii="Arial" w:hAnsi="Arial" w:cs="Arial"/>
                <w:noProof/>
                <w:webHidden/>
              </w:rPr>
              <w:fldChar w:fldCharType="begin"/>
            </w:r>
            <w:r w:rsidR="002B5AA2" w:rsidRPr="00E70693">
              <w:rPr>
                <w:rFonts w:ascii="Arial" w:hAnsi="Arial" w:cs="Arial"/>
                <w:noProof/>
                <w:webHidden/>
              </w:rPr>
              <w:instrText xml:space="preserve"> PAGEREF _Toc422154441 \h </w:instrText>
            </w:r>
            <w:r w:rsidR="002B5AA2" w:rsidRPr="00E70693">
              <w:rPr>
                <w:rFonts w:ascii="Arial" w:hAnsi="Arial" w:cs="Arial"/>
                <w:noProof/>
                <w:webHidden/>
              </w:rPr>
            </w:r>
            <w:r w:rsidR="002B5AA2" w:rsidRPr="00E70693">
              <w:rPr>
                <w:rFonts w:ascii="Arial" w:hAnsi="Arial" w:cs="Arial"/>
                <w:noProof/>
                <w:webHidden/>
              </w:rPr>
              <w:fldChar w:fldCharType="separate"/>
            </w:r>
            <w:r w:rsidR="002B5AA2" w:rsidRPr="00E70693">
              <w:rPr>
                <w:rFonts w:ascii="Arial" w:hAnsi="Arial" w:cs="Arial"/>
                <w:noProof/>
                <w:webHidden/>
              </w:rPr>
              <w:t>22</w:t>
            </w:r>
            <w:r w:rsidR="002B5AA2" w:rsidRPr="00E70693">
              <w:rPr>
                <w:rFonts w:ascii="Arial" w:hAnsi="Arial" w:cs="Arial"/>
                <w:noProof/>
                <w:webHidden/>
              </w:rPr>
              <w:fldChar w:fldCharType="end"/>
            </w:r>
          </w:hyperlink>
        </w:p>
        <w:p w:rsidR="002B5AA2" w:rsidRPr="00E70693" w:rsidRDefault="007C5160">
          <w:pPr>
            <w:pStyle w:val="TOC1"/>
            <w:tabs>
              <w:tab w:val="right" w:leader="dot" w:pos="8347"/>
            </w:tabs>
            <w:rPr>
              <w:rFonts w:ascii="Arial" w:eastAsiaTheme="minorEastAsia" w:hAnsi="Arial" w:cs="Arial"/>
              <w:noProof/>
              <w:sz w:val="22"/>
              <w:szCs w:val="22"/>
              <w:lang w:val="es-PY" w:eastAsia="es-PY"/>
            </w:rPr>
          </w:pPr>
          <w:hyperlink w:anchor="_Toc422154442" w:history="1">
            <w:r w:rsidR="002B5AA2" w:rsidRPr="00E70693">
              <w:rPr>
                <w:rStyle w:val="Hyperlink"/>
                <w:rFonts w:ascii="Arial" w:hAnsi="Arial" w:cs="Arial"/>
                <w:noProof/>
              </w:rPr>
              <w:t>Anexo: Análisis y Experiencia en Diseño &amp; Construcción del Sector Transporte en Nicaragua</w:t>
            </w:r>
            <w:r w:rsidR="002B5AA2" w:rsidRPr="00E70693">
              <w:rPr>
                <w:rFonts w:ascii="Arial" w:hAnsi="Arial" w:cs="Arial"/>
                <w:noProof/>
                <w:webHidden/>
              </w:rPr>
              <w:tab/>
            </w:r>
            <w:r w:rsidR="002B5AA2" w:rsidRPr="00E70693">
              <w:rPr>
                <w:rFonts w:ascii="Arial" w:hAnsi="Arial" w:cs="Arial"/>
                <w:noProof/>
                <w:webHidden/>
              </w:rPr>
              <w:fldChar w:fldCharType="begin"/>
            </w:r>
            <w:r w:rsidR="002B5AA2" w:rsidRPr="00E70693">
              <w:rPr>
                <w:rFonts w:ascii="Arial" w:hAnsi="Arial" w:cs="Arial"/>
                <w:noProof/>
                <w:webHidden/>
              </w:rPr>
              <w:instrText xml:space="preserve"> PAGEREF _Toc422154442 \h </w:instrText>
            </w:r>
            <w:r w:rsidR="002B5AA2" w:rsidRPr="00E70693">
              <w:rPr>
                <w:rFonts w:ascii="Arial" w:hAnsi="Arial" w:cs="Arial"/>
                <w:noProof/>
                <w:webHidden/>
              </w:rPr>
            </w:r>
            <w:r w:rsidR="002B5AA2" w:rsidRPr="00E70693">
              <w:rPr>
                <w:rFonts w:ascii="Arial" w:hAnsi="Arial" w:cs="Arial"/>
                <w:noProof/>
                <w:webHidden/>
              </w:rPr>
              <w:fldChar w:fldCharType="separate"/>
            </w:r>
            <w:r w:rsidR="002B5AA2" w:rsidRPr="00E70693">
              <w:rPr>
                <w:rFonts w:ascii="Arial" w:hAnsi="Arial" w:cs="Arial"/>
                <w:noProof/>
                <w:webHidden/>
              </w:rPr>
              <w:t>24</w:t>
            </w:r>
            <w:r w:rsidR="002B5AA2" w:rsidRPr="00E70693">
              <w:rPr>
                <w:rFonts w:ascii="Arial" w:hAnsi="Arial" w:cs="Arial"/>
                <w:noProof/>
                <w:webHidden/>
              </w:rPr>
              <w:fldChar w:fldCharType="end"/>
            </w:r>
          </w:hyperlink>
        </w:p>
        <w:p w:rsidR="00784A10" w:rsidRPr="00E70693" w:rsidRDefault="00784A10" w:rsidP="00DF3FFF">
          <w:pPr>
            <w:spacing w:before="120" w:after="120"/>
            <w:rPr>
              <w:rFonts w:ascii="Arial" w:hAnsi="Arial" w:cs="Arial"/>
              <w:b/>
              <w:smallCaps/>
              <w:szCs w:val="24"/>
            </w:rPr>
          </w:pPr>
          <w:r w:rsidRPr="00E70693">
            <w:rPr>
              <w:rFonts w:ascii="Arial" w:hAnsi="Arial" w:cs="Arial"/>
              <w:b/>
              <w:smallCaps/>
              <w:szCs w:val="24"/>
            </w:rPr>
            <w:fldChar w:fldCharType="end"/>
          </w:r>
        </w:p>
      </w:sdtContent>
    </w:sdt>
    <w:p w:rsidR="00FA2C9A" w:rsidRPr="00E70693" w:rsidRDefault="00FA2C9A" w:rsidP="00DF3FFF">
      <w:pPr>
        <w:pStyle w:val="Chapter"/>
        <w:tabs>
          <w:tab w:val="clear" w:pos="1440"/>
        </w:tabs>
        <w:jc w:val="left"/>
        <w:rPr>
          <w:rFonts w:ascii="Arial" w:hAnsi="Arial" w:cs="Arial"/>
          <w:highlight w:val="yellow"/>
        </w:rPr>
      </w:pPr>
    </w:p>
    <w:p w:rsidR="00926725" w:rsidRPr="00E70693" w:rsidRDefault="00926725" w:rsidP="00DF3FFF">
      <w:pPr>
        <w:rPr>
          <w:rFonts w:ascii="Arial" w:hAnsi="Arial" w:cs="Arial"/>
          <w:highlight w:val="yellow"/>
        </w:rPr>
      </w:pPr>
    </w:p>
    <w:p w:rsidR="00D2672F" w:rsidRPr="00E70693" w:rsidRDefault="00D2672F" w:rsidP="00DF3FFF">
      <w:pPr>
        <w:rPr>
          <w:rFonts w:ascii="Arial" w:hAnsi="Arial" w:cs="Arial"/>
          <w:b/>
          <w:smallCaps/>
          <w:highlight w:val="yellow"/>
        </w:rPr>
        <w:sectPr w:rsidR="00D2672F" w:rsidRPr="00E70693" w:rsidSect="00F13526">
          <w:headerReference w:type="default" r:id="rId14"/>
          <w:headerReference w:type="first" r:id="rId15"/>
          <w:pgSz w:w="11907" w:h="16839" w:code="9"/>
          <w:pgMar w:top="1440" w:right="1750" w:bottom="1440" w:left="1800" w:header="720" w:footer="720" w:gutter="0"/>
          <w:pgNumType w:start="1"/>
          <w:cols w:space="720"/>
          <w:titlePg/>
          <w:docGrid w:linePitch="326"/>
        </w:sectPr>
      </w:pPr>
    </w:p>
    <w:p w:rsidR="00FA2C9A" w:rsidRPr="00E70693" w:rsidRDefault="00FA2C9A" w:rsidP="00FA2C9A">
      <w:pPr>
        <w:jc w:val="center"/>
        <w:rPr>
          <w:rFonts w:ascii="Arial" w:hAnsi="Arial" w:cs="Arial"/>
          <w:b/>
          <w:sz w:val="28"/>
          <w:szCs w:val="28"/>
        </w:rPr>
      </w:pPr>
    </w:p>
    <w:p w:rsidR="00FA2C9A" w:rsidRPr="00E70693" w:rsidRDefault="00FA2C9A" w:rsidP="00FA2C9A">
      <w:pPr>
        <w:pStyle w:val="Chapter"/>
        <w:tabs>
          <w:tab w:val="clear" w:pos="1440"/>
          <w:tab w:val="left" w:pos="0"/>
        </w:tabs>
        <w:spacing w:before="0" w:after="0"/>
        <w:rPr>
          <w:rFonts w:ascii="Arial" w:hAnsi="Arial" w:cs="Arial"/>
          <w:b w:val="0"/>
          <w:sz w:val="32"/>
          <w:szCs w:val="32"/>
        </w:rPr>
      </w:pPr>
      <w:r w:rsidRPr="00E70693">
        <w:rPr>
          <w:rFonts w:ascii="Arial" w:hAnsi="Arial" w:cs="Arial"/>
          <w:sz w:val="32"/>
          <w:szCs w:val="32"/>
          <w:lang w:val="es-ES_tradnl"/>
        </w:rPr>
        <w:t>Análisis de Capacidad Institucional y Otros Aspectos de Implementación</w:t>
      </w:r>
    </w:p>
    <w:p w:rsidR="00FA2C9A" w:rsidRPr="00E70693" w:rsidRDefault="00FA2C9A" w:rsidP="00D94F16">
      <w:pPr>
        <w:pStyle w:val="Heading1"/>
        <w:rPr>
          <w:rFonts w:ascii="Arial" w:hAnsi="Arial" w:cs="Arial"/>
        </w:rPr>
      </w:pPr>
      <w:bookmarkStart w:id="8" w:name="_Toc419462925"/>
      <w:bookmarkStart w:id="9" w:name="_Toc419463174"/>
      <w:bookmarkStart w:id="10" w:name="_Toc422154434"/>
      <w:bookmarkEnd w:id="8"/>
      <w:bookmarkEnd w:id="9"/>
      <w:r w:rsidRPr="00E70693">
        <w:rPr>
          <w:rFonts w:ascii="Arial" w:hAnsi="Arial" w:cs="Arial"/>
        </w:rPr>
        <w:t>Alcance del documento</w:t>
      </w:r>
      <w:r w:rsidR="00571DC4" w:rsidRPr="00E70693">
        <w:rPr>
          <w:rFonts w:ascii="Arial" w:hAnsi="Arial" w:cs="Arial"/>
        </w:rPr>
        <w:t xml:space="preserve"> y metodología</w:t>
      </w:r>
      <w:r w:rsidRPr="00E70693">
        <w:rPr>
          <w:rFonts w:ascii="Arial" w:hAnsi="Arial" w:cs="Arial"/>
        </w:rPr>
        <w:t>.</w:t>
      </w:r>
      <w:bookmarkEnd w:id="10"/>
    </w:p>
    <w:p w:rsidR="00FA2C9A" w:rsidRPr="00E70693" w:rsidRDefault="00FA2C9A" w:rsidP="00FA2C9A">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rPr>
        <w:t>El propósito de este documento</w:t>
      </w:r>
      <w:r w:rsidR="009F23C4" w:rsidRPr="00E70693">
        <w:rPr>
          <w:rFonts w:ascii="Arial" w:hAnsi="Arial" w:cs="Arial"/>
        </w:rPr>
        <w:t xml:space="preserve"> es</w:t>
      </w:r>
      <w:r w:rsidRPr="00E70693">
        <w:rPr>
          <w:rFonts w:ascii="Arial" w:hAnsi="Arial" w:cs="Arial"/>
        </w:rPr>
        <w:t xml:space="preserve"> </w:t>
      </w:r>
      <w:r w:rsidR="00882300" w:rsidRPr="00E70693">
        <w:rPr>
          <w:rFonts w:ascii="Arial" w:hAnsi="Arial" w:cs="Arial"/>
        </w:rPr>
        <w:t>realizar un análisis de la capacidad i</w:t>
      </w:r>
      <w:r w:rsidRPr="00E70693">
        <w:rPr>
          <w:rFonts w:ascii="Arial" w:hAnsi="Arial" w:cs="Arial"/>
        </w:rPr>
        <w:t xml:space="preserve">nstitucional del Ministerio de Transporte e Infraestructura (MTI) </w:t>
      </w:r>
      <w:r w:rsidR="00882300" w:rsidRPr="00E70693">
        <w:rPr>
          <w:rFonts w:ascii="Arial" w:hAnsi="Arial" w:cs="Arial"/>
        </w:rPr>
        <w:t xml:space="preserve">en el contexto de </w:t>
      </w:r>
      <w:r w:rsidR="00CE3181" w:rsidRPr="00E70693">
        <w:rPr>
          <w:rFonts w:ascii="Arial" w:hAnsi="Arial" w:cs="Arial"/>
        </w:rPr>
        <w:t xml:space="preserve">la </w:t>
      </w:r>
      <w:r w:rsidR="00882300" w:rsidRPr="00E70693">
        <w:rPr>
          <w:rFonts w:ascii="Arial" w:hAnsi="Arial" w:cs="Arial"/>
        </w:rPr>
        <w:t xml:space="preserve">preparación del préstamo </w:t>
      </w:r>
      <w:r w:rsidR="00FE226D" w:rsidRPr="00E70693">
        <w:rPr>
          <w:rFonts w:ascii="Arial" w:hAnsi="Arial" w:cs="Arial"/>
        </w:rPr>
        <w:t>Pro</w:t>
      </w:r>
      <w:r w:rsidR="00D2672F" w:rsidRPr="00E70693">
        <w:rPr>
          <w:rFonts w:ascii="Arial" w:hAnsi="Arial" w:cs="Arial"/>
        </w:rPr>
        <w:t>grama</w:t>
      </w:r>
      <w:r w:rsidR="00FE226D" w:rsidRPr="00E70693">
        <w:rPr>
          <w:rFonts w:ascii="Arial" w:hAnsi="Arial" w:cs="Arial"/>
        </w:rPr>
        <w:t xml:space="preserve"> de Integración Vial</w:t>
      </w:r>
      <w:r w:rsidR="00882300" w:rsidRPr="00E70693">
        <w:rPr>
          <w:rFonts w:ascii="Arial" w:hAnsi="Arial" w:cs="Arial"/>
        </w:rPr>
        <w:t xml:space="preserve"> (</w:t>
      </w:r>
      <w:r w:rsidR="00FE226D" w:rsidRPr="00E70693">
        <w:rPr>
          <w:rFonts w:ascii="Arial" w:hAnsi="Arial" w:cs="Arial"/>
        </w:rPr>
        <w:t>NI-L1092</w:t>
      </w:r>
      <w:r w:rsidR="00882300" w:rsidRPr="00E70693">
        <w:rPr>
          <w:rFonts w:ascii="Arial" w:hAnsi="Arial" w:cs="Arial"/>
        </w:rPr>
        <w:t xml:space="preserve">), </w:t>
      </w:r>
      <w:r w:rsidR="009F23C4" w:rsidRPr="00E70693">
        <w:rPr>
          <w:rFonts w:ascii="Arial" w:hAnsi="Arial" w:cs="Arial"/>
        </w:rPr>
        <w:t>considerando</w:t>
      </w:r>
      <w:r w:rsidR="00882300" w:rsidRPr="00E70693">
        <w:rPr>
          <w:rFonts w:ascii="Arial" w:hAnsi="Arial" w:cs="Arial"/>
        </w:rPr>
        <w:t xml:space="preserve"> los aspectos referidos al diseño, ejecución y supervisión de </w:t>
      </w:r>
      <w:r w:rsidRPr="00E70693">
        <w:rPr>
          <w:rFonts w:ascii="Arial" w:hAnsi="Arial" w:cs="Arial"/>
        </w:rPr>
        <w:t xml:space="preserve">proyectos financiados por el Banco, </w:t>
      </w:r>
      <w:r w:rsidR="009F23C4" w:rsidRPr="00E70693">
        <w:rPr>
          <w:rFonts w:ascii="Arial" w:hAnsi="Arial" w:cs="Arial"/>
        </w:rPr>
        <w:t xml:space="preserve">de manera a apreciar la efectividad de la Institución para ejecutar </w:t>
      </w:r>
      <w:r w:rsidR="00090D65" w:rsidRPr="00E70693">
        <w:rPr>
          <w:rFonts w:ascii="Arial" w:hAnsi="Arial" w:cs="Arial"/>
        </w:rPr>
        <w:t>proyectos de la naturaleza que se desea incorporar en la operación y en las zonas identificadas para la locación de los mismos</w:t>
      </w:r>
      <w:r w:rsidR="009F23C4" w:rsidRPr="00E70693">
        <w:rPr>
          <w:rFonts w:ascii="Arial" w:hAnsi="Arial" w:cs="Arial"/>
        </w:rPr>
        <w:t>. Se pretende igualmente</w:t>
      </w:r>
      <w:r w:rsidRPr="00E70693">
        <w:rPr>
          <w:rFonts w:ascii="Arial" w:hAnsi="Arial" w:cs="Arial"/>
        </w:rPr>
        <w:t xml:space="preserve"> identificar </w:t>
      </w:r>
      <w:r w:rsidR="00206317" w:rsidRPr="00E70693">
        <w:rPr>
          <w:rFonts w:ascii="Arial" w:hAnsi="Arial" w:cs="Arial"/>
        </w:rPr>
        <w:t>aspectos a mejorar</w:t>
      </w:r>
      <w:r w:rsidRPr="00E70693">
        <w:rPr>
          <w:rFonts w:ascii="Arial" w:hAnsi="Arial" w:cs="Arial"/>
        </w:rPr>
        <w:t xml:space="preserve"> y aportar insumos para </w:t>
      </w:r>
      <w:r w:rsidR="009F23C4" w:rsidRPr="00E70693">
        <w:rPr>
          <w:rFonts w:ascii="Arial" w:hAnsi="Arial" w:cs="Arial"/>
        </w:rPr>
        <w:t xml:space="preserve">asegurar la consecución </w:t>
      </w:r>
      <w:r w:rsidR="00EF34FF" w:rsidRPr="00E70693">
        <w:rPr>
          <w:rFonts w:ascii="Arial" w:hAnsi="Arial" w:cs="Arial"/>
        </w:rPr>
        <w:t xml:space="preserve">de los resultados </w:t>
      </w:r>
      <w:r w:rsidR="009F23C4" w:rsidRPr="00E70693">
        <w:rPr>
          <w:rFonts w:ascii="Arial" w:hAnsi="Arial" w:cs="Arial"/>
        </w:rPr>
        <w:t xml:space="preserve">del </w:t>
      </w:r>
      <w:r w:rsidR="00D2672F" w:rsidRPr="00E70693">
        <w:rPr>
          <w:rFonts w:ascii="Arial" w:hAnsi="Arial" w:cs="Arial"/>
        </w:rPr>
        <w:t xml:space="preserve">programa </w:t>
      </w:r>
      <w:r w:rsidR="009F23C4" w:rsidRPr="00E70693">
        <w:rPr>
          <w:rFonts w:ascii="Arial" w:hAnsi="Arial" w:cs="Arial"/>
        </w:rPr>
        <w:t>que se incluirán en la presente operación</w:t>
      </w:r>
      <w:r w:rsidRPr="00E70693">
        <w:rPr>
          <w:rFonts w:ascii="Arial" w:hAnsi="Arial" w:cs="Arial"/>
        </w:rPr>
        <w:t xml:space="preserve">. </w:t>
      </w:r>
    </w:p>
    <w:p w:rsidR="00937781" w:rsidRPr="00E70693" w:rsidRDefault="00937781" w:rsidP="00937781">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rPr>
        <w:t>Capacidad institucional se refiere al potencial de la Institución para ejecutar una operación del Banco, en este caso el cumplimiento de los objetivos de</w:t>
      </w:r>
      <w:r w:rsidR="00090D65" w:rsidRPr="00E70693">
        <w:rPr>
          <w:rFonts w:ascii="Arial" w:hAnsi="Arial" w:cs="Arial"/>
        </w:rPr>
        <w:t xml:space="preserve"> </w:t>
      </w:r>
      <w:r w:rsidRPr="00E70693">
        <w:rPr>
          <w:rFonts w:ascii="Arial" w:hAnsi="Arial" w:cs="Arial"/>
        </w:rPr>
        <w:t>l</w:t>
      </w:r>
      <w:r w:rsidR="00090D65" w:rsidRPr="00E70693">
        <w:rPr>
          <w:rFonts w:ascii="Arial" w:hAnsi="Arial" w:cs="Arial"/>
        </w:rPr>
        <w:t>os</w:t>
      </w:r>
      <w:r w:rsidRPr="00E70693">
        <w:rPr>
          <w:rFonts w:ascii="Arial" w:hAnsi="Arial" w:cs="Arial"/>
        </w:rPr>
        <w:t xml:space="preserve"> proyecto</w:t>
      </w:r>
      <w:r w:rsidR="00090D65" w:rsidRPr="00E70693">
        <w:rPr>
          <w:rFonts w:ascii="Arial" w:hAnsi="Arial" w:cs="Arial"/>
        </w:rPr>
        <w:t>s</w:t>
      </w:r>
      <w:r w:rsidRPr="00E70693">
        <w:rPr>
          <w:rFonts w:ascii="Arial" w:hAnsi="Arial" w:cs="Arial"/>
        </w:rPr>
        <w:t xml:space="preserve"> específico</w:t>
      </w:r>
      <w:r w:rsidR="00090D65" w:rsidRPr="00E70693">
        <w:rPr>
          <w:rFonts w:ascii="Arial" w:hAnsi="Arial" w:cs="Arial"/>
        </w:rPr>
        <w:t xml:space="preserve">s a ser desarrollados en la Región Autónoma </w:t>
      </w:r>
      <w:r w:rsidR="00FA5EA2" w:rsidRPr="00E70693">
        <w:rPr>
          <w:rFonts w:ascii="Arial" w:hAnsi="Arial" w:cs="Arial"/>
        </w:rPr>
        <w:t>Costa Caribe</w:t>
      </w:r>
      <w:r w:rsidR="006300C4" w:rsidRPr="00E70693">
        <w:rPr>
          <w:rFonts w:ascii="Arial" w:hAnsi="Arial" w:cs="Arial"/>
        </w:rPr>
        <w:t xml:space="preserve"> Norte</w:t>
      </w:r>
      <w:r w:rsidR="00DB6012" w:rsidRPr="00E70693">
        <w:rPr>
          <w:rFonts w:ascii="Arial" w:hAnsi="Arial" w:cs="Arial"/>
        </w:rPr>
        <w:t xml:space="preserve"> (RACCN)</w:t>
      </w:r>
      <w:r w:rsidR="00FA5EA2" w:rsidRPr="00E70693">
        <w:rPr>
          <w:rStyle w:val="FootnoteReference"/>
          <w:rFonts w:ascii="Arial" w:hAnsi="Arial" w:cs="Arial"/>
        </w:rPr>
        <w:footnoteReference w:id="1"/>
      </w:r>
      <w:r w:rsidR="00090D65" w:rsidRPr="00E70693">
        <w:rPr>
          <w:rFonts w:ascii="Arial" w:hAnsi="Arial" w:cs="Arial"/>
        </w:rPr>
        <w:t xml:space="preserve"> y en el departamento de Jinotega</w:t>
      </w:r>
      <w:r w:rsidRPr="00E70693">
        <w:rPr>
          <w:rFonts w:ascii="Arial" w:hAnsi="Arial" w:cs="Arial"/>
        </w:rPr>
        <w:t>, atendiendo las condiciones adversas que la zona presente.</w:t>
      </w:r>
    </w:p>
    <w:p w:rsidR="00937781" w:rsidRPr="00E70693" w:rsidRDefault="00CE3181" w:rsidP="00937781">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rPr>
        <w:t>Como metodología de trabajo</w:t>
      </w:r>
      <w:r w:rsidR="00571DC4" w:rsidRPr="00E70693">
        <w:rPr>
          <w:rFonts w:ascii="Arial" w:hAnsi="Arial" w:cs="Arial"/>
        </w:rPr>
        <w:t>, e</w:t>
      </w:r>
      <w:r w:rsidR="00937781" w:rsidRPr="00E70693">
        <w:rPr>
          <w:rFonts w:ascii="Arial" w:hAnsi="Arial" w:cs="Arial"/>
        </w:rPr>
        <w:t>n primer término, se recurre a la evidencia más tangible de la capacidad del Organismo Ejecutor, su historial reciente en la ejecución de contratos de préstamo, y particularmente en los resultados obtenidos. También se hace referencia a la experiencia de la Institución en trabajos en la</w:t>
      </w:r>
      <w:r w:rsidR="00654D17" w:rsidRPr="00E70693">
        <w:rPr>
          <w:rFonts w:ascii="Arial" w:hAnsi="Arial" w:cs="Arial"/>
        </w:rPr>
        <w:t>s</w:t>
      </w:r>
      <w:r w:rsidR="00937781" w:rsidRPr="00E70693">
        <w:rPr>
          <w:rFonts w:ascii="Arial" w:hAnsi="Arial" w:cs="Arial"/>
        </w:rPr>
        <w:t xml:space="preserve"> zona</w:t>
      </w:r>
      <w:r w:rsidR="00654D17" w:rsidRPr="00E70693">
        <w:rPr>
          <w:rFonts w:ascii="Arial" w:hAnsi="Arial" w:cs="Arial"/>
        </w:rPr>
        <w:t xml:space="preserve">s de </w:t>
      </w:r>
      <w:r w:rsidR="00714F17" w:rsidRPr="00E70693">
        <w:rPr>
          <w:rFonts w:ascii="Arial" w:hAnsi="Arial" w:cs="Arial"/>
        </w:rPr>
        <w:t>intervención</w:t>
      </w:r>
      <w:r w:rsidR="00937781" w:rsidRPr="00E70693">
        <w:rPr>
          <w:rFonts w:ascii="Arial" w:hAnsi="Arial" w:cs="Arial"/>
        </w:rPr>
        <w:t xml:space="preserve"> del </w:t>
      </w:r>
      <w:r w:rsidR="00654D17" w:rsidRPr="00E70693">
        <w:rPr>
          <w:rFonts w:ascii="Arial" w:hAnsi="Arial" w:cs="Arial"/>
        </w:rPr>
        <w:t>programa</w:t>
      </w:r>
      <w:r w:rsidR="00157CF8" w:rsidRPr="00E70693">
        <w:rPr>
          <w:rFonts w:ascii="Arial" w:hAnsi="Arial" w:cs="Arial"/>
        </w:rPr>
        <w:t xml:space="preserve">, Región Autónoma </w:t>
      </w:r>
      <w:r w:rsidR="00FA5EA2" w:rsidRPr="00E70693">
        <w:rPr>
          <w:rFonts w:ascii="Arial" w:hAnsi="Arial" w:cs="Arial"/>
        </w:rPr>
        <w:t xml:space="preserve">Costa Caribe </w:t>
      </w:r>
      <w:r w:rsidR="003F0E09" w:rsidRPr="00E70693">
        <w:rPr>
          <w:rFonts w:ascii="Arial" w:hAnsi="Arial" w:cs="Arial"/>
        </w:rPr>
        <w:t>Norte (RA</w:t>
      </w:r>
      <w:r w:rsidR="00FA5EA2" w:rsidRPr="00E70693">
        <w:rPr>
          <w:rFonts w:ascii="Arial" w:hAnsi="Arial" w:cs="Arial"/>
        </w:rPr>
        <w:t>CC</w:t>
      </w:r>
      <w:r w:rsidR="003F0E09" w:rsidRPr="00E70693">
        <w:rPr>
          <w:rFonts w:ascii="Arial" w:hAnsi="Arial" w:cs="Arial"/>
        </w:rPr>
        <w:t>N) y el departamento de Jinotega</w:t>
      </w:r>
      <w:r w:rsidR="00157CF8" w:rsidRPr="00E70693">
        <w:rPr>
          <w:rFonts w:ascii="Arial" w:hAnsi="Arial" w:cs="Arial"/>
        </w:rPr>
        <w:t>,</w:t>
      </w:r>
      <w:r w:rsidR="00937781" w:rsidRPr="00E70693">
        <w:rPr>
          <w:rFonts w:ascii="Arial" w:hAnsi="Arial" w:cs="Arial"/>
        </w:rPr>
        <w:t xml:space="preserve"> u otras de características similares</w:t>
      </w:r>
      <w:r w:rsidRPr="00E70693">
        <w:rPr>
          <w:rFonts w:ascii="Arial" w:hAnsi="Arial" w:cs="Arial"/>
        </w:rPr>
        <w:t xml:space="preserve"> como la</w:t>
      </w:r>
      <w:r w:rsidR="00157CF8" w:rsidRPr="00E70693">
        <w:rPr>
          <w:rFonts w:ascii="Arial" w:hAnsi="Arial" w:cs="Arial"/>
        </w:rPr>
        <w:t xml:space="preserve"> Región Autónoma </w:t>
      </w:r>
      <w:r w:rsidR="00FA5EA2" w:rsidRPr="00E70693">
        <w:rPr>
          <w:rFonts w:ascii="Arial" w:hAnsi="Arial" w:cs="Arial"/>
        </w:rPr>
        <w:t xml:space="preserve">Costa Caribe </w:t>
      </w:r>
      <w:r w:rsidR="003F0E09" w:rsidRPr="00E70693">
        <w:rPr>
          <w:rFonts w:ascii="Arial" w:hAnsi="Arial" w:cs="Arial"/>
        </w:rPr>
        <w:t>Sur (RA</w:t>
      </w:r>
      <w:r w:rsidR="00FA5EA2" w:rsidRPr="00E70693">
        <w:rPr>
          <w:rFonts w:ascii="Arial" w:hAnsi="Arial" w:cs="Arial"/>
        </w:rPr>
        <w:t>CC</w:t>
      </w:r>
      <w:r w:rsidR="003F0E09" w:rsidRPr="00E70693">
        <w:rPr>
          <w:rFonts w:ascii="Arial" w:hAnsi="Arial" w:cs="Arial"/>
        </w:rPr>
        <w:t>S).</w:t>
      </w:r>
      <w:r w:rsidR="00937781" w:rsidRPr="00E70693">
        <w:rPr>
          <w:rFonts w:ascii="Arial" w:hAnsi="Arial" w:cs="Arial"/>
        </w:rPr>
        <w:t xml:space="preserve"> Otra apreciación de su capacidad es el grado de ejecución de su presupuesto general</w:t>
      </w:r>
      <w:r w:rsidR="00BC0F78" w:rsidRPr="00E70693">
        <w:rPr>
          <w:rFonts w:ascii="Arial" w:hAnsi="Arial" w:cs="Arial"/>
        </w:rPr>
        <w:t>,</w:t>
      </w:r>
      <w:r w:rsidR="002E5A0F" w:rsidRPr="00E70693">
        <w:rPr>
          <w:rFonts w:ascii="Arial" w:hAnsi="Arial" w:cs="Arial"/>
        </w:rPr>
        <w:t xml:space="preserve"> indicador de la eficiencia ministerial para aplicar los recursos financieros que le son asignados</w:t>
      </w:r>
      <w:r w:rsidR="00937781" w:rsidRPr="00E70693">
        <w:rPr>
          <w:rFonts w:ascii="Arial" w:hAnsi="Arial" w:cs="Arial"/>
        </w:rPr>
        <w:t>. Consecuentemente el análisis se desarrollará en base a los criterios citados.</w:t>
      </w:r>
    </w:p>
    <w:p w:rsidR="00FA2C9A" w:rsidRPr="00E70693" w:rsidRDefault="00937781" w:rsidP="00D94F16">
      <w:pPr>
        <w:pStyle w:val="Heading1"/>
        <w:rPr>
          <w:rFonts w:ascii="Arial" w:hAnsi="Arial" w:cs="Arial"/>
        </w:rPr>
      </w:pPr>
      <w:bookmarkStart w:id="11" w:name="_Toc422154435"/>
      <w:r w:rsidRPr="00E70693">
        <w:rPr>
          <w:rFonts w:ascii="Arial" w:hAnsi="Arial" w:cs="Arial"/>
        </w:rPr>
        <w:t>La ejecución de los contratos de préstamo del BID</w:t>
      </w:r>
      <w:r w:rsidR="00FA2C9A" w:rsidRPr="00E70693">
        <w:rPr>
          <w:rFonts w:ascii="Arial" w:hAnsi="Arial" w:cs="Arial"/>
        </w:rPr>
        <w:t>.</w:t>
      </w:r>
      <w:bookmarkEnd w:id="11"/>
    </w:p>
    <w:p w:rsidR="00467B9F" w:rsidRPr="00E70693" w:rsidRDefault="00467B9F" w:rsidP="00467B9F">
      <w:pPr>
        <w:pStyle w:val="ListParagraph"/>
        <w:numPr>
          <w:ilvl w:val="0"/>
          <w:numId w:val="1"/>
        </w:numPr>
        <w:spacing w:before="240" w:after="0" w:line="240" w:lineRule="auto"/>
        <w:contextualSpacing w:val="0"/>
        <w:jc w:val="both"/>
        <w:rPr>
          <w:rFonts w:ascii="Arial" w:eastAsia="Times New Roman" w:hAnsi="Arial" w:cs="Arial"/>
          <w:vanish/>
          <w:sz w:val="24"/>
          <w:szCs w:val="20"/>
          <w:lang w:val="es-ES_tradnl" w:eastAsia="en-US"/>
        </w:rPr>
      </w:pPr>
    </w:p>
    <w:p w:rsidR="00FA2C9A" w:rsidRPr="00E70693" w:rsidRDefault="00FA2C9A" w:rsidP="00DF3FFF">
      <w:pPr>
        <w:numPr>
          <w:ilvl w:val="1"/>
          <w:numId w:val="1"/>
        </w:numPr>
        <w:tabs>
          <w:tab w:val="clear" w:pos="360"/>
        </w:tabs>
        <w:spacing w:before="240"/>
        <w:ind w:left="709" w:hanging="709"/>
        <w:jc w:val="both"/>
        <w:rPr>
          <w:rFonts w:ascii="Arial" w:hAnsi="Arial" w:cs="Arial"/>
        </w:rPr>
      </w:pPr>
      <w:r w:rsidRPr="00E70693">
        <w:rPr>
          <w:rFonts w:ascii="Arial" w:hAnsi="Arial" w:cs="Arial"/>
        </w:rPr>
        <w:t>El MTI</w:t>
      </w:r>
      <w:r w:rsidR="008D74B5" w:rsidRPr="00E70693">
        <w:rPr>
          <w:rFonts w:ascii="Arial" w:hAnsi="Arial" w:cs="Arial"/>
        </w:rPr>
        <w:t>, y en algunas operaciones conjuntamente con el FOMAV,</w:t>
      </w:r>
      <w:r w:rsidRPr="00E70693">
        <w:rPr>
          <w:rFonts w:ascii="Arial" w:hAnsi="Arial" w:cs="Arial"/>
        </w:rPr>
        <w:t xml:space="preserve"> ha ejecutado</w:t>
      </w:r>
      <w:r w:rsidR="00882300" w:rsidRPr="00E70693">
        <w:rPr>
          <w:rFonts w:ascii="Arial" w:hAnsi="Arial" w:cs="Arial"/>
        </w:rPr>
        <w:t xml:space="preserve"> recientemente </w:t>
      </w:r>
      <w:r w:rsidRPr="00E70693">
        <w:rPr>
          <w:rFonts w:ascii="Arial" w:hAnsi="Arial" w:cs="Arial"/>
        </w:rPr>
        <w:t>o ejecuta los siguientes préstamos con financiamiento del BID:</w:t>
      </w:r>
    </w:p>
    <w:p w:rsidR="003C1999" w:rsidRPr="00E70693" w:rsidRDefault="003C1999" w:rsidP="00FA2C9A">
      <w:pPr>
        <w:pStyle w:val="ListParagraph"/>
        <w:spacing w:after="0" w:line="240" w:lineRule="auto"/>
        <w:ind w:left="1069"/>
        <w:jc w:val="both"/>
        <w:rPr>
          <w:rFonts w:ascii="Arial" w:hAnsi="Arial" w:cs="Arial"/>
          <w:sz w:val="24"/>
          <w:szCs w:val="24"/>
        </w:rPr>
      </w:pPr>
    </w:p>
    <w:tbl>
      <w:tblPr>
        <w:tblW w:w="90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3"/>
        <w:gridCol w:w="3685"/>
        <w:gridCol w:w="993"/>
        <w:gridCol w:w="850"/>
        <w:gridCol w:w="992"/>
        <w:gridCol w:w="1135"/>
      </w:tblGrid>
      <w:tr w:rsidR="003C7601" w:rsidRPr="00E70693" w:rsidTr="00831F00">
        <w:trPr>
          <w:tblHeader/>
        </w:trPr>
        <w:tc>
          <w:tcPr>
            <w:tcW w:w="1433" w:type="dxa"/>
            <w:vMerge w:val="restart"/>
            <w:shd w:val="clear" w:color="000000" w:fill="DAEEF3"/>
            <w:hideMark/>
          </w:tcPr>
          <w:p w:rsidR="003C1999" w:rsidRPr="00E70693" w:rsidRDefault="003C1999" w:rsidP="00DF3FFF">
            <w:pPr>
              <w:keepNext/>
              <w:rPr>
                <w:rFonts w:ascii="Arial" w:hAnsi="Arial" w:cs="Arial"/>
                <w:b/>
                <w:bCs/>
                <w:color w:val="000000"/>
                <w:sz w:val="22"/>
                <w:szCs w:val="22"/>
                <w:lang w:val="es-PY" w:eastAsia="es-PY"/>
              </w:rPr>
            </w:pPr>
            <w:r w:rsidRPr="00E70693">
              <w:rPr>
                <w:rFonts w:ascii="Arial" w:hAnsi="Arial" w:cs="Arial"/>
                <w:b/>
                <w:bCs/>
                <w:color w:val="000000"/>
                <w:sz w:val="22"/>
                <w:szCs w:val="22"/>
                <w:lang w:val="es-PY" w:eastAsia="es-PY"/>
              </w:rPr>
              <w:lastRenderedPageBreak/>
              <w:t>Préstamo</w:t>
            </w:r>
          </w:p>
        </w:tc>
        <w:tc>
          <w:tcPr>
            <w:tcW w:w="3685" w:type="dxa"/>
            <w:vMerge w:val="restart"/>
            <w:shd w:val="clear" w:color="000000" w:fill="DAEEF3"/>
            <w:hideMark/>
          </w:tcPr>
          <w:p w:rsidR="003C1999" w:rsidRPr="00E70693" w:rsidRDefault="003C1999" w:rsidP="00DF3FFF">
            <w:pPr>
              <w:keepNext/>
              <w:rPr>
                <w:rFonts w:ascii="Arial" w:hAnsi="Arial" w:cs="Arial"/>
                <w:b/>
                <w:bCs/>
                <w:color w:val="000000"/>
                <w:sz w:val="22"/>
                <w:szCs w:val="22"/>
                <w:lang w:val="es-PY" w:eastAsia="es-PY"/>
              </w:rPr>
            </w:pPr>
            <w:r w:rsidRPr="00E70693">
              <w:rPr>
                <w:rFonts w:ascii="Arial" w:hAnsi="Arial" w:cs="Arial"/>
                <w:b/>
                <w:bCs/>
                <w:color w:val="000000"/>
                <w:sz w:val="22"/>
                <w:szCs w:val="22"/>
                <w:lang w:val="es-PY" w:eastAsia="es-PY"/>
              </w:rPr>
              <w:t>Nombre</w:t>
            </w:r>
          </w:p>
        </w:tc>
        <w:tc>
          <w:tcPr>
            <w:tcW w:w="2835" w:type="dxa"/>
            <w:gridSpan w:val="3"/>
            <w:shd w:val="clear" w:color="000000" w:fill="DAEEF3"/>
            <w:hideMark/>
          </w:tcPr>
          <w:p w:rsidR="003C7601" w:rsidRPr="00E70693" w:rsidRDefault="003C7601" w:rsidP="00DF3FFF">
            <w:pPr>
              <w:keepNext/>
              <w:jc w:val="center"/>
              <w:rPr>
                <w:rFonts w:ascii="Arial" w:hAnsi="Arial" w:cs="Arial"/>
                <w:b/>
                <w:bCs/>
                <w:color w:val="000000"/>
                <w:sz w:val="22"/>
                <w:szCs w:val="22"/>
                <w:lang w:val="es-PY" w:eastAsia="es-PY"/>
              </w:rPr>
            </w:pPr>
            <w:r w:rsidRPr="00E70693">
              <w:rPr>
                <w:rFonts w:ascii="Arial" w:hAnsi="Arial" w:cs="Arial"/>
                <w:b/>
                <w:bCs/>
                <w:color w:val="000000"/>
                <w:sz w:val="22"/>
                <w:szCs w:val="22"/>
                <w:lang w:val="es-PY" w:eastAsia="es-PY"/>
              </w:rPr>
              <w:t xml:space="preserve">Monto / Ejecutores </w:t>
            </w:r>
          </w:p>
          <w:p w:rsidR="003C1999" w:rsidRPr="00E70693" w:rsidRDefault="003C1999" w:rsidP="00DF3FFF">
            <w:pPr>
              <w:keepNext/>
              <w:jc w:val="center"/>
              <w:rPr>
                <w:rFonts w:ascii="Arial" w:hAnsi="Arial" w:cs="Arial"/>
                <w:b/>
                <w:bCs/>
                <w:color w:val="000000"/>
                <w:sz w:val="22"/>
                <w:szCs w:val="22"/>
                <w:lang w:val="es-PY" w:eastAsia="es-PY"/>
              </w:rPr>
            </w:pPr>
            <w:r w:rsidRPr="00E70693">
              <w:rPr>
                <w:rFonts w:ascii="Arial" w:hAnsi="Arial" w:cs="Arial"/>
                <w:b/>
                <w:bCs/>
                <w:color w:val="000000"/>
                <w:sz w:val="22"/>
                <w:szCs w:val="22"/>
                <w:lang w:val="es-PY" w:eastAsia="es-PY"/>
              </w:rPr>
              <w:t>(US$ millones)</w:t>
            </w:r>
          </w:p>
        </w:tc>
        <w:tc>
          <w:tcPr>
            <w:tcW w:w="1135" w:type="dxa"/>
            <w:vMerge w:val="restart"/>
            <w:shd w:val="clear" w:color="000000" w:fill="DAEEF3"/>
            <w:hideMark/>
          </w:tcPr>
          <w:p w:rsidR="003C1999" w:rsidRPr="00E70693" w:rsidRDefault="003C1999" w:rsidP="003C7601">
            <w:pPr>
              <w:jc w:val="center"/>
              <w:rPr>
                <w:rFonts w:ascii="Arial" w:hAnsi="Arial" w:cs="Arial"/>
                <w:b/>
                <w:bCs/>
                <w:color w:val="000000"/>
                <w:sz w:val="22"/>
                <w:szCs w:val="22"/>
                <w:lang w:val="es-PY" w:eastAsia="es-PY"/>
              </w:rPr>
            </w:pPr>
            <w:r w:rsidRPr="00E70693">
              <w:rPr>
                <w:rFonts w:ascii="Arial" w:hAnsi="Arial" w:cs="Arial"/>
                <w:b/>
                <w:bCs/>
                <w:color w:val="000000"/>
                <w:sz w:val="22"/>
                <w:szCs w:val="22"/>
                <w:lang w:val="es-PY" w:eastAsia="es-PY"/>
              </w:rPr>
              <w:t>Estado</w:t>
            </w:r>
          </w:p>
        </w:tc>
      </w:tr>
      <w:tr w:rsidR="003C7601" w:rsidRPr="00E70693" w:rsidTr="00831F00">
        <w:trPr>
          <w:tblHeader/>
        </w:trPr>
        <w:tc>
          <w:tcPr>
            <w:tcW w:w="1433" w:type="dxa"/>
            <w:vMerge/>
            <w:vAlign w:val="center"/>
            <w:hideMark/>
          </w:tcPr>
          <w:p w:rsidR="003C1999" w:rsidRPr="00E70693" w:rsidRDefault="003C1999" w:rsidP="00DF3FFF">
            <w:pPr>
              <w:keepNext/>
              <w:rPr>
                <w:rFonts w:ascii="Arial" w:hAnsi="Arial" w:cs="Arial"/>
                <w:b/>
                <w:bCs/>
                <w:color w:val="000000"/>
                <w:sz w:val="22"/>
                <w:szCs w:val="22"/>
                <w:lang w:val="es-PY" w:eastAsia="es-PY"/>
              </w:rPr>
            </w:pPr>
          </w:p>
        </w:tc>
        <w:tc>
          <w:tcPr>
            <w:tcW w:w="3685" w:type="dxa"/>
            <w:vMerge/>
            <w:vAlign w:val="center"/>
            <w:hideMark/>
          </w:tcPr>
          <w:p w:rsidR="003C1999" w:rsidRPr="00E70693" w:rsidRDefault="003C1999" w:rsidP="00DF3FFF">
            <w:pPr>
              <w:keepNext/>
              <w:rPr>
                <w:rFonts w:ascii="Arial" w:hAnsi="Arial" w:cs="Arial"/>
                <w:b/>
                <w:bCs/>
                <w:color w:val="000000"/>
                <w:sz w:val="22"/>
                <w:szCs w:val="22"/>
                <w:lang w:val="es-PY" w:eastAsia="es-PY"/>
              </w:rPr>
            </w:pPr>
          </w:p>
        </w:tc>
        <w:tc>
          <w:tcPr>
            <w:tcW w:w="993" w:type="dxa"/>
            <w:shd w:val="clear" w:color="000000" w:fill="DAEEF3"/>
            <w:hideMark/>
          </w:tcPr>
          <w:p w:rsidR="003C1999" w:rsidRPr="00E70693" w:rsidRDefault="003C1999" w:rsidP="00DF3FFF">
            <w:pPr>
              <w:keepNext/>
              <w:jc w:val="center"/>
              <w:rPr>
                <w:rFonts w:ascii="Arial" w:hAnsi="Arial" w:cs="Arial"/>
                <w:b/>
                <w:bCs/>
                <w:color w:val="000000"/>
                <w:sz w:val="22"/>
                <w:szCs w:val="22"/>
                <w:lang w:val="es-PY" w:eastAsia="es-PY"/>
              </w:rPr>
            </w:pPr>
            <w:r w:rsidRPr="00E70693">
              <w:rPr>
                <w:rFonts w:ascii="Arial" w:hAnsi="Arial" w:cs="Arial"/>
                <w:b/>
                <w:bCs/>
                <w:color w:val="000000"/>
                <w:sz w:val="22"/>
                <w:szCs w:val="22"/>
                <w:lang w:val="es-PY" w:eastAsia="es-PY"/>
              </w:rPr>
              <w:t>Total</w:t>
            </w:r>
          </w:p>
        </w:tc>
        <w:tc>
          <w:tcPr>
            <w:tcW w:w="850" w:type="dxa"/>
            <w:shd w:val="clear" w:color="000000" w:fill="DAEEF3"/>
            <w:hideMark/>
          </w:tcPr>
          <w:p w:rsidR="003C1999" w:rsidRPr="00E70693" w:rsidRDefault="003C1999" w:rsidP="00DF3FFF">
            <w:pPr>
              <w:keepNext/>
              <w:jc w:val="center"/>
              <w:rPr>
                <w:rFonts w:ascii="Arial" w:hAnsi="Arial" w:cs="Arial"/>
                <w:b/>
                <w:bCs/>
                <w:color w:val="000000"/>
                <w:sz w:val="22"/>
                <w:szCs w:val="22"/>
                <w:lang w:val="es-PY" w:eastAsia="es-PY"/>
              </w:rPr>
            </w:pPr>
            <w:r w:rsidRPr="00E70693">
              <w:rPr>
                <w:rFonts w:ascii="Arial" w:hAnsi="Arial" w:cs="Arial"/>
                <w:b/>
                <w:bCs/>
                <w:color w:val="000000"/>
                <w:sz w:val="22"/>
                <w:szCs w:val="22"/>
                <w:lang w:val="es-PY" w:eastAsia="es-PY"/>
              </w:rPr>
              <w:t>MTI</w:t>
            </w:r>
          </w:p>
        </w:tc>
        <w:tc>
          <w:tcPr>
            <w:tcW w:w="992" w:type="dxa"/>
            <w:shd w:val="clear" w:color="000000" w:fill="DAEEF3"/>
            <w:hideMark/>
          </w:tcPr>
          <w:p w:rsidR="003C1999" w:rsidRPr="00E70693" w:rsidRDefault="003C1999" w:rsidP="00DF3FFF">
            <w:pPr>
              <w:keepNext/>
              <w:jc w:val="center"/>
              <w:rPr>
                <w:rFonts w:ascii="Arial" w:hAnsi="Arial" w:cs="Arial"/>
                <w:b/>
                <w:bCs/>
                <w:color w:val="000000"/>
                <w:sz w:val="22"/>
                <w:szCs w:val="22"/>
                <w:lang w:val="es-PY" w:eastAsia="es-PY"/>
              </w:rPr>
            </w:pPr>
            <w:r w:rsidRPr="00E70693">
              <w:rPr>
                <w:rFonts w:ascii="Arial" w:hAnsi="Arial" w:cs="Arial"/>
                <w:b/>
                <w:bCs/>
                <w:color w:val="000000"/>
                <w:sz w:val="22"/>
                <w:szCs w:val="22"/>
                <w:lang w:val="es-PY" w:eastAsia="es-PY"/>
              </w:rPr>
              <w:t>FOMAV</w:t>
            </w:r>
          </w:p>
        </w:tc>
        <w:tc>
          <w:tcPr>
            <w:tcW w:w="1135" w:type="dxa"/>
            <w:vMerge/>
            <w:vAlign w:val="center"/>
            <w:hideMark/>
          </w:tcPr>
          <w:p w:rsidR="003C1999" w:rsidRPr="00E70693" w:rsidRDefault="003C1999" w:rsidP="003C7601">
            <w:pPr>
              <w:rPr>
                <w:rFonts w:ascii="Arial" w:hAnsi="Arial" w:cs="Arial"/>
                <w:b/>
                <w:bCs/>
                <w:color w:val="000000"/>
                <w:sz w:val="22"/>
                <w:szCs w:val="22"/>
                <w:lang w:val="es-PY" w:eastAsia="es-PY"/>
              </w:rPr>
            </w:pPr>
          </w:p>
        </w:tc>
      </w:tr>
      <w:tr w:rsidR="003C7601" w:rsidRPr="00E70693" w:rsidTr="00831F00">
        <w:tc>
          <w:tcPr>
            <w:tcW w:w="1433" w:type="dxa"/>
            <w:shd w:val="clear" w:color="auto" w:fill="auto"/>
            <w:hideMark/>
          </w:tcPr>
          <w:p w:rsidR="003C1999" w:rsidRPr="00E70693" w:rsidRDefault="003C1999" w:rsidP="003C7601">
            <w:pPr>
              <w:jc w:val="both"/>
              <w:rPr>
                <w:rFonts w:ascii="Arial" w:hAnsi="Arial" w:cs="Arial"/>
                <w:color w:val="000000"/>
                <w:sz w:val="22"/>
                <w:szCs w:val="22"/>
                <w:lang w:val="es-PY" w:eastAsia="es-PY"/>
              </w:rPr>
            </w:pPr>
            <w:r w:rsidRPr="00E70693">
              <w:rPr>
                <w:rFonts w:ascii="Arial" w:hAnsi="Arial" w:cs="Arial"/>
                <w:color w:val="000000"/>
                <w:sz w:val="22"/>
                <w:szCs w:val="22"/>
                <w:lang w:val="es-PY" w:eastAsia="es-PY"/>
              </w:rPr>
              <w:t>1530/SF-NI</w:t>
            </w:r>
          </w:p>
        </w:tc>
        <w:tc>
          <w:tcPr>
            <w:tcW w:w="3685" w:type="dxa"/>
            <w:shd w:val="clear" w:color="auto" w:fill="auto"/>
            <w:hideMark/>
          </w:tcPr>
          <w:p w:rsidR="003C1999" w:rsidRPr="00E70693" w:rsidRDefault="003C1999" w:rsidP="003C7601">
            <w:pPr>
              <w:rPr>
                <w:rFonts w:ascii="Arial" w:hAnsi="Arial" w:cs="Arial"/>
                <w:color w:val="000000"/>
                <w:sz w:val="22"/>
                <w:szCs w:val="22"/>
                <w:lang w:val="es-PY" w:eastAsia="es-PY"/>
              </w:rPr>
            </w:pPr>
            <w:r w:rsidRPr="00E70693">
              <w:rPr>
                <w:rFonts w:ascii="Arial" w:hAnsi="Arial" w:cs="Arial"/>
                <w:color w:val="000000"/>
                <w:sz w:val="22"/>
                <w:szCs w:val="22"/>
                <w:lang w:val="es-PY" w:eastAsia="es-PY"/>
              </w:rPr>
              <w:t>Proyecto Vial Plan Puebla-Panamá para la Competitividad Zona II</w:t>
            </w:r>
          </w:p>
        </w:tc>
        <w:tc>
          <w:tcPr>
            <w:tcW w:w="993" w:type="dxa"/>
            <w:shd w:val="clear" w:color="auto" w:fill="auto"/>
            <w:hideMark/>
          </w:tcPr>
          <w:p w:rsidR="003C1999" w:rsidRPr="00E70693" w:rsidRDefault="003C1999" w:rsidP="003C7601">
            <w:pPr>
              <w:rPr>
                <w:rFonts w:ascii="Arial" w:hAnsi="Arial" w:cs="Arial"/>
                <w:color w:val="000000"/>
                <w:sz w:val="22"/>
                <w:szCs w:val="22"/>
                <w:lang w:val="es-PY" w:eastAsia="es-PY"/>
              </w:rPr>
            </w:pPr>
            <w:r w:rsidRPr="00E70693">
              <w:rPr>
                <w:rFonts w:ascii="Arial" w:hAnsi="Arial" w:cs="Arial"/>
                <w:color w:val="000000"/>
                <w:sz w:val="22"/>
                <w:szCs w:val="22"/>
                <w:lang w:val="es-PY" w:eastAsia="es-PY"/>
              </w:rPr>
              <w:t xml:space="preserve">     44,6 </w:t>
            </w:r>
          </w:p>
        </w:tc>
        <w:tc>
          <w:tcPr>
            <w:tcW w:w="850" w:type="dxa"/>
            <w:shd w:val="clear" w:color="auto" w:fill="auto"/>
            <w:hideMark/>
          </w:tcPr>
          <w:p w:rsidR="003C1999" w:rsidRPr="00E70693" w:rsidRDefault="003C7601" w:rsidP="003C7601">
            <w:pPr>
              <w:rPr>
                <w:rFonts w:ascii="Arial" w:hAnsi="Arial" w:cs="Arial"/>
                <w:color w:val="000000"/>
                <w:sz w:val="22"/>
                <w:szCs w:val="22"/>
                <w:lang w:val="es-PY" w:eastAsia="es-PY"/>
              </w:rPr>
            </w:pPr>
            <w:r w:rsidRPr="00E70693">
              <w:rPr>
                <w:rFonts w:ascii="Arial" w:hAnsi="Arial" w:cs="Arial"/>
                <w:color w:val="000000"/>
                <w:sz w:val="22"/>
                <w:szCs w:val="22"/>
                <w:lang w:val="es-PY" w:eastAsia="es-PY"/>
              </w:rPr>
              <w:t xml:space="preserve">     </w:t>
            </w:r>
            <w:r w:rsidR="003C1999" w:rsidRPr="00E70693">
              <w:rPr>
                <w:rFonts w:ascii="Arial" w:hAnsi="Arial" w:cs="Arial"/>
                <w:color w:val="000000"/>
                <w:sz w:val="22"/>
                <w:szCs w:val="22"/>
                <w:lang w:val="es-PY" w:eastAsia="es-PY"/>
              </w:rPr>
              <w:t xml:space="preserve">44,6 </w:t>
            </w:r>
          </w:p>
        </w:tc>
        <w:tc>
          <w:tcPr>
            <w:tcW w:w="992" w:type="dxa"/>
            <w:shd w:val="clear" w:color="auto" w:fill="auto"/>
            <w:hideMark/>
          </w:tcPr>
          <w:p w:rsidR="003C1999" w:rsidRPr="00E70693" w:rsidRDefault="003C1999" w:rsidP="003C7601">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 xml:space="preserve">             -   </w:t>
            </w:r>
          </w:p>
        </w:tc>
        <w:tc>
          <w:tcPr>
            <w:tcW w:w="1135" w:type="dxa"/>
            <w:shd w:val="clear" w:color="auto" w:fill="auto"/>
            <w:hideMark/>
          </w:tcPr>
          <w:p w:rsidR="003C1999" w:rsidRPr="00E70693" w:rsidRDefault="003C1999" w:rsidP="003C7601">
            <w:pPr>
              <w:rPr>
                <w:rFonts w:ascii="Arial" w:hAnsi="Arial" w:cs="Arial"/>
                <w:color w:val="000000"/>
                <w:sz w:val="22"/>
                <w:szCs w:val="22"/>
                <w:lang w:val="es-PY" w:eastAsia="es-PY"/>
              </w:rPr>
            </w:pPr>
            <w:r w:rsidRPr="00E70693">
              <w:rPr>
                <w:rFonts w:ascii="Arial" w:hAnsi="Arial" w:cs="Arial"/>
                <w:color w:val="000000"/>
                <w:sz w:val="22"/>
                <w:szCs w:val="22"/>
                <w:lang w:val="es-PY" w:eastAsia="es-PY"/>
              </w:rPr>
              <w:t>Concluido</w:t>
            </w:r>
          </w:p>
        </w:tc>
      </w:tr>
      <w:tr w:rsidR="003C7601" w:rsidRPr="00E70693" w:rsidTr="00831F00">
        <w:tc>
          <w:tcPr>
            <w:tcW w:w="1433" w:type="dxa"/>
            <w:shd w:val="clear" w:color="auto" w:fill="auto"/>
            <w:hideMark/>
          </w:tcPr>
          <w:p w:rsidR="003C1999" w:rsidRPr="00E70693" w:rsidRDefault="003C1999" w:rsidP="003C7601">
            <w:pPr>
              <w:jc w:val="both"/>
              <w:rPr>
                <w:rFonts w:ascii="Arial" w:hAnsi="Arial" w:cs="Arial"/>
                <w:color w:val="000000"/>
                <w:sz w:val="22"/>
                <w:szCs w:val="22"/>
                <w:lang w:val="es-PY" w:eastAsia="es-PY"/>
              </w:rPr>
            </w:pPr>
            <w:r w:rsidRPr="00E70693">
              <w:rPr>
                <w:rFonts w:ascii="Arial" w:hAnsi="Arial" w:cs="Arial"/>
                <w:color w:val="000000"/>
                <w:sz w:val="22"/>
                <w:szCs w:val="22"/>
                <w:lang w:val="es-PY" w:eastAsia="es-PY"/>
              </w:rPr>
              <w:t>1599/SF-NI</w:t>
            </w:r>
          </w:p>
        </w:tc>
        <w:tc>
          <w:tcPr>
            <w:tcW w:w="3685" w:type="dxa"/>
            <w:shd w:val="clear" w:color="auto" w:fill="auto"/>
            <w:hideMark/>
          </w:tcPr>
          <w:p w:rsidR="003C1999" w:rsidRPr="00E70693" w:rsidRDefault="003C1999" w:rsidP="003C7601">
            <w:pPr>
              <w:rPr>
                <w:rFonts w:ascii="Arial" w:hAnsi="Arial" w:cs="Arial"/>
                <w:color w:val="000000"/>
                <w:sz w:val="22"/>
                <w:szCs w:val="22"/>
                <w:lang w:val="es-PY" w:eastAsia="es-PY"/>
              </w:rPr>
            </w:pPr>
            <w:r w:rsidRPr="00E70693">
              <w:rPr>
                <w:rFonts w:ascii="Arial" w:hAnsi="Arial" w:cs="Arial"/>
                <w:color w:val="000000"/>
                <w:sz w:val="22"/>
                <w:szCs w:val="22"/>
                <w:lang w:val="es-PY" w:eastAsia="es-PY"/>
              </w:rPr>
              <w:t>Programa Vial Plan Puebla-Panamá para la Competitividad Zona III</w:t>
            </w:r>
          </w:p>
        </w:tc>
        <w:tc>
          <w:tcPr>
            <w:tcW w:w="993" w:type="dxa"/>
            <w:shd w:val="clear" w:color="auto" w:fill="auto"/>
            <w:hideMark/>
          </w:tcPr>
          <w:p w:rsidR="003C1999" w:rsidRPr="00E70693" w:rsidRDefault="003C1999" w:rsidP="003C7601">
            <w:pPr>
              <w:rPr>
                <w:rFonts w:ascii="Arial" w:hAnsi="Arial" w:cs="Arial"/>
                <w:color w:val="000000"/>
                <w:sz w:val="22"/>
                <w:szCs w:val="22"/>
                <w:lang w:val="es-PY" w:eastAsia="es-PY"/>
              </w:rPr>
            </w:pPr>
            <w:r w:rsidRPr="00E70693">
              <w:rPr>
                <w:rFonts w:ascii="Arial" w:hAnsi="Arial" w:cs="Arial"/>
                <w:color w:val="000000"/>
                <w:sz w:val="22"/>
                <w:szCs w:val="22"/>
                <w:lang w:val="es-PY" w:eastAsia="es-PY"/>
              </w:rPr>
              <w:t xml:space="preserve">     59,2 </w:t>
            </w:r>
          </w:p>
        </w:tc>
        <w:tc>
          <w:tcPr>
            <w:tcW w:w="850" w:type="dxa"/>
            <w:shd w:val="clear" w:color="auto" w:fill="auto"/>
            <w:hideMark/>
          </w:tcPr>
          <w:p w:rsidR="003C1999" w:rsidRPr="00E70693" w:rsidRDefault="003C1999" w:rsidP="003C7601">
            <w:pPr>
              <w:rPr>
                <w:rFonts w:ascii="Arial" w:hAnsi="Arial" w:cs="Arial"/>
                <w:color w:val="000000"/>
                <w:sz w:val="22"/>
                <w:szCs w:val="22"/>
                <w:lang w:val="es-PY" w:eastAsia="es-PY"/>
              </w:rPr>
            </w:pPr>
            <w:r w:rsidRPr="00E70693">
              <w:rPr>
                <w:rFonts w:ascii="Arial" w:hAnsi="Arial" w:cs="Arial"/>
                <w:color w:val="000000"/>
                <w:sz w:val="22"/>
                <w:szCs w:val="22"/>
                <w:lang w:val="es-PY" w:eastAsia="es-PY"/>
              </w:rPr>
              <w:t xml:space="preserve">     59,2 </w:t>
            </w:r>
          </w:p>
        </w:tc>
        <w:tc>
          <w:tcPr>
            <w:tcW w:w="992" w:type="dxa"/>
            <w:shd w:val="clear" w:color="auto" w:fill="auto"/>
            <w:hideMark/>
          </w:tcPr>
          <w:p w:rsidR="003C1999" w:rsidRPr="00E70693" w:rsidRDefault="003C1999" w:rsidP="003C7601">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 xml:space="preserve">             -   </w:t>
            </w:r>
          </w:p>
        </w:tc>
        <w:tc>
          <w:tcPr>
            <w:tcW w:w="1135" w:type="dxa"/>
            <w:shd w:val="clear" w:color="auto" w:fill="auto"/>
            <w:hideMark/>
          </w:tcPr>
          <w:p w:rsidR="003C1999" w:rsidRPr="00E70693" w:rsidRDefault="003C1999" w:rsidP="003C7601">
            <w:pPr>
              <w:rPr>
                <w:rFonts w:ascii="Arial" w:hAnsi="Arial" w:cs="Arial"/>
                <w:color w:val="000000"/>
                <w:sz w:val="22"/>
                <w:szCs w:val="22"/>
                <w:lang w:val="es-PY" w:eastAsia="es-PY"/>
              </w:rPr>
            </w:pPr>
            <w:r w:rsidRPr="00E70693">
              <w:rPr>
                <w:rFonts w:ascii="Arial" w:hAnsi="Arial" w:cs="Arial"/>
                <w:color w:val="000000"/>
                <w:sz w:val="22"/>
                <w:szCs w:val="22"/>
                <w:lang w:val="es-PY" w:eastAsia="es-PY"/>
              </w:rPr>
              <w:t>Concluido</w:t>
            </w:r>
          </w:p>
        </w:tc>
      </w:tr>
      <w:tr w:rsidR="003C7601" w:rsidRPr="00E70693" w:rsidTr="00831F00">
        <w:tc>
          <w:tcPr>
            <w:tcW w:w="1433" w:type="dxa"/>
            <w:shd w:val="clear" w:color="auto" w:fill="auto"/>
            <w:hideMark/>
          </w:tcPr>
          <w:p w:rsidR="003C1999" w:rsidRPr="00E70693" w:rsidRDefault="003C1999" w:rsidP="003C7601">
            <w:pPr>
              <w:jc w:val="both"/>
              <w:rPr>
                <w:rFonts w:ascii="Arial" w:hAnsi="Arial" w:cs="Arial"/>
                <w:color w:val="000000"/>
                <w:sz w:val="22"/>
                <w:szCs w:val="22"/>
                <w:lang w:val="es-PY" w:eastAsia="es-PY"/>
              </w:rPr>
            </w:pPr>
            <w:r w:rsidRPr="00E70693">
              <w:rPr>
                <w:rFonts w:ascii="Arial" w:hAnsi="Arial" w:cs="Arial"/>
                <w:color w:val="000000"/>
                <w:sz w:val="22"/>
                <w:szCs w:val="22"/>
                <w:lang w:val="es-PY" w:eastAsia="es-PY"/>
              </w:rPr>
              <w:t>1796/SF-NI</w:t>
            </w:r>
          </w:p>
        </w:tc>
        <w:tc>
          <w:tcPr>
            <w:tcW w:w="3685" w:type="dxa"/>
            <w:shd w:val="clear" w:color="auto" w:fill="auto"/>
            <w:hideMark/>
          </w:tcPr>
          <w:p w:rsidR="003C1999" w:rsidRPr="00E70693" w:rsidRDefault="003C1999" w:rsidP="003C7601">
            <w:pPr>
              <w:rPr>
                <w:rFonts w:ascii="Arial" w:hAnsi="Arial" w:cs="Arial"/>
                <w:color w:val="000000"/>
                <w:sz w:val="22"/>
                <w:szCs w:val="22"/>
                <w:lang w:val="es-PY" w:eastAsia="es-PY"/>
              </w:rPr>
            </w:pPr>
            <w:r w:rsidRPr="00E70693">
              <w:rPr>
                <w:rFonts w:ascii="Arial" w:hAnsi="Arial" w:cs="Arial"/>
                <w:color w:val="000000"/>
                <w:sz w:val="22"/>
                <w:szCs w:val="22"/>
                <w:lang w:val="es-PY" w:eastAsia="es-PY"/>
              </w:rPr>
              <w:t xml:space="preserve">Programa Vial de Integración </w:t>
            </w:r>
            <w:proofErr w:type="spellStart"/>
            <w:r w:rsidRPr="00E70693">
              <w:rPr>
                <w:rFonts w:ascii="Arial" w:hAnsi="Arial" w:cs="Arial"/>
                <w:color w:val="000000"/>
                <w:sz w:val="22"/>
                <w:szCs w:val="22"/>
                <w:lang w:val="es-PY" w:eastAsia="es-PY"/>
              </w:rPr>
              <w:t>Acopaya</w:t>
            </w:r>
            <w:proofErr w:type="spellEnd"/>
            <w:r w:rsidRPr="00E70693">
              <w:rPr>
                <w:rFonts w:ascii="Arial" w:hAnsi="Arial" w:cs="Arial"/>
                <w:color w:val="000000"/>
                <w:sz w:val="22"/>
                <w:szCs w:val="22"/>
                <w:lang w:val="es-PY" w:eastAsia="es-PY"/>
              </w:rPr>
              <w:t>-San Carlos-Frontera con Costa Rica del Plan Puebla-Panamá</w:t>
            </w:r>
          </w:p>
        </w:tc>
        <w:tc>
          <w:tcPr>
            <w:tcW w:w="993" w:type="dxa"/>
            <w:shd w:val="clear" w:color="auto" w:fill="auto"/>
            <w:hideMark/>
          </w:tcPr>
          <w:p w:rsidR="003C1999" w:rsidRPr="00E70693" w:rsidRDefault="003C1999" w:rsidP="003C7601">
            <w:pPr>
              <w:rPr>
                <w:rFonts w:ascii="Arial" w:hAnsi="Arial" w:cs="Arial"/>
                <w:color w:val="000000"/>
                <w:sz w:val="22"/>
                <w:szCs w:val="22"/>
                <w:lang w:val="es-PY" w:eastAsia="es-PY"/>
              </w:rPr>
            </w:pPr>
            <w:r w:rsidRPr="00E70693">
              <w:rPr>
                <w:rFonts w:ascii="Arial" w:hAnsi="Arial" w:cs="Arial"/>
                <w:color w:val="000000"/>
                <w:sz w:val="22"/>
                <w:szCs w:val="22"/>
                <w:lang w:val="es-PY" w:eastAsia="es-PY"/>
              </w:rPr>
              <w:t xml:space="preserve">     69,2 </w:t>
            </w:r>
          </w:p>
        </w:tc>
        <w:tc>
          <w:tcPr>
            <w:tcW w:w="850" w:type="dxa"/>
            <w:shd w:val="clear" w:color="auto" w:fill="auto"/>
            <w:hideMark/>
          </w:tcPr>
          <w:p w:rsidR="003C1999" w:rsidRPr="00E70693" w:rsidRDefault="003C1999" w:rsidP="003C7601">
            <w:pPr>
              <w:rPr>
                <w:rFonts w:ascii="Arial" w:hAnsi="Arial" w:cs="Arial"/>
                <w:color w:val="000000"/>
                <w:sz w:val="22"/>
                <w:szCs w:val="22"/>
                <w:lang w:val="es-PY" w:eastAsia="es-PY"/>
              </w:rPr>
            </w:pPr>
            <w:r w:rsidRPr="00E70693">
              <w:rPr>
                <w:rFonts w:ascii="Arial" w:hAnsi="Arial" w:cs="Arial"/>
                <w:color w:val="000000"/>
                <w:sz w:val="22"/>
                <w:szCs w:val="22"/>
                <w:lang w:val="es-PY" w:eastAsia="es-PY"/>
              </w:rPr>
              <w:t xml:space="preserve">     69,2 </w:t>
            </w:r>
          </w:p>
        </w:tc>
        <w:tc>
          <w:tcPr>
            <w:tcW w:w="992" w:type="dxa"/>
            <w:shd w:val="clear" w:color="auto" w:fill="auto"/>
            <w:hideMark/>
          </w:tcPr>
          <w:p w:rsidR="003C1999" w:rsidRPr="00E70693" w:rsidRDefault="003C1999" w:rsidP="003C7601">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 xml:space="preserve">             -   </w:t>
            </w:r>
          </w:p>
        </w:tc>
        <w:tc>
          <w:tcPr>
            <w:tcW w:w="1135" w:type="dxa"/>
            <w:shd w:val="clear" w:color="auto" w:fill="auto"/>
            <w:hideMark/>
          </w:tcPr>
          <w:p w:rsidR="003C1999" w:rsidRPr="00E70693" w:rsidRDefault="003C1999" w:rsidP="003C7601">
            <w:pPr>
              <w:rPr>
                <w:rFonts w:ascii="Arial" w:hAnsi="Arial" w:cs="Arial"/>
                <w:color w:val="000000"/>
                <w:sz w:val="22"/>
                <w:szCs w:val="22"/>
                <w:lang w:val="es-PY" w:eastAsia="es-PY"/>
              </w:rPr>
            </w:pPr>
            <w:r w:rsidRPr="00E70693">
              <w:rPr>
                <w:rFonts w:ascii="Arial" w:hAnsi="Arial" w:cs="Arial"/>
                <w:color w:val="000000"/>
                <w:sz w:val="22"/>
                <w:szCs w:val="22"/>
                <w:lang w:val="es-PY" w:eastAsia="es-PY"/>
              </w:rPr>
              <w:t>Concluido</w:t>
            </w:r>
          </w:p>
        </w:tc>
      </w:tr>
      <w:tr w:rsidR="003C7601" w:rsidRPr="00E70693" w:rsidTr="00831F00">
        <w:tc>
          <w:tcPr>
            <w:tcW w:w="1433" w:type="dxa"/>
            <w:shd w:val="clear" w:color="auto" w:fill="auto"/>
            <w:hideMark/>
          </w:tcPr>
          <w:p w:rsidR="003C1999" w:rsidRPr="00E70693" w:rsidRDefault="003C1999" w:rsidP="003C7601">
            <w:pPr>
              <w:jc w:val="both"/>
              <w:rPr>
                <w:rFonts w:ascii="Arial" w:hAnsi="Arial" w:cs="Arial"/>
                <w:color w:val="000000"/>
                <w:sz w:val="22"/>
                <w:szCs w:val="22"/>
                <w:lang w:val="es-PY" w:eastAsia="es-PY"/>
              </w:rPr>
            </w:pPr>
            <w:r w:rsidRPr="00E70693">
              <w:rPr>
                <w:rFonts w:ascii="Arial" w:hAnsi="Arial" w:cs="Arial"/>
                <w:color w:val="000000"/>
                <w:sz w:val="22"/>
                <w:szCs w:val="22"/>
                <w:lang w:val="es-PY" w:eastAsia="es-PY"/>
              </w:rPr>
              <w:t>2225/BL-NI</w:t>
            </w:r>
          </w:p>
        </w:tc>
        <w:tc>
          <w:tcPr>
            <w:tcW w:w="3685" w:type="dxa"/>
            <w:shd w:val="clear" w:color="auto" w:fill="auto"/>
            <w:hideMark/>
          </w:tcPr>
          <w:p w:rsidR="003C1999" w:rsidRPr="00E70693" w:rsidRDefault="003C1999" w:rsidP="003C7601">
            <w:pPr>
              <w:rPr>
                <w:rFonts w:ascii="Arial" w:hAnsi="Arial" w:cs="Arial"/>
                <w:color w:val="000000"/>
                <w:sz w:val="22"/>
                <w:szCs w:val="22"/>
                <w:lang w:val="es-PY" w:eastAsia="es-PY"/>
              </w:rPr>
            </w:pPr>
            <w:r w:rsidRPr="00E70693">
              <w:rPr>
                <w:rFonts w:ascii="Arial" w:hAnsi="Arial" w:cs="Arial"/>
                <w:color w:val="000000"/>
                <w:sz w:val="22"/>
                <w:szCs w:val="22"/>
                <w:lang w:val="es-PY" w:eastAsia="es-PY"/>
              </w:rPr>
              <w:t>Programa Suplementario para la Infraestructura Vial para la Competitividad</w:t>
            </w:r>
          </w:p>
        </w:tc>
        <w:tc>
          <w:tcPr>
            <w:tcW w:w="993" w:type="dxa"/>
            <w:shd w:val="clear" w:color="auto" w:fill="auto"/>
            <w:hideMark/>
          </w:tcPr>
          <w:p w:rsidR="003C1999" w:rsidRPr="00E70693" w:rsidRDefault="003C1999" w:rsidP="003C7601">
            <w:pPr>
              <w:rPr>
                <w:rFonts w:ascii="Arial" w:hAnsi="Arial" w:cs="Arial"/>
                <w:color w:val="000000"/>
                <w:sz w:val="22"/>
                <w:szCs w:val="22"/>
                <w:lang w:val="es-PY" w:eastAsia="es-PY"/>
              </w:rPr>
            </w:pPr>
            <w:r w:rsidRPr="00E70693">
              <w:rPr>
                <w:rFonts w:ascii="Arial" w:hAnsi="Arial" w:cs="Arial"/>
                <w:color w:val="000000"/>
                <w:sz w:val="22"/>
                <w:szCs w:val="22"/>
                <w:lang w:val="es-PY" w:eastAsia="es-PY"/>
              </w:rPr>
              <w:t xml:space="preserve">     43,5 </w:t>
            </w:r>
          </w:p>
        </w:tc>
        <w:tc>
          <w:tcPr>
            <w:tcW w:w="850" w:type="dxa"/>
            <w:shd w:val="clear" w:color="auto" w:fill="auto"/>
            <w:hideMark/>
          </w:tcPr>
          <w:p w:rsidR="003C1999" w:rsidRPr="00E70693" w:rsidRDefault="003C1999" w:rsidP="003C7601">
            <w:pPr>
              <w:rPr>
                <w:rFonts w:ascii="Arial" w:hAnsi="Arial" w:cs="Arial"/>
                <w:color w:val="000000"/>
                <w:sz w:val="22"/>
                <w:szCs w:val="22"/>
                <w:lang w:val="es-PY" w:eastAsia="es-PY"/>
              </w:rPr>
            </w:pPr>
            <w:r w:rsidRPr="00E70693">
              <w:rPr>
                <w:rFonts w:ascii="Arial" w:hAnsi="Arial" w:cs="Arial"/>
                <w:color w:val="000000"/>
                <w:sz w:val="22"/>
                <w:szCs w:val="22"/>
                <w:lang w:val="es-PY" w:eastAsia="es-PY"/>
              </w:rPr>
              <w:t xml:space="preserve">     43,5 </w:t>
            </w:r>
          </w:p>
        </w:tc>
        <w:tc>
          <w:tcPr>
            <w:tcW w:w="992" w:type="dxa"/>
            <w:shd w:val="clear" w:color="auto" w:fill="auto"/>
            <w:hideMark/>
          </w:tcPr>
          <w:p w:rsidR="003C1999" w:rsidRPr="00E70693" w:rsidRDefault="003C1999" w:rsidP="003C7601">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 xml:space="preserve">             -   </w:t>
            </w:r>
          </w:p>
        </w:tc>
        <w:tc>
          <w:tcPr>
            <w:tcW w:w="1135" w:type="dxa"/>
            <w:shd w:val="clear" w:color="auto" w:fill="auto"/>
            <w:hideMark/>
          </w:tcPr>
          <w:p w:rsidR="003C1999" w:rsidRPr="00E70693" w:rsidRDefault="003C1999" w:rsidP="003C7601">
            <w:pPr>
              <w:rPr>
                <w:rFonts w:ascii="Arial" w:hAnsi="Arial" w:cs="Arial"/>
                <w:color w:val="000000"/>
                <w:sz w:val="22"/>
                <w:szCs w:val="22"/>
                <w:lang w:val="es-PY" w:eastAsia="es-PY"/>
              </w:rPr>
            </w:pPr>
            <w:r w:rsidRPr="00E70693">
              <w:rPr>
                <w:rFonts w:ascii="Arial" w:hAnsi="Arial" w:cs="Arial"/>
                <w:color w:val="000000"/>
                <w:sz w:val="22"/>
                <w:szCs w:val="22"/>
                <w:lang w:val="es-PY" w:eastAsia="es-PY"/>
              </w:rPr>
              <w:t>En ejecución</w:t>
            </w:r>
          </w:p>
        </w:tc>
      </w:tr>
      <w:tr w:rsidR="003C7601" w:rsidRPr="00E70693" w:rsidTr="00831F00">
        <w:tc>
          <w:tcPr>
            <w:tcW w:w="1433" w:type="dxa"/>
            <w:shd w:val="clear" w:color="auto" w:fill="auto"/>
            <w:hideMark/>
          </w:tcPr>
          <w:p w:rsidR="003C1999" w:rsidRPr="00E70693" w:rsidRDefault="003C1999" w:rsidP="003C7601">
            <w:pPr>
              <w:jc w:val="both"/>
              <w:rPr>
                <w:rFonts w:ascii="Arial" w:hAnsi="Arial" w:cs="Arial"/>
                <w:color w:val="000000"/>
                <w:sz w:val="22"/>
                <w:szCs w:val="22"/>
                <w:lang w:val="es-PY" w:eastAsia="es-PY"/>
              </w:rPr>
            </w:pPr>
            <w:r w:rsidRPr="00E70693">
              <w:rPr>
                <w:rFonts w:ascii="Arial" w:hAnsi="Arial" w:cs="Arial"/>
                <w:color w:val="000000"/>
                <w:sz w:val="22"/>
                <w:szCs w:val="22"/>
                <w:lang w:val="es-PY" w:eastAsia="es-PY"/>
              </w:rPr>
              <w:t>2427/BL-NI</w:t>
            </w:r>
          </w:p>
        </w:tc>
        <w:tc>
          <w:tcPr>
            <w:tcW w:w="3685" w:type="dxa"/>
            <w:shd w:val="clear" w:color="auto" w:fill="auto"/>
            <w:hideMark/>
          </w:tcPr>
          <w:p w:rsidR="003C1999" w:rsidRPr="00E70693" w:rsidRDefault="003C1999" w:rsidP="003C7601">
            <w:pPr>
              <w:rPr>
                <w:rFonts w:ascii="Arial" w:hAnsi="Arial" w:cs="Arial"/>
                <w:color w:val="000000"/>
                <w:sz w:val="22"/>
                <w:szCs w:val="22"/>
                <w:lang w:val="es-PY" w:eastAsia="es-PY"/>
              </w:rPr>
            </w:pPr>
            <w:r w:rsidRPr="00E70693">
              <w:rPr>
                <w:rFonts w:ascii="Arial" w:hAnsi="Arial" w:cs="Arial"/>
                <w:color w:val="000000"/>
                <w:sz w:val="22"/>
                <w:szCs w:val="22"/>
                <w:lang w:val="es-PY" w:eastAsia="es-PY"/>
              </w:rPr>
              <w:t>Programa de Apoyo al Sector Transporte I</w:t>
            </w:r>
          </w:p>
        </w:tc>
        <w:tc>
          <w:tcPr>
            <w:tcW w:w="993" w:type="dxa"/>
            <w:shd w:val="clear" w:color="auto" w:fill="auto"/>
            <w:hideMark/>
          </w:tcPr>
          <w:p w:rsidR="003C1999" w:rsidRPr="00E70693" w:rsidRDefault="003C1999" w:rsidP="00DF3FFF">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 xml:space="preserve">     20,2 </w:t>
            </w:r>
          </w:p>
        </w:tc>
        <w:tc>
          <w:tcPr>
            <w:tcW w:w="850" w:type="dxa"/>
            <w:shd w:val="clear" w:color="auto" w:fill="auto"/>
            <w:hideMark/>
          </w:tcPr>
          <w:p w:rsidR="003C1999" w:rsidRPr="00E70693" w:rsidRDefault="003C1999" w:rsidP="00DF3FFF">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 xml:space="preserve">     18,2 </w:t>
            </w:r>
          </w:p>
        </w:tc>
        <w:tc>
          <w:tcPr>
            <w:tcW w:w="992" w:type="dxa"/>
            <w:shd w:val="clear" w:color="auto" w:fill="auto"/>
            <w:hideMark/>
          </w:tcPr>
          <w:p w:rsidR="003C1999" w:rsidRPr="00E70693" w:rsidRDefault="003C1999" w:rsidP="00DF3FFF">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 xml:space="preserve">          2,0 </w:t>
            </w:r>
          </w:p>
        </w:tc>
        <w:tc>
          <w:tcPr>
            <w:tcW w:w="1135" w:type="dxa"/>
            <w:shd w:val="clear" w:color="auto" w:fill="auto"/>
            <w:hideMark/>
          </w:tcPr>
          <w:p w:rsidR="003C1999" w:rsidRPr="00E70693" w:rsidRDefault="003C1999" w:rsidP="003C7601">
            <w:pPr>
              <w:rPr>
                <w:rFonts w:ascii="Arial" w:hAnsi="Arial" w:cs="Arial"/>
                <w:color w:val="000000"/>
                <w:sz w:val="22"/>
                <w:szCs w:val="22"/>
                <w:lang w:val="es-PY" w:eastAsia="es-PY"/>
              </w:rPr>
            </w:pPr>
            <w:r w:rsidRPr="00E70693">
              <w:rPr>
                <w:rFonts w:ascii="Arial" w:hAnsi="Arial" w:cs="Arial"/>
                <w:color w:val="000000"/>
                <w:sz w:val="22"/>
                <w:szCs w:val="22"/>
                <w:lang w:val="es-PY" w:eastAsia="es-PY"/>
              </w:rPr>
              <w:t>En ejecución</w:t>
            </w:r>
          </w:p>
        </w:tc>
      </w:tr>
      <w:tr w:rsidR="003C7601" w:rsidRPr="00E70693" w:rsidTr="00831F00">
        <w:tc>
          <w:tcPr>
            <w:tcW w:w="1433" w:type="dxa"/>
            <w:shd w:val="clear" w:color="auto" w:fill="auto"/>
            <w:hideMark/>
          </w:tcPr>
          <w:p w:rsidR="003C1999" w:rsidRPr="00E70693" w:rsidRDefault="003C1999" w:rsidP="003C7601">
            <w:pPr>
              <w:jc w:val="both"/>
              <w:rPr>
                <w:rFonts w:ascii="Arial" w:hAnsi="Arial" w:cs="Arial"/>
                <w:color w:val="000000"/>
                <w:sz w:val="22"/>
                <w:szCs w:val="22"/>
                <w:lang w:val="es-PY" w:eastAsia="es-PY"/>
              </w:rPr>
            </w:pPr>
            <w:r w:rsidRPr="00E70693">
              <w:rPr>
                <w:rFonts w:ascii="Arial" w:hAnsi="Arial" w:cs="Arial"/>
                <w:color w:val="000000"/>
                <w:sz w:val="22"/>
                <w:szCs w:val="22"/>
                <w:lang w:val="es-PY" w:eastAsia="es-PY"/>
              </w:rPr>
              <w:t>2840/BL-NI</w:t>
            </w:r>
          </w:p>
        </w:tc>
        <w:tc>
          <w:tcPr>
            <w:tcW w:w="3685" w:type="dxa"/>
            <w:shd w:val="clear" w:color="auto" w:fill="auto"/>
            <w:hideMark/>
          </w:tcPr>
          <w:p w:rsidR="003C1999" w:rsidRPr="00E70693" w:rsidRDefault="003C1999" w:rsidP="003C7601">
            <w:pPr>
              <w:rPr>
                <w:rFonts w:ascii="Arial" w:hAnsi="Arial" w:cs="Arial"/>
                <w:color w:val="000000"/>
                <w:sz w:val="22"/>
                <w:szCs w:val="22"/>
                <w:lang w:val="es-PY" w:eastAsia="es-PY"/>
              </w:rPr>
            </w:pPr>
            <w:r w:rsidRPr="00E70693">
              <w:rPr>
                <w:rFonts w:ascii="Arial" w:hAnsi="Arial" w:cs="Arial"/>
                <w:color w:val="000000"/>
                <w:sz w:val="22"/>
                <w:szCs w:val="22"/>
                <w:lang w:val="es-PY" w:eastAsia="es-PY"/>
              </w:rPr>
              <w:t>Programa de Apoyo al Sector Transporte II</w:t>
            </w:r>
          </w:p>
        </w:tc>
        <w:tc>
          <w:tcPr>
            <w:tcW w:w="993" w:type="dxa"/>
            <w:shd w:val="clear" w:color="auto" w:fill="auto"/>
            <w:hideMark/>
          </w:tcPr>
          <w:p w:rsidR="003C1999" w:rsidRPr="00E70693" w:rsidRDefault="003C1999" w:rsidP="00DF3FFF">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 xml:space="preserve">     39,2 </w:t>
            </w:r>
          </w:p>
        </w:tc>
        <w:tc>
          <w:tcPr>
            <w:tcW w:w="850" w:type="dxa"/>
            <w:shd w:val="clear" w:color="auto" w:fill="auto"/>
            <w:hideMark/>
          </w:tcPr>
          <w:p w:rsidR="003C1999" w:rsidRPr="00E70693" w:rsidRDefault="003C1999" w:rsidP="00DF3FFF">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 xml:space="preserve">     31,9 </w:t>
            </w:r>
          </w:p>
        </w:tc>
        <w:tc>
          <w:tcPr>
            <w:tcW w:w="992" w:type="dxa"/>
            <w:shd w:val="clear" w:color="auto" w:fill="auto"/>
            <w:hideMark/>
          </w:tcPr>
          <w:p w:rsidR="003C1999" w:rsidRPr="00E70693" w:rsidRDefault="003C1999" w:rsidP="00DF3FFF">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 xml:space="preserve">          7,3 </w:t>
            </w:r>
          </w:p>
        </w:tc>
        <w:tc>
          <w:tcPr>
            <w:tcW w:w="1135" w:type="dxa"/>
            <w:shd w:val="clear" w:color="auto" w:fill="auto"/>
            <w:hideMark/>
          </w:tcPr>
          <w:p w:rsidR="003C1999" w:rsidRPr="00E70693" w:rsidRDefault="003C1999" w:rsidP="003C7601">
            <w:pPr>
              <w:rPr>
                <w:rFonts w:ascii="Arial" w:hAnsi="Arial" w:cs="Arial"/>
                <w:color w:val="000000"/>
                <w:sz w:val="22"/>
                <w:szCs w:val="22"/>
                <w:lang w:val="es-PY" w:eastAsia="es-PY"/>
              </w:rPr>
            </w:pPr>
            <w:r w:rsidRPr="00E70693">
              <w:rPr>
                <w:rFonts w:ascii="Arial" w:hAnsi="Arial" w:cs="Arial"/>
                <w:color w:val="000000"/>
                <w:sz w:val="22"/>
                <w:szCs w:val="22"/>
                <w:lang w:val="es-PY" w:eastAsia="es-PY"/>
              </w:rPr>
              <w:t>En ejecución</w:t>
            </w:r>
          </w:p>
        </w:tc>
      </w:tr>
      <w:tr w:rsidR="003C7601" w:rsidRPr="00E70693" w:rsidTr="00831F00">
        <w:tc>
          <w:tcPr>
            <w:tcW w:w="1433" w:type="dxa"/>
            <w:shd w:val="clear" w:color="auto" w:fill="auto"/>
            <w:hideMark/>
          </w:tcPr>
          <w:p w:rsidR="003C1999" w:rsidRPr="00E70693" w:rsidRDefault="003C1999" w:rsidP="003C7601">
            <w:pPr>
              <w:jc w:val="both"/>
              <w:rPr>
                <w:rFonts w:ascii="Arial" w:hAnsi="Arial" w:cs="Arial"/>
                <w:color w:val="000000"/>
                <w:sz w:val="22"/>
                <w:szCs w:val="22"/>
                <w:lang w:val="es-PY" w:eastAsia="es-PY"/>
              </w:rPr>
            </w:pPr>
            <w:r w:rsidRPr="00E70693">
              <w:rPr>
                <w:rFonts w:ascii="Arial" w:hAnsi="Arial" w:cs="Arial"/>
                <w:color w:val="000000"/>
                <w:sz w:val="22"/>
                <w:szCs w:val="22"/>
                <w:lang w:val="es-PY" w:eastAsia="es-PY"/>
              </w:rPr>
              <w:t>2979/BL-NI</w:t>
            </w:r>
          </w:p>
        </w:tc>
        <w:tc>
          <w:tcPr>
            <w:tcW w:w="3685" w:type="dxa"/>
            <w:shd w:val="clear" w:color="auto" w:fill="auto"/>
            <w:hideMark/>
          </w:tcPr>
          <w:p w:rsidR="003C1999" w:rsidRPr="00E70693" w:rsidRDefault="003C1999" w:rsidP="003C7601">
            <w:pPr>
              <w:rPr>
                <w:rFonts w:ascii="Arial" w:hAnsi="Arial" w:cs="Arial"/>
                <w:color w:val="000000"/>
                <w:sz w:val="22"/>
                <w:szCs w:val="22"/>
                <w:lang w:val="es-PY" w:eastAsia="es-PY"/>
              </w:rPr>
            </w:pPr>
            <w:r w:rsidRPr="00E70693">
              <w:rPr>
                <w:rFonts w:ascii="Arial" w:hAnsi="Arial" w:cs="Arial"/>
                <w:color w:val="000000"/>
                <w:sz w:val="22"/>
                <w:szCs w:val="22"/>
                <w:lang w:val="es-PY" w:eastAsia="es-PY"/>
              </w:rPr>
              <w:t>Programa de Apoyo al Sector Transporte III</w:t>
            </w:r>
          </w:p>
        </w:tc>
        <w:tc>
          <w:tcPr>
            <w:tcW w:w="993" w:type="dxa"/>
            <w:shd w:val="clear" w:color="auto" w:fill="auto"/>
            <w:hideMark/>
          </w:tcPr>
          <w:p w:rsidR="003C1999" w:rsidRPr="00E70693" w:rsidRDefault="003C1999" w:rsidP="00DF3FFF">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 xml:space="preserve">     91,5 </w:t>
            </w:r>
          </w:p>
        </w:tc>
        <w:tc>
          <w:tcPr>
            <w:tcW w:w="850" w:type="dxa"/>
            <w:shd w:val="clear" w:color="auto" w:fill="auto"/>
            <w:hideMark/>
          </w:tcPr>
          <w:p w:rsidR="003C1999" w:rsidRPr="00E70693" w:rsidRDefault="003C1999" w:rsidP="00DF3FFF">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 xml:space="preserve">     76,9 </w:t>
            </w:r>
          </w:p>
        </w:tc>
        <w:tc>
          <w:tcPr>
            <w:tcW w:w="992" w:type="dxa"/>
            <w:shd w:val="clear" w:color="auto" w:fill="auto"/>
            <w:hideMark/>
          </w:tcPr>
          <w:p w:rsidR="003C1999" w:rsidRPr="00E70693" w:rsidRDefault="003C1999" w:rsidP="00DF3FFF">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 xml:space="preserve">        14,6 </w:t>
            </w:r>
          </w:p>
        </w:tc>
        <w:tc>
          <w:tcPr>
            <w:tcW w:w="1135" w:type="dxa"/>
            <w:shd w:val="clear" w:color="auto" w:fill="auto"/>
            <w:hideMark/>
          </w:tcPr>
          <w:p w:rsidR="003C1999" w:rsidRPr="00E70693" w:rsidRDefault="003C1999">
            <w:pPr>
              <w:rPr>
                <w:rFonts w:ascii="Arial" w:hAnsi="Arial" w:cs="Arial"/>
                <w:color w:val="000000"/>
                <w:sz w:val="22"/>
                <w:szCs w:val="22"/>
                <w:lang w:val="es-PY" w:eastAsia="es-PY"/>
              </w:rPr>
            </w:pPr>
            <w:r w:rsidRPr="00E70693">
              <w:rPr>
                <w:rFonts w:ascii="Arial" w:hAnsi="Arial" w:cs="Arial"/>
                <w:color w:val="000000"/>
                <w:sz w:val="22"/>
                <w:szCs w:val="22"/>
                <w:lang w:val="es-PY" w:eastAsia="es-PY"/>
              </w:rPr>
              <w:t xml:space="preserve">En </w:t>
            </w:r>
            <w:r w:rsidR="00A3599C" w:rsidRPr="00E70693">
              <w:rPr>
                <w:rFonts w:ascii="Arial" w:hAnsi="Arial" w:cs="Arial"/>
                <w:color w:val="000000"/>
                <w:sz w:val="22"/>
                <w:szCs w:val="22"/>
                <w:lang w:val="es-PY" w:eastAsia="es-PY"/>
              </w:rPr>
              <w:t>ejecución</w:t>
            </w:r>
          </w:p>
        </w:tc>
      </w:tr>
      <w:tr w:rsidR="00A3599C" w:rsidRPr="00E70693" w:rsidTr="00831F00">
        <w:tc>
          <w:tcPr>
            <w:tcW w:w="1433" w:type="dxa"/>
            <w:shd w:val="clear" w:color="auto" w:fill="auto"/>
          </w:tcPr>
          <w:p w:rsidR="00A3599C" w:rsidRPr="00E70693" w:rsidRDefault="00A3599C" w:rsidP="003C7601">
            <w:pPr>
              <w:jc w:val="both"/>
              <w:rPr>
                <w:rFonts w:ascii="Arial" w:hAnsi="Arial" w:cs="Arial"/>
                <w:color w:val="000000"/>
                <w:sz w:val="22"/>
                <w:szCs w:val="22"/>
                <w:lang w:val="es-PY" w:eastAsia="es-PY"/>
              </w:rPr>
            </w:pPr>
            <w:r w:rsidRPr="00E70693">
              <w:rPr>
                <w:rFonts w:ascii="Arial" w:hAnsi="Arial" w:cs="Arial"/>
                <w:color w:val="000000"/>
                <w:sz w:val="22"/>
                <w:szCs w:val="22"/>
              </w:rPr>
              <w:t>3353/BL-NI</w:t>
            </w:r>
          </w:p>
        </w:tc>
        <w:tc>
          <w:tcPr>
            <w:tcW w:w="3685" w:type="dxa"/>
            <w:shd w:val="clear" w:color="auto" w:fill="auto"/>
          </w:tcPr>
          <w:p w:rsidR="00A3599C" w:rsidRPr="00E70693" w:rsidRDefault="00A3599C" w:rsidP="003C7601">
            <w:pPr>
              <w:rPr>
                <w:rFonts w:ascii="Arial" w:hAnsi="Arial" w:cs="Arial"/>
                <w:color w:val="000000"/>
                <w:sz w:val="22"/>
                <w:szCs w:val="22"/>
                <w:lang w:val="es-PY" w:eastAsia="es-PY"/>
              </w:rPr>
            </w:pPr>
            <w:r w:rsidRPr="00E70693">
              <w:rPr>
                <w:rFonts w:ascii="Arial" w:hAnsi="Arial" w:cs="Arial"/>
                <w:color w:val="000000"/>
                <w:sz w:val="22"/>
                <w:szCs w:val="22"/>
              </w:rPr>
              <w:t>Conectividad Vial de la Costa Atlántica</w:t>
            </w:r>
          </w:p>
        </w:tc>
        <w:tc>
          <w:tcPr>
            <w:tcW w:w="993" w:type="dxa"/>
            <w:shd w:val="clear" w:color="auto" w:fill="auto"/>
          </w:tcPr>
          <w:p w:rsidR="00A3599C" w:rsidRPr="00E70693" w:rsidRDefault="00A3599C" w:rsidP="00DF3FFF">
            <w:pPr>
              <w:jc w:val="right"/>
              <w:rPr>
                <w:rFonts w:ascii="Arial" w:hAnsi="Arial" w:cs="Arial"/>
                <w:color w:val="000000"/>
                <w:sz w:val="22"/>
                <w:szCs w:val="22"/>
                <w:lang w:val="es-PY" w:eastAsia="es-PY"/>
              </w:rPr>
            </w:pPr>
            <w:r w:rsidRPr="00E70693">
              <w:rPr>
                <w:rFonts w:ascii="Arial" w:hAnsi="Arial" w:cs="Arial"/>
                <w:color w:val="000000"/>
                <w:sz w:val="22"/>
                <w:szCs w:val="22"/>
              </w:rPr>
              <w:t xml:space="preserve">  61,5</w:t>
            </w:r>
          </w:p>
        </w:tc>
        <w:tc>
          <w:tcPr>
            <w:tcW w:w="850" w:type="dxa"/>
            <w:shd w:val="clear" w:color="auto" w:fill="auto"/>
          </w:tcPr>
          <w:p w:rsidR="00A3599C" w:rsidRPr="00E70693" w:rsidRDefault="00A3599C" w:rsidP="00DF3FFF">
            <w:pPr>
              <w:jc w:val="right"/>
              <w:rPr>
                <w:rFonts w:ascii="Arial" w:hAnsi="Arial" w:cs="Arial"/>
                <w:color w:val="000000"/>
                <w:sz w:val="22"/>
                <w:szCs w:val="22"/>
                <w:lang w:val="es-PY" w:eastAsia="es-PY"/>
              </w:rPr>
            </w:pPr>
            <w:r w:rsidRPr="00E70693">
              <w:rPr>
                <w:rFonts w:ascii="Arial" w:hAnsi="Arial" w:cs="Arial"/>
                <w:color w:val="000000"/>
                <w:sz w:val="22"/>
                <w:szCs w:val="22"/>
              </w:rPr>
              <w:t xml:space="preserve">   61,5</w:t>
            </w:r>
          </w:p>
        </w:tc>
        <w:tc>
          <w:tcPr>
            <w:tcW w:w="992" w:type="dxa"/>
            <w:shd w:val="clear" w:color="auto" w:fill="auto"/>
          </w:tcPr>
          <w:p w:rsidR="00A3599C" w:rsidRPr="00E70693" w:rsidRDefault="00A3599C" w:rsidP="003C7601">
            <w:pPr>
              <w:rPr>
                <w:rFonts w:ascii="Arial" w:hAnsi="Arial" w:cs="Arial"/>
                <w:color w:val="000000"/>
                <w:sz w:val="22"/>
                <w:szCs w:val="22"/>
                <w:lang w:val="es-PY" w:eastAsia="es-PY"/>
              </w:rPr>
            </w:pPr>
            <w:r w:rsidRPr="00E70693">
              <w:rPr>
                <w:rFonts w:ascii="Arial" w:hAnsi="Arial" w:cs="Arial"/>
                <w:color w:val="000000"/>
                <w:sz w:val="22"/>
                <w:szCs w:val="22"/>
              </w:rPr>
              <w:t xml:space="preserve">             -   </w:t>
            </w:r>
          </w:p>
        </w:tc>
        <w:tc>
          <w:tcPr>
            <w:tcW w:w="1135" w:type="dxa"/>
            <w:shd w:val="clear" w:color="auto" w:fill="auto"/>
          </w:tcPr>
          <w:p w:rsidR="00A3599C" w:rsidRPr="00E70693" w:rsidRDefault="00A3599C" w:rsidP="003C7601">
            <w:pPr>
              <w:rPr>
                <w:rFonts w:ascii="Arial" w:hAnsi="Arial" w:cs="Arial"/>
                <w:color w:val="000000"/>
                <w:sz w:val="22"/>
                <w:szCs w:val="22"/>
                <w:lang w:val="es-PY" w:eastAsia="es-PY"/>
              </w:rPr>
            </w:pPr>
            <w:r w:rsidRPr="00E70693">
              <w:rPr>
                <w:rFonts w:ascii="Arial" w:hAnsi="Arial" w:cs="Arial"/>
                <w:color w:val="000000"/>
                <w:sz w:val="22"/>
                <w:szCs w:val="22"/>
              </w:rPr>
              <w:t>En inicio</w:t>
            </w:r>
          </w:p>
        </w:tc>
      </w:tr>
      <w:tr w:rsidR="00A3599C" w:rsidRPr="00E70693" w:rsidTr="004A70DA">
        <w:tc>
          <w:tcPr>
            <w:tcW w:w="5118" w:type="dxa"/>
            <w:gridSpan w:val="2"/>
            <w:shd w:val="clear" w:color="auto" w:fill="auto"/>
            <w:noWrap/>
            <w:vAlign w:val="bottom"/>
            <w:hideMark/>
          </w:tcPr>
          <w:p w:rsidR="00A3599C" w:rsidRPr="00E70693" w:rsidRDefault="00A3599C">
            <w:pPr>
              <w:rPr>
                <w:rFonts w:ascii="Arial" w:hAnsi="Arial" w:cs="Arial"/>
                <w:b/>
                <w:bCs/>
                <w:color w:val="000000"/>
                <w:sz w:val="22"/>
                <w:szCs w:val="22"/>
                <w:lang w:val="es-PY" w:eastAsia="es-PY"/>
              </w:rPr>
            </w:pPr>
            <w:r w:rsidRPr="00E70693">
              <w:rPr>
                <w:rFonts w:ascii="Arial" w:hAnsi="Arial" w:cs="Arial"/>
                <w:color w:val="000000"/>
                <w:sz w:val="22"/>
                <w:szCs w:val="22"/>
                <w:lang w:val="es-PY" w:eastAsia="es-PY"/>
              </w:rPr>
              <w:t> </w:t>
            </w:r>
            <w:r w:rsidRPr="00E70693">
              <w:rPr>
                <w:rFonts w:ascii="Arial" w:hAnsi="Arial" w:cs="Arial"/>
                <w:b/>
                <w:bCs/>
                <w:color w:val="000000"/>
                <w:sz w:val="22"/>
                <w:szCs w:val="22"/>
                <w:lang w:val="es-PY" w:eastAsia="es-PY"/>
              </w:rPr>
              <w:t>Totales</w:t>
            </w:r>
          </w:p>
        </w:tc>
        <w:tc>
          <w:tcPr>
            <w:tcW w:w="993" w:type="dxa"/>
            <w:shd w:val="clear" w:color="auto" w:fill="auto"/>
            <w:noWrap/>
            <w:hideMark/>
          </w:tcPr>
          <w:p w:rsidR="00A3599C" w:rsidRPr="00E70693" w:rsidRDefault="00A3599C" w:rsidP="003C7601">
            <w:pPr>
              <w:jc w:val="right"/>
              <w:rPr>
                <w:rFonts w:ascii="Arial" w:hAnsi="Arial" w:cs="Arial"/>
                <w:b/>
                <w:bCs/>
                <w:color w:val="000000"/>
                <w:sz w:val="22"/>
                <w:szCs w:val="22"/>
                <w:lang w:val="es-PY" w:eastAsia="es-PY"/>
              </w:rPr>
            </w:pPr>
            <w:r w:rsidRPr="00E70693">
              <w:rPr>
                <w:rFonts w:ascii="Arial" w:hAnsi="Arial" w:cs="Arial"/>
                <w:b/>
                <w:sz w:val="22"/>
                <w:szCs w:val="22"/>
              </w:rPr>
              <w:t xml:space="preserve"> 428,9 </w:t>
            </w:r>
          </w:p>
        </w:tc>
        <w:tc>
          <w:tcPr>
            <w:tcW w:w="850" w:type="dxa"/>
            <w:shd w:val="clear" w:color="auto" w:fill="auto"/>
            <w:noWrap/>
            <w:hideMark/>
          </w:tcPr>
          <w:p w:rsidR="00A3599C" w:rsidRPr="00E70693" w:rsidRDefault="00A3599C" w:rsidP="003C7601">
            <w:pPr>
              <w:jc w:val="right"/>
              <w:rPr>
                <w:rFonts w:ascii="Arial" w:hAnsi="Arial" w:cs="Arial"/>
                <w:b/>
                <w:bCs/>
                <w:color w:val="000000"/>
                <w:sz w:val="22"/>
                <w:szCs w:val="22"/>
                <w:lang w:val="es-PY" w:eastAsia="es-PY"/>
              </w:rPr>
            </w:pPr>
            <w:r w:rsidRPr="00E70693">
              <w:rPr>
                <w:rFonts w:ascii="Arial" w:hAnsi="Arial" w:cs="Arial"/>
                <w:b/>
                <w:sz w:val="22"/>
                <w:szCs w:val="22"/>
              </w:rPr>
              <w:t xml:space="preserve"> 405,0 </w:t>
            </w:r>
          </w:p>
        </w:tc>
        <w:tc>
          <w:tcPr>
            <w:tcW w:w="992" w:type="dxa"/>
            <w:shd w:val="clear" w:color="auto" w:fill="auto"/>
            <w:noWrap/>
            <w:vAlign w:val="bottom"/>
            <w:hideMark/>
          </w:tcPr>
          <w:p w:rsidR="00A3599C" w:rsidRPr="00E70693" w:rsidRDefault="00A3599C" w:rsidP="003C7601">
            <w:pPr>
              <w:jc w:val="right"/>
              <w:rPr>
                <w:rFonts w:ascii="Arial" w:hAnsi="Arial" w:cs="Arial"/>
                <w:b/>
                <w:bCs/>
                <w:color w:val="000000"/>
                <w:sz w:val="22"/>
                <w:szCs w:val="22"/>
                <w:lang w:val="es-PY" w:eastAsia="es-PY"/>
              </w:rPr>
            </w:pPr>
            <w:r w:rsidRPr="00E70693">
              <w:rPr>
                <w:rFonts w:ascii="Arial" w:hAnsi="Arial" w:cs="Arial"/>
                <w:b/>
                <w:bCs/>
                <w:color w:val="000000"/>
                <w:sz w:val="22"/>
                <w:szCs w:val="22"/>
                <w:lang w:val="es-PY" w:eastAsia="es-PY"/>
              </w:rPr>
              <w:t xml:space="preserve">  23,9 </w:t>
            </w:r>
          </w:p>
        </w:tc>
        <w:tc>
          <w:tcPr>
            <w:tcW w:w="1135" w:type="dxa"/>
            <w:shd w:val="clear" w:color="auto" w:fill="auto"/>
            <w:noWrap/>
            <w:vAlign w:val="bottom"/>
            <w:hideMark/>
          </w:tcPr>
          <w:p w:rsidR="00A3599C" w:rsidRPr="00E70693" w:rsidRDefault="00A3599C" w:rsidP="003C7601">
            <w:pPr>
              <w:rPr>
                <w:rFonts w:ascii="Arial" w:hAnsi="Arial" w:cs="Arial"/>
                <w:color w:val="000000"/>
                <w:sz w:val="22"/>
                <w:szCs w:val="22"/>
                <w:lang w:val="es-PY" w:eastAsia="es-PY"/>
              </w:rPr>
            </w:pPr>
            <w:r w:rsidRPr="00E70693">
              <w:rPr>
                <w:rFonts w:ascii="Arial" w:hAnsi="Arial" w:cs="Arial"/>
                <w:color w:val="000000"/>
                <w:sz w:val="22"/>
                <w:szCs w:val="22"/>
                <w:lang w:val="es-PY" w:eastAsia="es-PY"/>
              </w:rPr>
              <w:t> </w:t>
            </w:r>
          </w:p>
        </w:tc>
      </w:tr>
    </w:tbl>
    <w:p w:rsidR="00FA2C9A" w:rsidRPr="00E70693" w:rsidRDefault="00FA2C9A" w:rsidP="00FA2C9A">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b/>
        </w:rPr>
        <w:t>Resultados obtenidos.</w:t>
      </w:r>
      <w:r w:rsidRPr="00E70693">
        <w:rPr>
          <w:rFonts w:ascii="Arial" w:hAnsi="Arial" w:cs="Arial"/>
        </w:rPr>
        <w:t xml:space="preserve"> Los principales componentes de los diferentes contratos de préstamo han sido y siguen siendo las obras viales. El grado en que estas obras se han ejecutado y culminado así como la calidad final de las mismas son </w:t>
      </w:r>
      <w:r w:rsidR="00C262A3" w:rsidRPr="00E70693">
        <w:rPr>
          <w:rFonts w:ascii="Arial" w:hAnsi="Arial" w:cs="Arial"/>
        </w:rPr>
        <w:t>el</w:t>
      </w:r>
      <w:r w:rsidRPr="00E70693">
        <w:rPr>
          <w:rFonts w:ascii="Arial" w:hAnsi="Arial" w:cs="Arial"/>
        </w:rPr>
        <w:t xml:space="preserve"> reflejo </w:t>
      </w:r>
      <w:r w:rsidR="00C262A3" w:rsidRPr="00E70693">
        <w:rPr>
          <w:rFonts w:ascii="Arial" w:hAnsi="Arial" w:cs="Arial"/>
        </w:rPr>
        <w:t xml:space="preserve">más consistente </w:t>
      </w:r>
      <w:r w:rsidRPr="00E70693">
        <w:rPr>
          <w:rFonts w:ascii="Arial" w:hAnsi="Arial" w:cs="Arial"/>
        </w:rPr>
        <w:t xml:space="preserve">de </w:t>
      </w:r>
      <w:r w:rsidR="00C262A3" w:rsidRPr="00E70693">
        <w:rPr>
          <w:rFonts w:ascii="Arial" w:hAnsi="Arial" w:cs="Arial"/>
        </w:rPr>
        <w:t>las</w:t>
      </w:r>
      <w:r w:rsidRPr="00E70693">
        <w:rPr>
          <w:rFonts w:ascii="Arial" w:hAnsi="Arial" w:cs="Arial"/>
        </w:rPr>
        <w:t xml:space="preserve"> capacidades del Ejecutor. De manera que, observando el historial de ejecución de las principales obras de cada contrato de préstamo, a las que se denominará </w:t>
      </w:r>
      <w:r w:rsidRPr="00E70693">
        <w:rPr>
          <w:rFonts w:ascii="Arial" w:hAnsi="Arial" w:cs="Arial"/>
          <w:b/>
        </w:rPr>
        <w:t>obras emblemáticas</w:t>
      </w:r>
      <w:r w:rsidRPr="00E70693">
        <w:rPr>
          <w:rFonts w:ascii="Arial" w:hAnsi="Arial" w:cs="Arial"/>
        </w:rPr>
        <w:t>, se describen las dificultades surgidas y el estado final alcanzado tras superarse las mismas.</w:t>
      </w:r>
      <w:r w:rsidR="00B3554C" w:rsidRPr="00E70693">
        <w:rPr>
          <w:rFonts w:ascii="Arial" w:hAnsi="Arial" w:cs="Arial"/>
        </w:rPr>
        <w:t xml:space="preserve"> A continuación se hace una breve referencia a cada contrato de prés</w:t>
      </w:r>
      <w:r w:rsidR="00F34BA0" w:rsidRPr="00E70693">
        <w:rPr>
          <w:rFonts w:ascii="Arial" w:hAnsi="Arial" w:cs="Arial"/>
        </w:rPr>
        <w:t>tamo y a sus obras emblemáticas</w:t>
      </w:r>
      <w:r w:rsidR="00F34BA0" w:rsidRPr="00E70693">
        <w:rPr>
          <w:rStyle w:val="FootnoteReference"/>
          <w:rFonts w:ascii="Arial" w:hAnsi="Arial" w:cs="Arial"/>
        </w:rPr>
        <w:footnoteReference w:id="2"/>
      </w:r>
      <w:r w:rsidR="00F34BA0" w:rsidRPr="00E70693">
        <w:rPr>
          <w:rFonts w:ascii="Arial" w:hAnsi="Arial" w:cs="Arial"/>
        </w:rPr>
        <w:t>.</w:t>
      </w:r>
    </w:p>
    <w:p w:rsidR="00FA2C9A" w:rsidRPr="00E70693" w:rsidRDefault="00FA2C9A" w:rsidP="00FA2C9A">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b/>
        </w:rPr>
        <w:t>1530/SF-NI</w:t>
      </w:r>
      <w:r w:rsidR="00B3554C" w:rsidRPr="00E70693">
        <w:rPr>
          <w:rFonts w:ascii="Arial" w:hAnsi="Arial" w:cs="Arial"/>
          <w:b/>
        </w:rPr>
        <w:t xml:space="preserve"> Programa Vial del </w:t>
      </w:r>
      <w:r w:rsidR="00107602" w:rsidRPr="00E70693">
        <w:rPr>
          <w:rFonts w:ascii="Arial" w:hAnsi="Arial" w:cs="Arial"/>
          <w:b/>
        </w:rPr>
        <w:t>P</w:t>
      </w:r>
      <w:r w:rsidR="00B3554C" w:rsidRPr="00E70693">
        <w:rPr>
          <w:rFonts w:ascii="Arial" w:hAnsi="Arial" w:cs="Arial"/>
          <w:b/>
        </w:rPr>
        <w:t>lan Puebla Panamá para la Competitividad (NI-L0</w:t>
      </w:r>
      <w:r w:rsidR="00347C49" w:rsidRPr="00E70693">
        <w:rPr>
          <w:rFonts w:ascii="Arial" w:hAnsi="Arial" w:cs="Arial"/>
          <w:b/>
        </w:rPr>
        <w:t>1</w:t>
      </w:r>
      <w:r w:rsidR="00B3554C" w:rsidRPr="00E70693">
        <w:rPr>
          <w:rFonts w:ascii="Arial" w:hAnsi="Arial" w:cs="Arial"/>
          <w:b/>
        </w:rPr>
        <w:t>70).</w:t>
      </w:r>
      <w:r w:rsidRPr="00E70693">
        <w:rPr>
          <w:rFonts w:ascii="Arial" w:hAnsi="Arial" w:cs="Arial"/>
        </w:rPr>
        <w:t xml:space="preserve"> Este contrato de préstamo comprendió las obras de pavimentación de los tramos “</w:t>
      </w:r>
      <w:r w:rsidRPr="00E70693">
        <w:rPr>
          <w:rFonts w:ascii="Arial" w:hAnsi="Arial" w:cs="Arial"/>
          <w:i/>
        </w:rPr>
        <w:t xml:space="preserve">El Congo-Empalme </w:t>
      </w:r>
      <w:proofErr w:type="spellStart"/>
      <w:r w:rsidRPr="00E70693">
        <w:rPr>
          <w:rFonts w:ascii="Arial" w:hAnsi="Arial" w:cs="Arial"/>
          <w:i/>
        </w:rPr>
        <w:t>Cosigüina</w:t>
      </w:r>
      <w:proofErr w:type="spellEnd"/>
      <w:r w:rsidRPr="00E70693">
        <w:rPr>
          <w:rFonts w:ascii="Arial" w:hAnsi="Arial" w:cs="Arial"/>
          <w:i/>
        </w:rPr>
        <w:t xml:space="preserve"> (15,2 Km)</w:t>
      </w:r>
      <w:r w:rsidRPr="00E70693">
        <w:rPr>
          <w:rFonts w:ascii="Arial" w:hAnsi="Arial" w:cs="Arial"/>
        </w:rPr>
        <w:t>” y el “</w:t>
      </w:r>
      <w:r w:rsidRPr="00E70693">
        <w:rPr>
          <w:rFonts w:ascii="Arial" w:hAnsi="Arial" w:cs="Arial"/>
          <w:i/>
        </w:rPr>
        <w:t>El Viejo-Tonalá-Puerto Morazán (25,74 Km)</w:t>
      </w:r>
      <w:r w:rsidRPr="00E70693">
        <w:rPr>
          <w:rFonts w:ascii="Arial" w:hAnsi="Arial" w:cs="Arial"/>
        </w:rPr>
        <w:t xml:space="preserve">”, en el departamento de Chinandega. En este caso, originalmente las obras fueron adjudicadas a una empresa constructora que posteriormente enfrentó dificultades financieras. Ante el visible incumplimiento y prácticamente la paralización de los trabajos el MTI decidió resolver el contrato con la empresa para volver a licitar las obras. La capacidad de negociación para lograr la rescisión del contrato y la decisión oportuna de volver a iniciar nuevos contratos permitió la culminación satisfactoria de las obras en el 2012. </w:t>
      </w:r>
    </w:p>
    <w:p w:rsidR="00FA2C9A" w:rsidRPr="00E70693" w:rsidRDefault="00FA2C9A" w:rsidP="00FA2C9A">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b/>
        </w:rPr>
        <w:t>1599/SF-NI</w:t>
      </w:r>
      <w:r w:rsidR="00B3554C" w:rsidRPr="00E70693">
        <w:rPr>
          <w:rFonts w:ascii="Arial" w:hAnsi="Arial" w:cs="Arial"/>
          <w:b/>
        </w:rPr>
        <w:t xml:space="preserve"> Proyecto Vial del Plan Puebla Panamá Zona III (NI-L0113)</w:t>
      </w:r>
      <w:r w:rsidRPr="00E70693">
        <w:rPr>
          <w:rFonts w:ascii="Arial" w:hAnsi="Arial" w:cs="Arial"/>
        </w:rPr>
        <w:t>. Las últimas obras ejecutadas en esta operación han sido la “</w:t>
      </w:r>
      <w:r w:rsidRPr="00E70693">
        <w:rPr>
          <w:rFonts w:ascii="Arial" w:hAnsi="Arial" w:cs="Arial"/>
          <w:i/>
        </w:rPr>
        <w:t xml:space="preserve">Mejora (Recarpeteo) de la Ruta </w:t>
      </w:r>
      <w:proofErr w:type="spellStart"/>
      <w:r w:rsidRPr="00E70693">
        <w:rPr>
          <w:rFonts w:ascii="Arial" w:hAnsi="Arial" w:cs="Arial"/>
          <w:i/>
        </w:rPr>
        <w:t>Malpaisillo</w:t>
      </w:r>
      <w:proofErr w:type="spellEnd"/>
      <w:r w:rsidRPr="00E70693">
        <w:rPr>
          <w:rFonts w:ascii="Arial" w:hAnsi="Arial" w:cs="Arial"/>
          <w:i/>
        </w:rPr>
        <w:t>-San Isidro (72,06 Km)</w:t>
      </w:r>
      <w:r w:rsidRPr="00E70693">
        <w:rPr>
          <w:rFonts w:ascii="Arial" w:hAnsi="Arial" w:cs="Arial"/>
        </w:rPr>
        <w:t>” y la “</w:t>
      </w:r>
      <w:r w:rsidRPr="00E70693">
        <w:rPr>
          <w:rFonts w:ascii="Arial" w:hAnsi="Arial" w:cs="Arial"/>
          <w:i/>
        </w:rPr>
        <w:t xml:space="preserve">Pavimentación con </w:t>
      </w:r>
      <w:r w:rsidRPr="00E70693">
        <w:rPr>
          <w:rFonts w:ascii="Arial" w:hAnsi="Arial" w:cs="Arial"/>
          <w:i/>
        </w:rPr>
        <w:lastRenderedPageBreak/>
        <w:t>Adoquines del tramo La Dalia-La Mora (10,68 Km)</w:t>
      </w:r>
      <w:r w:rsidRPr="00E70693">
        <w:rPr>
          <w:rFonts w:ascii="Arial" w:hAnsi="Arial" w:cs="Arial"/>
        </w:rPr>
        <w:t xml:space="preserve">”.  En el caso de la “Mejora de la Ruta </w:t>
      </w:r>
      <w:proofErr w:type="spellStart"/>
      <w:r w:rsidRPr="00E70693">
        <w:rPr>
          <w:rFonts w:ascii="Arial" w:hAnsi="Arial" w:cs="Arial"/>
        </w:rPr>
        <w:t>Malpaisillo</w:t>
      </w:r>
      <w:proofErr w:type="spellEnd"/>
      <w:r w:rsidRPr="00E70693">
        <w:rPr>
          <w:rFonts w:ascii="Arial" w:hAnsi="Arial" w:cs="Arial"/>
        </w:rPr>
        <w:t xml:space="preserve">-San Isidro” se detectaron deficiencias en la calidad de la carpeta de concreto asfáltico colocada; el MTI propuso medidas correctivas que la empresa afectada reclamó. La controversia fue llevada a conciliación, haciendo uso del mecanismo que el documento estándar del Banco recomienda, llegándose finalmente a un acuerdo que permitió al MTI asegurar la calidad en los trabajos contratados. La obra culminó en el 2012 y se halla en operación satisfactoriamente. La obra “Pavimentación con Adoquines del tramo La Dalia-La Mora” se inició en el 2012, detectándose durante la fase de construcción la necesidad de realizar ajustes al diseño, particularmente para completar cantidades del movimiento de tierras y estructura del pavimento de cara a resolver la deficiente calidad de los suelos de la traza. El MTI, con la colaboración de la Supervisión, realizó los ajustes necesarios que </w:t>
      </w:r>
      <w:r w:rsidR="00C432A6" w:rsidRPr="00E70693">
        <w:rPr>
          <w:rFonts w:ascii="Arial" w:hAnsi="Arial" w:cs="Arial"/>
        </w:rPr>
        <w:t>permitieron</w:t>
      </w:r>
      <w:r w:rsidRPr="00E70693">
        <w:rPr>
          <w:rFonts w:ascii="Arial" w:hAnsi="Arial" w:cs="Arial"/>
        </w:rPr>
        <w:t xml:space="preserve"> la conclusión de las obras en mayo de 2013.</w:t>
      </w:r>
    </w:p>
    <w:p w:rsidR="00FA2C9A" w:rsidRPr="00E70693" w:rsidRDefault="00FA2C9A" w:rsidP="00FA2C9A">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b/>
        </w:rPr>
        <w:t>1796/SF-NI</w:t>
      </w:r>
      <w:r w:rsidR="00B3554C" w:rsidRPr="00E70693">
        <w:rPr>
          <w:rFonts w:ascii="Arial" w:hAnsi="Arial" w:cs="Arial"/>
          <w:b/>
        </w:rPr>
        <w:t xml:space="preserve"> Programa Vial de Integración </w:t>
      </w:r>
      <w:proofErr w:type="spellStart"/>
      <w:r w:rsidR="00B3554C" w:rsidRPr="00E70693">
        <w:rPr>
          <w:rFonts w:ascii="Arial" w:hAnsi="Arial" w:cs="Arial"/>
          <w:b/>
        </w:rPr>
        <w:t>Acoyapa</w:t>
      </w:r>
      <w:proofErr w:type="spellEnd"/>
      <w:r w:rsidR="00B3554C" w:rsidRPr="00E70693">
        <w:rPr>
          <w:rFonts w:ascii="Arial" w:hAnsi="Arial" w:cs="Arial"/>
          <w:b/>
        </w:rPr>
        <w:t>-San Carlos (NI-L1006)</w:t>
      </w:r>
      <w:r w:rsidRPr="00E70693">
        <w:rPr>
          <w:rFonts w:ascii="Arial" w:hAnsi="Arial" w:cs="Arial"/>
        </w:rPr>
        <w:t>. Este contrato de préstamo incluyó las obras más importantes por su extensión ejecutadas por el MTI en los últimos 40 años, además de presentar los mayores desafíos al Organismo Ejecutor para la conclusión de las mismas. Las obras emblemáticas han comprendido la rehabilitación y pavimentación con concreto asfáltico del tramo de 124,9 Km que une las ciudades de “</w:t>
      </w:r>
      <w:proofErr w:type="spellStart"/>
      <w:r w:rsidRPr="00E70693">
        <w:rPr>
          <w:rFonts w:ascii="Arial" w:hAnsi="Arial" w:cs="Arial"/>
          <w:i/>
        </w:rPr>
        <w:t>Acoyapa</w:t>
      </w:r>
      <w:proofErr w:type="spellEnd"/>
      <w:r w:rsidRPr="00E70693">
        <w:rPr>
          <w:rFonts w:ascii="Arial" w:hAnsi="Arial" w:cs="Arial"/>
          <w:i/>
        </w:rPr>
        <w:t>-San Carlos</w:t>
      </w:r>
      <w:r w:rsidRPr="00E70693">
        <w:rPr>
          <w:rFonts w:ascii="Arial" w:hAnsi="Arial" w:cs="Arial"/>
        </w:rPr>
        <w:t xml:space="preserve">” y el tramo de 21 Km “La Argentina-Las Tablillas” que llega hasta la frontera con Costa Rica, totalizando 145,9 Km de rutas pavimentadas que se suman a la red vial de Nicaragua. </w:t>
      </w:r>
    </w:p>
    <w:p w:rsidR="00FA2C9A" w:rsidRPr="00E70693" w:rsidRDefault="00FA2C9A" w:rsidP="00FA2C9A">
      <w:pPr>
        <w:numPr>
          <w:ilvl w:val="1"/>
          <w:numId w:val="1"/>
        </w:numPr>
        <w:tabs>
          <w:tab w:val="clear" w:pos="360"/>
          <w:tab w:val="num" w:pos="709"/>
        </w:tabs>
        <w:spacing w:before="240"/>
        <w:ind w:left="709" w:hanging="709"/>
        <w:jc w:val="both"/>
        <w:rPr>
          <w:rFonts w:ascii="Arial" w:hAnsi="Arial" w:cs="Arial"/>
        </w:rPr>
      </w:pPr>
      <w:proofErr w:type="spellStart"/>
      <w:r w:rsidRPr="00E70693">
        <w:rPr>
          <w:rFonts w:ascii="Arial" w:hAnsi="Arial" w:cs="Arial"/>
          <w:i/>
        </w:rPr>
        <w:t>Acoyapa</w:t>
      </w:r>
      <w:proofErr w:type="spellEnd"/>
      <w:r w:rsidRPr="00E70693">
        <w:rPr>
          <w:rFonts w:ascii="Arial" w:hAnsi="Arial" w:cs="Arial"/>
          <w:i/>
        </w:rPr>
        <w:t>-San Carlos</w:t>
      </w:r>
      <w:r w:rsidRPr="00E70693">
        <w:rPr>
          <w:rFonts w:ascii="Arial" w:hAnsi="Arial" w:cs="Arial"/>
        </w:rPr>
        <w:t xml:space="preserve">. En primer término se licitó la pavimentación de </w:t>
      </w:r>
      <w:proofErr w:type="spellStart"/>
      <w:r w:rsidRPr="00E70693">
        <w:rPr>
          <w:rFonts w:ascii="Arial" w:hAnsi="Arial" w:cs="Arial"/>
        </w:rPr>
        <w:t>Acoyapa</w:t>
      </w:r>
      <w:proofErr w:type="spellEnd"/>
      <w:r w:rsidRPr="00E70693">
        <w:rPr>
          <w:rFonts w:ascii="Arial" w:hAnsi="Arial" w:cs="Arial"/>
        </w:rPr>
        <w:t xml:space="preserve"> a San Carlos en dos tramos, adjudicándose a una misma firma que no pudo empezar las obras por insuficiencia en su capacidad financiera. En consecuencia el MTI estructuró las obras en cuatro tramos de aproximadamente 30 Km, volviendo a realizar las licitaciones resultando adjudicadas dos empresas constructoras diferentes. Posteriormente se licita y adjudica el tramo La Argentina-Las Tablillas, de 21 Km, que llega hasta la frontera con Costa Rica. Durante la ejecución de las obras se detectaron deficiencias en los diseños, dado que en ellos se estimó una capacidad portante para los suelos de la traza muy superior a la encontrada en el sitio. Esta situación obligó a recurrir a bancos de préstamo de suelos seleccionados, incrementándose sustancialmente los costos. El MTI, a fin de minimizar los ineludibles mayores costos, propuso al Banco racionalizar el diseño de la carretera, lográndose un balance de cantidades que resultó en un incremento neto del 10,3</w:t>
      </w:r>
      <w:r w:rsidR="004C5A4B" w:rsidRPr="00E70693">
        <w:rPr>
          <w:rFonts w:ascii="Arial" w:hAnsi="Arial" w:cs="Arial"/>
        </w:rPr>
        <w:t>3</w:t>
      </w:r>
      <w:r w:rsidRPr="00E70693">
        <w:rPr>
          <w:rFonts w:ascii="Arial" w:hAnsi="Arial" w:cs="Arial"/>
        </w:rPr>
        <w:t xml:space="preserve">% en la suma de todos los contratos de obra del tramo </w:t>
      </w:r>
      <w:proofErr w:type="spellStart"/>
      <w:r w:rsidRPr="00E70693">
        <w:rPr>
          <w:rFonts w:ascii="Arial" w:hAnsi="Arial" w:cs="Arial"/>
        </w:rPr>
        <w:t>Acoyapa</w:t>
      </w:r>
      <w:proofErr w:type="spellEnd"/>
      <w:r w:rsidRPr="00E70693">
        <w:rPr>
          <w:rFonts w:ascii="Arial" w:hAnsi="Arial" w:cs="Arial"/>
        </w:rPr>
        <w:t xml:space="preserve"> a San Carlos, incluyendo los pagos por ajustes de precios. Finalmente, con la no objeción del Banco a las modificaciones y el aporte de más recursos financieros por el Gobierno de Nicaragua, la pavimentación de la carretera de </w:t>
      </w:r>
      <w:proofErr w:type="spellStart"/>
      <w:r w:rsidRPr="00E70693">
        <w:rPr>
          <w:rFonts w:ascii="Arial" w:hAnsi="Arial" w:cs="Arial"/>
        </w:rPr>
        <w:t>Acoyapa</w:t>
      </w:r>
      <w:proofErr w:type="spellEnd"/>
      <w:r w:rsidRPr="00E70693">
        <w:rPr>
          <w:rFonts w:ascii="Arial" w:hAnsi="Arial" w:cs="Arial"/>
        </w:rPr>
        <w:t xml:space="preserve"> a San Carlos culminó satisfactoriamente en el 2012.</w:t>
      </w:r>
      <w:r w:rsidR="00882300" w:rsidRPr="00E70693">
        <w:rPr>
          <w:rFonts w:ascii="Arial" w:hAnsi="Arial" w:cs="Arial"/>
        </w:rPr>
        <w:t xml:space="preserve"> </w:t>
      </w:r>
      <w:r w:rsidR="004C5A4B" w:rsidRPr="00E70693">
        <w:rPr>
          <w:rFonts w:ascii="Arial" w:hAnsi="Arial" w:cs="Arial"/>
        </w:rPr>
        <w:t>La estructura de costo de los contratos de obra es la siguiente:</w:t>
      </w:r>
    </w:p>
    <w:p w:rsidR="00C262A3" w:rsidRPr="00E70693" w:rsidRDefault="00C262A3" w:rsidP="00C432A6">
      <w:pPr>
        <w:ind w:left="709"/>
        <w:jc w:val="both"/>
        <w:rPr>
          <w:rFonts w:ascii="Arial" w:hAnsi="Arial" w:cs="Arial"/>
        </w:rPr>
      </w:pPr>
    </w:p>
    <w:tbl>
      <w:tblPr>
        <w:tblW w:w="8222" w:type="dxa"/>
        <w:tblInd w:w="779" w:type="dxa"/>
        <w:tblCellMar>
          <w:left w:w="70" w:type="dxa"/>
          <w:right w:w="70" w:type="dxa"/>
        </w:tblCellMar>
        <w:tblLook w:val="04A0" w:firstRow="1" w:lastRow="0" w:firstColumn="1" w:lastColumn="0" w:noHBand="0" w:noVBand="1"/>
      </w:tblPr>
      <w:tblGrid>
        <w:gridCol w:w="2552"/>
        <w:gridCol w:w="1420"/>
        <w:gridCol w:w="1420"/>
        <w:gridCol w:w="1420"/>
        <w:gridCol w:w="1420"/>
      </w:tblGrid>
      <w:tr w:rsidR="00FC4C69" w:rsidRPr="00E70693" w:rsidTr="00635755">
        <w:tc>
          <w:tcPr>
            <w:tcW w:w="2552" w:type="dxa"/>
            <w:tcBorders>
              <w:top w:val="single" w:sz="4" w:space="0" w:color="auto"/>
              <w:left w:val="single" w:sz="4" w:space="0" w:color="auto"/>
              <w:bottom w:val="nil"/>
              <w:right w:val="single" w:sz="4" w:space="0" w:color="auto"/>
            </w:tcBorders>
            <w:shd w:val="clear" w:color="auto" w:fill="DAEEF3" w:themeFill="accent5" w:themeFillTint="33"/>
            <w:noWrap/>
            <w:vAlign w:val="bottom"/>
            <w:hideMark/>
          </w:tcPr>
          <w:p w:rsidR="00FC4C69" w:rsidRPr="00E70693" w:rsidRDefault="00FC4C69" w:rsidP="004C5A4B">
            <w:pPr>
              <w:jc w:val="center"/>
              <w:rPr>
                <w:rFonts w:ascii="Arial" w:hAnsi="Arial" w:cs="Arial"/>
                <w:b/>
                <w:bCs/>
                <w:color w:val="000000"/>
                <w:sz w:val="20"/>
                <w:lang w:val="es-PY" w:eastAsia="es-PY"/>
              </w:rPr>
            </w:pPr>
            <w:r w:rsidRPr="00E70693">
              <w:rPr>
                <w:rFonts w:ascii="Arial" w:hAnsi="Arial" w:cs="Arial"/>
                <w:b/>
                <w:bCs/>
                <w:color w:val="000000"/>
                <w:sz w:val="20"/>
                <w:lang w:val="es-PY" w:eastAsia="es-PY"/>
              </w:rPr>
              <w:t>Proyecto</w:t>
            </w:r>
          </w:p>
        </w:tc>
        <w:tc>
          <w:tcPr>
            <w:tcW w:w="2835" w:type="dxa"/>
            <w:gridSpan w:val="2"/>
            <w:tcBorders>
              <w:top w:val="single" w:sz="4" w:space="0" w:color="auto"/>
              <w:left w:val="nil"/>
              <w:bottom w:val="single" w:sz="4" w:space="0" w:color="auto"/>
              <w:right w:val="nil"/>
            </w:tcBorders>
            <w:shd w:val="clear" w:color="auto" w:fill="DAEEF3" w:themeFill="accent5" w:themeFillTint="33"/>
            <w:noWrap/>
            <w:vAlign w:val="bottom"/>
            <w:hideMark/>
          </w:tcPr>
          <w:p w:rsidR="00FC4C69" w:rsidRPr="00E70693" w:rsidRDefault="00FC4C69" w:rsidP="00FC4C69">
            <w:pPr>
              <w:jc w:val="center"/>
              <w:rPr>
                <w:rFonts w:ascii="Arial" w:hAnsi="Arial" w:cs="Arial"/>
                <w:b/>
                <w:bCs/>
                <w:color w:val="000000"/>
                <w:sz w:val="20"/>
                <w:lang w:val="es-PY" w:eastAsia="es-PY"/>
              </w:rPr>
            </w:pPr>
            <w:r w:rsidRPr="00E70693">
              <w:rPr>
                <w:rFonts w:ascii="Arial" w:hAnsi="Arial" w:cs="Arial"/>
                <w:b/>
                <w:bCs/>
                <w:color w:val="000000"/>
                <w:sz w:val="20"/>
                <w:lang w:val="es-PY" w:eastAsia="es-PY"/>
              </w:rPr>
              <w:t>Original</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FC4C69" w:rsidRPr="00E70693" w:rsidRDefault="00FC4C69" w:rsidP="00FC4C69">
            <w:pPr>
              <w:jc w:val="center"/>
              <w:rPr>
                <w:rFonts w:ascii="Arial" w:hAnsi="Arial" w:cs="Arial"/>
                <w:b/>
                <w:bCs/>
                <w:color w:val="000000"/>
                <w:sz w:val="20"/>
                <w:lang w:val="es-PY" w:eastAsia="es-PY"/>
              </w:rPr>
            </w:pPr>
            <w:r w:rsidRPr="00E70693">
              <w:rPr>
                <w:rFonts w:ascii="Arial" w:hAnsi="Arial" w:cs="Arial"/>
                <w:b/>
                <w:bCs/>
                <w:color w:val="000000"/>
                <w:sz w:val="20"/>
                <w:lang w:val="es-PY" w:eastAsia="es-PY"/>
              </w:rPr>
              <w:t>Final</w:t>
            </w:r>
          </w:p>
        </w:tc>
      </w:tr>
      <w:tr w:rsidR="004C5A4B" w:rsidRPr="00E70693" w:rsidTr="00635755">
        <w:tc>
          <w:tcPr>
            <w:tcW w:w="2552" w:type="dxa"/>
            <w:tcBorders>
              <w:top w:val="nil"/>
              <w:left w:val="single" w:sz="4" w:space="0" w:color="auto"/>
              <w:bottom w:val="nil"/>
              <w:right w:val="single" w:sz="4" w:space="0" w:color="auto"/>
            </w:tcBorders>
            <w:shd w:val="clear" w:color="auto" w:fill="DAEEF3" w:themeFill="accent5" w:themeFillTint="33"/>
            <w:noWrap/>
            <w:vAlign w:val="bottom"/>
            <w:hideMark/>
          </w:tcPr>
          <w:p w:rsidR="004C5A4B" w:rsidRPr="00E70693" w:rsidRDefault="004C5A4B" w:rsidP="004C5A4B">
            <w:pPr>
              <w:jc w:val="center"/>
              <w:rPr>
                <w:rFonts w:ascii="Arial" w:hAnsi="Arial" w:cs="Arial"/>
                <w:b/>
                <w:bCs/>
                <w:color w:val="000000"/>
                <w:sz w:val="20"/>
                <w:lang w:val="es-PY" w:eastAsia="es-PY"/>
              </w:rPr>
            </w:pPr>
            <w:r w:rsidRPr="00E70693">
              <w:rPr>
                <w:rFonts w:ascii="Arial" w:hAnsi="Arial" w:cs="Arial"/>
                <w:b/>
                <w:bCs/>
                <w:color w:val="000000"/>
                <w:sz w:val="20"/>
                <w:lang w:val="es-PY" w:eastAsia="es-PY"/>
              </w:rPr>
              <w:t> </w:t>
            </w:r>
          </w:p>
        </w:tc>
        <w:tc>
          <w:tcPr>
            <w:tcW w:w="1418" w:type="dxa"/>
            <w:tcBorders>
              <w:top w:val="nil"/>
              <w:left w:val="nil"/>
              <w:bottom w:val="nil"/>
              <w:right w:val="nil"/>
            </w:tcBorders>
            <w:shd w:val="clear" w:color="auto" w:fill="DAEEF3" w:themeFill="accent5" w:themeFillTint="33"/>
            <w:noWrap/>
            <w:vAlign w:val="bottom"/>
            <w:hideMark/>
          </w:tcPr>
          <w:p w:rsidR="004C5A4B" w:rsidRPr="00E70693" w:rsidRDefault="004C5A4B" w:rsidP="004C5A4B">
            <w:pPr>
              <w:jc w:val="center"/>
              <w:rPr>
                <w:rFonts w:ascii="Arial" w:hAnsi="Arial" w:cs="Arial"/>
                <w:b/>
                <w:bCs/>
                <w:color w:val="000000"/>
                <w:sz w:val="20"/>
                <w:lang w:val="es-PY" w:eastAsia="es-PY"/>
              </w:rPr>
            </w:pPr>
            <w:r w:rsidRPr="00E70693">
              <w:rPr>
                <w:rFonts w:ascii="Arial" w:hAnsi="Arial" w:cs="Arial"/>
                <w:b/>
                <w:bCs/>
                <w:color w:val="000000"/>
                <w:sz w:val="20"/>
                <w:lang w:val="es-PY" w:eastAsia="es-PY"/>
              </w:rPr>
              <w:t>Fondos BID</w:t>
            </w:r>
          </w:p>
        </w:tc>
        <w:tc>
          <w:tcPr>
            <w:tcW w:w="1417" w:type="dxa"/>
            <w:tcBorders>
              <w:top w:val="nil"/>
              <w:left w:val="single" w:sz="4" w:space="0" w:color="auto"/>
              <w:bottom w:val="nil"/>
              <w:right w:val="nil"/>
            </w:tcBorders>
            <w:shd w:val="clear" w:color="auto" w:fill="DAEEF3" w:themeFill="accent5" w:themeFillTint="33"/>
            <w:noWrap/>
            <w:vAlign w:val="bottom"/>
            <w:hideMark/>
          </w:tcPr>
          <w:p w:rsidR="004C5A4B" w:rsidRPr="00E70693" w:rsidRDefault="004C5A4B" w:rsidP="00FF0DAB">
            <w:pPr>
              <w:jc w:val="center"/>
              <w:rPr>
                <w:rFonts w:ascii="Arial" w:hAnsi="Arial" w:cs="Arial"/>
                <w:b/>
                <w:bCs/>
                <w:color w:val="000000"/>
                <w:sz w:val="20"/>
                <w:lang w:val="es-PY" w:eastAsia="es-PY"/>
              </w:rPr>
            </w:pPr>
            <w:r w:rsidRPr="00E70693">
              <w:rPr>
                <w:rFonts w:ascii="Arial" w:hAnsi="Arial" w:cs="Arial"/>
                <w:b/>
                <w:bCs/>
                <w:color w:val="000000"/>
                <w:sz w:val="20"/>
                <w:lang w:val="es-PY" w:eastAsia="es-PY"/>
              </w:rPr>
              <w:t xml:space="preserve">Fondos </w:t>
            </w:r>
            <w:proofErr w:type="spellStart"/>
            <w:r w:rsidRPr="00E70693">
              <w:rPr>
                <w:rFonts w:ascii="Arial" w:hAnsi="Arial" w:cs="Arial"/>
                <w:b/>
                <w:bCs/>
                <w:color w:val="000000"/>
                <w:sz w:val="20"/>
                <w:lang w:val="es-PY" w:eastAsia="es-PY"/>
              </w:rPr>
              <w:t>G</w:t>
            </w:r>
            <w:r w:rsidR="00FF0DAB" w:rsidRPr="00E70693">
              <w:rPr>
                <w:rFonts w:ascii="Arial" w:hAnsi="Arial" w:cs="Arial"/>
                <w:b/>
                <w:bCs/>
                <w:color w:val="000000"/>
                <w:sz w:val="20"/>
                <w:lang w:val="es-PY" w:eastAsia="es-PY"/>
              </w:rPr>
              <w:t>dN</w:t>
            </w:r>
            <w:proofErr w:type="spellEnd"/>
          </w:p>
        </w:tc>
        <w:tc>
          <w:tcPr>
            <w:tcW w:w="1417" w:type="dxa"/>
            <w:tcBorders>
              <w:top w:val="nil"/>
              <w:left w:val="single" w:sz="4" w:space="0" w:color="auto"/>
              <w:bottom w:val="nil"/>
              <w:right w:val="nil"/>
            </w:tcBorders>
            <w:shd w:val="clear" w:color="auto" w:fill="DAEEF3" w:themeFill="accent5" w:themeFillTint="33"/>
            <w:noWrap/>
            <w:vAlign w:val="bottom"/>
            <w:hideMark/>
          </w:tcPr>
          <w:p w:rsidR="004C5A4B" w:rsidRPr="00E70693" w:rsidRDefault="004C5A4B" w:rsidP="004C5A4B">
            <w:pPr>
              <w:jc w:val="center"/>
              <w:rPr>
                <w:rFonts w:ascii="Arial" w:hAnsi="Arial" w:cs="Arial"/>
                <w:b/>
                <w:bCs/>
                <w:color w:val="000000"/>
                <w:sz w:val="20"/>
                <w:lang w:val="es-PY" w:eastAsia="es-PY"/>
              </w:rPr>
            </w:pPr>
            <w:r w:rsidRPr="00E70693">
              <w:rPr>
                <w:rFonts w:ascii="Arial" w:hAnsi="Arial" w:cs="Arial"/>
                <w:b/>
                <w:bCs/>
                <w:color w:val="000000"/>
                <w:sz w:val="20"/>
                <w:lang w:val="es-PY" w:eastAsia="es-PY"/>
              </w:rPr>
              <w:t>Fondos BID</w:t>
            </w:r>
          </w:p>
        </w:tc>
        <w:tc>
          <w:tcPr>
            <w:tcW w:w="1418" w:type="dxa"/>
            <w:tcBorders>
              <w:top w:val="nil"/>
              <w:left w:val="single" w:sz="4" w:space="0" w:color="auto"/>
              <w:bottom w:val="nil"/>
              <w:right w:val="single" w:sz="4" w:space="0" w:color="auto"/>
            </w:tcBorders>
            <w:shd w:val="clear" w:color="auto" w:fill="DAEEF3" w:themeFill="accent5" w:themeFillTint="33"/>
            <w:noWrap/>
            <w:vAlign w:val="bottom"/>
            <w:hideMark/>
          </w:tcPr>
          <w:p w:rsidR="004C5A4B" w:rsidRPr="00E70693" w:rsidRDefault="004C5A4B" w:rsidP="00FF0DAB">
            <w:pPr>
              <w:jc w:val="center"/>
              <w:rPr>
                <w:rFonts w:ascii="Arial" w:hAnsi="Arial" w:cs="Arial"/>
                <w:b/>
                <w:bCs/>
                <w:color w:val="000000"/>
                <w:sz w:val="20"/>
                <w:lang w:val="es-PY" w:eastAsia="es-PY"/>
              </w:rPr>
            </w:pPr>
            <w:r w:rsidRPr="00E70693">
              <w:rPr>
                <w:rFonts w:ascii="Arial" w:hAnsi="Arial" w:cs="Arial"/>
                <w:b/>
                <w:bCs/>
                <w:color w:val="000000"/>
                <w:sz w:val="20"/>
                <w:lang w:val="es-PY" w:eastAsia="es-PY"/>
              </w:rPr>
              <w:t xml:space="preserve">Fondos </w:t>
            </w:r>
            <w:proofErr w:type="spellStart"/>
            <w:r w:rsidRPr="00E70693">
              <w:rPr>
                <w:rFonts w:ascii="Arial" w:hAnsi="Arial" w:cs="Arial"/>
                <w:b/>
                <w:bCs/>
                <w:color w:val="000000"/>
                <w:sz w:val="20"/>
                <w:lang w:val="es-PY" w:eastAsia="es-PY"/>
              </w:rPr>
              <w:t>G</w:t>
            </w:r>
            <w:r w:rsidR="00FF0DAB" w:rsidRPr="00E70693">
              <w:rPr>
                <w:rFonts w:ascii="Arial" w:hAnsi="Arial" w:cs="Arial"/>
                <w:b/>
                <w:bCs/>
                <w:color w:val="000000"/>
                <w:sz w:val="20"/>
                <w:lang w:val="es-PY" w:eastAsia="es-PY"/>
              </w:rPr>
              <w:t>dN</w:t>
            </w:r>
            <w:proofErr w:type="spellEnd"/>
          </w:p>
        </w:tc>
      </w:tr>
      <w:tr w:rsidR="004C5A4B" w:rsidRPr="00E70693" w:rsidTr="00635755">
        <w:tc>
          <w:tcPr>
            <w:tcW w:w="2552"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4C5A4B" w:rsidRPr="00E70693" w:rsidRDefault="004C5A4B" w:rsidP="004C5A4B">
            <w:pPr>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nil"/>
              <w:left w:val="nil"/>
              <w:bottom w:val="single" w:sz="4" w:space="0" w:color="auto"/>
              <w:right w:val="nil"/>
            </w:tcBorders>
            <w:shd w:val="clear" w:color="auto" w:fill="DAEEF3" w:themeFill="accent5" w:themeFillTint="33"/>
            <w:noWrap/>
            <w:vAlign w:val="bottom"/>
            <w:hideMark/>
          </w:tcPr>
          <w:p w:rsidR="004C5A4B" w:rsidRPr="00E70693" w:rsidRDefault="004C5A4B" w:rsidP="004C5A4B">
            <w:pPr>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c>
          <w:tcPr>
            <w:tcW w:w="1417" w:type="dxa"/>
            <w:tcBorders>
              <w:top w:val="nil"/>
              <w:left w:val="single" w:sz="4" w:space="0" w:color="auto"/>
              <w:bottom w:val="single" w:sz="4" w:space="0" w:color="auto"/>
              <w:right w:val="nil"/>
            </w:tcBorders>
            <w:shd w:val="clear" w:color="auto" w:fill="DAEEF3" w:themeFill="accent5" w:themeFillTint="33"/>
            <w:noWrap/>
            <w:vAlign w:val="bottom"/>
            <w:hideMark/>
          </w:tcPr>
          <w:p w:rsidR="004C5A4B" w:rsidRPr="00E70693" w:rsidRDefault="004C5A4B" w:rsidP="004C5A4B">
            <w:pPr>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c>
          <w:tcPr>
            <w:tcW w:w="1417"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4C5A4B" w:rsidRPr="00E70693" w:rsidRDefault="004C5A4B" w:rsidP="004C5A4B">
            <w:pPr>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c>
          <w:tcPr>
            <w:tcW w:w="1418" w:type="dxa"/>
            <w:tcBorders>
              <w:top w:val="nil"/>
              <w:left w:val="nil"/>
              <w:bottom w:val="single" w:sz="4" w:space="0" w:color="auto"/>
              <w:right w:val="single" w:sz="4" w:space="0" w:color="auto"/>
            </w:tcBorders>
            <w:shd w:val="clear" w:color="auto" w:fill="DAEEF3" w:themeFill="accent5" w:themeFillTint="33"/>
            <w:noWrap/>
            <w:vAlign w:val="bottom"/>
            <w:hideMark/>
          </w:tcPr>
          <w:p w:rsidR="004C5A4B" w:rsidRPr="00E70693" w:rsidRDefault="004C5A4B" w:rsidP="004C5A4B">
            <w:pPr>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r>
      <w:tr w:rsidR="004C5A4B" w:rsidRPr="00E70693" w:rsidTr="00635755">
        <w:tc>
          <w:tcPr>
            <w:tcW w:w="8222" w:type="dxa"/>
            <w:gridSpan w:val="5"/>
            <w:tcBorders>
              <w:top w:val="nil"/>
              <w:left w:val="single" w:sz="4" w:space="0" w:color="auto"/>
              <w:bottom w:val="nil"/>
              <w:right w:val="single" w:sz="4" w:space="0" w:color="auto"/>
            </w:tcBorders>
            <w:shd w:val="clear" w:color="auto" w:fill="auto"/>
            <w:noWrap/>
            <w:hideMark/>
          </w:tcPr>
          <w:p w:rsidR="004C5A4B" w:rsidRPr="00E70693" w:rsidRDefault="004C5A4B" w:rsidP="004C5A4B">
            <w:pPr>
              <w:rPr>
                <w:rFonts w:ascii="Arial" w:hAnsi="Arial" w:cs="Arial"/>
                <w:b/>
                <w:bCs/>
                <w:color w:val="000000"/>
                <w:sz w:val="20"/>
                <w:lang w:val="es-PY" w:eastAsia="es-PY"/>
              </w:rPr>
            </w:pPr>
            <w:proofErr w:type="spellStart"/>
            <w:r w:rsidRPr="00E70693">
              <w:rPr>
                <w:rFonts w:ascii="Arial" w:hAnsi="Arial" w:cs="Arial"/>
                <w:b/>
                <w:bCs/>
                <w:color w:val="000000"/>
                <w:sz w:val="20"/>
                <w:lang w:val="es-PY" w:eastAsia="es-PY"/>
              </w:rPr>
              <w:t>Acoyapa</w:t>
            </w:r>
            <w:proofErr w:type="spellEnd"/>
            <w:r w:rsidRPr="00E70693">
              <w:rPr>
                <w:rFonts w:ascii="Arial" w:hAnsi="Arial" w:cs="Arial"/>
                <w:b/>
                <w:bCs/>
                <w:color w:val="000000"/>
                <w:sz w:val="20"/>
                <w:lang w:val="es-PY" w:eastAsia="es-PY"/>
              </w:rPr>
              <w:t xml:space="preserve"> - San Carlos (124,9 Km)</w:t>
            </w:r>
          </w:p>
        </w:tc>
      </w:tr>
      <w:tr w:rsidR="004C5A4B" w:rsidRPr="00E70693" w:rsidTr="00635755">
        <w:tc>
          <w:tcPr>
            <w:tcW w:w="2552" w:type="dxa"/>
            <w:tcBorders>
              <w:top w:val="nil"/>
              <w:left w:val="single" w:sz="4" w:space="0" w:color="auto"/>
              <w:bottom w:val="nil"/>
              <w:right w:val="single" w:sz="4" w:space="0" w:color="auto"/>
            </w:tcBorders>
            <w:shd w:val="clear" w:color="auto" w:fill="auto"/>
            <w:hideMark/>
          </w:tcPr>
          <w:p w:rsidR="004C5A4B" w:rsidRPr="00E70693" w:rsidRDefault="004C5A4B"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Contrato base</w:t>
            </w:r>
          </w:p>
        </w:tc>
        <w:tc>
          <w:tcPr>
            <w:tcW w:w="1418" w:type="dxa"/>
            <w:tcBorders>
              <w:top w:val="nil"/>
              <w:left w:val="nil"/>
              <w:bottom w:val="nil"/>
              <w:right w:val="nil"/>
            </w:tcBorders>
            <w:shd w:val="clear" w:color="auto" w:fill="auto"/>
            <w:hideMark/>
          </w:tcPr>
          <w:p w:rsidR="004C5A4B" w:rsidRPr="00E70693" w:rsidRDefault="004C5A4B"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42.994.083,24</w:t>
            </w:r>
          </w:p>
        </w:tc>
        <w:tc>
          <w:tcPr>
            <w:tcW w:w="1417" w:type="dxa"/>
            <w:tcBorders>
              <w:top w:val="nil"/>
              <w:left w:val="single" w:sz="4" w:space="0" w:color="auto"/>
              <w:bottom w:val="nil"/>
              <w:right w:val="nil"/>
            </w:tcBorders>
            <w:shd w:val="clear" w:color="auto" w:fill="auto"/>
            <w:noWrap/>
            <w:vAlign w:val="bottom"/>
            <w:hideMark/>
          </w:tcPr>
          <w:p w:rsidR="004C5A4B" w:rsidRPr="00E70693" w:rsidRDefault="004C5A4B"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6.943.544,44</w:t>
            </w:r>
          </w:p>
        </w:tc>
        <w:tc>
          <w:tcPr>
            <w:tcW w:w="1417" w:type="dxa"/>
            <w:tcBorders>
              <w:top w:val="nil"/>
              <w:left w:val="single" w:sz="4" w:space="0" w:color="auto"/>
              <w:bottom w:val="nil"/>
              <w:right w:val="single" w:sz="4" w:space="0" w:color="auto"/>
            </w:tcBorders>
            <w:shd w:val="clear" w:color="auto" w:fill="auto"/>
            <w:noWrap/>
            <w:vAlign w:val="bottom"/>
            <w:hideMark/>
          </w:tcPr>
          <w:p w:rsidR="004C5A4B" w:rsidRPr="00E70693" w:rsidRDefault="004C5A4B"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42.994.083,24</w:t>
            </w:r>
          </w:p>
        </w:tc>
        <w:tc>
          <w:tcPr>
            <w:tcW w:w="1418" w:type="dxa"/>
            <w:tcBorders>
              <w:top w:val="nil"/>
              <w:left w:val="nil"/>
              <w:bottom w:val="nil"/>
              <w:right w:val="single" w:sz="4" w:space="0" w:color="auto"/>
            </w:tcBorders>
            <w:shd w:val="clear" w:color="auto" w:fill="auto"/>
            <w:noWrap/>
            <w:vAlign w:val="bottom"/>
            <w:hideMark/>
          </w:tcPr>
          <w:p w:rsidR="004C5A4B" w:rsidRPr="00E70693" w:rsidRDefault="004C5A4B"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6.943.544,44</w:t>
            </w:r>
          </w:p>
        </w:tc>
      </w:tr>
      <w:tr w:rsidR="004C5A4B" w:rsidRPr="00E70693" w:rsidTr="00635755">
        <w:tc>
          <w:tcPr>
            <w:tcW w:w="2552" w:type="dxa"/>
            <w:tcBorders>
              <w:top w:val="nil"/>
              <w:left w:val="single" w:sz="4" w:space="0" w:color="auto"/>
              <w:bottom w:val="nil"/>
              <w:right w:val="single" w:sz="4" w:space="0" w:color="auto"/>
            </w:tcBorders>
            <w:shd w:val="clear" w:color="auto" w:fill="auto"/>
            <w:hideMark/>
          </w:tcPr>
          <w:p w:rsidR="004C5A4B" w:rsidRPr="00E70693" w:rsidRDefault="004C5A4B" w:rsidP="004C5A4B">
            <w:pPr>
              <w:jc w:val="right"/>
              <w:rPr>
                <w:rFonts w:ascii="Arial" w:hAnsi="Arial" w:cs="Arial"/>
                <w:color w:val="000000"/>
                <w:sz w:val="20"/>
                <w:lang w:val="es-PY" w:eastAsia="es-PY"/>
              </w:rPr>
            </w:pPr>
            <w:r w:rsidRPr="00E70693">
              <w:rPr>
                <w:rFonts w:ascii="Arial" w:hAnsi="Arial" w:cs="Arial"/>
                <w:color w:val="000000"/>
                <w:sz w:val="20"/>
                <w:lang w:val="es-PY" w:eastAsia="es-PY"/>
              </w:rPr>
              <w:lastRenderedPageBreak/>
              <w:t>Incremento de obra</w:t>
            </w:r>
          </w:p>
        </w:tc>
        <w:tc>
          <w:tcPr>
            <w:tcW w:w="1418" w:type="dxa"/>
            <w:tcBorders>
              <w:top w:val="nil"/>
              <w:left w:val="nil"/>
              <w:bottom w:val="nil"/>
              <w:right w:val="nil"/>
            </w:tcBorders>
            <w:shd w:val="clear" w:color="auto" w:fill="auto"/>
            <w:noWrap/>
            <w:vAlign w:val="bottom"/>
            <w:hideMark/>
          </w:tcPr>
          <w:p w:rsidR="004C5A4B" w:rsidRPr="00E70693" w:rsidRDefault="004C5A4B"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7" w:type="dxa"/>
            <w:tcBorders>
              <w:top w:val="nil"/>
              <w:left w:val="single" w:sz="4" w:space="0" w:color="auto"/>
              <w:bottom w:val="nil"/>
              <w:right w:val="nil"/>
            </w:tcBorders>
            <w:shd w:val="clear" w:color="auto" w:fill="auto"/>
            <w:noWrap/>
            <w:vAlign w:val="bottom"/>
            <w:hideMark/>
          </w:tcPr>
          <w:p w:rsidR="004C5A4B" w:rsidRPr="00E70693" w:rsidRDefault="004C5A4B"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7" w:type="dxa"/>
            <w:tcBorders>
              <w:top w:val="nil"/>
              <w:left w:val="single" w:sz="4" w:space="0" w:color="auto"/>
              <w:bottom w:val="nil"/>
              <w:right w:val="single" w:sz="4" w:space="0" w:color="auto"/>
            </w:tcBorders>
            <w:shd w:val="clear" w:color="auto" w:fill="auto"/>
            <w:noWrap/>
            <w:vAlign w:val="bottom"/>
            <w:hideMark/>
          </w:tcPr>
          <w:p w:rsidR="004C5A4B" w:rsidRPr="00E70693" w:rsidRDefault="004C5A4B"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-329.098,00</w:t>
            </w:r>
          </w:p>
        </w:tc>
        <w:tc>
          <w:tcPr>
            <w:tcW w:w="1418" w:type="dxa"/>
            <w:tcBorders>
              <w:top w:val="nil"/>
              <w:left w:val="nil"/>
              <w:bottom w:val="nil"/>
              <w:right w:val="single" w:sz="4" w:space="0" w:color="auto"/>
            </w:tcBorders>
            <w:shd w:val="clear" w:color="auto" w:fill="auto"/>
            <w:noWrap/>
            <w:vAlign w:val="bottom"/>
            <w:hideMark/>
          </w:tcPr>
          <w:p w:rsidR="004C5A4B" w:rsidRPr="00E70693" w:rsidRDefault="004C5A4B"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5.636.874,46</w:t>
            </w:r>
          </w:p>
        </w:tc>
      </w:tr>
      <w:tr w:rsidR="004C5A4B" w:rsidRPr="00E70693" w:rsidTr="00635755">
        <w:tc>
          <w:tcPr>
            <w:tcW w:w="2552" w:type="dxa"/>
            <w:tcBorders>
              <w:top w:val="nil"/>
              <w:left w:val="single" w:sz="4" w:space="0" w:color="auto"/>
              <w:bottom w:val="nil"/>
              <w:right w:val="single" w:sz="4" w:space="0" w:color="auto"/>
            </w:tcBorders>
            <w:shd w:val="clear" w:color="auto" w:fill="auto"/>
            <w:hideMark/>
          </w:tcPr>
          <w:p w:rsidR="004C5A4B" w:rsidRPr="00E70693" w:rsidRDefault="004C5A4B"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Ajuste de precios</w:t>
            </w:r>
          </w:p>
        </w:tc>
        <w:tc>
          <w:tcPr>
            <w:tcW w:w="1418" w:type="dxa"/>
            <w:tcBorders>
              <w:top w:val="nil"/>
              <w:left w:val="nil"/>
              <w:bottom w:val="nil"/>
              <w:right w:val="nil"/>
            </w:tcBorders>
            <w:shd w:val="clear" w:color="auto" w:fill="auto"/>
            <w:hideMark/>
          </w:tcPr>
          <w:p w:rsidR="004C5A4B" w:rsidRPr="00E70693" w:rsidRDefault="004C5A4B"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4.176.499,23</w:t>
            </w:r>
          </w:p>
        </w:tc>
        <w:tc>
          <w:tcPr>
            <w:tcW w:w="1417" w:type="dxa"/>
            <w:tcBorders>
              <w:top w:val="nil"/>
              <w:left w:val="single" w:sz="4" w:space="0" w:color="auto"/>
              <w:bottom w:val="nil"/>
              <w:right w:val="nil"/>
            </w:tcBorders>
            <w:shd w:val="clear" w:color="auto" w:fill="auto"/>
            <w:noWrap/>
            <w:vAlign w:val="bottom"/>
            <w:hideMark/>
          </w:tcPr>
          <w:p w:rsidR="004C5A4B" w:rsidRPr="00E70693" w:rsidRDefault="004C5A4B"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674.504,63</w:t>
            </w:r>
          </w:p>
        </w:tc>
        <w:tc>
          <w:tcPr>
            <w:tcW w:w="1417" w:type="dxa"/>
            <w:tcBorders>
              <w:top w:val="nil"/>
              <w:left w:val="single" w:sz="4" w:space="0" w:color="auto"/>
              <w:bottom w:val="nil"/>
              <w:right w:val="single" w:sz="4" w:space="0" w:color="auto"/>
            </w:tcBorders>
            <w:shd w:val="clear" w:color="auto" w:fill="auto"/>
            <w:noWrap/>
            <w:vAlign w:val="bottom"/>
            <w:hideMark/>
          </w:tcPr>
          <w:p w:rsidR="004C5A4B" w:rsidRPr="00E70693" w:rsidRDefault="004C5A4B"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4.914.600,90</w:t>
            </w:r>
          </w:p>
        </w:tc>
        <w:tc>
          <w:tcPr>
            <w:tcW w:w="1418" w:type="dxa"/>
            <w:tcBorders>
              <w:top w:val="nil"/>
              <w:left w:val="nil"/>
              <w:bottom w:val="nil"/>
              <w:right w:val="single" w:sz="4" w:space="0" w:color="auto"/>
            </w:tcBorders>
            <w:shd w:val="clear" w:color="auto" w:fill="auto"/>
            <w:noWrap/>
            <w:vAlign w:val="bottom"/>
            <w:hideMark/>
          </w:tcPr>
          <w:p w:rsidR="004C5A4B" w:rsidRPr="00E70693" w:rsidRDefault="004C5A4B"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288.340,85</w:t>
            </w:r>
          </w:p>
        </w:tc>
      </w:tr>
      <w:tr w:rsidR="004C5A4B" w:rsidRPr="00E70693" w:rsidTr="00635755">
        <w:tc>
          <w:tcPr>
            <w:tcW w:w="2552" w:type="dxa"/>
            <w:tcBorders>
              <w:top w:val="nil"/>
              <w:left w:val="single" w:sz="4" w:space="0" w:color="auto"/>
              <w:bottom w:val="nil"/>
              <w:right w:val="single" w:sz="4" w:space="0" w:color="auto"/>
            </w:tcBorders>
            <w:shd w:val="clear" w:color="auto" w:fill="auto"/>
            <w:hideMark/>
          </w:tcPr>
          <w:p w:rsidR="004C5A4B" w:rsidRPr="00E70693" w:rsidRDefault="004C5A4B"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Sub-total final</w:t>
            </w:r>
          </w:p>
        </w:tc>
        <w:tc>
          <w:tcPr>
            <w:tcW w:w="1418" w:type="dxa"/>
            <w:tcBorders>
              <w:top w:val="nil"/>
              <w:left w:val="nil"/>
              <w:bottom w:val="nil"/>
              <w:right w:val="nil"/>
            </w:tcBorders>
            <w:shd w:val="clear" w:color="auto" w:fill="auto"/>
            <w:hideMark/>
          </w:tcPr>
          <w:p w:rsidR="004C5A4B" w:rsidRPr="00E70693" w:rsidRDefault="004C5A4B"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47.170.582,47</w:t>
            </w:r>
          </w:p>
        </w:tc>
        <w:tc>
          <w:tcPr>
            <w:tcW w:w="1417" w:type="dxa"/>
            <w:tcBorders>
              <w:top w:val="nil"/>
              <w:left w:val="single" w:sz="4" w:space="0" w:color="auto"/>
              <w:bottom w:val="nil"/>
              <w:right w:val="nil"/>
            </w:tcBorders>
            <w:shd w:val="clear" w:color="auto" w:fill="auto"/>
            <w:noWrap/>
            <w:vAlign w:val="bottom"/>
            <w:hideMark/>
          </w:tcPr>
          <w:p w:rsidR="004C5A4B" w:rsidRPr="00E70693" w:rsidRDefault="004C5A4B"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7.618.049,07</w:t>
            </w:r>
          </w:p>
        </w:tc>
        <w:tc>
          <w:tcPr>
            <w:tcW w:w="1417" w:type="dxa"/>
            <w:tcBorders>
              <w:top w:val="nil"/>
              <w:left w:val="single" w:sz="4" w:space="0" w:color="auto"/>
              <w:bottom w:val="nil"/>
              <w:right w:val="nil"/>
            </w:tcBorders>
            <w:shd w:val="clear" w:color="auto" w:fill="auto"/>
            <w:hideMark/>
          </w:tcPr>
          <w:p w:rsidR="004C5A4B" w:rsidRPr="00E70693" w:rsidRDefault="004C5A4B"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47.579.586,13</w:t>
            </w:r>
          </w:p>
        </w:tc>
        <w:tc>
          <w:tcPr>
            <w:tcW w:w="1418" w:type="dxa"/>
            <w:tcBorders>
              <w:top w:val="nil"/>
              <w:left w:val="single" w:sz="4" w:space="0" w:color="auto"/>
              <w:bottom w:val="nil"/>
              <w:right w:val="single" w:sz="4" w:space="0" w:color="auto"/>
            </w:tcBorders>
            <w:shd w:val="clear" w:color="auto" w:fill="auto"/>
            <w:noWrap/>
            <w:vAlign w:val="bottom"/>
            <w:hideMark/>
          </w:tcPr>
          <w:p w:rsidR="004C5A4B" w:rsidRPr="00E70693" w:rsidRDefault="004C5A4B"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12.868.759,75</w:t>
            </w:r>
          </w:p>
        </w:tc>
      </w:tr>
      <w:tr w:rsidR="004C5A4B" w:rsidRPr="00E70693" w:rsidTr="00635755">
        <w:tc>
          <w:tcPr>
            <w:tcW w:w="2552" w:type="dxa"/>
            <w:tcBorders>
              <w:top w:val="nil"/>
              <w:left w:val="single" w:sz="4" w:space="0" w:color="auto"/>
              <w:bottom w:val="single" w:sz="4" w:space="0" w:color="auto"/>
              <w:right w:val="single" w:sz="4" w:space="0" w:color="auto"/>
            </w:tcBorders>
            <w:shd w:val="clear" w:color="auto" w:fill="auto"/>
            <w:hideMark/>
          </w:tcPr>
          <w:p w:rsidR="004C5A4B" w:rsidRPr="00E70693" w:rsidRDefault="004C5A4B" w:rsidP="004C5A4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Total final</w:t>
            </w:r>
          </w:p>
        </w:tc>
        <w:tc>
          <w:tcPr>
            <w:tcW w:w="1418" w:type="dxa"/>
            <w:tcBorders>
              <w:top w:val="single" w:sz="4" w:space="0" w:color="auto"/>
              <w:left w:val="nil"/>
              <w:bottom w:val="single" w:sz="4" w:space="0" w:color="auto"/>
              <w:right w:val="nil"/>
            </w:tcBorders>
            <w:shd w:val="clear" w:color="auto" w:fill="auto"/>
            <w:hideMark/>
          </w:tcPr>
          <w:p w:rsidR="004C5A4B" w:rsidRPr="00E70693" w:rsidRDefault="004C5A4B" w:rsidP="004C5A4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C5A4B" w:rsidRPr="00E70693" w:rsidRDefault="004C5A4B" w:rsidP="004C5A4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54.788.631,54</w:t>
            </w:r>
          </w:p>
        </w:tc>
        <w:tc>
          <w:tcPr>
            <w:tcW w:w="1417" w:type="dxa"/>
            <w:tcBorders>
              <w:top w:val="single" w:sz="4" w:space="0" w:color="auto"/>
              <w:left w:val="nil"/>
              <w:bottom w:val="single" w:sz="4" w:space="0" w:color="auto"/>
              <w:right w:val="nil"/>
            </w:tcBorders>
            <w:shd w:val="clear" w:color="auto" w:fill="auto"/>
            <w:hideMark/>
          </w:tcPr>
          <w:p w:rsidR="004C5A4B" w:rsidRPr="00E70693" w:rsidRDefault="004C5A4B" w:rsidP="004C5A4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C5A4B" w:rsidRPr="00E70693" w:rsidRDefault="004C5A4B" w:rsidP="004C5A4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60.448.345,88</w:t>
            </w:r>
          </w:p>
        </w:tc>
      </w:tr>
      <w:tr w:rsidR="004C5A4B" w:rsidRPr="00E70693" w:rsidTr="00635755">
        <w:tc>
          <w:tcPr>
            <w:tcW w:w="2552" w:type="dxa"/>
            <w:tcBorders>
              <w:top w:val="nil"/>
              <w:left w:val="single" w:sz="4" w:space="0" w:color="auto"/>
              <w:bottom w:val="nil"/>
              <w:right w:val="single" w:sz="4" w:space="0" w:color="auto"/>
            </w:tcBorders>
            <w:shd w:val="clear" w:color="auto" w:fill="auto"/>
            <w:hideMark/>
          </w:tcPr>
          <w:p w:rsidR="004C5A4B" w:rsidRPr="00E70693" w:rsidRDefault="004C5A4B" w:rsidP="004C5A4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Incremento</w:t>
            </w:r>
          </w:p>
        </w:tc>
        <w:tc>
          <w:tcPr>
            <w:tcW w:w="1418" w:type="dxa"/>
            <w:tcBorders>
              <w:top w:val="nil"/>
              <w:left w:val="nil"/>
              <w:bottom w:val="nil"/>
              <w:right w:val="nil"/>
            </w:tcBorders>
            <w:shd w:val="clear" w:color="auto" w:fill="auto"/>
            <w:noWrap/>
            <w:vAlign w:val="bottom"/>
            <w:hideMark/>
          </w:tcPr>
          <w:p w:rsidR="004C5A4B" w:rsidRPr="00E70693" w:rsidRDefault="004C5A4B" w:rsidP="004C5A4B">
            <w:pPr>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7" w:type="dxa"/>
            <w:tcBorders>
              <w:top w:val="nil"/>
              <w:left w:val="nil"/>
              <w:bottom w:val="nil"/>
              <w:right w:val="nil"/>
            </w:tcBorders>
            <w:shd w:val="clear" w:color="auto" w:fill="auto"/>
            <w:noWrap/>
            <w:vAlign w:val="bottom"/>
            <w:hideMark/>
          </w:tcPr>
          <w:p w:rsidR="004C5A4B" w:rsidRPr="00E70693" w:rsidRDefault="004C5A4B" w:rsidP="004C5A4B">
            <w:pPr>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7" w:type="dxa"/>
            <w:tcBorders>
              <w:top w:val="nil"/>
              <w:left w:val="nil"/>
              <w:bottom w:val="nil"/>
              <w:right w:val="nil"/>
            </w:tcBorders>
            <w:shd w:val="clear" w:color="auto" w:fill="auto"/>
            <w:noWrap/>
            <w:vAlign w:val="bottom"/>
            <w:hideMark/>
          </w:tcPr>
          <w:p w:rsidR="004C5A4B" w:rsidRPr="00E70693" w:rsidRDefault="004C5A4B" w:rsidP="004C5A4B">
            <w:pPr>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nil"/>
              <w:left w:val="nil"/>
              <w:bottom w:val="nil"/>
              <w:right w:val="single" w:sz="4" w:space="0" w:color="auto"/>
            </w:tcBorders>
            <w:shd w:val="clear" w:color="auto" w:fill="auto"/>
            <w:noWrap/>
            <w:vAlign w:val="bottom"/>
            <w:hideMark/>
          </w:tcPr>
          <w:p w:rsidR="004C5A4B" w:rsidRPr="00E70693" w:rsidRDefault="004C5A4B" w:rsidP="004C5A4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10,33%</w:t>
            </w:r>
          </w:p>
        </w:tc>
      </w:tr>
      <w:tr w:rsidR="004C5A4B" w:rsidRPr="00E70693" w:rsidTr="00635755">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C5A4B" w:rsidRPr="00E70693" w:rsidRDefault="004C5A4B"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Precio US$/Km</w:t>
            </w:r>
          </w:p>
        </w:tc>
        <w:tc>
          <w:tcPr>
            <w:tcW w:w="1418" w:type="dxa"/>
            <w:tcBorders>
              <w:top w:val="single" w:sz="4" w:space="0" w:color="auto"/>
              <w:left w:val="nil"/>
              <w:bottom w:val="single" w:sz="4" w:space="0" w:color="auto"/>
              <w:right w:val="nil"/>
            </w:tcBorders>
            <w:shd w:val="clear" w:color="auto" w:fill="auto"/>
            <w:noWrap/>
            <w:vAlign w:val="bottom"/>
            <w:hideMark/>
          </w:tcPr>
          <w:p w:rsidR="004C5A4B" w:rsidRPr="00E70693" w:rsidRDefault="004C5A4B" w:rsidP="004C5A4B">
            <w:pPr>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C5A4B" w:rsidRPr="00E70693" w:rsidRDefault="004C5A4B"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438.659,98</w:t>
            </w:r>
          </w:p>
        </w:tc>
        <w:tc>
          <w:tcPr>
            <w:tcW w:w="1417" w:type="dxa"/>
            <w:tcBorders>
              <w:top w:val="single" w:sz="4" w:space="0" w:color="auto"/>
              <w:left w:val="nil"/>
              <w:bottom w:val="single" w:sz="4" w:space="0" w:color="auto"/>
              <w:right w:val="nil"/>
            </w:tcBorders>
            <w:shd w:val="clear" w:color="auto" w:fill="auto"/>
            <w:noWrap/>
            <w:vAlign w:val="bottom"/>
            <w:hideMark/>
          </w:tcPr>
          <w:p w:rsidR="004C5A4B" w:rsidRPr="00E70693" w:rsidRDefault="004C5A4B" w:rsidP="004C5A4B">
            <w:pPr>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C5A4B" w:rsidRPr="00E70693" w:rsidRDefault="004C5A4B"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483.973,95</w:t>
            </w:r>
          </w:p>
        </w:tc>
      </w:tr>
    </w:tbl>
    <w:p w:rsidR="00FA2C9A" w:rsidRPr="00E70693" w:rsidRDefault="00FA2C9A" w:rsidP="00FA2C9A">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i/>
        </w:rPr>
        <w:t>La Argentina-Las Tablillas</w:t>
      </w:r>
      <w:r w:rsidRPr="00E70693">
        <w:rPr>
          <w:rFonts w:ascii="Arial" w:hAnsi="Arial" w:cs="Arial"/>
        </w:rPr>
        <w:t xml:space="preserve">. Otra obra emblemática del </w:t>
      </w:r>
      <w:r w:rsidR="004D0B85" w:rsidRPr="00E70693">
        <w:rPr>
          <w:rFonts w:ascii="Arial" w:hAnsi="Arial" w:cs="Arial"/>
        </w:rPr>
        <w:t xml:space="preserve">préstamo </w:t>
      </w:r>
      <w:r w:rsidRPr="00E70693">
        <w:rPr>
          <w:rFonts w:ascii="Arial" w:hAnsi="Arial" w:cs="Arial"/>
        </w:rPr>
        <w:t xml:space="preserve">1796/SF-NI fue la rehabilitación y pavimentación con concreto asfáltico de la ruta La Argentina (sobre la carretera </w:t>
      </w:r>
      <w:proofErr w:type="spellStart"/>
      <w:r w:rsidRPr="00E70693">
        <w:rPr>
          <w:rFonts w:ascii="Arial" w:hAnsi="Arial" w:cs="Arial"/>
        </w:rPr>
        <w:t>Acoyapa</w:t>
      </w:r>
      <w:proofErr w:type="spellEnd"/>
      <w:r w:rsidRPr="00E70693">
        <w:rPr>
          <w:rFonts w:ascii="Arial" w:hAnsi="Arial" w:cs="Arial"/>
        </w:rPr>
        <w:t xml:space="preserve">-San Carlos) a Las Tablillas, en la frontera con Costa Rica. Este tramo cruza el río San Juan donde se </w:t>
      </w:r>
      <w:r w:rsidR="004A70DA" w:rsidRPr="00E70693">
        <w:rPr>
          <w:rFonts w:ascii="Arial" w:hAnsi="Arial" w:cs="Arial"/>
        </w:rPr>
        <w:t>construyó</w:t>
      </w:r>
      <w:r w:rsidRPr="00E70693">
        <w:rPr>
          <w:rFonts w:ascii="Arial" w:hAnsi="Arial" w:cs="Arial"/>
        </w:rPr>
        <w:t xml:space="preserve"> el puente Santa Fe con fondos provenientes de una donación del Japón, que forma parte del programa de obras del 1796/SF-NI. En este proyecto también se detectaron las mismas deficiencias de diseño del tramo </w:t>
      </w:r>
      <w:proofErr w:type="spellStart"/>
      <w:r w:rsidRPr="00E70693">
        <w:rPr>
          <w:rFonts w:ascii="Arial" w:hAnsi="Arial" w:cs="Arial"/>
        </w:rPr>
        <w:t>Acoyapa</w:t>
      </w:r>
      <w:proofErr w:type="spellEnd"/>
      <w:r w:rsidRPr="00E70693">
        <w:rPr>
          <w:rFonts w:ascii="Arial" w:hAnsi="Arial" w:cs="Arial"/>
        </w:rPr>
        <w:t>-San Carlos, con el agravante de que no se encontraron suelos seleccionados en la otra margen del río San Juan y en ausencia del puente sobre éste</w:t>
      </w:r>
      <w:r w:rsidR="004A70DA" w:rsidRPr="00E70693">
        <w:rPr>
          <w:rFonts w:ascii="Arial" w:hAnsi="Arial" w:cs="Arial"/>
        </w:rPr>
        <w:t>, aún no concluido durante la construcción de la carretera,</w:t>
      </w:r>
      <w:r w:rsidRPr="00E70693">
        <w:rPr>
          <w:rFonts w:ascii="Arial" w:hAnsi="Arial" w:cs="Arial"/>
        </w:rPr>
        <w:t xml:space="preserve"> el traslado de material de préstamo mediante balsa incrementaba aún más el costo de las obras. En efecto, la empresa contratista proponía precios mayores resultantes de utilizar una balsa de gran porte para el transporte de camiones además de la construcción de nuevos accesos y embarcaderos en ambas riberas del río, como consecuencia del impedimento de utilizar los embarcaderos existentes por la superposición de operaciones con las otras balsas que utiliza</w:t>
      </w:r>
      <w:r w:rsidR="00450C46" w:rsidRPr="00E70693">
        <w:rPr>
          <w:rFonts w:ascii="Arial" w:hAnsi="Arial" w:cs="Arial"/>
        </w:rPr>
        <w:t>ba</w:t>
      </w:r>
      <w:r w:rsidRPr="00E70693">
        <w:rPr>
          <w:rFonts w:ascii="Arial" w:hAnsi="Arial" w:cs="Arial"/>
        </w:rPr>
        <w:t>n la constructora del puente y la empresa productora de frutas instalada en la zona. El MTI, con la colaboración de la Supervisión y tras negociaciones con la empresa contratista, propuso al Banco una solución razonable en cuanto al control de los costos y a la atención de la calidad final de las obras, solicitando además la utilización de fondos disponibles del préstamo 2225/BL-NI</w:t>
      </w:r>
      <w:r w:rsidR="004D0B85" w:rsidRPr="00E70693">
        <w:rPr>
          <w:rFonts w:ascii="Arial" w:hAnsi="Arial" w:cs="Arial"/>
        </w:rPr>
        <w:t xml:space="preserve"> Programa Suplementario para la Infraestructura Vial para Competitividad (NI-L1035)</w:t>
      </w:r>
      <w:r w:rsidRPr="00E70693">
        <w:rPr>
          <w:rFonts w:ascii="Arial" w:hAnsi="Arial" w:cs="Arial"/>
        </w:rPr>
        <w:t xml:space="preserve"> para completar los recursos necesarios. Finalmente, con la no objeción del Banco, el MTI acordó una solución con la empresa contratista encarándose inmediatamente las obras en el sub-tramo ubicado en la margen del río hacia Costa Rica, concluyendo las obras en abril de 2013. De esta forma, con un incremento en el monto de las obras del </w:t>
      </w:r>
      <w:r w:rsidR="00D64321" w:rsidRPr="00E70693">
        <w:rPr>
          <w:rFonts w:ascii="Arial" w:hAnsi="Arial" w:cs="Arial"/>
        </w:rPr>
        <w:t>24.69</w:t>
      </w:r>
      <w:r w:rsidRPr="00E70693">
        <w:rPr>
          <w:rFonts w:ascii="Arial" w:hAnsi="Arial" w:cs="Arial"/>
        </w:rPr>
        <w:t>% pero asegurándose un nivel de calidad satisfactorio se logró culminar el proyecto, cumpliendo el MTI con las metas del contrato de préstamo.</w:t>
      </w:r>
      <w:r w:rsidR="00D64321" w:rsidRPr="00E70693">
        <w:rPr>
          <w:rFonts w:ascii="Arial" w:hAnsi="Arial" w:cs="Arial"/>
        </w:rPr>
        <w:t xml:space="preserve"> Otro incremento en los recursos financieros fue el debido a la provisión de la suma para el ajuste de precios, incluido en el contrato respectivo pero omitido en la previsión original. La estructura de costos del contrato de obra es </w:t>
      </w:r>
      <w:r w:rsidR="00FC4C69" w:rsidRPr="00E70693">
        <w:rPr>
          <w:rFonts w:ascii="Arial" w:hAnsi="Arial" w:cs="Arial"/>
        </w:rPr>
        <w:t>la</w:t>
      </w:r>
      <w:r w:rsidR="00D64321" w:rsidRPr="00E70693">
        <w:rPr>
          <w:rFonts w:ascii="Arial" w:hAnsi="Arial" w:cs="Arial"/>
        </w:rPr>
        <w:t xml:space="preserve"> siguiente.</w:t>
      </w:r>
    </w:p>
    <w:p w:rsidR="007D7D0D" w:rsidRPr="00E70693" w:rsidRDefault="007D7D0D" w:rsidP="00005570">
      <w:pPr>
        <w:ind w:left="709"/>
        <w:jc w:val="both"/>
        <w:rPr>
          <w:rFonts w:ascii="Arial" w:hAnsi="Arial" w:cs="Arial"/>
        </w:rPr>
      </w:pPr>
    </w:p>
    <w:tbl>
      <w:tblPr>
        <w:tblW w:w="8222" w:type="dxa"/>
        <w:tblInd w:w="779" w:type="dxa"/>
        <w:tblCellMar>
          <w:left w:w="70" w:type="dxa"/>
          <w:right w:w="70" w:type="dxa"/>
        </w:tblCellMar>
        <w:tblLook w:val="04A0" w:firstRow="1" w:lastRow="0" w:firstColumn="1" w:lastColumn="0" w:noHBand="0" w:noVBand="1"/>
      </w:tblPr>
      <w:tblGrid>
        <w:gridCol w:w="2552"/>
        <w:gridCol w:w="1417"/>
        <w:gridCol w:w="1420"/>
        <w:gridCol w:w="1420"/>
        <w:gridCol w:w="1420"/>
      </w:tblGrid>
      <w:tr w:rsidR="00FC4C69" w:rsidRPr="00E70693" w:rsidTr="00635755">
        <w:tc>
          <w:tcPr>
            <w:tcW w:w="2552" w:type="dxa"/>
            <w:tcBorders>
              <w:top w:val="single" w:sz="4" w:space="0" w:color="auto"/>
              <w:left w:val="single" w:sz="4" w:space="0" w:color="auto"/>
              <w:bottom w:val="nil"/>
              <w:right w:val="nil"/>
            </w:tcBorders>
            <w:shd w:val="clear" w:color="auto" w:fill="DAEEF3" w:themeFill="accent5" w:themeFillTint="33"/>
            <w:noWrap/>
            <w:vAlign w:val="bottom"/>
            <w:hideMark/>
          </w:tcPr>
          <w:p w:rsidR="00FC4C69" w:rsidRPr="00E70693" w:rsidRDefault="00FC4C69" w:rsidP="004C5A4B">
            <w:pPr>
              <w:jc w:val="center"/>
              <w:rPr>
                <w:rFonts w:ascii="Arial" w:hAnsi="Arial" w:cs="Arial"/>
                <w:b/>
                <w:bCs/>
                <w:color w:val="000000"/>
                <w:sz w:val="20"/>
                <w:lang w:val="es-PY" w:eastAsia="es-PY"/>
              </w:rPr>
            </w:pPr>
            <w:r w:rsidRPr="00E70693">
              <w:rPr>
                <w:rFonts w:ascii="Arial" w:hAnsi="Arial" w:cs="Arial"/>
                <w:b/>
                <w:bCs/>
                <w:color w:val="000000"/>
                <w:sz w:val="20"/>
                <w:lang w:val="es-PY" w:eastAsia="es-PY"/>
              </w:rPr>
              <w:t>Proyecto</w:t>
            </w:r>
          </w:p>
        </w:tc>
        <w:tc>
          <w:tcPr>
            <w:tcW w:w="2835" w:type="dxa"/>
            <w:gridSpan w:val="2"/>
            <w:tcBorders>
              <w:top w:val="single" w:sz="4" w:space="0" w:color="auto"/>
              <w:left w:val="single" w:sz="4" w:space="0" w:color="auto"/>
              <w:bottom w:val="single" w:sz="4" w:space="0" w:color="auto"/>
              <w:right w:val="nil"/>
            </w:tcBorders>
            <w:shd w:val="clear" w:color="auto" w:fill="DAEEF3" w:themeFill="accent5" w:themeFillTint="33"/>
            <w:noWrap/>
            <w:vAlign w:val="bottom"/>
            <w:hideMark/>
          </w:tcPr>
          <w:p w:rsidR="00FC4C69" w:rsidRPr="00E70693" w:rsidRDefault="00FC4C69" w:rsidP="00FC4C69">
            <w:pPr>
              <w:jc w:val="center"/>
              <w:rPr>
                <w:rFonts w:ascii="Arial" w:hAnsi="Arial" w:cs="Arial"/>
                <w:b/>
                <w:bCs/>
                <w:color w:val="000000"/>
                <w:sz w:val="20"/>
                <w:lang w:val="es-PY" w:eastAsia="es-PY"/>
              </w:rPr>
            </w:pPr>
            <w:r w:rsidRPr="00E70693">
              <w:rPr>
                <w:rFonts w:ascii="Arial" w:hAnsi="Arial" w:cs="Arial"/>
                <w:b/>
                <w:bCs/>
                <w:color w:val="000000"/>
                <w:sz w:val="20"/>
                <w:lang w:val="es-PY" w:eastAsia="es-PY"/>
              </w:rPr>
              <w:t>Original</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FC4C69" w:rsidRPr="00E70693" w:rsidRDefault="00FC4C69" w:rsidP="00FC4C69">
            <w:pPr>
              <w:jc w:val="center"/>
              <w:rPr>
                <w:rFonts w:ascii="Arial" w:hAnsi="Arial" w:cs="Arial"/>
                <w:b/>
                <w:bCs/>
                <w:color w:val="000000"/>
                <w:sz w:val="20"/>
                <w:lang w:val="es-PY" w:eastAsia="es-PY"/>
              </w:rPr>
            </w:pPr>
            <w:r w:rsidRPr="00E70693">
              <w:rPr>
                <w:rFonts w:ascii="Arial" w:hAnsi="Arial" w:cs="Arial"/>
                <w:b/>
                <w:bCs/>
                <w:color w:val="000000"/>
                <w:sz w:val="20"/>
                <w:lang w:val="es-PY" w:eastAsia="es-PY"/>
              </w:rPr>
              <w:t>Final</w:t>
            </w:r>
          </w:p>
        </w:tc>
      </w:tr>
      <w:tr w:rsidR="004C5A4B" w:rsidRPr="00E70693" w:rsidTr="00635755">
        <w:tc>
          <w:tcPr>
            <w:tcW w:w="2552" w:type="dxa"/>
            <w:tcBorders>
              <w:top w:val="nil"/>
              <w:left w:val="single" w:sz="4" w:space="0" w:color="auto"/>
              <w:bottom w:val="nil"/>
              <w:right w:val="nil"/>
            </w:tcBorders>
            <w:shd w:val="clear" w:color="auto" w:fill="DAEEF3" w:themeFill="accent5" w:themeFillTint="33"/>
            <w:noWrap/>
            <w:vAlign w:val="bottom"/>
            <w:hideMark/>
          </w:tcPr>
          <w:p w:rsidR="004C5A4B" w:rsidRPr="00E70693" w:rsidRDefault="004C5A4B" w:rsidP="004C5A4B">
            <w:pPr>
              <w:jc w:val="center"/>
              <w:rPr>
                <w:rFonts w:ascii="Arial" w:hAnsi="Arial" w:cs="Arial"/>
                <w:b/>
                <w:bCs/>
                <w:color w:val="000000"/>
                <w:sz w:val="20"/>
                <w:lang w:val="es-PY" w:eastAsia="es-PY"/>
              </w:rPr>
            </w:pPr>
            <w:r w:rsidRPr="00E70693">
              <w:rPr>
                <w:rFonts w:ascii="Arial" w:hAnsi="Arial" w:cs="Arial"/>
                <w:b/>
                <w:bCs/>
                <w:color w:val="000000"/>
                <w:sz w:val="20"/>
                <w:lang w:val="es-PY" w:eastAsia="es-PY"/>
              </w:rPr>
              <w:t> </w:t>
            </w:r>
          </w:p>
        </w:tc>
        <w:tc>
          <w:tcPr>
            <w:tcW w:w="1417" w:type="dxa"/>
            <w:tcBorders>
              <w:top w:val="nil"/>
              <w:left w:val="single" w:sz="4" w:space="0" w:color="auto"/>
              <w:bottom w:val="nil"/>
              <w:right w:val="nil"/>
            </w:tcBorders>
            <w:shd w:val="clear" w:color="auto" w:fill="DAEEF3" w:themeFill="accent5" w:themeFillTint="33"/>
            <w:noWrap/>
            <w:vAlign w:val="bottom"/>
            <w:hideMark/>
          </w:tcPr>
          <w:p w:rsidR="004C5A4B" w:rsidRPr="00E70693" w:rsidRDefault="004C5A4B" w:rsidP="004C5A4B">
            <w:pPr>
              <w:jc w:val="center"/>
              <w:rPr>
                <w:rFonts w:ascii="Arial" w:hAnsi="Arial" w:cs="Arial"/>
                <w:b/>
                <w:bCs/>
                <w:color w:val="000000"/>
                <w:sz w:val="20"/>
                <w:lang w:val="es-PY" w:eastAsia="es-PY"/>
              </w:rPr>
            </w:pPr>
            <w:r w:rsidRPr="00E70693">
              <w:rPr>
                <w:rFonts w:ascii="Arial" w:hAnsi="Arial" w:cs="Arial"/>
                <w:b/>
                <w:bCs/>
                <w:color w:val="000000"/>
                <w:sz w:val="20"/>
                <w:lang w:val="es-PY" w:eastAsia="es-PY"/>
              </w:rPr>
              <w:t>Fondos BID</w:t>
            </w:r>
          </w:p>
        </w:tc>
        <w:tc>
          <w:tcPr>
            <w:tcW w:w="1418" w:type="dxa"/>
            <w:tcBorders>
              <w:top w:val="nil"/>
              <w:left w:val="single" w:sz="4" w:space="0" w:color="auto"/>
              <w:bottom w:val="nil"/>
              <w:right w:val="nil"/>
            </w:tcBorders>
            <w:shd w:val="clear" w:color="auto" w:fill="DAEEF3" w:themeFill="accent5" w:themeFillTint="33"/>
            <w:noWrap/>
            <w:vAlign w:val="bottom"/>
            <w:hideMark/>
          </w:tcPr>
          <w:p w:rsidR="004C5A4B" w:rsidRPr="00E70693" w:rsidRDefault="004C5A4B" w:rsidP="00FF0DAB">
            <w:pPr>
              <w:jc w:val="center"/>
              <w:rPr>
                <w:rFonts w:ascii="Arial" w:hAnsi="Arial" w:cs="Arial"/>
                <w:b/>
                <w:bCs/>
                <w:color w:val="000000"/>
                <w:sz w:val="20"/>
                <w:lang w:val="es-PY" w:eastAsia="es-PY"/>
              </w:rPr>
            </w:pPr>
            <w:r w:rsidRPr="00E70693">
              <w:rPr>
                <w:rFonts w:ascii="Arial" w:hAnsi="Arial" w:cs="Arial"/>
                <w:b/>
                <w:bCs/>
                <w:color w:val="000000"/>
                <w:sz w:val="20"/>
                <w:lang w:val="es-PY" w:eastAsia="es-PY"/>
              </w:rPr>
              <w:t xml:space="preserve">Fondos </w:t>
            </w:r>
            <w:proofErr w:type="spellStart"/>
            <w:r w:rsidRPr="00E70693">
              <w:rPr>
                <w:rFonts w:ascii="Arial" w:hAnsi="Arial" w:cs="Arial"/>
                <w:b/>
                <w:bCs/>
                <w:color w:val="000000"/>
                <w:sz w:val="20"/>
                <w:lang w:val="es-PY" w:eastAsia="es-PY"/>
              </w:rPr>
              <w:t>G</w:t>
            </w:r>
            <w:r w:rsidR="00FF0DAB" w:rsidRPr="00E70693">
              <w:rPr>
                <w:rFonts w:ascii="Arial" w:hAnsi="Arial" w:cs="Arial"/>
                <w:b/>
                <w:bCs/>
                <w:color w:val="000000"/>
                <w:sz w:val="20"/>
                <w:lang w:val="es-PY" w:eastAsia="es-PY"/>
              </w:rPr>
              <w:t>dN</w:t>
            </w:r>
            <w:proofErr w:type="spellEnd"/>
          </w:p>
        </w:tc>
        <w:tc>
          <w:tcPr>
            <w:tcW w:w="1418" w:type="dxa"/>
            <w:tcBorders>
              <w:top w:val="nil"/>
              <w:left w:val="single" w:sz="4" w:space="0" w:color="auto"/>
              <w:bottom w:val="nil"/>
              <w:right w:val="nil"/>
            </w:tcBorders>
            <w:shd w:val="clear" w:color="auto" w:fill="DAEEF3" w:themeFill="accent5" w:themeFillTint="33"/>
            <w:noWrap/>
            <w:vAlign w:val="bottom"/>
            <w:hideMark/>
          </w:tcPr>
          <w:p w:rsidR="004C5A4B" w:rsidRPr="00E70693" w:rsidRDefault="004C5A4B" w:rsidP="004C5A4B">
            <w:pPr>
              <w:jc w:val="center"/>
              <w:rPr>
                <w:rFonts w:ascii="Arial" w:hAnsi="Arial" w:cs="Arial"/>
                <w:b/>
                <w:bCs/>
                <w:color w:val="000000"/>
                <w:sz w:val="20"/>
                <w:lang w:val="es-PY" w:eastAsia="es-PY"/>
              </w:rPr>
            </w:pPr>
            <w:r w:rsidRPr="00E70693">
              <w:rPr>
                <w:rFonts w:ascii="Arial" w:hAnsi="Arial" w:cs="Arial"/>
                <w:b/>
                <w:bCs/>
                <w:color w:val="000000"/>
                <w:sz w:val="20"/>
                <w:lang w:val="es-PY" w:eastAsia="es-PY"/>
              </w:rPr>
              <w:t>Fondos BID</w:t>
            </w:r>
          </w:p>
        </w:tc>
        <w:tc>
          <w:tcPr>
            <w:tcW w:w="1417" w:type="dxa"/>
            <w:tcBorders>
              <w:top w:val="nil"/>
              <w:left w:val="single" w:sz="4" w:space="0" w:color="auto"/>
              <w:bottom w:val="nil"/>
              <w:right w:val="single" w:sz="4" w:space="0" w:color="auto"/>
            </w:tcBorders>
            <w:shd w:val="clear" w:color="auto" w:fill="DAEEF3" w:themeFill="accent5" w:themeFillTint="33"/>
            <w:noWrap/>
            <w:vAlign w:val="bottom"/>
            <w:hideMark/>
          </w:tcPr>
          <w:p w:rsidR="004C5A4B" w:rsidRPr="00E70693" w:rsidRDefault="004C5A4B" w:rsidP="00FF0DAB">
            <w:pPr>
              <w:jc w:val="center"/>
              <w:rPr>
                <w:rFonts w:ascii="Arial" w:hAnsi="Arial" w:cs="Arial"/>
                <w:b/>
                <w:bCs/>
                <w:color w:val="000000"/>
                <w:sz w:val="20"/>
                <w:lang w:val="es-PY" w:eastAsia="es-PY"/>
              </w:rPr>
            </w:pPr>
            <w:r w:rsidRPr="00E70693">
              <w:rPr>
                <w:rFonts w:ascii="Arial" w:hAnsi="Arial" w:cs="Arial"/>
                <w:b/>
                <w:bCs/>
                <w:color w:val="000000"/>
                <w:sz w:val="20"/>
                <w:lang w:val="es-PY" w:eastAsia="es-PY"/>
              </w:rPr>
              <w:t xml:space="preserve">Fondos </w:t>
            </w:r>
            <w:proofErr w:type="spellStart"/>
            <w:r w:rsidRPr="00E70693">
              <w:rPr>
                <w:rFonts w:ascii="Arial" w:hAnsi="Arial" w:cs="Arial"/>
                <w:b/>
                <w:bCs/>
                <w:color w:val="000000"/>
                <w:sz w:val="20"/>
                <w:lang w:val="es-PY" w:eastAsia="es-PY"/>
              </w:rPr>
              <w:t>G</w:t>
            </w:r>
            <w:r w:rsidR="00FF0DAB" w:rsidRPr="00E70693">
              <w:rPr>
                <w:rFonts w:ascii="Arial" w:hAnsi="Arial" w:cs="Arial"/>
                <w:b/>
                <w:bCs/>
                <w:color w:val="000000"/>
                <w:sz w:val="20"/>
                <w:lang w:val="es-PY" w:eastAsia="es-PY"/>
              </w:rPr>
              <w:t>dN</w:t>
            </w:r>
            <w:proofErr w:type="spellEnd"/>
          </w:p>
        </w:tc>
      </w:tr>
      <w:tr w:rsidR="004C5A4B" w:rsidRPr="00E70693" w:rsidTr="00635755">
        <w:tc>
          <w:tcPr>
            <w:tcW w:w="2552" w:type="dxa"/>
            <w:tcBorders>
              <w:top w:val="nil"/>
              <w:left w:val="single" w:sz="4" w:space="0" w:color="auto"/>
              <w:bottom w:val="single" w:sz="4" w:space="0" w:color="auto"/>
              <w:right w:val="nil"/>
            </w:tcBorders>
            <w:shd w:val="clear" w:color="auto" w:fill="DAEEF3" w:themeFill="accent5" w:themeFillTint="33"/>
            <w:noWrap/>
            <w:vAlign w:val="bottom"/>
            <w:hideMark/>
          </w:tcPr>
          <w:p w:rsidR="004C5A4B" w:rsidRPr="00E70693" w:rsidRDefault="004C5A4B" w:rsidP="004C5A4B">
            <w:pPr>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7" w:type="dxa"/>
            <w:tcBorders>
              <w:top w:val="nil"/>
              <w:left w:val="single" w:sz="4" w:space="0" w:color="auto"/>
              <w:bottom w:val="single" w:sz="4" w:space="0" w:color="auto"/>
              <w:right w:val="nil"/>
            </w:tcBorders>
            <w:shd w:val="clear" w:color="auto" w:fill="DAEEF3" w:themeFill="accent5" w:themeFillTint="33"/>
            <w:noWrap/>
            <w:vAlign w:val="bottom"/>
            <w:hideMark/>
          </w:tcPr>
          <w:p w:rsidR="004C5A4B" w:rsidRPr="00E70693" w:rsidRDefault="004C5A4B" w:rsidP="004C5A4B">
            <w:pPr>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c>
          <w:tcPr>
            <w:tcW w:w="1418" w:type="dxa"/>
            <w:tcBorders>
              <w:top w:val="nil"/>
              <w:left w:val="single" w:sz="4" w:space="0" w:color="auto"/>
              <w:bottom w:val="single" w:sz="4" w:space="0" w:color="auto"/>
              <w:right w:val="nil"/>
            </w:tcBorders>
            <w:shd w:val="clear" w:color="auto" w:fill="DAEEF3" w:themeFill="accent5" w:themeFillTint="33"/>
            <w:noWrap/>
            <w:vAlign w:val="bottom"/>
            <w:hideMark/>
          </w:tcPr>
          <w:p w:rsidR="004C5A4B" w:rsidRPr="00E70693" w:rsidRDefault="004C5A4B" w:rsidP="004C5A4B">
            <w:pPr>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c>
          <w:tcPr>
            <w:tcW w:w="1418"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4C5A4B" w:rsidRPr="00E70693" w:rsidRDefault="004C5A4B" w:rsidP="004C5A4B">
            <w:pPr>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c>
          <w:tcPr>
            <w:tcW w:w="1417" w:type="dxa"/>
            <w:tcBorders>
              <w:top w:val="nil"/>
              <w:left w:val="nil"/>
              <w:bottom w:val="single" w:sz="4" w:space="0" w:color="auto"/>
              <w:right w:val="single" w:sz="4" w:space="0" w:color="auto"/>
            </w:tcBorders>
            <w:shd w:val="clear" w:color="auto" w:fill="DAEEF3" w:themeFill="accent5" w:themeFillTint="33"/>
            <w:noWrap/>
            <w:vAlign w:val="bottom"/>
            <w:hideMark/>
          </w:tcPr>
          <w:p w:rsidR="004C5A4B" w:rsidRPr="00E70693" w:rsidRDefault="004C5A4B" w:rsidP="004C5A4B">
            <w:pPr>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r>
      <w:tr w:rsidR="004C5A4B" w:rsidRPr="00E70693" w:rsidTr="00635755">
        <w:tc>
          <w:tcPr>
            <w:tcW w:w="8222" w:type="dxa"/>
            <w:gridSpan w:val="5"/>
            <w:tcBorders>
              <w:top w:val="nil"/>
              <w:left w:val="single" w:sz="4" w:space="0" w:color="auto"/>
              <w:bottom w:val="nil"/>
              <w:right w:val="single" w:sz="4" w:space="0" w:color="auto"/>
            </w:tcBorders>
            <w:shd w:val="clear" w:color="auto" w:fill="auto"/>
            <w:noWrap/>
            <w:hideMark/>
          </w:tcPr>
          <w:p w:rsidR="004C5A4B" w:rsidRPr="00E70693" w:rsidRDefault="004C5A4B" w:rsidP="004C5A4B">
            <w:pPr>
              <w:rPr>
                <w:rFonts w:ascii="Arial" w:hAnsi="Arial" w:cs="Arial"/>
                <w:b/>
                <w:bCs/>
                <w:color w:val="000000"/>
                <w:sz w:val="20"/>
                <w:lang w:val="es-PY" w:eastAsia="es-PY"/>
              </w:rPr>
            </w:pPr>
            <w:r w:rsidRPr="00E70693">
              <w:rPr>
                <w:rFonts w:ascii="Arial" w:hAnsi="Arial" w:cs="Arial"/>
                <w:b/>
                <w:bCs/>
                <w:color w:val="000000"/>
                <w:sz w:val="20"/>
                <w:lang w:val="es-PY" w:eastAsia="es-PY"/>
              </w:rPr>
              <w:t>La Argentina - Las Tablillas (21,0 Km)</w:t>
            </w:r>
          </w:p>
        </w:tc>
      </w:tr>
      <w:tr w:rsidR="007D7D0D" w:rsidRPr="00E70693" w:rsidTr="00635755">
        <w:tc>
          <w:tcPr>
            <w:tcW w:w="2552" w:type="dxa"/>
            <w:tcBorders>
              <w:top w:val="nil"/>
              <w:left w:val="single" w:sz="4" w:space="0" w:color="auto"/>
              <w:bottom w:val="nil"/>
              <w:right w:val="nil"/>
            </w:tcBorders>
            <w:shd w:val="clear" w:color="auto" w:fill="auto"/>
            <w:hideMark/>
          </w:tcPr>
          <w:p w:rsidR="007D7D0D" w:rsidRPr="00E70693" w:rsidRDefault="007D7D0D"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Contrato base</w:t>
            </w:r>
          </w:p>
        </w:tc>
        <w:tc>
          <w:tcPr>
            <w:tcW w:w="1417" w:type="dxa"/>
            <w:tcBorders>
              <w:top w:val="nil"/>
              <w:left w:val="single" w:sz="4" w:space="0" w:color="auto"/>
              <w:bottom w:val="nil"/>
              <w:right w:val="nil"/>
            </w:tcBorders>
            <w:shd w:val="clear" w:color="auto" w:fill="auto"/>
            <w:hideMark/>
          </w:tcPr>
          <w:p w:rsidR="007D7D0D" w:rsidRPr="00E70693" w:rsidRDefault="007D7D0D">
            <w:pPr>
              <w:jc w:val="right"/>
              <w:rPr>
                <w:rFonts w:ascii="Arial" w:hAnsi="Arial" w:cs="Arial"/>
                <w:color w:val="000000"/>
                <w:sz w:val="20"/>
              </w:rPr>
            </w:pPr>
            <w:r w:rsidRPr="00E70693">
              <w:rPr>
                <w:rFonts w:ascii="Arial" w:hAnsi="Arial" w:cs="Arial"/>
                <w:color w:val="000000"/>
                <w:sz w:val="20"/>
              </w:rPr>
              <w:t>9.243.991,89</w:t>
            </w:r>
          </w:p>
        </w:tc>
        <w:tc>
          <w:tcPr>
            <w:tcW w:w="1418" w:type="dxa"/>
            <w:tcBorders>
              <w:top w:val="nil"/>
              <w:left w:val="single" w:sz="4" w:space="0" w:color="auto"/>
              <w:bottom w:val="nil"/>
              <w:right w:val="nil"/>
            </w:tcBorders>
            <w:shd w:val="clear" w:color="auto" w:fill="auto"/>
            <w:noWrap/>
            <w:vAlign w:val="bottom"/>
            <w:hideMark/>
          </w:tcPr>
          <w:p w:rsidR="007D7D0D" w:rsidRPr="00E70693" w:rsidRDefault="007D7D0D">
            <w:pPr>
              <w:jc w:val="right"/>
              <w:rPr>
                <w:rFonts w:ascii="Arial" w:hAnsi="Arial" w:cs="Arial"/>
                <w:color w:val="000000"/>
                <w:sz w:val="20"/>
              </w:rPr>
            </w:pPr>
            <w:r w:rsidRPr="00E70693">
              <w:rPr>
                <w:rFonts w:ascii="Arial" w:hAnsi="Arial" w:cs="Arial"/>
                <w:color w:val="000000"/>
                <w:sz w:val="20"/>
              </w:rPr>
              <w:t>1.492.904,69</w:t>
            </w:r>
          </w:p>
        </w:tc>
        <w:tc>
          <w:tcPr>
            <w:tcW w:w="1418" w:type="dxa"/>
            <w:tcBorders>
              <w:top w:val="nil"/>
              <w:left w:val="single" w:sz="4" w:space="0" w:color="auto"/>
              <w:bottom w:val="nil"/>
              <w:right w:val="single" w:sz="4" w:space="0" w:color="auto"/>
            </w:tcBorders>
            <w:shd w:val="clear" w:color="auto" w:fill="auto"/>
            <w:noWrap/>
            <w:vAlign w:val="bottom"/>
            <w:hideMark/>
          </w:tcPr>
          <w:p w:rsidR="007D7D0D" w:rsidRPr="00E70693" w:rsidRDefault="007D7D0D">
            <w:pPr>
              <w:jc w:val="right"/>
              <w:rPr>
                <w:rFonts w:ascii="Arial" w:hAnsi="Arial" w:cs="Arial"/>
                <w:color w:val="000000"/>
                <w:sz w:val="20"/>
              </w:rPr>
            </w:pPr>
            <w:r w:rsidRPr="00E70693">
              <w:rPr>
                <w:rFonts w:ascii="Arial" w:hAnsi="Arial" w:cs="Arial"/>
                <w:color w:val="000000"/>
                <w:sz w:val="20"/>
              </w:rPr>
              <w:t>9.243.991,89</w:t>
            </w:r>
          </w:p>
        </w:tc>
        <w:tc>
          <w:tcPr>
            <w:tcW w:w="1417" w:type="dxa"/>
            <w:tcBorders>
              <w:top w:val="nil"/>
              <w:left w:val="nil"/>
              <w:bottom w:val="nil"/>
              <w:right w:val="single" w:sz="4" w:space="0" w:color="auto"/>
            </w:tcBorders>
            <w:shd w:val="clear" w:color="auto" w:fill="auto"/>
            <w:noWrap/>
            <w:vAlign w:val="bottom"/>
            <w:hideMark/>
          </w:tcPr>
          <w:p w:rsidR="007D7D0D" w:rsidRPr="00E70693" w:rsidRDefault="007D7D0D">
            <w:pPr>
              <w:jc w:val="right"/>
              <w:rPr>
                <w:rFonts w:ascii="Arial" w:hAnsi="Arial" w:cs="Arial"/>
                <w:color w:val="000000"/>
                <w:sz w:val="20"/>
              </w:rPr>
            </w:pPr>
            <w:r w:rsidRPr="00E70693">
              <w:rPr>
                <w:rFonts w:ascii="Arial" w:hAnsi="Arial" w:cs="Arial"/>
                <w:color w:val="000000"/>
                <w:sz w:val="20"/>
              </w:rPr>
              <w:t>1.492.904,69</w:t>
            </w:r>
          </w:p>
        </w:tc>
      </w:tr>
      <w:tr w:rsidR="007D7D0D" w:rsidRPr="00E70693" w:rsidTr="00635755">
        <w:tc>
          <w:tcPr>
            <w:tcW w:w="2552" w:type="dxa"/>
            <w:tcBorders>
              <w:top w:val="nil"/>
              <w:left w:val="single" w:sz="4" w:space="0" w:color="auto"/>
              <w:bottom w:val="nil"/>
              <w:right w:val="nil"/>
            </w:tcBorders>
            <w:shd w:val="clear" w:color="auto" w:fill="auto"/>
            <w:hideMark/>
          </w:tcPr>
          <w:p w:rsidR="007D7D0D" w:rsidRPr="00E70693" w:rsidRDefault="007D7D0D"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Incremento de obra</w:t>
            </w:r>
          </w:p>
        </w:tc>
        <w:tc>
          <w:tcPr>
            <w:tcW w:w="1417" w:type="dxa"/>
            <w:tcBorders>
              <w:top w:val="nil"/>
              <w:left w:val="single" w:sz="4" w:space="0" w:color="auto"/>
              <w:bottom w:val="nil"/>
              <w:right w:val="nil"/>
            </w:tcBorders>
            <w:shd w:val="clear" w:color="auto" w:fill="auto"/>
            <w:noWrap/>
            <w:vAlign w:val="bottom"/>
            <w:hideMark/>
          </w:tcPr>
          <w:p w:rsidR="007D7D0D" w:rsidRPr="00E70693" w:rsidRDefault="007D7D0D">
            <w:pPr>
              <w:jc w:val="right"/>
              <w:rPr>
                <w:rFonts w:ascii="Arial" w:hAnsi="Arial" w:cs="Arial"/>
                <w:color w:val="000000"/>
                <w:sz w:val="20"/>
              </w:rPr>
            </w:pPr>
            <w:r w:rsidRPr="00E70693">
              <w:rPr>
                <w:rFonts w:ascii="Arial" w:hAnsi="Arial" w:cs="Arial"/>
                <w:color w:val="000000"/>
                <w:sz w:val="20"/>
              </w:rPr>
              <w:t>0,00</w:t>
            </w:r>
          </w:p>
        </w:tc>
        <w:tc>
          <w:tcPr>
            <w:tcW w:w="1418" w:type="dxa"/>
            <w:tcBorders>
              <w:top w:val="nil"/>
              <w:left w:val="single" w:sz="4" w:space="0" w:color="auto"/>
              <w:bottom w:val="nil"/>
              <w:right w:val="nil"/>
            </w:tcBorders>
            <w:shd w:val="clear" w:color="auto" w:fill="auto"/>
            <w:noWrap/>
            <w:vAlign w:val="bottom"/>
            <w:hideMark/>
          </w:tcPr>
          <w:p w:rsidR="007D7D0D" w:rsidRPr="00E70693" w:rsidRDefault="007D7D0D">
            <w:pPr>
              <w:jc w:val="right"/>
              <w:rPr>
                <w:rFonts w:ascii="Arial" w:hAnsi="Arial" w:cs="Arial"/>
                <w:color w:val="000000"/>
                <w:sz w:val="20"/>
              </w:rPr>
            </w:pPr>
            <w:r w:rsidRPr="00E70693">
              <w:rPr>
                <w:rFonts w:ascii="Arial" w:hAnsi="Arial" w:cs="Arial"/>
                <w:color w:val="000000"/>
                <w:sz w:val="20"/>
              </w:rPr>
              <w:t>0,00</w:t>
            </w:r>
          </w:p>
        </w:tc>
        <w:tc>
          <w:tcPr>
            <w:tcW w:w="1418" w:type="dxa"/>
            <w:tcBorders>
              <w:top w:val="nil"/>
              <w:left w:val="single" w:sz="4" w:space="0" w:color="auto"/>
              <w:bottom w:val="nil"/>
              <w:right w:val="single" w:sz="4" w:space="0" w:color="auto"/>
            </w:tcBorders>
            <w:shd w:val="clear" w:color="auto" w:fill="auto"/>
            <w:noWrap/>
            <w:vAlign w:val="bottom"/>
            <w:hideMark/>
          </w:tcPr>
          <w:p w:rsidR="007D7D0D" w:rsidRPr="00E70693" w:rsidRDefault="007D7D0D">
            <w:pPr>
              <w:jc w:val="right"/>
              <w:rPr>
                <w:rFonts w:ascii="Arial" w:hAnsi="Arial" w:cs="Arial"/>
                <w:color w:val="000000"/>
                <w:sz w:val="20"/>
              </w:rPr>
            </w:pPr>
            <w:r w:rsidRPr="00E70693">
              <w:rPr>
                <w:rFonts w:ascii="Arial" w:hAnsi="Arial" w:cs="Arial"/>
                <w:color w:val="000000"/>
                <w:sz w:val="20"/>
              </w:rPr>
              <w:t>2.282.013,35</w:t>
            </w:r>
          </w:p>
        </w:tc>
        <w:tc>
          <w:tcPr>
            <w:tcW w:w="1417" w:type="dxa"/>
            <w:tcBorders>
              <w:top w:val="nil"/>
              <w:left w:val="nil"/>
              <w:bottom w:val="nil"/>
              <w:right w:val="single" w:sz="4" w:space="0" w:color="auto"/>
            </w:tcBorders>
            <w:shd w:val="clear" w:color="auto" w:fill="auto"/>
            <w:noWrap/>
            <w:vAlign w:val="bottom"/>
            <w:hideMark/>
          </w:tcPr>
          <w:p w:rsidR="007D7D0D" w:rsidRPr="00E70693" w:rsidRDefault="007D7D0D">
            <w:pPr>
              <w:jc w:val="right"/>
              <w:rPr>
                <w:rFonts w:ascii="Arial" w:hAnsi="Arial" w:cs="Arial"/>
                <w:color w:val="000000"/>
                <w:sz w:val="20"/>
              </w:rPr>
            </w:pPr>
            <w:r w:rsidRPr="00E70693">
              <w:rPr>
                <w:rFonts w:ascii="Arial" w:hAnsi="Arial" w:cs="Arial"/>
                <w:color w:val="000000"/>
                <w:sz w:val="20"/>
              </w:rPr>
              <w:t>368.545,16</w:t>
            </w:r>
          </w:p>
        </w:tc>
      </w:tr>
      <w:tr w:rsidR="007D7D0D" w:rsidRPr="00E70693" w:rsidTr="00635755">
        <w:tc>
          <w:tcPr>
            <w:tcW w:w="2552" w:type="dxa"/>
            <w:tcBorders>
              <w:top w:val="nil"/>
              <w:left w:val="single" w:sz="4" w:space="0" w:color="auto"/>
              <w:bottom w:val="nil"/>
              <w:right w:val="nil"/>
            </w:tcBorders>
            <w:shd w:val="clear" w:color="auto" w:fill="auto"/>
            <w:hideMark/>
          </w:tcPr>
          <w:p w:rsidR="007D7D0D" w:rsidRPr="00E70693" w:rsidRDefault="007D7D0D"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Ajuste de precios</w:t>
            </w:r>
          </w:p>
        </w:tc>
        <w:tc>
          <w:tcPr>
            <w:tcW w:w="1417" w:type="dxa"/>
            <w:tcBorders>
              <w:top w:val="nil"/>
              <w:left w:val="single" w:sz="4" w:space="0" w:color="auto"/>
              <w:bottom w:val="nil"/>
              <w:right w:val="nil"/>
            </w:tcBorders>
            <w:shd w:val="clear" w:color="auto" w:fill="auto"/>
            <w:hideMark/>
          </w:tcPr>
          <w:p w:rsidR="007D7D0D" w:rsidRPr="00E70693" w:rsidRDefault="007D7D0D">
            <w:pPr>
              <w:jc w:val="right"/>
              <w:rPr>
                <w:rFonts w:ascii="Arial" w:hAnsi="Arial" w:cs="Arial"/>
                <w:color w:val="000000"/>
                <w:sz w:val="20"/>
              </w:rPr>
            </w:pPr>
            <w:r w:rsidRPr="00E70693">
              <w:rPr>
                <w:rFonts w:ascii="Arial" w:hAnsi="Arial" w:cs="Arial"/>
                <w:color w:val="000000"/>
                <w:sz w:val="20"/>
              </w:rPr>
              <w:t>0,00</w:t>
            </w:r>
          </w:p>
        </w:tc>
        <w:tc>
          <w:tcPr>
            <w:tcW w:w="1418" w:type="dxa"/>
            <w:tcBorders>
              <w:top w:val="nil"/>
              <w:left w:val="single" w:sz="4" w:space="0" w:color="auto"/>
              <w:bottom w:val="nil"/>
              <w:right w:val="nil"/>
            </w:tcBorders>
            <w:shd w:val="clear" w:color="auto" w:fill="auto"/>
            <w:noWrap/>
            <w:vAlign w:val="bottom"/>
            <w:hideMark/>
          </w:tcPr>
          <w:p w:rsidR="007D7D0D" w:rsidRPr="00E70693" w:rsidRDefault="007D7D0D">
            <w:pPr>
              <w:jc w:val="right"/>
              <w:rPr>
                <w:rFonts w:ascii="Arial" w:hAnsi="Arial" w:cs="Arial"/>
                <w:color w:val="000000"/>
                <w:sz w:val="20"/>
              </w:rPr>
            </w:pPr>
            <w:r w:rsidRPr="00E70693">
              <w:rPr>
                <w:rFonts w:ascii="Arial" w:hAnsi="Arial" w:cs="Arial"/>
                <w:color w:val="000000"/>
                <w:sz w:val="20"/>
              </w:rPr>
              <w:t>0,00</w:t>
            </w:r>
          </w:p>
        </w:tc>
        <w:tc>
          <w:tcPr>
            <w:tcW w:w="1418" w:type="dxa"/>
            <w:tcBorders>
              <w:top w:val="nil"/>
              <w:left w:val="single" w:sz="4" w:space="0" w:color="auto"/>
              <w:bottom w:val="nil"/>
              <w:right w:val="single" w:sz="4" w:space="0" w:color="auto"/>
            </w:tcBorders>
            <w:shd w:val="clear" w:color="auto" w:fill="auto"/>
            <w:noWrap/>
            <w:vAlign w:val="bottom"/>
            <w:hideMark/>
          </w:tcPr>
          <w:p w:rsidR="007D7D0D" w:rsidRPr="00E70693" w:rsidRDefault="007D7D0D">
            <w:pPr>
              <w:jc w:val="right"/>
              <w:rPr>
                <w:rFonts w:ascii="Arial" w:hAnsi="Arial" w:cs="Arial"/>
                <w:color w:val="000000"/>
                <w:sz w:val="20"/>
              </w:rPr>
            </w:pPr>
            <w:r w:rsidRPr="00E70693">
              <w:rPr>
                <w:rFonts w:ascii="Arial" w:hAnsi="Arial" w:cs="Arial"/>
                <w:color w:val="000000"/>
                <w:sz w:val="20"/>
              </w:rPr>
              <w:t>1.728.900,79</w:t>
            </w:r>
          </w:p>
        </w:tc>
        <w:tc>
          <w:tcPr>
            <w:tcW w:w="1417" w:type="dxa"/>
            <w:tcBorders>
              <w:top w:val="nil"/>
              <w:left w:val="nil"/>
              <w:bottom w:val="nil"/>
              <w:right w:val="single" w:sz="4" w:space="0" w:color="auto"/>
            </w:tcBorders>
            <w:shd w:val="clear" w:color="auto" w:fill="auto"/>
            <w:noWrap/>
            <w:vAlign w:val="bottom"/>
            <w:hideMark/>
          </w:tcPr>
          <w:p w:rsidR="007D7D0D" w:rsidRPr="00E70693" w:rsidRDefault="007D7D0D">
            <w:pPr>
              <w:jc w:val="right"/>
              <w:rPr>
                <w:rFonts w:ascii="Arial" w:hAnsi="Arial" w:cs="Arial"/>
                <w:color w:val="000000"/>
                <w:sz w:val="20"/>
              </w:rPr>
            </w:pPr>
            <w:r w:rsidRPr="00E70693">
              <w:rPr>
                <w:rFonts w:ascii="Arial" w:hAnsi="Arial" w:cs="Arial"/>
                <w:color w:val="000000"/>
                <w:sz w:val="20"/>
              </w:rPr>
              <w:t>279.217,48</w:t>
            </w:r>
          </w:p>
        </w:tc>
      </w:tr>
      <w:tr w:rsidR="007D7D0D" w:rsidRPr="00E70693" w:rsidTr="00635755">
        <w:tc>
          <w:tcPr>
            <w:tcW w:w="2552" w:type="dxa"/>
            <w:tcBorders>
              <w:top w:val="nil"/>
              <w:left w:val="single" w:sz="4" w:space="0" w:color="auto"/>
              <w:bottom w:val="nil"/>
              <w:right w:val="nil"/>
            </w:tcBorders>
            <w:shd w:val="clear" w:color="auto" w:fill="auto"/>
            <w:hideMark/>
          </w:tcPr>
          <w:p w:rsidR="007D7D0D" w:rsidRPr="00E70693" w:rsidRDefault="007D7D0D"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Sub-total final</w:t>
            </w:r>
          </w:p>
        </w:tc>
        <w:tc>
          <w:tcPr>
            <w:tcW w:w="1417" w:type="dxa"/>
            <w:tcBorders>
              <w:top w:val="nil"/>
              <w:left w:val="single" w:sz="4" w:space="0" w:color="auto"/>
              <w:bottom w:val="nil"/>
              <w:right w:val="nil"/>
            </w:tcBorders>
            <w:shd w:val="clear" w:color="auto" w:fill="auto"/>
            <w:hideMark/>
          </w:tcPr>
          <w:p w:rsidR="007D7D0D" w:rsidRPr="00E70693" w:rsidRDefault="007D7D0D">
            <w:pPr>
              <w:jc w:val="right"/>
              <w:rPr>
                <w:rFonts w:ascii="Arial" w:hAnsi="Arial" w:cs="Arial"/>
                <w:color w:val="000000"/>
                <w:sz w:val="20"/>
              </w:rPr>
            </w:pPr>
            <w:r w:rsidRPr="00E70693">
              <w:rPr>
                <w:rFonts w:ascii="Arial" w:hAnsi="Arial" w:cs="Arial"/>
                <w:color w:val="000000"/>
                <w:sz w:val="20"/>
              </w:rPr>
              <w:t>9.243.991,89</w:t>
            </w:r>
          </w:p>
        </w:tc>
        <w:tc>
          <w:tcPr>
            <w:tcW w:w="1418" w:type="dxa"/>
            <w:tcBorders>
              <w:top w:val="nil"/>
              <w:left w:val="single" w:sz="4" w:space="0" w:color="auto"/>
              <w:bottom w:val="nil"/>
              <w:right w:val="nil"/>
            </w:tcBorders>
            <w:shd w:val="clear" w:color="auto" w:fill="auto"/>
            <w:noWrap/>
            <w:vAlign w:val="bottom"/>
            <w:hideMark/>
          </w:tcPr>
          <w:p w:rsidR="007D7D0D" w:rsidRPr="00E70693" w:rsidRDefault="007D7D0D">
            <w:pPr>
              <w:jc w:val="right"/>
              <w:rPr>
                <w:rFonts w:ascii="Arial" w:hAnsi="Arial" w:cs="Arial"/>
                <w:color w:val="000000"/>
                <w:sz w:val="20"/>
              </w:rPr>
            </w:pPr>
            <w:r w:rsidRPr="00E70693">
              <w:rPr>
                <w:rFonts w:ascii="Arial" w:hAnsi="Arial" w:cs="Arial"/>
                <w:color w:val="000000"/>
                <w:sz w:val="20"/>
              </w:rPr>
              <w:t>1.492.904,69</w:t>
            </w:r>
          </w:p>
        </w:tc>
        <w:tc>
          <w:tcPr>
            <w:tcW w:w="1418" w:type="dxa"/>
            <w:tcBorders>
              <w:top w:val="nil"/>
              <w:left w:val="single" w:sz="4" w:space="0" w:color="auto"/>
              <w:bottom w:val="nil"/>
              <w:right w:val="nil"/>
            </w:tcBorders>
            <w:shd w:val="clear" w:color="auto" w:fill="auto"/>
            <w:hideMark/>
          </w:tcPr>
          <w:p w:rsidR="007D7D0D" w:rsidRPr="00E70693" w:rsidRDefault="007D7D0D">
            <w:pPr>
              <w:jc w:val="right"/>
              <w:rPr>
                <w:rFonts w:ascii="Arial" w:hAnsi="Arial" w:cs="Arial"/>
                <w:color w:val="000000"/>
                <w:sz w:val="20"/>
              </w:rPr>
            </w:pPr>
            <w:r w:rsidRPr="00E70693">
              <w:rPr>
                <w:rFonts w:ascii="Arial" w:hAnsi="Arial" w:cs="Arial"/>
                <w:color w:val="000000"/>
                <w:sz w:val="20"/>
              </w:rPr>
              <w:t>13.254.906,04</w:t>
            </w:r>
          </w:p>
        </w:tc>
        <w:tc>
          <w:tcPr>
            <w:tcW w:w="1417" w:type="dxa"/>
            <w:tcBorders>
              <w:top w:val="nil"/>
              <w:left w:val="single" w:sz="4" w:space="0" w:color="auto"/>
              <w:bottom w:val="nil"/>
              <w:right w:val="single" w:sz="4" w:space="0" w:color="auto"/>
            </w:tcBorders>
            <w:shd w:val="clear" w:color="auto" w:fill="auto"/>
            <w:noWrap/>
            <w:vAlign w:val="bottom"/>
            <w:hideMark/>
          </w:tcPr>
          <w:p w:rsidR="007D7D0D" w:rsidRPr="00E70693" w:rsidRDefault="007D7D0D">
            <w:pPr>
              <w:jc w:val="right"/>
              <w:rPr>
                <w:rFonts w:ascii="Arial" w:hAnsi="Arial" w:cs="Arial"/>
                <w:color w:val="000000"/>
                <w:sz w:val="20"/>
              </w:rPr>
            </w:pPr>
            <w:r w:rsidRPr="00E70693">
              <w:rPr>
                <w:rFonts w:ascii="Arial" w:hAnsi="Arial" w:cs="Arial"/>
                <w:color w:val="000000"/>
                <w:sz w:val="20"/>
              </w:rPr>
              <w:t>2.140.667,32</w:t>
            </w:r>
          </w:p>
        </w:tc>
      </w:tr>
      <w:tr w:rsidR="007D7D0D" w:rsidRPr="00E70693" w:rsidTr="00635755">
        <w:tc>
          <w:tcPr>
            <w:tcW w:w="2552" w:type="dxa"/>
            <w:tcBorders>
              <w:top w:val="nil"/>
              <w:left w:val="single" w:sz="4" w:space="0" w:color="auto"/>
              <w:bottom w:val="nil"/>
              <w:right w:val="nil"/>
            </w:tcBorders>
            <w:shd w:val="clear" w:color="auto" w:fill="auto"/>
            <w:hideMark/>
          </w:tcPr>
          <w:p w:rsidR="007D7D0D" w:rsidRPr="00E70693" w:rsidRDefault="007D7D0D" w:rsidP="004C5A4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Total final</w:t>
            </w:r>
          </w:p>
        </w:tc>
        <w:tc>
          <w:tcPr>
            <w:tcW w:w="1417" w:type="dxa"/>
            <w:tcBorders>
              <w:top w:val="single" w:sz="4" w:space="0" w:color="auto"/>
              <w:left w:val="single" w:sz="4" w:space="0" w:color="auto"/>
              <w:bottom w:val="nil"/>
              <w:right w:val="nil"/>
            </w:tcBorders>
            <w:shd w:val="clear" w:color="auto" w:fill="auto"/>
            <w:hideMark/>
          </w:tcPr>
          <w:p w:rsidR="007D7D0D" w:rsidRPr="00E70693" w:rsidRDefault="007D7D0D">
            <w:pPr>
              <w:jc w:val="right"/>
              <w:rPr>
                <w:rFonts w:ascii="Arial" w:hAnsi="Arial" w:cs="Arial"/>
                <w:b/>
                <w:bCs/>
                <w:color w:val="000000"/>
                <w:sz w:val="20"/>
              </w:rPr>
            </w:pPr>
            <w:r w:rsidRPr="00E70693">
              <w:rPr>
                <w:rFonts w:ascii="Arial" w:hAnsi="Arial" w:cs="Arial"/>
                <w:b/>
                <w:bCs/>
                <w:color w:val="000000"/>
                <w:sz w:val="20"/>
              </w:rPr>
              <w:t> </w:t>
            </w:r>
          </w:p>
        </w:tc>
        <w:tc>
          <w:tcPr>
            <w:tcW w:w="1418" w:type="dxa"/>
            <w:tcBorders>
              <w:top w:val="single" w:sz="4" w:space="0" w:color="auto"/>
              <w:left w:val="nil"/>
              <w:bottom w:val="nil"/>
              <w:right w:val="single" w:sz="4" w:space="0" w:color="auto"/>
            </w:tcBorders>
            <w:shd w:val="clear" w:color="auto" w:fill="auto"/>
            <w:noWrap/>
            <w:vAlign w:val="bottom"/>
            <w:hideMark/>
          </w:tcPr>
          <w:p w:rsidR="007D7D0D" w:rsidRPr="00E70693" w:rsidRDefault="007D7D0D">
            <w:pPr>
              <w:jc w:val="right"/>
              <w:rPr>
                <w:rFonts w:ascii="Arial" w:hAnsi="Arial" w:cs="Arial"/>
                <w:b/>
                <w:bCs/>
                <w:color w:val="000000"/>
                <w:sz w:val="20"/>
              </w:rPr>
            </w:pPr>
            <w:r w:rsidRPr="00E70693">
              <w:rPr>
                <w:rFonts w:ascii="Arial" w:hAnsi="Arial" w:cs="Arial"/>
                <w:b/>
                <w:bCs/>
                <w:color w:val="000000"/>
                <w:sz w:val="20"/>
              </w:rPr>
              <w:t>10.736.896,59</w:t>
            </w:r>
          </w:p>
        </w:tc>
        <w:tc>
          <w:tcPr>
            <w:tcW w:w="1418" w:type="dxa"/>
            <w:tcBorders>
              <w:top w:val="single" w:sz="4" w:space="0" w:color="auto"/>
              <w:left w:val="nil"/>
              <w:bottom w:val="nil"/>
              <w:right w:val="nil"/>
            </w:tcBorders>
            <w:shd w:val="clear" w:color="auto" w:fill="auto"/>
            <w:hideMark/>
          </w:tcPr>
          <w:p w:rsidR="007D7D0D" w:rsidRPr="00E70693" w:rsidRDefault="007D7D0D">
            <w:pPr>
              <w:jc w:val="right"/>
              <w:rPr>
                <w:rFonts w:ascii="Arial" w:hAnsi="Arial" w:cs="Arial"/>
                <w:b/>
                <w:bCs/>
                <w:color w:val="000000"/>
                <w:sz w:val="20"/>
              </w:rPr>
            </w:pPr>
            <w:r w:rsidRPr="00E70693">
              <w:rPr>
                <w:rFonts w:ascii="Arial" w:hAnsi="Arial" w:cs="Arial"/>
                <w:b/>
                <w:bCs/>
                <w:color w:val="000000"/>
                <w:sz w:val="20"/>
              </w:rPr>
              <w:t> </w:t>
            </w:r>
          </w:p>
        </w:tc>
        <w:tc>
          <w:tcPr>
            <w:tcW w:w="1417" w:type="dxa"/>
            <w:tcBorders>
              <w:top w:val="single" w:sz="4" w:space="0" w:color="auto"/>
              <w:left w:val="nil"/>
              <w:bottom w:val="nil"/>
              <w:right w:val="single" w:sz="4" w:space="0" w:color="auto"/>
            </w:tcBorders>
            <w:shd w:val="clear" w:color="auto" w:fill="auto"/>
            <w:noWrap/>
            <w:vAlign w:val="bottom"/>
            <w:hideMark/>
          </w:tcPr>
          <w:p w:rsidR="007D7D0D" w:rsidRPr="00E70693" w:rsidRDefault="007D7D0D">
            <w:pPr>
              <w:jc w:val="right"/>
              <w:rPr>
                <w:rFonts w:ascii="Arial" w:hAnsi="Arial" w:cs="Arial"/>
                <w:b/>
                <w:bCs/>
                <w:color w:val="000000"/>
                <w:sz w:val="20"/>
              </w:rPr>
            </w:pPr>
            <w:r w:rsidRPr="00E70693">
              <w:rPr>
                <w:rFonts w:ascii="Arial" w:hAnsi="Arial" w:cs="Arial"/>
                <w:b/>
                <w:bCs/>
                <w:color w:val="000000"/>
                <w:sz w:val="20"/>
              </w:rPr>
              <w:t>15.395.573,36</w:t>
            </w:r>
          </w:p>
        </w:tc>
      </w:tr>
      <w:tr w:rsidR="007D7D0D" w:rsidRPr="00E70693" w:rsidTr="00635755">
        <w:tc>
          <w:tcPr>
            <w:tcW w:w="2552" w:type="dxa"/>
            <w:tcBorders>
              <w:top w:val="single" w:sz="4" w:space="0" w:color="auto"/>
              <w:left w:val="single" w:sz="4" w:space="0" w:color="auto"/>
              <w:bottom w:val="nil"/>
              <w:right w:val="nil"/>
            </w:tcBorders>
            <w:shd w:val="clear" w:color="auto" w:fill="auto"/>
            <w:hideMark/>
          </w:tcPr>
          <w:p w:rsidR="007D7D0D" w:rsidRPr="00E70693" w:rsidRDefault="007D7D0D" w:rsidP="004C5A4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Incremento de obra</w:t>
            </w:r>
          </w:p>
        </w:tc>
        <w:tc>
          <w:tcPr>
            <w:tcW w:w="1417" w:type="dxa"/>
            <w:tcBorders>
              <w:top w:val="single" w:sz="4" w:space="0" w:color="auto"/>
              <w:left w:val="single" w:sz="4" w:space="0" w:color="auto"/>
              <w:bottom w:val="nil"/>
              <w:right w:val="nil"/>
            </w:tcBorders>
            <w:shd w:val="clear" w:color="auto" w:fill="auto"/>
            <w:noWrap/>
            <w:vAlign w:val="bottom"/>
            <w:hideMark/>
          </w:tcPr>
          <w:p w:rsidR="007D7D0D" w:rsidRPr="00E70693" w:rsidRDefault="007D7D0D">
            <w:pPr>
              <w:rPr>
                <w:rFonts w:ascii="Arial" w:hAnsi="Arial" w:cs="Arial"/>
                <w:color w:val="000000"/>
                <w:sz w:val="20"/>
              </w:rPr>
            </w:pPr>
            <w:r w:rsidRPr="00E70693">
              <w:rPr>
                <w:rFonts w:ascii="Arial" w:hAnsi="Arial" w:cs="Arial"/>
                <w:color w:val="000000"/>
                <w:sz w:val="20"/>
              </w:rPr>
              <w:t> </w:t>
            </w:r>
          </w:p>
        </w:tc>
        <w:tc>
          <w:tcPr>
            <w:tcW w:w="1418" w:type="dxa"/>
            <w:tcBorders>
              <w:top w:val="single" w:sz="4" w:space="0" w:color="auto"/>
              <w:left w:val="nil"/>
              <w:bottom w:val="nil"/>
              <w:right w:val="nil"/>
            </w:tcBorders>
            <w:shd w:val="clear" w:color="auto" w:fill="auto"/>
            <w:noWrap/>
            <w:vAlign w:val="bottom"/>
            <w:hideMark/>
          </w:tcPr>
          <w:p w:rsidR="007D7D0D" w:rsidRPr="00E70693" w:rsidRDefault="007D7D0D">
            <w:pPr>
              <w:rPr>
                <w:rFonts w:ascii="Arial" w:hAnsi="Arial" w:cs="Arial"/>
                <w:color w:val="000000"/>
                <w:sz w:val="20"/>
              </w:rPr>
            </w:pPr>
            <w:r w:rsidRPr="00E70693">
              <w:rPr>
                <w:rFonts w:ascii="Arial" w:hAnsi="Arial" w:cs="Arial"/>
                <w:color w:val="000000"/>
                <w:sz w:val="20"/>
              </w:rPr>
              <w:t> </w:t>
            </w:r>
          </w:p>
        </w:tc>
        <w:tc>
          <w:tcPr>
            <w:tcW w:w="1418" w:type="dxa"/>
            <w:tcBorders>
              <w:top w:val="single" w:sz="4" w:space="0" w:color="auto"/>
              <w:left w:val="nil"/>
              <w:bottom w:val="nil"/>
              <w:right w:val="nil"/>
            </w:tcBorders>
            <w:shd w:val="clear" w:color="auto" w:fill="auto"/>
            <w:noWrap/>
            <w:vAlign w:val="bottom"/>
            <w:hideMark/>
          </w:tcPr>
          <w:p w:rsidR="007D7D0D" w:rsidRPr="00E70693" w:rsidRDefault="007D7D0D">
            <w:pPr>
              <w:rPr>
                <w:rFonts w:ascii="Arial" w:hAnsi="Arial" w:cs="Arial"/>
                <w:color w:val="000000"/>
                <w:sz w:val="20"/>
              </w:rPr>
            </w:pPr>
            <w:r w:rsidRPr="00E70693">
              <w:rPr>
                <w:rFonts w:ascii="Arial" w:hAnsi="Arial" w:cs="Arial"/>
                <w:color w:val="000000"/>
                <w:sz w:val="20"/>
              </w:rPr>
              <w:t> </w:t>
            </w:r>
          </w:p>
        </w:tc>
        <w:tc>
          <w:tcPr>
            <w:tcW w:w="1417" w:type="dxa"/>
            <w:tcBorders>
              <w:top w:val="single" w:sz="4" w:space="0" w:color="auto"/>
              <w:left w:val="nil"/>
              <w:bottom w:val="nil"/>
              <w:right w:val="single" w:sz="4" w:space="0" w:color="auto"/>
            </w:tcBorders>
            <w:shd w:val="clear" w:color="auto" w:fill="auto"/>
            <w:noWrap/>
            <w:vAlign w:val="bottom"/>
            <w:hideMark/>
          </w:tcPr>
          <w:p w:rsidR="007D7D0D" w:rsidRPr="00E70693" w:rsidRDefault="007D7D0D">
            <w:pPr>
              <w:jc w:val="right"/>
              <w:rPr>
                <w:rFonts w:ascii="Arial" w:hAnsi="Arial" w:cs="Arial"/>
                <w:b/>
                <w:bCs/>
                <w:color w:val="000000"/>
                <w:sz w:val="20"/>
              </w:rPr>
            </w:pPr>
            <w:r w:rsidRPr="00E70693">
              <w:rPr>
                <w:rFonts w:ascii="Arial" w:hAnsi="Arial" w:cs="Arial"/>
                <w:b/>
                <w:bCs/>
                <w:color w:val="000000"/>
                <w:sz w:val="20"/>
              </w:rPr>
              <w:t>24,69%</w:t>
            </w:r>
          </w:p>
        </w:tc>
      </w:tr>
      <w:tr w:rsidR="007D7D0D" w:rsidRPr="00E70693" w:rsidTr="00635755">
        <w:tc>
          <w:tcPr>
            <w:tcW w:w="2552" w:type="dxa"/>
            <w:tcBorders>
              <w:top w:val="nil"/>
              <w:left w:val="single" w:sz="4" w:space="0" w:color="auto"/>
              <w:bottom w:val="nil"/>
              <w:right w:val="nil"/>
            </w:tcBorders>
            <w:shd w:val="clear" w:color="auto" w:fill="auto"/>
            <w:hideMark/>
          </w:tcPr>
          <w:p w:rsidR="007D7D0D" w:rsidRPr="00E70693" w:rsidRDefault="007D7D0D" w:rsidP="00D64321">
            <w:pPr>
              <w:jc w:val="right"/>
              <w:rPr>
                <w:rFonts w:ascii="Arial" w:hAnsi="Arial" w:cs="Arial"/>
                <w:b/>
                <w:bCs/>
                <w:color w:val="000000"/>
                <w:sz w:val="20"/>
                <w:lang w:val="es-PY" w:eastAsia="es-PY"/>
              </w:rPr>
            </w:pPr>
            <w:proofErr w:type="spellStart"/>
            <w:r w:rsidRPr="00E70693">
              <w:rPr>
                <w:rFonts w:ascii="Arial" w:hAnsi="Arial" w:cs="Arial"/>
                <w:b/>
                <w:bCs/>
                <w:color w:val="000000"/>
                <w:sz w:val="20"/>
                <w:lang w:val="es-PY" w:eastAsia="es-PY"/>
              </w:rPr>
              <w:t>Increm</w:t>
            </w:r>
            <w:proofErr w:type="spellEnd"/>
            <w:r w:rsidRPr="00E70693">
              <w:rPr>
                <w:rFonts w:ascii="Arial" w:hAnsi="Arial" w:cs="Arial"/>
                <w:b/>
                <w:bCs/>
                <w:color w:val="000000"/>
                <w:sz w:val="20"/>
                <w:lang w:val="es-PY" w:eastAsia="es-PY"/>
              </w:rPr>
              <w:t>. ajuste de precios</w:t>
            </w:r>
          </w:p>
        </w:tc>
        <w:tc>
          <w:tcPr>
            <w:tcW w:w="1417" w:type="dxa"/>
            <w:tcBorders>
              <w:top w:val="nil"/>
              <w:left w:val="single" w:sz="4" w:space="0" w:color="auto"/>
              <w:bottom w:val="nil"/>
              <w:right w:val="nil"/>
            </w:tcBorders>
            <w:shd w:val="clear" w:color="auto" w:fill="auto"/>
            <w:noWrap/>
            <w:vAlign w:val="bottom"/>
            <w:hideMark/>
          </w:tcPr>
          <w:p w:rsidR="007D7D0D" w:rsidRPr="00E70693" w:rsidRDefault="007D7D0D">
            <w:pPr>
              <w:rPr>
                <w:rFonts w:ascii="Arial" w:hAnsi="Arial" w:cs="Arial"/>
                <w:color w:val="000000"/>
                <w:sz w:val="20"/>
              </w:rPr>
            </w:pPr>
            <w:r w:rsidRPr="00E70693">
              <w:rPr>
                <w:rFonts w:ascii="Arial" w:hAnsi="Arial" w:cs="Arial"/>
                <w:color w:val="000000"/>
                <w:sz w:val="20"/>
              </w:rPr>
              <w:t> </w:t>
            </w:r>
          </w:p>
        </w:tc>
        <w:tc>
          <w:tcPr>
            <w:tcW w:w="1418" w:type="dxa"/>
            <w:tcBorders>
              <w:top w:val="nil"/>
              <w:left w:val="nil"/>
              <w:bottom w:val="nil"/>
              <w:right w:val="nil"/>
            </w:tcBorders>
            <w:shd w:val="clear" w:color="auto" w:fill="auto"/>
            <w:noWrap/>
            <w:vAlign w:val="bottom"/>
            <w:hideMark/>
          </w:tcPr>
          <w:p w:rsidR="007D7D0D" w:rsidRPr="00E70693" w:rsidRDefault="007D7D0D">
            <w:pPr>
              <w:rPr>
                <w:rFonts w:ascii="Arial" w:hAnsi="Arial" w:cs="Arial"/>
                <w:color w:val="000000"/>
                <w:sz w:val="20"/>
              </w:rPr>
            </w:pPr>
          </w:p>
        </w:tc>
        <w:tc>
          <w:tcPr>
            <w:tcW w:w="1418" w:type="dxa"/>
            <w:tcBorders>
              <w:top w:val="nil"/>
              <w:left w:val="nil"/>
              <w:bottom w:val="nil"/>
              <w:right w:val="nil"/>
            </w:tcBorders>
            <w:shd w:val="clear" w:color="auto" w:fill="auto"/>
            <w:noWrap/>
            <w:vAlign w:val="bottom"/>
            <w:hideMark/>
          </w:tcPr>
          <w:p w:rsidR="007D7D0D" w:rsidRPr="00E70693" w:rsidRDefault="007D7D0D">
            <w:pPr>
              <w:rPr>
                <w:rFonts w:ascii="Arial" w:hAnsi="Arial" w:cs="Arial"/>
                <w:color w:val="000000"/>
                <w:sz w:val="20"/>
              </w:rPr>
            </w:pPr>
          </w:p>
        </w:tc>
        <w:tc>
          <w:tcPr>
            <w:tcW w:w="1417" w:type="dxa"/>
            <w:tcBorders>
              <w:top w:val="nil"/>
              <w:left w:val="nil"/>
              <w:bottom w:val="nil"/>
              <w:right w:val="single" w:sz="4" w:space="0" w:color="auto"/>
            </w:tcBorders>
            <w:shd w:val="clear" w:color="auto" w:fill="auto"/>
            <w:noWrap/>
            <w:vAlign w:val="bottom"/>
            <w:hideMark/>
          </w:tcPr>
          <w:p w:rsidR="007D7D0D" w:rsidRPr="00E70693" w:rsidRDefault="007D7D0D">
            <w:pPr>
              <w:jc w:val="right"/>
              <w:rPr>
                <w:rFonts w:ascii="Arial" w:hAnsi="Arial" w:cs="Arial"/>
                <w:b/>
                <w:bCs/>
                <w:color w:val="000000"/>
                <w:sz w:val="20"/>
              </w:rPr>
            </w:pPr>
            <w:r w:rsidRPr="00E70693">
              <w:rPr>
                <w:rFonts w:ascii="Arial" w:hAnsi="Arial" w:cs="Arial"/>
                <w:b/>
                <w:bCs/>
                <w:color w:val="000000"/>
                <w:sz w:val="20"/>
              </w:rPr>
              <w:t>18,70%</w:t>
            </w:r>
          </w:p>
        </w:tc>
      </w:tr>
      <w:tr w:rsidR="007D7D0D" w:rsidRPr="00E70693" w:rsidTr="00635755">
        <w:tc>
          <w:tcPr>
            <w:tcW w:w="2552" w:type="dxa"/>
            <w:tcBorders>
              <w:top w:val="nil"/>
              <w:left w:val="single" w:sz="4" w:space="0" w:color="auto"/>
              <w:bottom w:val="single" w:sz="4" w:space="0" w:color="auto"/>
              <w:right w:val="nil"/>
            </w:tcBorders>
            <w:shd w:val="clear" w:color="auto" w:fill="auto"/>
            <w:hideMark/>
          </w:tcPr>
          <w:p w:rsidR="007D7D0D" w:rsidRPr="00E70693" w:rsidRDefault="007D7D0D" w:rsidP="004C5A4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Incremento total</w:t>
            </w:r>
          </w:p>
        </w:tc>
        <w:tc>
          <w:tcPr>
            <w:tcW w:w="1417" w:type="dxa"/>
            <w:tcBorders>
              <w:top w:val="nil"/>
              <w:left w:val="single" w:sz="4" w:space="0" w:color="auto"/>
              <w:bottom w:val="single" w:sz="4" w:space="0" w:color="auto"/>
              <w:right w:val="nil"/>
            </w:tcBorders>
            <w:shd w:val="clear" w:color="auto" w:fill="auto"/>
            <w:noWrap/>
            <w:vAlign w:val="bottom"/>
            <w:hideMark/>
          </w:tcPr>
          <w:p w:rsidR="007D7D0D" w:rsidRPr="00E70693" w:rsidRDefault="007D7D0D">
            <w:pPr>
              <w:rPr>
                <w:rFonts w:ascii="Arial" w:hAnsi="Arial" w:cs="Arial"/>
                <w:color w:val="000000"/>
                <w:sz w:val="20"/>
              </w:rPr>
            </w:pPr>
            <w:r w:rsidRPr="00E70693">
              <w:rPr>
                <w:rFonts w:ascii="Arial" w:hAnsi="Arial" w:cs="Arial"/>
                <w:color w:val="000000"/>
                <w:sz w:val="20"/>
              </w:rPr>
              <w:t> </w:t>
            </w:r>
          </w:p>
        </w:tc>
        <w:tc>
          <w:tcPr>
            <w:tcW w:w="1418" w:type="dxa"/>
            <w:tcBorders>
              <w:top w:val="nil"/>
              <w:left w:val="nil"/>
              <w:bottom w:val="single" w:sz="4" w:space="0" w:color="auto"/>
              <w:right w:val="nil"/>
            </w:tcBorders>
            <w:shd w:val="clear" w:color="auto" w:fill="auto"/>
            <w:noWrap/>
            <w:vAlign w:val="bottom"/>
            <w:hideMark/>
          </w:tcPr>
          <w:p w:rsidR="007D7D0D" w:rsidRPr="00E70693" w:rsidRDefault="007D7D0D">
            <w:pPr>
              <w:rPr>
                <w:rFonts w:ascii="Arial" w:hAnsi="Arial" w:cs="Arial"/>
                <w:color w:val="000000"/>
                <w:sz w:val="20"/>
              </w:rPr>
            </w:pPr>
            <w:r w:rsidRPr="00E70693">
              <w:rPr>
                <w:rFonts w:ascii="Arial" w:hAnsi="Arial" w:cs="Arial"/>
                <w:color w:val="000000"/>
                <w:sz w:val="20"/>
              </w:rPr>
              <w:t> </w:t>
            </w:r>
          </w:p>
        </w:tc>
        <w:tc>
          <w:tcPr>
            <w:tcW w:w="1418" w:type="dxa"/>
            <w:tcBorders>
              <w:top w:val="nil"/>
              <w:left w:val="nil"/>
              <w:bottom w:val="single" w:sz="4" w:space="0" w:color="auto"/>
              <w:right w:val="nil"/>
            </w:tcBorders>
            <w:shd w:val="clear" w:color="auto" w:fill="auto"/>
            <w:noWrap/>
            <w:vAlign w:val="bottom"/>
            <w:hideMark/>
          </w:tcPr>
          <w:p w:rsidR="007D7D0D" w:rsidRPr="00E70693" w:rsidRDefault="007D7D0D">
            <w:pPr>
              <w:rPr>
                <w:rFonts w:ascii="Arial" w:hAnsi="Arial" w:cs="Arial"/>
                <w:color w:val="000000"/>
                <w:sz w:val="20"/>
              </w:rPr>
            </w:pPr>
            <w:r w:rsidRPr="00E70693">
              <w:rPr>
                <w:rFonts w:ascii="Arial" w:hAnsi="Arial" w:cs="Arial"/>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7D7D0D" w:rsidRPr="00E70693" w:rsidRDefault="007D7D0D">
            <w:pPr>
              <w:jc w:val="right"/>
              <w:rPr>
                <w:rFonts w:ascii="Arial" w:hAnsi="Arial" w:cs="Arial"/>
                <w:b/>
                <w:bCs/>
                <w:color w:val="000000"/>
                <w:sz w:val="20"/>
              </w:rPr>
            </w:pPr>
            <w:r w:rsidRPr="00E70693">
              <w:rPr>
                <w:rFonts w:ascii="Arial" w:hAnsi="Arial" w:cs="Arial"/>
                <w:b/>
                <w:bCs/>
                <w:color w:val="000000"/>
                <w:sz w:val="20"/>
              </w:rPr>
              <w:t>43,39%</w:t>
            </w:r>
          </w:p>
        </w:tc>
      </w:tr>
      <w:tr w:rsidR="007D7D0D" w:rsidRPr="00E70693" w:rsidTr="00635755">
        <w:tc>
          <w:tcPr>
            <w:tcW w:w="2552" w:type="dxa"/>
            <w:tcBorders>
              <w:top w:val="nil"/>
              <w:left w:val="single" w:sz="4" w:space="0" w:color="auto"/>
              <w:bottom w:val="single" w:sz="4" w:space="0" w:color="auto"/>
              <w:right w:val="nil"/>
            </w:tcBorders>
            <w:shd w:val="clear" w:color="auto" w:fill="auto"/>
            <w:hideMark/>
          </w:tcPr>
          <w:p w:rsidR="007D7D0D" w:rsidRPr="00E70693" w:rsidRDefault="007D7D0D" w:rsidP="004C5A4B">
            <w:pPr>
              <w:jc w:val="right"/>
              <w:rPr>
                <w:rFonts w:ascii="Arial" w:hAnsi="Arial" w:cs="Arial"/>
                <w:color w:val="000000"/>
                <w:sz w:val="20"/>
                <w:lang w:val="es-PY" w:eastAsia="es-PY"/>
              </w:rPr>
            </w:pPr>
            <w:r w:rsidRPr="00E70693">
              <w:rPr>
                <w:rFonts w:ascii="Arial" w:hAnsi="Arial" w:cs="Arial"/>
                <w:color w:val="000000"/>
                <w:sz w:val="20"/>
                <w:lang w:val="es-PY" w:eastAsia="es-PY"/>
              </w:rPr>
              <w:t>Precio US$/Km</w:t>
            </w:r>
          </w:p>
        </w:tc>
        <w:tc>
          <w:tcPr>
            <w:tcW w:w="1417" w:type="dxa"/>
            <w:tcBorders>
              <w:top w:val="nil"/>
              <w:left w:val="single" w:sz="4" w:space="0" w:color="auto"/>
              <w:bottom w:val="single" w:sz="4" w:space="0" w:color="auto"/>
              <w:right w:val="nil"/>
            </w:tcBorders>
            <w:shd w:val="clear" w:color="auto" w:fill="auto"/>
            <w:noWrap/>
            <w:vAlign w:val="bottom"/>
            <w:hideMark/>
          </w:tcPr>
          <w:p w:rsidR="007D7D0D" w:rsidRPr="00E70693" w:rsidRDefault="007D7D0D">
            <w:pPr>
              <w:rPr>
                <w:rFonts w:ascii="Arial" w:hAnsi="Arial" w:cs="Arial"/>
                <w:color w:val="000000"/>
                <w:sz w:val="20"/>
              </w:rPr>
            </w:pPr>
            <w:r w:rsidRPr="00E70693">
              <w:rPr>
                <w:rFonts w:ascii="Arial" w:hAnsi="Arial" w:cs="Arial"/>
                <w:color w:val="000000"/>
                <w:sz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7D7D0D" w:rsidRPr="00E70693" w:rsidRDefault="007D7D0D">
            <w:pPr>
              <w:jc w:val="right"/>
              <w:rPr>
                <w:rFonts w:ascii="Arial" w:hAnsi="Arial" w:cs="Arial"/>
                <w:color w:val="000000"/>
                <w:sz w:val="20"/>
              </w:rPr>
            </w:pPr>
            <w:r w:rsidRPr="00E70693">
              <w:rPr>
                <w:rFonts w:ascii="Arial" w:hAnsi="Arial" w:cs="Arial"/>
                <w:color w:val="000000"/>
                <w:sz w:val="20"/>
              </w:rPr>
              <w:t>511.280,79</w:t>
            </w:r>
          </w:p>
        </w:tc>
        <w:tc>
          <w:tcPr>
            <w:tcW w:w="1418" w:type="dxa"/>
            <w:tcBorders>
              <w:top w:val="nil"/>
              <w:left w:val="nil"/>
              <w:bottom w:val="single" w:sz="4" w:space="0" w:color="auto"/>
              <w:right w:val="nil"/>
            </w:tcBorders>
            <w:shd w:val="clear" w:color="auto" w:fill="auto"/>
            <w:noWrap/>
            <w:vAlign w:val="bottom"/>
            <w:hideMark/>
          </w:tcPr>
          <w:p w:rsidR="007D7D0D" w:rsidRPr="00E70693" w:rsidRDefault="007D7D0D">
            <w:pPr>
              <w:rPr>
                <w:rFonts w:ascii="Arial" w:hAnsi="Arial" w:cs="Arial"/>
                <w:color w:val="000000"/>
                <w:sz w:val="20"/>
              </w:rPr>
            </w:pPr>
            <w:r w:rsidRPr="00E70693">
              <w:rPr>
                <w:rFonts w:ascii="Arial" w:hAnsi="Arial" w:cs="Arial"/>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7D7D0D" w:rsidRPr="00E70693" w:rsidRDefault="007D7D0D">
            <w:pPr>
              <w:jc w:val="right"/>
              <w:rPr>
                <w:rFonts w:ascii="Arial" w:hAnsi="Arial" w:cs="Arial"/>
                <w:color w:val="000000"/>
                <w:sz w:val="20"/>
              </w:rPr>
            </w:pPr>
            <w:r w:rsidRPr="00E70693">
              <w:rPr>
                <w:rFonts w:ascii="Arial" w:hAnsi="Arial" w:cs="Arial"/>
                <w:color w:val="000000"/>
                <w:sz w:val="20"/>
              </w:rPr>
              <w:t>733.122,54</w:t>
            </w:r>
          </w:p>
        </w:tc>
      </w:tr>
    </w:tbl>
    <w:p w:rsidR="00FA2C9A" w:rsidRPr="00E70693" w:rsidRDefault="00FA2C9A" w:rsidP="00FA2C9A">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b/>
        </w:rPr>
        <w:lastRenderedPageBreak/>
        <w:t>2427/BL-NI</w:t>
      </w:r>
      <w:r w:rsidR="00B3554C" w:rsidRPr="00E70693">
        <w:rPr>
          <w:rFonts w:ascii="Arial" w:hAnsi="Arial" w:cs="Arial"/>
          <w:b/>
        </w:rPr>
        <w:t xml:space="preserve"> Programa de Apoyo al Sector Transporte I (NI-L1049)</w:t>
      </w:r>
      <w:r w:rsidRPr="00E70693">
        <w:rPr>
          <w:rFonts w:ascii="Arial" w:hAnsi="Arial" w:cs="Arial"/>
        </w:rPr>
        <w:t xml:space="preserve">. Esta operación </w:t>
      </w:r>
      <w:r w:rsidR="004A70DA" w:rsidRPr="00E70693">
        <w:rPr>
          <w:rFonts w:ascii="Arial" w:hAnsi="Arial" w:cs="Arial"/>
        </w:rPr>
        <w:t xml:space="preserve">comprendió </w:t>
      </w:r>
      <w:r w:rsidRPr="00E70693">
        <w:rPr>
          <w:rFonts w:ascii="Arial" w:hAnsi="Arial" w:cs="Arial"/>
        </w:rPr>
        <w:t>las obras siguientes: i) “</w:t>
      </w:r>
      <w:r w:rsidRPr="00E70693">
        <w:rPr>
          <w:rFonts w:ascii="Arial" w:hAnsi="Arial" w:cs="Arial"/>
          <w:i/>
        </w:rPr>
        <w:t>Refuerzo del tramo Las Flores-Catarina-Empalme Guanacaste (17,6 Km)”</w:t>
      </w:r>
      <w:r w:rsidRPr="00E70693">
        <w:rPr>
          <w:rFonts w:ascii="Arial" w:hAnsi="Arial" w:cs="Arial"/>
        </w:rPr>
        <w:t xml:space="preserve">; </w:t>
      </w:r>
      <w:r w:rsidR="00B50790" w:rsidRPr="00E70693">
        <w:rPr>
          <w:rFonts w:ascii="Arial" w:hAnsi="Arial" w:cs="Arial"/>
        </w:rPr>
        <w:t xml:space="preserve">y </w:t>
      </w:r>
      <w:r w:rsidRPr="00E70693">
        <w:rPr>
          <w:rFonts w:ascii="Arial" w:hAnsi="Arial" w:cs="Arial"/>
        </w:rPr>
        <w:t>ii) “</w:t>
      </w:r>
      <w:r w:rsidRPr="00E70693">
        <w:rPr>
          <w:rFonts w:ascii="Arial" w:hAnsi="Arial" w:cs="Arial"/>
          <w:i/>
        </w:rPr>
        <w:t>Construcción de la Circunvalación de Masaya (6,8 Km)”</w:t>
      </w:r>
      <w:r w:rsidR="00B50790" w:rsidRPr="00E70693">
        <w:rPr>
          <w:rFonts w:ascii="Arial" w:hAnsi="Arial" w:cs="Arial"/>
        </w:rPr>
        <w:t xml:space="preserve">, ejecutados por el MTI; </w:t>
      </w:r>
      <w:r w:rsidRPr="00E70693">
        <w:rPr>
          <w:rFonts w:ascii="Arial" w:hAnsi="Arial" w:cs="Arial"/>
        </w:rPr>
        <w:t>y iii) “</w:t>
      </w:r>
      <w:r w:rsidRPr="00E70693">
        <w:rPr>
          <w:rFonts w:ascii="Arial" w:hAnsi="Arial" w:cs="Arial"/>
          <w:i/>
        </w:rPr>
        <w:t xml:space="preserve">Mantenimiento Periódico del tramo </w:t>
      </w:r>
      <w:proofErr w:type="spellStart"/>
      <w:r w:rsidRPr="00E70693">
        <w:rPr>
          <w:rFonts w:ascii="Arial" w:hAnsi="Arial" w:cs="Arial"/>
          <w:i/>
        </w:rPr>
        <w:t>Nandaime</w:t>
      </w:r>
      <w:proofErr w:type="spellEnd"/>
      <w:r w:rsidRPr="00E70693">
        <w:rPr>
          <w:rFonts w:ascii="Arial" w:hAnsi="Arial" w:cs="Arial"/>
          <w:i/>
        </w:rPr>
        <w:t>-Rivas-Peñas Blancas (31 Km)”</w:t>
      </w:r>
      <w:r w:rsidRPr="00E70693">
        <w:rPr>
          <w:rFonts w:ascii="Arial" w:hAnsi="Arial" w:cs="Arial"/>
        </w:rPr>
        <w:t>, ejecutado por el FOMAV.</w:t>
      </w:r>
    </w:p>
    <w:p w:rsidR="00FA2C9A" w:rsidRPr="00E70693" w:rsidRDefault="00FA2C9A" w:rsidP="00FA2C9A">
      <w:pPr>
        <w:numPr>
          <w:ilvl w:val="1"/>
          <w:numId w:val="1"/>
        </w:numPr>
        <w:tabs>
          <w:tab w:val="clear" w:pos="360"/>
          <w:tab w:val="num" w:pos="709"/>
        </w:tabs>
        <w:spacing w:before="240"/>
        <w:ind w:left="709" w:hanging="709"/>
        <w:jc w:val="both"/>
        <w:rPr>
          <w:rFonts w:ascii="Arial" w:hAnsi="Arial" w:cs="Arial"/>
        </w:rPr>
      </w:pPr>
      <w:bookmarkStart w:id="12" w:name="_Ref356302199"/>
      <w:bookmarkStart w:id="13" w:name="_Ref394855624"/>
      <w:r w:rsidRPr="00E70693">
        <w:rPr>
          <w:rFonts w:ascii="Arial" w:hAnsi="Arial" w:cs="Arial"/>
          <w:i/>
        </w:rPr>
        <w:t>Refuerzo del tramo Las Flores-Catarina-Empalme Guanacaste</w:t>
      </w:r>
      <w:r w:rsidRPr="00E70693">
        <w:rPr>
          <w:rFonts w:ascii="Arial" w:hAnsi="Arial" w:cs="Arial"/>
        </w:rPr>
        <w:t>. Ejecutado por el MTI, comprend</w:t>
      </w:r>
      <w:r w:rsidR="004A70DA" w:rsidRPr="00E70693">
        <w:rPr>
          <w:rFonts w:ascii="Arial" w:hAnsi="Arial" w:cs="Arial"/>
        </w:rPr>
        <w:t>ió</w:t>
      </w:r>
      <w:r w:rsidRPr="00E70693">
        <w:rPr>
          <w:rFonts w:ascii="Arial" w:hAnsi="Arial" w:cs="Arial"/>
        </w:rPr>
        <w:t xml:space="preserve"> el refuerzo del pavimento de concreto asfáltico, incluyendo reciclado del paquete estructural en algunos segmentos. En esta obra el diseño fue elaborado por el MTI, posteriormente fue revisado por el Auditor Técnico</w:t>
      </w:r>
      <w:r w:rsidR="004D0B85" w:rsidRPr="00E70693">
        <w:rPr>
          <w:rStyle w:val="FootnoteReference"/>
          <w:rFonts w:ascii="Arial" w:hAnsi="Arial" w:cs="Arial"/>
        </w:rPr>
        <w:footnoteReference w:id="3"/>
      </w:r>
      <w:r w:rsidRPr="00E70693">
        <w:rPr>
          <w:rFonts w:ascii="Arial" w:hAnsi="Arial" w:cs="Arial"/>
        </w:rPr>
        <w:t xml:space="preserve"> quien sugirió la profundización de los estudios para estimar con mayor precisión el alcance de la intervención a nivel de la estructura del pavimento. Una vez licitada y adjudicada la obra, la Supervisión detectó insuficiencias en las cantidades de obra de carpeta pero también trabajos que podrían suprimirse. El MTI, con la colaboración de la Supervisión, reformuló el alcance de los trabajos de refuerzo y mantenimiento del tramo de carretera, proponiendo al Banco la modificación de cantidades bajo un criterio de racionalización sin incrementarse el valor del contrato ni extenderse el plazo de ejecución. Con la no objeción del Banco el MTI pudo optimizar el diseño del refuerzo y mantenimiento, logrando la culminación satisfactoria de las obras en abril de 2013. Aquí cabe resaltar que el diseño de las intervenciones pasó por dos momentos de actualización, el primero gracias a la intervención del Auditor Técnico quien recomendó más estudios que permitieron una mejor estima</w:t>
      </w:r>
      <w:r w:rsidR="00721A18" w:rsidRPr="00E70693">
        <w:rPr>
          <w:rFonts w:ascii="Arial" w:hAnsi="Arial" w:cs="Arial"/>
        </w:rPr>
        <w:t xml:space="preserve">ción de los trabajos de refuerzo </w:t>
      </w:r>
      <w:r w:rsidR="00EF6EFD" w:rsidRPr="00E70693">
        <w:rPr>
          <w:rFonts w:ascii="Arial" w:hAnsi="Arial" w:cs="Arial"/>
        </w:rPr>
        <w:t>y la asignación de más</w:t>
      </w:r>
      <w:r w:rsidR="00721A18" w:rsidRPr="00E70693">
        <w:rPr>
          <w:rFonts w:ascii="Arial" w:hAnsi="Arial" w:cs="Arial"/>
        </w:rPr>
        <w:t xml:space="preserve"> recursos </w:t>
      </w:r>
      <w:r w:rsidR="00EF6EFD" w:rsidRPr="00E70693">
        <w:rPr>
          <w:rFonts w:ascii="Arial" w:hAnsi="Arial" w:cs="Arial"/>
        </w:rPr>
        <w:t>económicos</w:t>
      </w:r>
      <w:r w:rsidRPr="00E70693">
        <w:rPr>
          <w:rFonts w:ascii="Arial" w:hAnsi="Arial" w:cs="Arial"/>
        </w:rPr>
        <w:t xml:space="preserve">, y el segundo con la participación de la Supervisión, que con una presencia permanente en el sito de obras pudo analizar de manera más precisa la situación y </w:t>
      </w:r>
      <w:r w:rsidR="00604BB6" w:rsidRPr="00E70693">
        <w:rPr>
          <w:rFonts w:ascii="Arial" w:hAnsi="Arial" w:cs="Arial"/>
        </w:rPr>
        <w:t xml:space="preserve">aplicando </w:t>
      </w:r>
      <w:r w:rsidR="00721A18" w:rsidRPr="00E70693">
        <w:rPr>
          <w:rFonts w:ascii="Arial" w:hAnsi="Arial" w:cs="Arial"/>
        </w:rPr>
        <w:t xml:space="preserve">el concepto de </w:t>
      </w:r>
      <w:r w:rsidR="00721A18" w:rsidRPr="00E70693">
        <w:rPr>
          <w:rFonts w:ascii="Arial" w:hAnsi="Arial" w:cs="Arial"/>
          <w:i/>
        </w:rPr>
        <w:t>ingeniería de valor</w:t>
      </w:r>
      <w:r w:rsidR="00721A18" w:rsidRPr="00E70693">
        <w:rPr>
          <w:rFonts w:ascii="Arial" w:hAnsi="Arial" w:cs="Arial"/>
        </w:rPr>
        <w:t xml:space="preserve"> </w:t>
      </w:r>
      <w:r w:rsidR="00EF6EFD" w:rsidRPr="00E70693">
        <w:rPr>
          <w:rFonts w:ascii="Arial" w:hAnsi="Arial" w:cs="Arial"/>
        </w:rPr>
        <w:t>recomendó acciones que resultaron en una mejor y equilibrada calidad de las obras, con cero variación del costo total y dentro del plazo contractual</w:t>
      </w:r>
      <w:r w:rsidR="00604BB6" w:rsidRPr="00E70693">
        <w:rPr>
          <w:rFonts w:ascii="Arial" w:hAnsi="Arial" w:cs="Arial"/>
        </w:rPr>
        <w:t>.</w:t>
      </w:r>
      <w:bookmarkEnd w:id="12"/>
      <w:r w:rsidR="00FF0DAB" w:rsidRPr="00E70693">
        <w:rPr>
          <w:rFonts w:ascii="Arial" w:hAnsi="Arial" w:cs="Arial"/>
        </w:rPr>
        <w:t xml:space="preserve"> La estructura de costos del contrato de obra es la siguiente.</w:t>
      </w:r>
      <w:bookmarkEnd w:id="13"/>
    </w:p>
    <w:p w:rsidR="00FF0DAB" w:rsidRPr="00E70693" w:rsidRDefault="00FF0DAB" w:rsidP="00FF0DAB">
      <w:pPr>
        <w:ind w:left="709"/>
        <w:jc w:val="both"/>
        <w:rPr>
          <w:rFonts w:ascii="Arial" w:hAnsi="Arial" w:cs="Arial"/>
          <w:i/>
        </w:rPr>
      </w:pPr>
    </w:p>
    <w:tbl>
      <w:tblPr>
        <w:tblW w:w="8222" w:type="dxa"/>
        <w:tblInd w:w="779" w:type="dxa"/>
        <w:tblCellMar>
          <w:left w:w="70" w:type="dxa"/>
          <w:right w:w="70" w:type="dxa"/>
        </w:tblCellMar>
        <w:tblLook w:val="04A0" w:firstRow="1" w:lastRow="0" w:firstColumn="1" w:lastColumn="0" w:noHBand="0" w:noVBand="1"/>
      </w:tblPr>
      <w:tblGrid>
        <w:gridCol w:w="2552"/>
        <w:gridCol w:w="1417"/>
        <w:gridCol w:w="1418"/>
        <w:gridCol w:w="1417"/>
        <w:gridCol w:w="1418"/>
      </w:tblGrid>
      <w:tr w:rsidR="00FF0DAB" w:rsidRPr="00E70693" w:rsidTr="00635755">
        <w:trPr>
          <w:tblHeader/>
        </w:trPr>
        <w:tc>
          <w:tcPr>
            <w:tcW w:w="2552" w:type="dxa"/>
            <w:tcBorders>
              <w:top w:val="single" w:sz="4" w:space="0" w:color="auto"/>
              <w:left w:val="single" w:sz="4" w:space="0" w:color="auto"/>
              <w:bottom w:val="nil"/>
              <w:right w:val="nil"/>
            </w:tcBorders>
            <w:shd w:val="clear" w:color="auto" w:fill="DAEEF3" w:themeFill="accent5" w:themeFillTint="33"/>
            <w:noWrap/>
            <w:vAlign w:val="bottom"/>
            <w:hideMark/>
          </w:tcPr>
          <w:p w:rsidR="00FF0DAB" w:rsidRPr="00E70693" w:rsidRDefault="00FF0DAB" w:rsidP="00635755">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Proyecto</w:t>
            </w:r>
          </w:p>
        </w:tc>
        <w:tc>
          <w:tcPr>
            <w:tcW w:w="2835" w:type="dxa"/>
            <w:gridSpan w:val="2"/>
            <w:tcBorders>
              <w:top w:val="single" w:sz="4" w:space="0" w:color="auto"/>
              <w:left w:val="single" w:sz="4" w:space="0" w:color="auto"/>
              <w:bottom w:val="single" w:sz="4" w:space="0" w:color="auto"/>
              <w:right w:val="nil"/>
            </w:tcBorders>
            <w:shd w:val="clear" w:color="auto" w:fill="DAEEF3" w:themeFill="accent5" w:themeFillTint="33"/>
            <w:noWrap/>
            <w:vAlign w:val="bottom"/>
            <w:hideMark/>
          </w:tcPr>
          <w:p w:rsidR="00FF0DAB" w:rsidRPr="00E70693" w:rsidRDefault="00FF0DAB" w:rsidP="00635755">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Original</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FF0DAB" w:rsidRPr="00E70693" w:rsidRDefault="00FF0DAB" w:rsidP="00635755">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Final</w:t>
            </w:r>
          </w:p>
        </w:tc>
      </w:tr>
      <w:tr w:rsidR="00FF0DAB" w:rsidRPr="00E70693" w:rsidTr="00635755">
        <w:trPr>
          <w:tblHeader/>
        </w:trPr>
        <w:tc>
          <w:tcPr>
            <w:tcW w:w="2552" w:type="dxa"/>
            <w:tcBorders>
              <w:top w:val="nil"/>
              <w:left w:val="single" w:sz="4" w:space="0" w:color="auto"/>
              <w:bottom w:val="nil"/>
              <w:right w:val="nil"/>
            </w:tcBorders>
            <w:shd w:val="clear" w:color="auto" w:fill="DAEEF3" w:themeFill="accent5" w:themeFillTint="33"/>
            <w:noWrap/>
            <w:vAlign w:val="bottom"/>
            <w:hideMark/>
          </w:tcPr>
          <w:p w:rsidR="00FF0DAB" w:rsidRPr="00E70693" w:rsidRDefault="00FF0DAB" w:rsidP="00635755">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 </w:t>
            </w:r>
          </w:p>
        </w:tc>
        <w:tc>
          <w:tcPr>
            <w:tcW w:w="1417" w:type="dxa"/>
            <w:tcBorders>
              <w:top w:val="nil"/>
              <w:left w:val="single" w:sz="4" w:space="0" w:color="auto"/>
              <w:bottom w:val="nil"/>
              <w:right w:val="nil"/>
            </w:tcBorders>
            <w:shd w:val="clear" w:color="auto" w:fill="DAEEF3" w:themeFill="accent5" w:themeFillTint="33"/>
            <w:noWrap/>
            <w:vAlign w:val="bottom"/>
            <w:hideMark/>
          </w:tcPr>
          <w:p w:rsidR="00FF0DAB" w:rsidRPr="00E70693" w:rsidRDefault="00FF0DAB" w:rsidP="00635755">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Fondos BID</w:t>
            </w:r>
          </w:p>
        </w:tc>
        <w:tc>
          <w:tcPr>
            <w:tcW w:w="1418" w:type="dxa"/>
            <w:tcBorders>
              <w:top w:val="nil"/>
              <w:left w:val="single" w:sz="4" w:space="0" w:color="auto"/>
              <w:bottom w:val="nil"/>
              <w:right w:val="nil"/>
            </w:tcBorders>
            <w:shd w:val="clear" w:color="auto" w:fill="DAEEF3" w:themeFill="accent5" w:themeFillTint="33"/>
            <w:noWrap/>
            <w:vAlign w:val="bottom"/>
            <w:hideMark/>
          </w:tcPr>
          <w:p w:rsidR="00FF0DAB" w:rsidRPr="00E70693" w:rsidRDefault="00FF0DAB" w:rsidP="00635755">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 xml:space="preserve">Fondos </w:t>
            </w:r>
            <w:proofErr w:type="spellStart"/>
            <w:r w:rsidRPr="00E70693">
              <w:rPr>
                <w:rFonts w:ascii="Arial" w:hAnsi="Arial" w:cs="Arial"/>
                <w:b/>
                <w:bCs/>
                <w:color w:val="000000"/>
                <w:sz w:val="20"/>
                <w:lang w:val="es-PY" w:eastAsia="es-PY"/>
              </w:rPr>
              <w:t>GdN</w:t>
            </w:r>
            <w:proofErr w:type="spellEnd"/>
          </w:p>
        </w:tc>
        <w:tc>
          <w:tcPr>
            <w:tcW w:w="1417" w:type="dxa"/>
            <w:tcBorders>
              <w:top w:val="nil"/>
              <w:left w:val="single" w:sz="4" w:space="0" w:color="auto"/>
              <w:bottom w:val="nil"/>
              <w:right w:val="nil"/>
            </w:tcBorders>
            <w:shd w:val="clear" w:color="auto" w:fill="DAEEF3" w:themeFill="accent5" w:themeFillTint="33"/>
            <w:noWrap/>
            <w:vAlign w:val="bottom"/>
            <w:hideMark/>
          </w:tcPr>
          <w:p w:rsidR="00FF0DAB" w:rsidRPr="00E70693" w:rsidRDefault="00FF0DAB" w:rsidP="00635755">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Fondos BID</w:t>
            </w:r>
          </w:p>
        </w:tc>
        <w:tc>
          <w:tcPr>
            <w:tcW w:w="1418" w:type="dxa"/>
            <w:tcBorders>
              <w:top w:val="nil"/>
              <w:left w:val="single" w:sz="4" w:space="0" w:color="auto"/>
              <w:bottom w:val="nil"/>
              <w:right w:val="single" w:sz="4" w:space="0" w:color="auto"/>
            </w:tcBorders>
            <w:shd w:val="clear" w:color="auto" w:fill="DAEEF3" w:themeFill="accent5" w:themeFillTint="33"/>
            <w:noWrap/>
            <w:vAlign w:val="bottom"/>
            <w:hideMark/>
          </w:tcPr>
          <w:p w:rsidR="00FF0DAB" w:rsidRPr="00E70693" w:rsidRDefault="00FF0DAB" w:rsidP="00635755">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 xml:space="preserve">Fondos </w:t>
            </w:r>
            <w:proofErr w:type="spellStart"/>
            <w:r w:rsidRPr="00E70693">
              <w:rPr>
                <w:rFonts w:ascii="Arial" w:hAnsi="Arial" w:cs="Arial"/>
                <w:b/>
                <w:bCs/>
                <w:color w:val="000000"/>
                <w:sz w:val="20"/>
                <w:lang w:val="es-PY" w:eastAsia="es-PY"/>
              </w:rPr>
              <w:t>GdN</w:t>
            </w:r>
            <w:proofErr w:type="spellEnd"/>
          </w:p>
        </w:tc>
      </w:tr>
      <w:tr w:rsidR="00FF0DAB" w:rsidRPr="00E70693" w:rsidTr="00635755">
        <w:trPr>
          <w:tblHeader/>
        </w:trPr>
        <w:tc>
          <w:tcPr>
            <w:tcW w:w="2552" w:type="dxa"/>
            <w:tcBorders>
              <w:top w:val="nil"/>
              <w:left w:val="single" w:sz="4" w:space="0" w:color="auto"/>
              <w:bottom w:val="single" w:sz="4" w:space="0" w:color="auto"/>
              <w:right w:val="nil"/>
            </w:tcBorders>
            <w:shd w:val="clear" w:color="auto" w:fill="DAEEF3" w:themeFill="accent5" w:themeFillTint="33"/>
            <w:noWrap/>
            <w:vAlign w:val="bottom"/>
            <w:hideMark/>
          </w:tcPr>
          <w:p w:rsidR="00FF0DAB" w:rsidRPr="00E70693" w:rsidRDefault="00FF0DAB" w:rsidP="00635755">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7" w:type="dxa"/>
            <w:tcBorders>
              <w:top w:val="nil"/>
              <w:left w:val="single" w:sz="4" w:space="0" w:color="auto"/>
              <w:bottom w:val="single" w:sz="4" w:space="0" w:color="auto"/>
              <w:right w:val="nil"/>
            </w:tcBorders>
            <w:shd w:val="clear" w:color="auto" w:fill="DAEEF3" w:themeFill="accent5" w:themeFillTint="33"/>
            <w:noWrap/>
            <w:vAlign w:val="bottom"/>
            <w:hideMark/>
          </w:tcPr>
          <w:p w:rsidR="00FF0DAB" w:rsidRPr="00E70693" w:rsidRDefault="00FF0DAB" w:rsidP="00635755">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c>
          <w:tcPr>
            <w:tcW w:w="1418" w:type="dxa"/>
            <w:tcBorders>
              <w:top w:val="nil"/>
              <w:left w:val="single" w:sz="4" w:space="0" w:color="auto"/>
              <w:bottom w:val="single" w:sz="4" w:space="0" w:color="auto"/>
              <w:right w:val="nil"/>
            </w:tcBorders>
            <w:shd w:val="clear" w:color="auto" w:fill="DAEEF3" w:themeFill="accent5" w:themeFillTint="33"/>
            <w:noWrap/>
            <w:vAlign w:val="bottom"/>
            <w:hideMark/>
          </w:tcPr>
          <w:p w:rsidR="00FF0DAB" w:rsidRPr="00E70693" w:rsidRDefault="00FF0DAB" w:rsidP="00635755">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c>
          <w:tcPr>
            <w:tcW w:w="1417"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FF0DAB" w:rsidRPr="00E70693" w:rsidRDefault="00FF0DAB" w:rsidP="00635755">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c>
          <w:tcPr>
            <w:tcW w:w="1418" w:type="dxa"/>
            <w:tcBorders>
              <w:top w:val="nil"/>
              <w:left w:val="nil"/>
              <w:bottom w:val="single" w:sz="4" w:space="0" w:color="auto"/>
              <w:right w:val="single" w:sz="4" w:space="0" w:color="auto"/>
            </w:tcBorders>
            <w:shd w:val="clear" w:color="auto" w:fill="DAEEF3" w:themeFill="accent5" w:themeFillTint="33"/>
            <w:noWrap/>
            <w:vAlign w:val="bottom"/>
            <w:hideMark/>
          </w:tcPr>
          <w:p w:rsidR="00FF0DAB" w:rsidRPr="00E70693" w:rsidRDefault="00FF0DAB" w:rsidP="00635755">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r>
      <w:tr w:rsidR="00FF0DAB" w:rsidRPr="00E70693" w:rsidTr="00635755">
        <w:trPr>
          <w:tblHeader/>
        </w:trPr>
        <w:tc>
          <w:tcPr>
            <w:tcW w:w="8222" w:type="dxa"/>
            <w:gridSpan w:val="5"/>
            <w:tcBorders>
              <w:top w:val="nil"/>
              <w:left w:val="single" w:sz="4" w:space="0" w:color="auto"/>
              <w:bottom w:val="nil"/>
              <w:right w:val="single" w:sz="4" w:space="0" w:color="auto"/>
            </w:tcBorders>
            <w:shd w:val="clear" w:color="auto" w:fill="auto"/>
            <w:noWrap/>
            <w:hideMark/>
          </w:tcPr>
          <w:p w:rsidR="00FF0DAB" w:rsidRPr="00E70693" w:rsidRDefault="00FF0DAB" w:rsidP="00635755">
            <w:pPr>
              <w:keepNext/>
              <w:rPr>
                <w:rFonts w:ascii="Arial" w:hAnsi="Arial" w:cs="Arial"/>
                <w:b/>
                <w:bCs/>
                <w:color w:val="000000"/>
                <w:sz w:val="20"/>
                <w:lang w:val="es-PY" w:eastAsia="es-PY"/>
              </w:rPr>
            </w:pPr>
            <w:r w:rsidRPr="00E70693">
              <w:rPr>
                <w:rFonts w:ascii="Arial" w:hAnsi="Arial" w:cs="Arial"/>
                <w:b/>
                <w:bCs/>
                <w:color w:val="000000"/>
                <w:sz w:val="20"/>
                <w:lang w:val="es-PY" w:eastAsia="es-PY"/>
              </w:rPr>
              <w:t>Refuerzo de la Carretera Las Flores-Catarina-Guanacaste</w:t>
            </w:r>
          </w:p>
        </w:tc>
      </w:tr>
      <w:tr w:rsidR="00FF0DAB" w:rsidRPr="00E70693" w:rsidTr="00635755">
        <w:tc>
          <w:tcPr>
            <w:tcW w:w="2552"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Contrato base</w:t>
            </w:r>
          </w:p>
        </w:tc>
        <w:tc>
          <w:tcPr>
            <w:tcW w:w="1417"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3.826.143,24</w:t>
            </w:r>
          </w:p>
        </w:tc>
        <w:tc>
          <w:tcPr>
            <w:tcW w:w="1418"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1.187.574,69</w:t>
            </w:r>
          </w:p>
        </w:tc>
        <w:tc>
          <w:tcPr>
            <w:tcW w:w="1417"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3.826.143,24</w:t>
            </w:r>
          </w:p>
        </w:tc>
        <w:tc>
          <w:tcPr>
            <w:tcW w:w="1418" w:type="dxa"/>
            <w:tcBorders>
              <w:top w:val="nil"/>
              <w:left w:val="single" w:sz="4" w:space="0" w:color="auto"/>
              <w:bottom w:val="nil"/>
              <w:right w:val="single" w:sz="4" w:space="0" w:color="auto"/>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1.187.574,69</w:t>
            </w:r>
          </w:p>
        </w:tc>
      </w:tr>
      <w:tr w:rsidR="00FF0DAB" w:rsidRPr="00E70693" w:rsidTr="00635755">
        <w:tc>
          <w:tcPr>
            <w:tcW w:w="2552"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Incremento de obra</w:t>
            </w:r>
          </w:p>
        </w:tc>
        <w:tc>
          <w:tcPr>
            <w:tcW w:w="1417"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8"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7"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8" w:type="dxa"/>
            <w:tcBorders>
              <w:top w:val="nil"/>
              <w:left w:val="single" w:sz="4" w:space="0" w:color="auto"/>
              <w:bottom w:val="nil"/>
              <w:right w:val="single" w:sz="4" w:space="0" w:color="auto"/>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0,00</w:t>
            </w:r>
          </w:p>
        </w:tc>
      </w:tr>
      <w:tr w:rsidR="00FF0DAB" w:rsidRPr="00E70693" w:rsidTr="00635755">
        <w:tc>
          <w:tcPr>
            <w:tcW w:w="2552"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Ajuste de precios</w:t>
            </w:r>
          </w:p>
        </w:tc>
        <w:tc>
          <w:tcPr>
            <w:tcW w:w="1417"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8"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7"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8" w:type="dxa"/>
            <w:tcBorders>
              <w:top w:val="nil"/>
              <w:left w:val="single" w:sz="4" w:space="0" w:color="auto"/>
              <w:bottom w:val="nil"/>
              <w:right w:val="single" w:sz="4" w:space="0" w:color="auto"/>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0,00</w:t>
            </w:r>
          </w:p>
        </w:tc>
      </w:tr>
      <w:tr w:rsidR="00FF0DAB" w:rsidRPr="00E70693" w:rsidTr="00635755">
        <w:tc>
          <w:tcPr>
            <w:tcW w:w="2552"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Sub-total final</w:t>
            </w:r>
          </w:p>
        </w:tc>
        <w:tc>
          <w:tcPr>
            <w:tcW w:w="1417"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3.826.143,24</w:t>
            </w:r>
          </w:p>
        </w:tc>
        <w:tc>
          <w:tcPr>
            <w:tcW w:w="1418" w:type="dxa"/>
            <w:tcBorders>
              <w:top w:val="nil"/>
              <w:left w:val="single" w:sz="4" w:space="0" w:color="auto"/>
              <w:bottom w:val="nil"/>
              <w:right w:val="nil"/>
            </w:tcBorders>
            <w:shd w:val="clear" w:color="auto" w:fill="auto"/>
            <w:noWrap/>
            <w:vAlign w:val="bottom"/>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1.187.574,69</w:t>
            </w:r>
          </w:p>
        </w:tc>
        <w:tc>
          <w:tcPr>
            <w:tcW w:w="1417"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3.826.143,24</w:t>
            </w:r>
          </w:p>
        </w:tc>
        <w:tc>
          <w:tcPr>
            <w:tcW w:w="1418" w:type="dxa"/>
            <w:tcBorders>
              <w:top w:val="nil"/>
              <w:left w:val="single" w:sz="4" w:space="0" w:color="auto"/>
              <w:bottom w:val="nil"/>
              <w:right w:val="single" w:sz="4" w:space="0" w:color="auto"/>
            </w:tcBorders>
            <w:shd w:val="clear" w:color="auto" w:fill="auto"/>
            <w:noWrap/>
            <w:vAlign w:val="bottom"/>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1.187.574,69</w:t>
            </w:r>
          </w:p>
        </w:tc>
      </w:tr>
      <w:tr w:rsidR="00FF0DAB" w:rsidRPr="00E70693" w:rsidTr="00635755">
        <w:tc>
          <w:tcPr>
            <w:tcW w:w="2552" w:type="dxa"/>
            <w:tcBorders>
              <w:top w:val="nil"/>
              <w:left w:val="single" w:sz="4" w:space="0" w:color="auto"/>
              <w:bottom w:val="single" w:sz="4" w:space="0" w:color="auto"/>
              <w:right w:val="nil"/>
            </w:tcBorders>
            <w:shd w:val="clear" w:color="auto" w:fill="auto"/>
            <w:hideMark/>
          </w:tcPr>
          <w:p w:rsidR="00FF0DAB" w:rsidRPr="00E70693" w:rsidRDefault="00FF0DAB" w:rsidP="00FF0DA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Total final</w:t>
            </w:r>
          </w:p>
        </w:tc>
        <w:tc>
          <w:tcPr>
            <w:tcW w:w="1417" w:type="dxa"/>
            <w:tcBorders>
              <w:top w:val="single" w:sz="4" w:space="0" w:color="auto"/>
              <w:left w:val="single" w:sz="4" w:space="0" w:color="auto"/>
              <w:bottom w:val="single" w:sz="4" w:space="0" w:color="auto"/>
              <w:right w:val="nil"/>
            </w:tcBorders>
            <w:shd w:val="clear" w:color="auto" w:fill="auto"/>
            <w:hideMark/>
          </w:tcPr>
          <w:p w:rsidR="00FF0DAB" w:rsidRPr="00E70693" w:rsidRDefault="00FF0DAB" w:rsidP="00FF0DA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DAB" w:rsidRPr="00E70693" w:rsidRDefault="00FF0DAB" w:rsidP="00FF0DA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5.013.717,93</w:t>
            </w:r>
          </w:p>
        </w:tc>
        <w:tc>
          <w:tcPr>
            <w:tcW w:w="1417" w:type="dxa"/>
            <w:tcBorders>
              <w:top w:val="single" w:sz="4" w:space="0" w:color="auto"/>
              <w:left w:val="nil"/>
              <w:bottom w:val="single" w:sz="4" w:space="0" w:color="auto"/>
              <w:right w:val="nil"/>
            </w:tcBorders>
            <w:shd w:val="clear" w:color="auto" w:fill="auto"/>
            <w:hideMark/>
          </w:tcPr>
          <w:p w:rsidR="00FF0DAB" w:rsidRPr="00E70693" w:rsidRDefault="00FF0DAB" w:rsidP="00FF0DA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DAB" w:rsidRPr="00E70693" w:rsidRDefault="00FF0DAB" w:rsidP="00FF0DA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5.013.717,93</w:t>
            </w:r>
          </w:p>
        </w:tc>
      </w:tr>
      <w:tr w:rsidR="00FF0DAB" w:rsidRPr="00E70693" w:rsidTr="00635755">
        <w:tc>
          <w:tcPr>
            <w:tcW w:w="2552" w:type="dxa"/>
            <w:tcBorders>
              <w:top w:val="single" w:sz="4" w:space="0" w:color="auto"/>
              <w:left w:val="single" w:sz="4" w:space="0" w:color="auto"/>
              <w:bottom w:val="single" w:sz="4" w:space="0" w:color="auto"/>
              <w:right w:val="nil"/>
            </w:tcBorders>
            <w:shd w:val="clear" w:color="auto" w:fill="auto"/>
            <w:hideMark/>
          </w:tcPr>
          <w:p w:rsidR="00FF0DAB" w:rsidRPr="00E70693" w:rsidRDefault="00FF0DAB" w:rsidP="00FF0DA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Incremento total</w:t>
            </w:r>
          </w:p>
        </w:tc>
        <w:tc>
          <w:tcPr>
            <w:tcW w:w="1417" w:type="dxa"/>
            <w:tcBorders>
              <w:top w:val="single" w:sz="4" w:space="0" w:color="auto"/>
              <w:left w:val="single" w:sz="4" w:space="0" w:color="auto"/>
              <w:bottom w:val="single" w:sz="4" w:space="0" w:color="auto"/>
              <w:right w:val="nil"/>
            </w:tcBorders>
            <w:shd w:val="clear" w:color="auto" w:fill="auto"/>
            <w:noWrap/>
            <w:vAlign w:val="bottom"/>
            <w:hideMark/>
          </w:tcPr>
          <w:p w:rsidR="00FF0DAB" w:rsidRPr="00E70693" w:rsidRDefault="00FF0DAB" w:rsidP="00FF0DAB">
            <w:pPr>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single" w:sz="4" w:space="0" w:color="auto"/>
              <w:left w:val="nil"/>
              <w:bottom w:val="single" w:sz="4" w:space="0" w:color="auto"/>
              <w:right w:val="nil"/>
            </w:tcBorders>
            <w:shd w:val="clear" w:color="auto" w:fill="auto"/>
            <w:noWrap/>
            <w:vAlign w:val="bottom"/>
            <w:hideMark/>
          </w:tcPr>
          <w:p w:rsidR="00FF0DAB" w:rsidRPr="00E70693" w:rsidRDefault="00FF0DAB" w:rsidP="00FF0DAB">
            <w:pPr>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7" w:type="dxa"/>
            <w:tcBorders>
              <w:top w:val="single" w:sz="4" w:space="0" w:color="auto"/>
              <w:left w:val="nil"/>
              <w:bottom w:val="single" w:sz="4" w:space="0" w:color="auto"/>
              <w:right w:val="nil"/>
            </w:tcBorders>
            <w:shd w:val="clear" w:color="auto" w:fill="auto"/>
            <w:noWrap/>
            <w:vAlign w:val="bottom"/>
            <w:hideMark/>
          </w:tcPr>
          <w:p w:rsidR="00FF0DAB" w:rsidRPr="00E70693" w:rsidRDefault="00FF0DAB" w:rsidP="00FF0DAB">
            <w:pPr>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DAB" w:rsidRPr="00E70693" w:rsidRDefault="00FF0DAB" w:rsidP="00FF0DA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0,00%</w:t>
            </w:r>
          </w:p>
        </w:tc>
      </w:tr>
      <w:tr w:rsidR="00FF0DAB" w:rsidRPr="00E70693" w:rsidTr="00635755">
        <w:tc>
          <w:tcPr>
            <w:tcW w:w="2552" w:type="dxa"/>
            <w:tcBorders>
              <w:top w:val="nil"/>
              <w:left w:val="single" w:sz="4" w:space="0" w:color="auto"/>
              <w:bottom w:val="single" w:sz="4" w:space="0" w:color="auto"/>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Precio US$/Km</w:t>
            </w:r>
          </w:p>
        </w:tc>
        <w:tc>
          <w:tcPr>
            <w:tcW w:w="1417" w:type="dxa"/>
            <w:tcBorders>
              <w:top w:val="nil"/>
              <w:left w:val="single" w:sz="4" w:space="0" w:color="auto"/>
              <w:bottom w:val="single" w:sz="4" w:space="0" w:color="auto"/>
              <w:right w:val="nil"/>
            </w:tcBorders>
            <w:shd w:val="clear" w:color="auto" w:fill="auto"/>
            <w:noWrap/>
            <w:vAlign w:val="bottom"/>
            <w:hideMark/>
          </w:tcPr>
          <w:p w:rsidR="00FF0DAB" w:rsidRPr="00E70693" w:rsidRDefault="00FF0DAB" w:rsidP="00FF0DAB">
            <w:pPr>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nil"/>
              <w:left w:val="nil"/>
              <w:bottom w:val="single" w:sz="4" w:space="0" w:color="auto"/>
              <w:right w:val="single" w:sz="4" w:space="0" w:color="auto"/>
            </w:tcBorders>
            <w:shd w:val="clear" w:color="auto" w:fill="auto"/>
            <w:noWrap/>
            <w:vAlign w:val="bottom"/>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284.870,34</w:t>
            </w:r>
          </w:p>
        </w:tc>
        <w:tc>
          <w:tcPr>
            <w:tcW w:w="1417" w:type="dxa"/>
            <w:tcBorders>
              <w:top w:val="nil"/>
              <w:left w:val="nil"/>
              <w:bottom w:val="single" w:sz="4" w:space="0" w:color="auto"/>
              <w:right w:val="nil"/>
            </w:tcBorders>
            <w:shd w:val="clear" w:color="auto" w:fill="auto"/>
            <w:noWrap/>
            <w:vAlign w:val="bottom"/>
            <w:hideMark/>
          </w:tcPr>
          <w:p w:rsidR="00FF0DAB" w:rsidRPr="00E70693" w:rsidRDefault="00FF0DAB" w:rsidP="00FF0DAB">
            <w:pPr>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nil"/>
              <w:left w:val="nil"/>
              <w:bottom w:val="single" w:sz="4" w:space="0" w:color="auto"/>
              <w:right w:val="single" w:sz="4" w:space="0" w:color="auto"/>
            </w:tcBorders>
            <w:shd w:val="clear" w:color="auto" w:fill="auto"/>
            <w:noWrap/>
            <w:vAlign w:val="bottom"/>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284.870,34</w:t>
            </w:r>
          </w:p>
        </w:tc>
      </w:tr>
    </w:tbl>
    <w:p w:rsidR="00FF0DAB" w:rsidRPr="00E70693" w:rsidRDefault="00FF0DAB" w:rsidP="00FF0DAB">
      <w:pPr>
        <w:ind w:left="709"/>
        <w:jc w:val="both"/>
        <w:rPr>
          <w:rFonts w:ascii="Arial" w:hAnsi="Arial" w:cs="Arial"/>
        </w:rPr>
      </w:pPr>
    </w:p>
    <w:tbl>
      <w:tblPr>
        <w:tblW w:w="8222" w:type="dxa"/>
        <w:tblInd w:w="779" w:type="dxa"/>
        <w:tblCellMar>
          <w:left w:w="70" w:type="dxa"/>
          <w:right w:w="70" w:type="dxa"/>
        </w:tblCellMar>
        <w:tblLook w:val="04A0" w:firstRow="1" w:lastRow="0" w:firstColumn="1" w:lastColumn="0" w:noHBand="0" w:noVBand="1"/>
      </w:tblPr>
      <w:tblGrid>
        <w:gridCol w:w="3969"/>
        <w:gridCol w:w="1418"/>
        <w:gridCol w:w="1417"/>
        <w:gridCol w:w="1418"/>
      </w:tblGrid>
      <w:tr w:rsidR="00FF0DAB" w:rsidRPr="00E70693" w:rsidTr="00635755">
        <w:tc>
          <w:tcPr>
            <w:tcW w:w="3969" w:type="dxa"/>
            <w:tcBorders>
              <w:top w:val="nil"/>
              <w:left w:val="nil"/>
              <w:bottom w:val="nil"/>
              <w:right w:val="nil"/>
            </w:tcBorders>
            <w:shd w:val="clear" w:color="auto" w:fill="auto"/>
            <w:hideMark/>
          </w:tcPr>
          <w:p w:rsidR="00FF0DAB" w:rsidRPr="00E70693" w:rsidRDefault="00FF0DAB" w:rsidP="00FF0DA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Fecha de inicio:</w:t>
            </w:r>
          </w:p>
        </w:tc>
        <w:tc>
          <w:tcPr>
            <w:tcW w:w="1418" w:type="dxa"/>
            <w:tcBorders>
              <w:top w:val="nil"/>
              <w:left w:val="nil"/>
              <w:bottom w:val="nil"/>
              <w:right w:val="nil"/>
            </w:tcBorders>
            <w:shd w:val="clear" w:color="auto" w:fill="auto"/>
            <w:noWrap/>
            <w:vAlign w:val="bottom"/>
            <w:hideMark/>
          </w:tcPr>
          <w:p w:rsidR="00FF0DAB" w:rsidRPr="00E70693" w:rsidRDefault="00FF0DAB" w:rsidP="00FF0DAB">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16/11/2012</w:t>
            </w:r>
          </w:p>
        </w:tc>
        <w:tc>
          <w:tcPr>
            <w:tcW w:w="1417" w:type="dxa"/>
            <w:tcBorders>
              <w:top w:val="nil"/>
              <w:left w:val="nil"/>
              <w:bottom w:val="nil"/>
              <w:right w:val="nil"/>
            </w:tcBorders>
            <w:shd w:val="clear" w:color="auto" w:fill="auto"/>
            <w:noWrap/>
            <w:vAlign w:val="bottom"/>
            <w:hideMark/>
          </w:tcPr>
          <w:p w:rsidR="00FF0DAB" w:rsidRPr="00E70693" w:rsidRDefault="00FF0DAB" w:rsidP="00FF0DAB">
            <w:pPr>
              <w:rPr>
                <w:rFonts w:ascii="Arial" w:hAnsi="Arial" w:cs="Arial"/>
                <w:color w:val="000000"/>
                <w:sz w:val="22"/>
                <w:szCs w:val="22"/>
                <w:lang w:val="es-PY" w:eastAsia="es-PY"/>
              </w:rPr>
            </w:pPr>
          </w:p>
        </w:tc>
        <w:tc>
          <w:tcPr>
            <w:tcW w:w="1418" w:type="dxa"/>
            <w:tcBorders>
              <w:top w:val="nil"/>
              <w:left w:val="nil"/>
              <w:bottom w:val="nil"/>
              <w:right w:val="nil"/>
            </w:tcBorders>
            <w:shd w:val="clear" w:color="auto" w:fill="auto"/>
            <w:noWrap/>
            <w:vAlign w:val="bottom"/>
            <w:hideMark/>
          </w:tcPr>
          <w:p w:rsidR="00FF0DAB" w:rsidRPr="00E70693" w:rsidRDefault="00FF0DAB" w:rsidP="00FF0DAB">
            <w:pPr>
              <w:rPr>
                <w:rFonts w:ascii="Arial" w:hAnsi="Arial" w:cs="Arial"/>
                <w:color w:val="000000"/>
                <w:sz w:val="20"/>
                <w:lang w:val="es-PY" w:eastAsia="es-PY"/>
              </w:rPr>
            </w:pPr>
          </w:p>
        </w:tc>
      </w:tr>
      <w:tr w:rsidR="00FF0DAB" w:rsidRPr="00E70693" w:rsidTr="00635755">
        <w:tc>
          <w:tcPr>
            <w:tcW w:w="3969" w:type="dxa"/>
            <w:tcBorders>
              <w:top w:val="nil"/>
              <w:left w:val="nil"/>
              <w:bottom w:val="nil"/>
              <w:right w:val="nil"/>
            </w:tcBorders>
            <w:shd w:val="clear" w:color="auto" w:fill="auto"/>
            <w:hideMark/>
          </w:tcPr>
          <w:p w:rsidR="00FF0DAB" w:rsidRPr="00E70693" w:rsidRDefault="00FF0DAB" w:rsidP="00FF0DA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Fecha original de conclusión:</w:t>
            </w:r>
          </w:p>
        </w:tc>
        <w:tc>
          <w:tcPr>
            <w:tcW w:w="1418" w:type="dxa"/>
            <w:tcBorders>
              <w:top w:val="nil"/>
              <w:left w:val="nil"/>
              <w:bottom w:val="nil"/>
              <w:right w:val="nil"/>
            </w:tcBorders>
            <w:shd w:val="clear" w:color="auto" w:fill="auto"/>
            <w:noWrap/>
            <w:vAlign w:val="bottom"/>
            <w:hideMark/>
          </w:tcPr>
          <w:p w:rsidR="00FF0DAB" w:rsidRPr="00E70693" w:rsidRDefault="00FF0DAB" w:rsidP="00FF0DAB">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14/04/2013</w:t>
            </w:r>
          </w:p>
        </w:tc>
        <w:tc>
          <w:tcPr>
            <w:tcW w:w="1417" w:type="dxa"/>
            <w:tcBorders>
              <w:top w:val="nil"/>
              <w:left w:val="nil"/>
              <w:bottom w:val="nil"/>
              <w:right w:val="nil"/>
            </w:tcBorders>
            <w:shd w:val="clear" w:color="auto" w:fill="auto"/>
            <w:noWrap/>
            <w:vAlign w:val="bottom"/>
            <w:hideMark/>
          </w:tcPr>
          <w:p w:rsidR="00FF0DAB" w:rsidRPr="00E70693" w:rsidRDefault="00FF0DAB" w:rsidP="00FF0DAB">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149</w:t>
            </w:r>
          </w:p>
        </w:tc>
        <w:tc>
          <w:tcPr>
            <w:tcW w:w="1418" w:type="dxa"/>
            <w:tcBorders>
              <w:top w:val="nil"/>
              <w:left w:val="nil"/>
              <w:bottom w:val="nil"/>
              <w:right w:val="nil"/>
            </w:tcBorders>
            <w:shd w:val="clear" w:color="auto" w:fill="auto"/>
            <w:noWrap/>
            <w:vAlign w:val="bottom"/>
            <w:hideMark/>
          </w:tcPr>
          <w:p w:rsidR="00FF0DAB" w:rsidRPr="00E70693" w:rsidRDefault="00FF0DAB" w:rsidP="00FF0DAB">
            <w:pPr>
              <w:rPr>
                <w:rFonts w:ascii="Arial" w:hAnsi="Arial" w:cs="Arial"/>
                <w:bCs/>
                <w:color w:val="000000"/>
                <w:sz w:val="20"/>
                <w:lang w:val="es-PY" w:eastAsia="es-PY"/>
              </w:rPr>
            </w:pPr>
            <w:r w:rsidRPr="00E70693">
              <w:rPr>
                <w:rFonts w:ascii="Arial" w:hAnsi="Arial" w:cs="Arial"/>
                <w:bCs/>
                <w:color w:val="000000"/>
                <w:sz w:val="20"/>
                <w:lang w:val="es-PY" w:eastAsia="es-PY"/>
              </w:rPr>
              <w:t>días</w:t>
            </w:r>
          </w:p>
        </w:tc>
      </w:tr>
      <w:tr w:rsidR="00FF0DAB" w:rsidRPr="00E70693" w:rsidTr="00635755">
        <w:tc>
          <w:tcPr>
            <w:tcW w:w="3969" w:type="dxa"/>
            <w:tcBorders>
              <w:top w:val="nil"/>
              <w:left w:val="nil"/>
              <w:bottom w:val="nil"/>
              <w:right w:val="nil"/>
            </w:tcBorders>
            <w:shd w:val="clear" w:color="auto" w:fill="auto"/>
            <w:hideMark/>
          </w:tcPr>
          <w:p w:rsidR="00FF0DAB" w:rsidRPr="00E70693" w:rsidRDefault="00FF0DAB" w:rsidP="00FF0DA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Fecha final de conclusión:</w:t>
            </w:r>
          </w:p>
        </w:tc>
        <w:tc>
          <w:tcPr>
            <w:tcW w:w="1418" w:type="dxa"/>
            <w:tcBorders>
              <w:top w:val="nil"/>
              <w:left w:val="nil"/>
              <w:bottom w:val="nil"/>
              <w:right w:val="nil"/>
            </w:tcBorders>
            <w:shd w:val="clear" w:color="auto" w:fill="auto"/>
            <w:noWrap/>
            <w:vAlign w:val="bottom"/>
            <w:hideMark/>
          </w:tcPr>
          <w:p w:rsidR="00FF0DAB" w:rsidRPr="00E70693" w:rsidRDefault="00FF0DAB" w:rsidP="00FF0DAB">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14/04/2013</w:t>
            </w:r>
          </w:p>
        </w:tc>
        <w:tc>
          <w:tcPr>
            <w:tcW w:w="1417" w:type="dxa"/>
            <w:tcBorders>
              <w:top w:val="nil"/>
              <w:left w:val="nil"/>
              <w:bottom w:val="nil"/>
              <w:right w:val="nil"/>
            </w:tcBorders>
            <w:shd w:val="clear" w:color="auto" w:fill="auto"/>
            <w:noWrap/>
            <w:vAlign w:val="bottom"/>
            <w:hideMark/>
          </w:tcPr>
          <w:p w:rsidR="00FF0DAB" w:rsidRPr="00E70693" w:rsidRDefault="00FF0DAB" w:rsidP="00FF0DAB">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149</w:t>
            </w:r>
          </w:p>
        </w:tc>
        <w:tc>
          <w:tcPr>
            <w:tcW w:w="1418" w:type="dxa"/>
            <w:tcBorders>
              <w:top w:val="nil"/>
              <w:left w:val="nil"/>
              <w:bottom w:val="nil"/>
              <w:right w:val="nil"/>
            </w:tcBorders>
            <w:shd w:val="clear" w:color="auto" w:fill="auto"/>
            <w:noWrap/>
            <w:vAlign w:val="bottom"/>
            <w:hideMark/>
          </w:tcPr>
          <w:p w:rsidR="00FF0DAB" w:rsidRPr="00E70693" w:rsidRDefault="00FF0DAB" w:rsidP="00FF0DAB">
            <w:pPr>
              <w:rPr>
                <w:rFonts w:ascii="Arial" w:hAnsi="Arial" w:cs="Arial"/>
                <w:bCs/>
                <w:color w:val="000000"/>
                <w:sz w:val="20"/>
                <w:lang w:val="es-PY" w:eastAsia="es-PY"/>
              </w:rPr>
            </w:pPr>
            <w:r w:rsidRPr="00E70693">
              <w:rPr>
                <w:rFonts w:ascii="Arial" w:hAnsi="Arial" w:cs="Arial"/>
                <w:bCs/>
                <w:color w:val="000000"/>
                <w:sz w:val="20"/>
                <w:lang w:val="es-PY" w:eastAsia="es-PY"/>
              </w:rPr>
              <w:t>días</w:t>
            </w:r>
          </w:p>
        </w:tc>
      </w:tr>
    </w:tbl>
    <w:p w:rsidR="00FF0DAB" w:rsidRPr="00E70693" w:rsidRDefault="00FA2C9A" w:rsidP="00FA2C9A">
      <w:pPr>
        <w:numPr>
          <w:ilvl w:val="1"/>
          <w:numId w:val="1"/>
        </w:numPr>
        <w:tabs>
          <w:tab w:val="clear" w:pos="360"/>
          <w:tab w:val="num" w:pos="709"/>
        </w:tabs>
        <w:spacing w:before="240"/>
        <w:ind w:left="709" w:hanging="709"/>
        <w:jc w:val="both"/>
        <w:rPr>
          <w:rFonts w:ascii="Arial" w:hAnsi="Arial" w:cs="Arial"/>
        </w:rPr>
      </w:pPr>
      <w:bookmarkStart w:id="14" w:name="_Ref394855639"/>
      <w:r w:rsidRPr="00E70693">
        <w:rPr>
          <w:rFonts w:ascii="Arial" w:hAnsi="Arial" w:cs="Arial"/>
          <w:i/>
        </w:rPr>
        <w:t>Construcción de la Circunvalación de Masaya</w:t>
      </w:r>
      <w:r w:rsidRPr="00E70693">
        <w:rPr>
          <w:rFonts w:ascii="Arial" w:hAnsi="Arial" w:cs="Arial"/>
        </w:rPr>
        <w:t xml:space="preserve">. Este proyecto, ejecutado por el MTI, experimentó varios cambios de enfoque a partir de la concepción </w:t>
      </w:r>
      <w:r w:rsidRPr="00E70693">
        <w:rPr>
          <w:rFonts w:ascii="Arial" w:hAnsi="Arial" w:cs="Arial"/>
        </w:rPr>
        <w:lastRenderedPageBreak/>
        <w:t xml:space="preserve">original. Inicialmente se consideró como una carretera de cuatro carriles con pavimento de concreto asfáltico, luego el MTI propuso ejecutarlo con pavimento de concreto hidráulico, contratándose la consultoría del diseño bajo dicho criterio, con fondos nacionales. Posteriormente, con el avance del diseño el consultor contratado adelantó que los costos de construcción de una carretera de cuatro carriles sobrepasaría con creces los recursos previstos en el contrato de préstamo, por lo que el MTI reformuló el proyecto para reducirlo a dos carriles. El diseño final fue revisado por el Auditor Técnico quien recomendó, entre otras, considerar más estrictamente las cantidades estimadas de movimiento de tierra. El diseño fue ajustado y se licitó la obra. Ya en la etapa de construcción surgieron algunas situaciones que obligaron a modificar el diseño geométrico en particular, como la solicitud de </w:t>
      </w:r>
      <w:r w:rsidRPr="00E70693">
        <w:rPr>
          <w:rFonts w:ascii="Arial" w:hAnsi="Arial" w:cs="Arial"/>
          <w:lang w:val="es-ES"/>
        </w:rPr>
        <w:t xml:space="preserve">inamovilidad de los postes de concreto </w:t>
      </w:r>
      <w:r w:rsidRPr="00E70693">
        <w:rPr>
          <w:rFonts w:ascii="Arial" w:hAnsi="Arial" w:cs="Arial"/>
        </w:rPr>
        <w:t xml:space="preserve">de </w:t>
      </w:r>
      <w:r w:rsidRPr="00E70693">
        <w:rPr>
          <w:rFonts w:ascii="Arial" w:hAnsi="Arial" w:cs="Arial"/>
          <w:lang w:val="es-ES"/>
        </w:rPr>
        <w:t>la Empresa Nacional de Transmisión Eléctrica (ENATREL), que obligó a implementar cambios geométricos en el alineamiento de la carretera, modificándose por esta razón los conceptos de obra de movimiento de tierra y misceláneos. Otras modificaciones, propuestas por el MTI con el apoyo de la Supervisión, fueron la adaptación del diseño de drenaje mayor y menor y la corrección de inconsistencias en las medidas de ancho de pavimento en los planos que motivó la variación de cantidades de obras de movimiento de tierra, base estabilizada con cemento y pavimento de concreto hidráulico. Con la no objeción del Banco, estos ajustes, que no implic</w:t>
      </w:r>
      <w:r w:rsidR="006F7850" w:rsidRPr="00E70693">
        <w:rPr>
          <w:rFonts w:ascii="Arial" w:hAnsi="Arial" w:cs="Arial"/>
          <w:lang w:val="es-ES"/>
        </w:rPr>
        <w:t>aron</w:t>
      </w:r>
      <w:r w:rsidRPr="00E70693">
        <w:rPr>
          <w:rFonts w:ascii="Arial" w:hAnsi="Arial" w:cs="Arial"/>
          <w:lang w:val="es-ES"/>
        </w:rPr>
        <w:t xml:space="preserve"> variación del valor del contrato ni del plazo contractual, </w:t>
      </w:r>
      <w:r w:rsidR="00FF0DAB" w:rsidRPr="00E70693">
        <w:rPr>
          <w:rFonts w:ascii="Arial" w:hAnsi="Arial" w:cs="Arial"/>
          <w:lang w:val="es-ES"/>
        </w:rPr>
        <w:t>permitieron</w:t>
      </w:r>
      <w:r w:rsidRPr="00E70693">
        <w:rPr>
          <w:rFonts w:ascii="Arial" w:hAnsi="Arial" w:cs="Arial"/>
          <w:lang w:val="es-ES"/>
        </w:rPr>
        <w:t xml:space="preserve"> la conclusión del proyecto sin mayores dificultades. </w:t>
      </w:r>
      <w:r w:rsidR="00FF0DAB" w:rsidRPr="00E70693">
        <w:rPr>
          <w:rFonts w:ascii="Arial" w:hAnsi="Arial" w:cs="Arial"/>
          <w:lang w:val="es-ES"/>
        </w:rPr>
        <w:t xml:space="preserve">La estructura de costos </w:t>
      </w:r>
      <w:r w:rsidR="00FF0DAB" w:rsidRPr="00E70693">
        <w:rPr>
          <w:rFonts w:ascii="Arial" w:hAnsi="Arial" w:cs="Arial"/>
        </w:rPr>
        <w:t>de costos del contrato de obra es la siguiente.</w:t>
      </w:r>
      <w:bookmarkEnd w:id="14"/>
    </w:p>
    <w:p w:rsidR="00FF0DAB" w:rsidRPr="00E70693" w:rsidRDefault="00FF0DAB" w:rsidP="00FF0DAB">
      <w:pPr>
        <w:ind w:left="709"/>
        <w:jc w:val="both"/>
        <w:rPr>
          <w:rFonts w:ascii="Arial" w:hAnsi="Arial" w:cs="Arial"/>
        </w:rPr>
      </w:pPr>
    </w:p>
    <w:tbl>
      <w:tblPr>
        <w:tblW w:w="8222" w:type="dxa"/>
        <w:tblInd w:w="779" w:type="dxa"/>
        <w:tblCellMar>
          <w:left w:w="70" w:type="dxa"/>
          <w:right w:w="70" w:type="dxa"/>
        </w:tblCellMar>
        <w:tblLook w:val="04A0" w:firstRow="1" w:lastRow="0" w:firstColumn="1" w:lastColumn="0" w:noHBand="0" w:noVBand="1"/>
      </w:tblPr>
      <w:tblGrid>
        <w:gridCol w:w="2552"/>
        <w:gridCol w:w="1417"/>
        <w:gridCol w:w="1420"/>
        <w:gridCol w:w="1417"/>
        <w:gridCol w:w="1420"/>
      </w:tblGrid>
      <w:tr w:rsidR="00FF0DAB" w:rsidRPr="00E70693" w:rsidTr="00635755">
        <w:tc>
          <w:tcPr>
            <w:tcW w:w="2552" w:type="dxa"/>
            <w:tcBorders>
              <w:top w:val="single" w:sz="4" w:space="0" w:color="auto"/>
              <w:left w:val="single" w:sz="4" w:space="0" w:color="auto"/>
              <w:bottom w:val="nil"/>
              <w:right w:val="nil"/>
            </w:tcBorders>
            <w:shd w:val="clear" w:color="auto" w:fill="DAEEF3" w:themeFill="accent5" w:themeFillTint="33"/>
            <w:noWrap/>
            <w:vAlign w:val="bottom"/>
            <w:hideMark/>
          </w:tcPr>
          <w:p w:rsidR="00FF0DAB" w:rsidRPr="00E70693" w:rsidRDefault="00FF0DAB" w:rsidP="00FF0DAB">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Proyecto</w:t>
            </w:r>
          </w:p>
        </w:tc>
        <w:tc>
          <w:tcPr>
            <w:tcW w:w="2835" w:type="dxa"/>
            <w:gridSpan w:val="2"/>
            <w:tcBorders>
              <w:top w:val="single" w:sz="4" w:space="0" w:color="auto"/>
              <w:left w:val="single" w:sz="4" w:space="0" w:color="auto"/>
              <w:bottom w:val="single" w:sz="4" w:space="0" w:color="auto"/>
              <w:right w:val="nil"/>
            </w:tcBorders>
            <w:shd w:val="clear" w:color="auto" w:fill="DAEEF3" w:themeFill="accent5" w:themeFillTint="33"/>
            <w:noWrap/>
            <w:vAlign w:val="bottom"/>
            <w:hideMark/>
          </w:tcPr>
          <w:p w:rsidR="00FF0DAB" w:rsidRPr="00E70693" w:rsidRDefault="00FF0DAB" w:rsidP="00FF0DAB">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Original</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FF0DAB" w:rsidRPr="00E70693" w:rsidRDefault="00FF0DAB" w:rsidP="00FF0DAB">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Final</w:t>
            </w:r>
          </w:p>
        </w:tc>
      </w:tr>
      <w:tr w:rsidR="00FF0DAB" w:rsidRPr="00E70693" w:rsidTr="00635755">
        <w:tc>
          <w:tcPr>
            <w:tcW w:w="2552" w:type="dxa"/>
            <w:tcBorders>
              <w:top w:val="nil"/>
              <w:left w:val="single" w:sz="4" w:space="0" w:color="auto"/>
              <w:bottom w:val="nil"/>
              <w:right w:val="nil"/>
            </w:tcBorders>
            <w:shd w:val="clear" w:color="auto" w:fill="DAEEF3" w:themeFill="accent5" w:themeFillTint="33"/>
            <w:noWrap/>
            <w:vAlign w:val="bottom"/>
            <w:hideMark/>
          </w:tcPr>
          <w:p w:rsidR="00FF0DAB" w:rsidRPr="00E70693" w:rsidRDefault="00FF0DAB" w:rsidP="00FF0DAB">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 </w:t>
            </w:r>
          </w:p>
        </w:tc>
        <w:tc>
          <w:tcPr>
            <w:tcW w:w="1417" w:type="dxa"/>
            <w:tcBorders>
              <w:top w:val="nil"/>
              <w:left w:val="single" w:sz="4" w:space="0" w:color="auto"/>
              <w:bottom w:val="nil"/>
              <w:right w:val="nil"/>
            </w:tcBorders>
            <w:shd w:val="clear" w:color="auto" w:fill="DAEEF3" w:themeFill="accent5" w:themeFillTint="33"/>
            <w:noWrap/>
            <w:vAlign w:val="bottom"/>
            <w:hideMark/>
          </w:tcPr>
          <w:p w:rsidR="00FF0DAB" w:rsidRPr="00E70693" w:rsidRDefault="00FF0DAB" w:rsidP="00FF0DAB">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Fondos BID</w:t>
            </w:r>
          </w:p>
        </w:tc>
        <w:tc>
          <w:tcPr>
            <w:tcW w:w="1418" w:type="dxa"/>
            <w:tcBorders>
              <w:top w:val="nil"/>
              <w:left w:val="single" w:sz="4" w:space="0" w:color="auto"/>
              <w:bottom w:val="nil"/>
              <w:right w:val="nil"/>
            </w:tcBorders>
            <w:shd w:val="clear" w:color="auto" w:fill="DAEEF3" w:themeFill="accent5" w:themeFillTint="33"/>
            <w:noWrap/>
            <w:vAlign w:val="bottom"/>
            <w:hideMark/>
          </w:tcPr>
          <w:p w:rsidR="00FF0DAB" w:rsidRPr="00E70693" w:rsidRDefault="00FF0DAB" w:rsidP="00FF0DAB">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 xml:space="preserve">Fondos </w:t>
            </w:r>
            <w:proofErr w:type="spellStart"/>
            <w:r w:rsidRPr="00E70693">
              <w:rPr>
                <w:rFonts w:ascii="Arial" w:hAnsi="Arial" w:cs="Arial"/>
                <w:b/>
                <w:bCs/>
                <w:color w:val="000000"/>
                <w:sz w:val="20"/>
                <w:lang w:val="es-PY" w:eastAsia="es-PY"/>
              </w:rPr>
              <w:t>GdNI</w:t>
            </w:r>
            <w:proofErr w:type="spellEnd"/>
          </w:p>
        </w:tc>
        <w:tc>
          <w:tcPr>
            <w:tcW w:w="1417" w:type="dxa"/>
            <w:tcBorders>
              <w:top w:val="nil"/>
              <w:left w:val="single" w:sz="4" w:space="0" w:color="auto"/>
              <w:bottom w:val="nil"/>
              <w:right w:val="nil"/>
            </w:tcBorders>
            <w:shd w:val="clear" w:color="auto" w:fill="DAEEF3" w:themeFill="accent5" w:themeFillTint="33"/>
            <w:noWrap/>
            <w:vAlign w:val="bottom"/>
            <w:hideMark/>
          </w:tcPr>
          <w:p w:rsidR="00FF0DAB" w:rsidRPr="00E70693" w:rsidRDefault="00FF0DAB" w:rsidP="00FF0DAB">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Fondos BID</w:t>
            </w:r>
          </w:p>
        </w:tc>
        <w:tc>
          <w:tcPr>
            <w:tcW w:w="1418" w:type="dxa"/>
            <w:tcBorders>
              <w:top w:val="nil"/>
              <w:left w:val="single" w:sz="4" w:space="0" w:color="auto"/>
              <w:bottom w:val="nil"/>
              <w:right w:val="single" w:sz="4" w:space="0" w:color="auto"/>
            </w:tcBorders>
            <w:shd w:val="clear" w:color="auto" w:fill="DAEEF3" w:themeFill="accent5" w:themeFillTint="33"/>
            <w:noWrap/>
            <w:vAlign w:val="bottom"/>
            <w:hideMark/>
          </w:tcPr>
          <w:p w:rsidR="00FF0DAB" w:rsidRPr="00E70693" w:rsidRDefault="00FF0DAB" w:rsidP="00FF0DAB">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 xml:space="preserve">Fondos </w:t>
            </w:r>
            <w:proofErr w:type="spellStart"/>
            <w:r w:rsidRPr="00E70693">
              <w:rPr>
                <w:rFonts w:ascii="Arial" w:hAnsi="Arial" w:cs="Arial"/>
                <w:b/>
                <w:bCs/>
                <w:color w:val="000000"/>
                <w:sz w:val="20"/>
                <w:lang w:val="es-PY" w:eastAsia="es-PY"/>
              </w:rPr>
              <w:t>GdNI</w:t>
            </w:r>
            <w:proofErr w:type="spellEnd"/>
          </w:p>
        </w:tc>
      </w:tr>
      <w:tr w:rsidR="00FF0DAB" w:rsidRPr="00E70693" w:rsidTr="00635755">
        <w:tc>
          <w:tcPr>
            <w:tcW w:w="2552" w:type="dxa"/>
            <w:tcBorders>
              <w:top w:val="nil"/>
              <w:left w:val="single" w:sz="4" w:space="0" w:color="auto"/>
              <w:bottom w:val="single" w:sz="4" w:space="0" w:color="auto"/>
              <w:right w:val="nil"/>
            </w:tcBorders>
            <w:shd w:val="clear" w:color="auto" w:fill="DAEEF3" w:themeFill="accent5" w:themeFillTint="33"/>
            <w:noWrap/>
            <w:vAlign w:val="bottom"/>
            <w:hideMark/>
          </w:tcPr>
          <w:p w:rsidR="00FF0DAB" w:rsidRPr="00E70693" w:rsidRDefault="00FF0DAB" w:rsidP="00FF0DAB">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7" w:type="dxa"/>
            <w:tcBorders>
              <w:top w:val="nil"/>
              <w:left w:val="single" w:sz="4" w:space="0" w:color="auto"/>
              <w:bottom w:val="single" w:sz="4" w:space="0" w:color="auto"/>
              <w:right w:val="nil"/>
            </w:tcBorders>
            <w:shd w:val="clear" w:color="auto" w:fill="DAEEF3" w:themeFill="accent5" w:themeFillTint="33"/>
            <w:noWrap/>
            <w:vAlign w:val="bottom"/>
            <w:hideMark/>
          </w:tcPr>
          <w:p w:rsidR="00FF0DAB" w:rsidRPr="00E70693" w:rsidRDefault="00FF0DAB" w:rsidP="00FF0DAB">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c>
          <w:tcPr>
            <w:tcW w:w="1418" w:type="dxa"/>
            <w:tcBorders>
              <w:top w:val="nil"/>
              <w:left w:val="single" w:sz="4" w:space="0" w:color="auto"/>
              <w:bottom w:val="single" w:sz="4" w:space="0" w:color="auto"/>
              <w:right w:val="nil"/>
            </w:tcBorders>
            <w:shd w:val="clear" w:color="auto" w:fill="DAEEF3" w:themeFill="accent5" w:themeFillTint="33"/>
            <w:noWrap/>
            <w:vAlign w:val="bottom"/>
            <w:hideMark/>
          </w:tcPr>
          <w:p w:rsidR="00FF0DAB" w:rsidRPr="00E70693" w:rsidRDefault="00FF0DAB" w:rsidP="00FF0DAB">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c>
          <w:tcPr>
            <w:tcW w:w="1417"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FF0DAB" w:rsidRPr="00E70693" w:rsidRDefault="00FF0DAB" w:rsidP="00FF0DAB">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c>
          <w:tcPr>
            <w:tcW w:w="1418" w:type="dxa"/>
            <w:tcBorders>
              <w:top w:val="nil"/>
              <w:left w:val="nil"/>
              <w:bottom w:val="single" w:sz="4" w:space="0" w:color="auto"/>
              <w:right w:val="single" w:sz="4" w:space="0" w:color="auto"/>
            </w:tcBorders>
            <w:shd w:val="clear" w:color="auto" w:fill="DAEEF3" w:themeFill="accent5" w:themeFillTint="33"/>
            <w:noWrap/>
            <w:vAlign w:val="bottom"/>
            <w:hideMark/>
          </w:tcPr>
          <w:p w:rsidR="00FF0DAB" w:rsidRPr="00E70693" w:rsidRDefault="00FF0DAB" w:rsidP="00FF0DAB">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r>
      <w:tr w:rsidR="00FF0DAB" w:rsidRPr="00E70693" w:rsidTr="00635755">
        <w:tc>
          <w:tcPr>
            <w:tcW w:w="8222" w:type="dxa"/>
            <w:gridSpan w:val="5"/>
            <w:tcBorders>
              <w:top w:val="nil"/>
              <w:left w:val="single" w:sz="4" w:space="0" w:color="auto"/>
              <w:bottom w:val="nil"/>
              <w:right w:val="single" w:sz="4" w:space="0" w:color="auto"/>
            </w:tcBorders>
            <w:shd w:val="clear" w:color="auto" w:fill="auto"/>
            <w:noWrap/>
            <w:hideMark/>
          </w:tcPr>
          <w:p w:rsidR="00FF0DAB" w:rsidRPr="00E70693" w:rsidRDefault="00FF0DAB" w:rsidP="00FF0DAB">
            <w:pPr>
              <w:keepNext/>
              <w:rPr>
                <w:rFonts w:ascii="Arial" w:hAnsi="Arial" w:cs="Arial"/>
                <w:b/>
                <w:bCs/>
                <w:color w:val="000000"/>
                <w:sz w:val="20"/>
                <w:lang w:val="es-PY" w:eastAsia="es-PY"/>
              </w:rPr>
            </w:pPr>
            <w:r w:rsidRPr="00E70693">
              <w:rPr>
                <w:rFonts w:ascii="Arial" w:hAnsi="Arial" w:cs="Arial"/>
                <w:b/>
                <w:bCs/>
                <w:color w:val="000000"/>
                <w:sz w:val="20"/>
                <w:lang w:val="es-PY" w:eastAsia="es-PY"/>
              </w:rPr>
              <w:t>Construcción de la Circunvalación de Masaya</w:t>
            </w:r>
          </w:p>
        </w:tc>
      </w:tr>
      <w:tr w:rsidR="00FF0DAB" w:rsidRPr="00E70693" w:rsidTr="00635755">
        <w:tc>
          <w:tcPr>
            <w:tcW w:w="2552"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Contrato base</w:t>
            </w:r>
          </w:p>
        </w:tc>
        <w:tc>
          <w:tcPr>
            <w:tcW w:w="1417"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7.410.878,12</w:t>
            </w:r>
          </w:p>
        </w:tc>
        <w:tc>
          <w:tcPr>
            <w:tcW w:w="1418"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3.933.126,88</w:t>
            </w:r>
          </w:p>
        </w:tc>
        <w:tc>
          <w:tcPr>
            <w:tcW w:w="1417"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7.410.878,12</w:t>
            </w:r>
          </w:p>
        </w:tc>
        <w:tc>
          <w:tcPr>
            <w:tcW w:w="1418" w:type="dxa"/>
            <w:tcBorders>
              <w:top w:val="nil"/>
              <w:left w:val="single" w:sz="4" w:space="0" w:color="auto"/>
              <w:bottom w:val="nil"/>
              <w:right w:val="single" w:sz="4" w:space="0" w:color="auto"/>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3.933.126,88</w:t>
            </w:r>
          </w:p>
        </w:tc>
      </w:tr>
      <w:tr w:rsidR="00FF0DAB" w:rsidRPr="00E70693" w:rsidTr="00635755">
        <w:tc>
          <w:tcPr>
            <w:tcW w:w="2552"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Incremento de obra</w:t>
            </w:r>
          </w:p>
        </w:tc>
        <w:tc>
          <w:tcPr>
            <w:tcW w:w="1417"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8"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7"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8" w:type="dxa"/>
            <w:tcBorders>
              <w:top w:val="nil"/>
              <w:left w:val="single" w:sz="4" w:space="0" w:color="auto"/>
              <w:bottom w:val="nil"/>
              <w:right w:val="single" w:sz="4" w:space="0" w:color="auto"/>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0,00</w:t>
            </w:r>
          </w:p>
        </w:tc>
      </w:tr>
      <w:tr w:rsidR="00FF0DAB" w:rsidRPr="00E70693" w:rsidTr="00635755">
        <w:tc>
          <w:tcPr>
            <w:tcW w:w="2552"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Ajuste de precios</w:t>
            </w:r>
          </w:p>
        </w:tc>
        <w:tc>
          <w:tcPr>
            <w:tcW w:w="1417"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8"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7"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8" w:type="dxa"/>
            <w:tcBorders>
              <w:top w:val="nil"/>
              <w:left w:val="single" w:sz="4" w:space="0" w:color="auto"/>
              <w:bottom w:val="nil"/>
              <w:right w:val="single" w:sz="4" w:space="0" w:color="auto"/>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0,00</w:t>
            </w:r>
          </w:p>
        </w:tc>
      </w:tr>
      <w:tr w:rsidR="00FF0DAB" w:rsidRPr="00E70693" w:rsidTr="00635755">
        <w:tc>
          <w:tcPr>
            <w:tcW w:w="2552"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Sub-total final</w:t>
            </w:r>
          </w:p>
        </w:tc>
        <w:tc>
          <w:tcPr>
            <w:tcW w:w="1417"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7.410.878,12</w:t>
            </w:r>
          </w:p>
        </w:tc>
        <w:tc>
          <w:tcPr>
            <w:tcW w:w="1418" w:type="dxa"/>
            <w:tcBorders>
              <w:top w:val="nil"/>
              <w:left w:val="single" w:sz="4" w:space="0" w:color="auto"/>
              <w:bottom w:val="nil"/>
              <w:right w:val="nil"/>
            </w:tcBorders>
            <w:shd w:val="clear" w:color="auto" w:fill="auto"/>
            <w:noWrap/>
            <w:vAlign w:val="bottom"/>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3.933.126,88</w:t>
            </w:r>
          </w:p>
        </w:tc>
        <w:tc>
          <w:tcPr>
            <w:tcW w:w="1417" w:type="dxa"/>
            <w:tcBorders>
              <w:top w:val="nil"/>
              <w:left w:val="single" w:sz="4" w:space="0" w:color="auto"/>
              <w:bottom w:val="nil"/>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7.410.878,12</w:t>
            </w:r>
          </w:p>
        </w:tc>
        <w:tc>
          <w:tcPr>
            <w:tcW w:w="1418" w:type="dxa"/>
            <w:tcBorders>
              <w:top w:val="nil"/>
              <w:left w:val="single" w:sz="4" w:space="0" w:color="auto"/>
              <w:bottom w:val="nil"/>
              <w:right w:val="single" w:sz="4" w:space="0" w:color="auto"/>
            </w:tcBorders>
            <w:shd w:val="clear" w:color="auto" w:fill="auto"/>
            <w:noWrap/>
            <w:vAlign w:val="bottom"/>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3.933.126,88</w:t>
            </w:r>
          </w:p>
        </w:tc>
      </w:tr>
      <w:tr w:rsidR="00FF0DAB" w:rsidRPr="00E70693" w:rsidTr="00635755">
        <w:tc>
          <w:tcPr>
            <w:tcW w:w="2552" w:type="dxa"/>
            <w:tcBorders>
              <w:top w:val="nil"/>
              <w:left w:val="single" w:sz="4" w:space="0" w:color="auto"/>
              <w:bottom w:val="single" w:sz="4" w:space="0" w:color="auto"/>
              <w:right w:val="nil"/>
            </w:tcBorders>
            <w:shd w:val="clear" w:color="auto" w:fill="auto"/>
            <w:hideMark/>
          </w:tcPr>
          <w:p w:rsidR="00FF0DAB" w:rsidRPr="00E70693" w:rsidRDefault="00FF0DAB" w:rsidP="00FF0DA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Total final</w:t>
            </w:r>
          </w:p>
        </w:tc>
        <w:tc>
          <w:tcPr>
            <w:tcW w:w="1417" w:type="dxa"/>
            <w:tcBorders>
              <w:top w:val="single" w:sz="4" w:space="0" w:color="auto"/>
              <w:left w:val="single" w:sz="4" w:space="0" w:color="auto"/>
              <w:bottom w:val="single" w:sz="4" w:space="0" w:color="auto"/>
              <w:right w:val="nil"/>
            </w:tcBorders>
            <w:shd w:val="clear" w:color="auto" w:fill="auto"/>
            <w:hideMark/>
          </w:tcPr>
          <w:p w:rsidR="00FF0DAB" w:rsidRPr="00E70693" w:rsidRDefault="00FF0DAB" w:rsidP="00FF0DA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DAB" w:rsidRPr="00E70693" w:rsidRDefault="00FF0DAB" w:rsidP="00FF0DA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11.344.005,00</w:t>
            </w:r>
          </w:p>
        </w:tc>
        <w:tc>
          <w:tcPr>
            <w:tcW w:w="1417" w:type="dxa"/>
            <w:tcBorders>
              <w:top w:val="single" w:sz="4" w:space="0" w:color="auto"/>
              <w:left w:val="nil"/>
              <w:bottom w:val="single" w:sz="4" w:space="0" w:color="auto"/>
              <w:right w:val="nil"/>
            </w:tcBorders>
            <w:shd w:val="clear" w:color="auto" w:fill="auto"/>
            <w:hideMark/>
          </w:tcPr>
          <w:p w:rsidR="00FF0DAB" w:rsidRPr="00E70693" w:rsidRDefault="00FF0DAB" w:rsidP="00FF0DA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DAB" w:rsidRPr="00E70693" w:rsidRDefault="00FF0DAB" w:rsidP="00FF0DA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11.344.005,00</w:t>
            </w:r>
          </w:p>
        </w:tc>
      </w:tr>
      <w:tr w:rsidR="00FF0DAB" w:rsidRPr="00E70693" w:rsidTr="00635755">
        <w:tc>
          <w:tcPr>
            <w:tcW w:w="2552" w:type="dxa"/>
            <w:tcBorders>
              <w:top w:val="single" w:sz="4" w:space="0" w:color="auto"/>
              <w:left w:val="single" w:sz="4" w:space="0" w:color="auto"/>
              <w:bottom w:val="single" w:sz="4" w:space="0" w:color="auto"/>
              <w:right w:val="nil"/>
            </w:tcBorders>
            <w:shd w:val="clear" w:color="auto" w:fill="auto"/>
            <w:hideMark/>
          </w:tcPr>
          <w:p w:rsidR="00FF0DAB" w:rsidRPr="00E70693" w:rsidRDefault="00FF0DAB" w:rsidP="00FF0DA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Incremento total</w:t>
            </w:r>
          </w:p>
        </w:tc>
        <w:tc>
          <w:tcPr>
            <w:tcW w:w="1417" w:type="dxa"/>
            <w:tcBorders>
              <w:top w:val="single" w:sz="4" w:space="0" w:color="auto"/>
              <w:left w:val="single" w:sz="4" w:space="0" w:color="auto"/>
              <w:bottom w:val="single" w:sz="4" w:space="0" w:color="auto"/>
              <w:right w:val="nil"/>
            </w:tcBorders>
            <w:shd w:val="clear" w:color="auto" w:fill="auto"/>
            <w:noWrap/>
            <w:vAlign w:val="bottom"/>
            <w:hideMark/>
          </w:tcPr>
          <w:p w:rsidR="00FF0DAB" w:rsidRPr="00E70693" w:rsidRDefault="00FF0DAB" w:rsidP="00FF0DAB">
            <w:pPr>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single" w:sz="4" w:space="0" w:color="auto"/>
              <w:left w:val="nil"/>
              <w:bottom w:val="single" w:sz="4" w:space="0" w:color="auto"/>
              <w:right w:val="nil"/>
            </w:tcBorders>
            <w:shd w:val="clear" w:color="auto" w:fill="auto"/>
            <w:noWrap/>
            <w:vAlign w:val="bottom"/>
            <w:hideMark/>
          </w:tcPr>
          <w:p w:rsidR="00FF0DAB" w:rsidRPr="00E70693" w:rsidRDefault="00FF0DAB" w:rsidP="00FF0DAB">
            <w:pPr>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7" w:type="dxa"/>
            <w:tcBorders>
              <w:top w:val="single" w:sz="4" w:space="0" w:color="auto"/>
              <w:left w:val="nil"/>
              <w:bottom w:val="single" w:sz="4" w:space="0" w:color="auto"/>
              <w:right w:val="nil"/>
            </w:tcBorders>
            <w:shd w:val="clear" w:color="auto" w:fill="auto"/>
            <w:noWrap/>
            <w:vAlign w:val="bottom"/>
            <w:hideMark/>
          </w:tcPr>
          <w:p w:rsidR="00FF0DAB" w:rsidRPr="00E70693" w:rsidRDefault="00FF0DAB" w:rsidP="00FF0DAB">
            <w:pPr>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F0DAB" w:rsidRPr="00E70693" w:rsidRDefault="00FF0DAB" w:rsidP="00FF0DA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0,00%</w:t>
            </w:r>
          </w:p>
        </w:tc>
      </w:tr>
      <w:tr w:rsidR="00FF0DAB" w:rsidRPr="00E70693" w:rsidTr="00635755">
        <w:tc>
          <w:tcPr>
            <w:tcW w:w="2552" w:type="dxa"/>
            <w:tcBorders>
              <w:top w:val="nil"/>
              <w:left w:val="single" w:sz="4" w:space="0" w:color="auto"/>
              <w:bottom w:val="single" w:sz="4" w:space="0" w:color="auto"/>
              <w:right w:val="nil"/>
            </w:tcBorders>
            <w:shd w:val="clear" w:color="auto" w:fill="auto"/>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Precio US$/Km</w:t>
            </w:r>
          </w:p>
        </w:tc>
        <w:tc>
          <w:tcPr>
            <w:tcW w:w="1417" w:type="dxa"/>
            <w:tcBorders>
              <w:top w:val="nil"/>
              <w:left w:val="single" w:sz="4" w:space="0" w:color="auto"/>
              <w:bottom w:val="single" w:sz="4" w:space="0" w:color="auto"/>
              <w:right w:val="nil"/>
            </w:tcBorders>
            <w:shd w:val="clear" w:color="auto" w:fill="auto"/>
            <w:noWrap/>
            <w:vAlign w:val="bottom"/>
            <w:hideMark/>
          </w:tcPr>
          <w:p w:rsidR="00FF0DAB" w:rsidRPr="00E70693" w:rsidRDefault="00FF0DAB" w:rsidP="00FF0DAB">
            <w:pPr>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nil"/>
              <w:left w:val="nil"/>
              <w:bottom w:val="single" w:sz="4" w:space="0" w:color="auto"/>
              <w:right w:val="single" w:sz="4" w:space="0" w:color="auto"/>
            </w:tcBorders>
            <w:shd w:val="clear" w:color="auto" w:fill="auto"/>
            <w:noWrap/>
            <w:vAlign w:val="bottom"/>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1.668.236,03</w:t>
            </w:r>
          </w:p>
        </w:tc>
        <w:tc>
          <w:tcPr>
            <w:tcW w:w="1417" w:type="dxa"/>
            <w:tcBorders>
              <w:top w:val="nil"/>
              <w:left w:val="nil"/>
              <w:bottom w:val="single" w:sz="4" w:space="0" w:color="auto"/>
              <w:right w:val="nil"/>
            </w:tcBorders>
            <w:shd w:val="clear" w:color="auto" w:fill="auto"/>
            <w:noWrap/>
            <w:vAlign w:val="bottom"/>
            <w:hideMark/>
          </w:tcPr>
          <w:p w:rsidR="00FF0DAB" w:rsidRPr="00E70693" w:rsidRDefault="00FF0DAB" w:rsidP="00FF0DAB">
            <w:pPr>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nil"/>
              <w:left w:val="nil"/>
              <w:bottom w:val="single" w:sz="4" w:space="0" w:color="auto"/>
              <w:right w:val="single" w:sz="4" w:space="0" w:color="auto"/>
            </w:tcBorders>
            <w:shd w:val="clear" w:color="auto" w:fill="auto"/>
            <w:noWrap/>
            <w:vAlign w:val="bottom"/>
            <w:hideMark/>
          </w:tcPr>
          <w:p w:rsidR="00FF0DAB" w:rsidRPr="00E70693" w:rsidRDefault="00FF0DAB" w:rsidP="00FF0DAB">
            <w:pPr>
              <w:jc w:val="right"/>
              <w:rPr>
                <w:rFonts w:ascii="Arial" w:hAnsi="Arial" w:cs="Arial"/>
                <w:color w:val="000000"/>
                <w:sz w:val="20"/>
                <w:lang w:val="es-PY" w:eastAsia="es-PY"/>
              </w:rPr>
            </w:pPr>
            <w:r w:rsidRPr="00E70693">
              <w:rPr>
                <w:rFonts w:ascii="Arial" w:hAnsi="Arial" w:cs="Arial"/>
                <w:color w:val="000000"/>
                <w:sz w:val="20"/>
                <w:lang w:val="es-PY" w:eastAsia="es-PY"/>
              </w:rPr>
              <w:t>1.668.236,03</w:t>
            </w:r>
          </w:p>
        </w:tc>
      </w:tr>
    </w:tbl>
    <w:p w:rsidR="00FF0DAB" w:rsidRPr="00E70693" w:rsidRDefault="00FF0DAB" w:rsidP="00FF0DAB">
      <w:pPr>
        <w:ind w:left="709"/>
        <w:jc w:val="both"/>
        <w:rPr>
          <w:rFonts w:ascii="Arial" w:hAnsi="Arial" w:cs="Arial"/>
          <w:lang w:val="es-ES"/>
        </w:rPr>
      </w:pPr>
      <w:r w:rsidRPr="00E70693">
        <w:rPr>
          <w:rFonts w:ascii="Arial" w:hAnsi="Arial" w:cs="Arial"/>
          <w:lang w:val="es-ES"/>
        </w:rPr>
        <w:t xml:space="preserve"> </w:t>
      </w:r>
    </w:p>
    <w:tbl>
      <w:tblPr>
        <w:tblW w:w="8222" w:type="dxa"/>
        <w:tblInd w:w="779" w:type="dxa"/>
        <w:tblCellMar>
          <w:left w:w="70" w:type="dxa"/>
          <w:right w:w="70" w:type="dxa"/>
        </w:tblCellMar>
        <w:tblLook w:val="04A0" w:firstRow="1" w:lastRow="0" w:firstColumn="1" w:lastColumn="0" w:noHBand="0" w:noVBand="1"/>
      </w:tblPr>
      <w:tblGrid>
        <w:gridCol w:w="3969"/>
        <w:gridCol w:w="1418"/>
        <w:gridCol w:w="1417"/>
        <w:gridCol w:w="1418"/>
      </w:tblGrid>
      <w:tr w:rsidR="00FF0DAB" w:rsidRPr="00E70693" w:rsidTr="00635755">
        <w:tc>
          <w:tcPr>
            <w:tcW w:w="3969" w:type="dxa"/>
            <w:tcBorders>
              <w:top w:val="nil"/>
              <w:left w:val="nil"/>
              <w:bottom w:val="nil"/>
              <w:right w:val="nil"/>
            </w:tcBorders>
            <w:shd w:val="clear" w:color="auto" w:fill="auto"/>
            <w:hideMark/>
          </w:tcPr>
          <w:p w:rsidR="00FF0DAB" w:rsidRPr="00E70693" w:rsidRDefault="00FF0DAB" w:rsidP="00FF0DA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Fecha de inicio:</w:t>
            </w:r>
          </w:p>
        </w:tc>
        <w:tc>
          <w:tcPr>
            <w:tcW w:w="1418" w:type="dxa"/>
            <w:tcBorders>
              <w:top w:val="nil"/>
              <w:left w:val="nil"/>
              <w:bottom w:val="nil"/>
              <w:right w:val="nil"/>
            </w:tcBorders>
            <w:shd w:val="clear" w:color="auto" w:fill="auto"/>
            <w:noWrap/>
            <w:vAlign w:val="bottom"/>
            <w:hideMark/>
          </w:tcPr>
          <w:p w:rsidR="00FF0DAB" w:rsidRPr="00E70693" w:rsidRDefault="00FF0DAB" w:rsidP="00FF0DAB">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24/01/2013</w:t>
            </w:r>
          </w:p>
        </w:tc>
        <w:tc>
          <w:tcPr>
            <w:tcW w:w="1417" w:type="dxa"/>
            <w:tcBorders>
              <w:top w:val="nil"/>
              <w:left w:val="nil"/>
              <w:bottom w:val="nil"/>
              <w:right w:val="nil"/>
            </w:tcBorders>
            <w:shd w:val="clear" w:color="auto" w:fill="auto"/>
            <w:noWrap/>
            <w:vAlign w:val="bottom"/>
            <w:hideMark/>
          </w:tcPr>
          <w:p w:rsidR="00FF0DAB" w:rsidRPr="00E70693" w:rsidRDefault="00FF0DAB" w:rsidP="00FF0DAB">
            <w:pPr>
              <w:rPr>
                <w:rFonts w:ascii="Arial" w:hAnsi="Arial" w:cs="Arial"/>
                <w:color w:val="000000"/>
                <w:sz w:val="22"/>
                <w:szCs w:val="22"/>
                <w:lang w:val="es-PY" w:eastAsia="es-PY"/>
              </w:rPr>
            </w:pPr>
          </w:p>
        </w:tc>
        <w:tc>
          <w:tcPr>
            <w:tcW w:w="1418" w:type="dxa"/>
            <w:tcBorders>
              <w:top w:val="nil"/>
              <w:left w:val="nil"/>
              <w:bottom w:val="nil"/>
              <w:right w:val="nil"/>
            </w:tcBorders>
            <w:shd w:val="clear" w:color="auto" w:fill="auto"/>
            <w:noWrap/>
            <w:vAlign w:val="bottom"/>
            <w:hideMark/>
          </w:tcPr>
          <w:p w:rsidR="00FF0DAB" w:rsidRPr="00E70693" w:rsidRDefault="00FF0DAB" w:rsidP="00FF0DAB">
            <w:pPr>
              <w:rPr>
                <w:rFonts w:ascii="Arial" w:hAnsi="Arial" w:cs="Arial"/>
                <w:color w:val="000000"/>
                <w:sz w:val="20"/>
                <w:lang w:val="es-PY" w:eastAsia="es-PY"/>
              </w:rPr>
            </w:pPr>
          </w:p>
        </w:tc>
      </w:tr>
      <w:tr w:rsidR="00FF0DAB" w:rsidRPr="00E70693" w:rsidTr="00635755">
        <w:tc>
          <w:tcPr>
            <w:tcW w:w="3969" w:type="dxa"/>
            <w:tcBorders>
              <w:top w:val="nil"/>
              <w:left w:val="nil"/>
              <w:bottom w:val="nil"/>
              <w:right w:val="nil"/>
            </w:tcBorders>
            <w:shd w:val="clear" w:color="auto" w:fill="auto"/>
            <w:hideMark/>
          </w:tcPr>
          <w:p w:rsidR="00FF0DAB" w:rsidRPr="00E70693" w:rsidRDefault="00FF0DAB" w:rsidP="00FF0DA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Fecha original de conclusión:</w:t>
            </w:r>
          </w:p>
        </w:tc>
        <w:tc>
          <w:tcPr>
            <w:tcW w:w="1418" w:type="dxa"/>
            <w:tcBorders>
              <w:top w:val="nil"/>
              <w:left w:val="nil"/>
              <w:bottom w:val="nil"/>
              <w:right w:val="nil"/>
            </w:tcBorders>
            <w:shd w:val="clear" w:color="auto" w:fill="auto"/>
            <w:noWrap/>
            <w:vAlign w:val="bottom"/>
            <w:hideMark/>
          </w:tcPr>
          <w:p w:rsidR="00FF0DAB" w:rsidRPr="00E70693" w:rsidRDefault="00FF0DAB" w:rsidP="00FF0DAB">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20/09/2013</w:t>
            </w:r>
          </w:p>
        </w:tc>
        <w:tc>
          <w:tcPr>
            <w:tcW w:w="1417" w:type="dxa"/>
            <w:tcBorders>
              <w:top w:val="nil"/>
              <w:left w:val="nil"/>
              <w:bottom w:val="nil"/>
              <w:right w:val="nil"/>
            </w:tcBorders>
            <w:shd w:val="clear" w:color="auto" w:fill="auto"/>
            <w:noWrap/>
            <w:vAlign w:val="bottom"/>
            <w:hideMark/>
          </w:tcPr>
          <w:p w:rsidR="00FF0DAB" w:rsidRPr="00E70693" w:rsidRDefault="00FF0DAB" w:rsidP="00FF0DAB">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239</w:t>
            </w:r>
          </w:p>
        </w:tc>
        <w:tc>
          <w:tcPr>
            <w:tcW w:w="1418" w:type="dxa"/>
            <w:tcBorders>
              <w:top w:val="nil"/>
              <w:left w:val="nil"/>
              <w:bottom w:val="nil"/>
              <w:right w:val="nil"/>
            </w:tcBorders>
            <w:shd w:val="clear" w:color="auto" w:fill="auto"/>
            <w:noWrap/>
            <w:vAlign w:val="bottom"/>
            <w:hideMark/>
          </w:tcPr>
          <w:p w:rsidR="00FF0DAB" w:rsidRPr="00E70693" w:rsidRDefault="00FF0DAB" w:rsidP="00FF0DAB">
            <w:pPr>
              <w:rPr>
                <w:rFonts w:ascii="Arial" w:hAnsi="Arial" w:cs="Arial"/>
                <w:bCs/>
                <w:color w:val="000000"/>
                <w:sz w:val="20"/>
                <w:lang w:val="es-PY" w:eastAsia="es-PY"/>
              </w:rPr>
            </w:pPr>
            <w:r w:rsidRPr="00E70693">
              <w:rPr>
                <w:rFonts w:ascii="Arial" w:hAnsi="Arial" w:cs="Arial"/>
                <w:bCs/>
                <w:color w:val="000000"/>
                <w:sz w:val="20"/>
                <w:lang w:val="es-PY" w:eastAsia="es-PY"/>
              </w:rPr>
              <w:t>días</w:t>
            </w:r>
          </w:p>
        </w:tc>
      </w:tr>
      <w:tr w:rsidR="00FF0DAB" w:rsidRPr="00E70693" w:rsidTr="00635755">
        <w:tc>
          <w:tcPr>
            <w:tcW w:w="3969" w:type="dxa"/>
            <w:tcBorders>
              <w:top w:val="nil"/>
              <w:left w:val="nil"/>
              <w:bottom w:val="nil"/>
              <w:right w:val="nil"/>
            </w:tcBorders>
            <w:shd w:val="clear" w:color="auto" w:fill="auto"/>
            <w:hideMark/>
          </w:tcPr>
          <w:p w:rsidR="00FF0DAB" w:rsidRPr="00E70693" w:rsidRDefault="00FF0DAB" w:rsidP="00FF0DA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Fecha fina de conclusión:</w:t>
            </w:r>
          </w:p>
        </w:tc>
        <w:tc>
          <w:tcPr>
            <w:tcW w:w="1418" w:type="dxa"/>
            <w:tcBorders>
              <w:top w:val="nil"/>
              <w:left w:val="nil"/>
              <w:bottom w:val="nil"/>
              <w:right w:val="nil"/>
            </w:tcBorders>
            <w:shd w:val="clear" w:color="auto" w:fill="auto"/>
            <w:noWrap/>
            <w:vAlign w:val="bottom"/>
            <w:hideMark/>
          </w:tcPr>
          <w:p w:rsidR="00FF0DAB" w:rsidRPr="00E70693" w:rsidRDefault="00FF0DAB" w:rsidP="00FF0DAB">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04/11/2013</w:t>
            </w:r>
          </w:p>
        </w:tc>
        <w:tc>
          <w:tcPr>
            <w:tcW w:w="1417" w:type="dxa"/>
            <w:tcBorders>
              <w:top w:val="nil"/>
              <w:left w:val="nil"/>
              <w:bottom w:val="nil"/>
              <w:right w:val="nil"/>
            </w:tcBorders>
            <w:shd w:val="clear" w:color="auto" w:fill="auto"/>
            <w:noWrap/>
            <w:vAlign w:val="bottom"/>
            <w:hideMark/>
          </w:tcPr>
          <w:p w:rsidR="00FF0DAB" w:rsidRPr="00E70693" w:rsidRDefault="00FF0DAB" w:rsidP="00FF0DAB">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284</w:t>
            </w:r>
          </w:p>
        </w:tc>
        <w:tc>
          <w:tcPr>
            <w:tcW w:w="1418" w:type="dxa"/>
            <w:tcBorders>
              <w:top w:val="nil"/>
              <w:left w:val="nil"/>
              <w:bottom w:val="nil"/>
              <w:right w:val="nil"/>
            </w:tcBorders>
            <w:shd w:val="clear" w:color="auto" w:fill="auto"/>
            <w:noWrap/>
            <w:vAlign w:val="bottom"/>
            <w:hideMark/>
          </w:tcPr>
          <w:p w:rsidR="00FF0DAB" w:rsidRPr="00E70693" w:rsidRDefault="00FF0DAB" w:rsidP="00FF0DAB">
            <w:pPr>
              <w:rPr>
                <w:rFonts w:ascii="Arial" w:hAnsi="Arial" w:cs="Arial"/>
                <w:bCs/>
                <w:color w:val="000000"/>
                <w:sz w:val="20"/>
                <w:lang w:val="es-PY" w:eastAsia="es-PY"/>
              </w:rPr>
            </w:pPr>
            <w:r w:rsidRPr="00E70693">
              <w:rPr>
                <w:rFonts w:ascii="Arial" w:hAnsi="Arial" w:cs="Arial"/>
                <w:bCs/>
                <w:color w:val="000000"/>
                <w:sz w:val="20"/>
                <w:lang w:val="es-PY" w:eastAsia="es-PY"/>
              </w:rPr>
              <w:t>días</w:t>
            </w:r>
          </w:p>
        </w:tc>
      </w:tr>
      <w:tr w:rsidR="00FF0DAB" w:rsidRPr="00E70693" w:rsidTr="00635755">
        <w:tc>
          <w:tcPr>
            <w:tcW w:w="3969" w:type="dxa"/>
            <w:tcBorders>
              <w:top w:val="nil"/>
              <w:left w:val="nil"/>
              <w:bottom w:val="nil"/>
              <w:right w:val="nil"/>
            </w:tcBorders>
            <w:shd w:val="clear" w:color="auto" w:fill="auto"/>
          </w:tcPr>
          <w:p w:rsidR="00FF0DAB" w:rsidRPr="00E70693" w:rsidRDefault="00FF0DAB" w:rsidP="00FF0DAB">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Incremento:</w:t>
            </w:r>
          </w:p>
        </w:tc>
        <w:tc>
          <w:tcPr>
            <w:tcW w:w="1418" w:type="dxa"/>
            <w:tcBorders>
              <w:top w:val="nil"/>
              <w:left w:val="nil"/>
              <w:bottom w:val="nil"/>
              <w:right w:val="nil"/>
            </w:tcBorders>
            <w:shd w:val="clear" w:color="auto" w:fill="auto"/>
            <w:noWrap/>
            <w:vAlign w:val="bottom"/>
          </w:tcPr>
          <w:p w:rsidR="00FF0DAB" w:rsidRPr="00E70693" w:rsidRDefault="00FF0DAB" w:rsidP="00FF0DAB">
            <w:pPr>
              <w:jc w:val="right"/>
              <w:rPr>
                <w:rFonts w:ascii="Arial" w:hAnsi="Arial" w:cs="Arial"/>
                <w:color w:val="000000"/>
                <w:sz w:val="22"/>
                <w:szCs w:val="22"/>
                <w:lang w:val="es-PY" w:eastAsia="es-PY"/>
              </w:rPr>
            </w:pPr>
            <w:r w:rsidRPr="00E70693">
              <w:rPr>
                <w:rFonts w:ascii="Arial" w:hAnsi="Arial" w:cs="Arial"/>
                <w:b/>
                <w:bCs/>
                <w:color w:val="000000"/>
                <w:sz w:val="20"/>
                <w:lang w:val="es-PY" w:eastAsia="es-PY"/>
              </w:rPr>
              <w:t>18,8%</w:t>
            </w:r>
          </w:p>
        </w:tc>
        <w:tc>
          <w:tcPr>
            <w:tcW w:w="1417" w:type="dxa"/>
            <w:tcBorders>
              <w:top w:val="nil"/>
              <w:left w:val="nil"/>
              <w:bottom w:val="nil"/>
              <w:right w:val="nil"/>
            </w:tcBorders>
            <w:shd w:val="clear" w:color="auto" w:fill="auto"/>
            <w:noWrap/>
            <w:vAlign w:val="bottom"/>
          </w:tcPr>
          <w:p w:rsidR="00FF0DAB" w:rsidRPr="00E70693" w:rsidRDefault="00FF0DAB" w:rsidP="00FF0DAB">
            <w:pPr>
              <w:jc w:val="right"/>
              <w:rPr>
                <w:rFonts w:ascii="Arial" w:hAnsi="Arial" w:cs="Arial"/>
                <w:color w:val="000000"/>
                <w:sz w:val="22"/>
                <w:szCs w:val="22"/>
                <w:lang w:val="es-PY" w:eastAsia="es-PY"/>
              </w:rPr>
            </w:pPr>
          </w:p>
        </w:tc>
        <w:tc>
          <w:tcPr>
            <w:tcW w:w="1418" w:type="dxa"/>
            <w:tcBorders>
              <w:top w:val="nil"/>
              <w:left w:val="nil"/>
              <w:bottom w:val="nil"/>
              <w:right w:val="nil"/>
            </w:tcBorders>
            <w:shd w:val="clear" w:color="auto" w:fill="auto"/>
            <w:noWrap/>
            <w:vAlign w:val="bottom"/>
          </w:tcPr>
          <w:p w:rsidR="00FF0DAB" w:rsidRPr="00E70693" w:rsidRDefault="00FF0DAB" w:rsidP="00FF0DAB">
            <w:pPr>
              <w:rPr>
                <w:rFonts w:ascii="Arial" w:hAnsi="Arial" w:cs="Arial"/>
                <w:b/>
                <w:bCs/>
                <w:color w:val="000000"/>
                <w:sz w:val="20"/>
                <w:lang w:val="es-PY" w:eastAsia="es-PY"/>
              </w:rPr>
            </w:pPr>
          </w:p>
        </w:tc>
      </w:tr>
    </w:tbl>
    <w:p w:rsidR="00FA2C9A" w:rsidRPr="00E70693" w:rsidRDefault="00FA2C9A" w:rsidP="00FA2C9A">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lang w:val="es-ES"/>
        </w:rPr>
        <w:t xml:space="preserve">En el caso de la Circunvalación de Masaya se observa </w:t>
      </w:r>
      <w:r w:rsidR="00FA1E33" w:rsidRPr="00E70693">
        <w:rPr>
          <w:rFonts w:ascii="Arial" w:hAnsi="Arial" w:cs="Arial"/>
          <w:lang w:val="es-ES"/>
        </w:rPr>
        <w:t>la persistencia de</w:t>
      </w:r>
      <w:r w:rsidRPr="00E70693">
        <w:rPr>
          <w:rFonts w:ascii="Arial" w:hAnsi="Arial" w:cs="Arial"/>
          <w:lang w:val="es-ES"/>
        </w:rPr>
        <w:t xml:space="preserve"> una oportunidad de mejora del MTI para lograr una concepción adecuada de los proyectos y la elaboración más precisa del diseño final, en cuanto que se aprecia su fortaleza para resolver las dificultades durante la ejecución de las obras y asegurar la finalización de las mismas. La participación del Auditor Técnico hizo posible una consideración más precisa de las cantidades de movimiento de tierras, que se reflejó en una estimación más realista del costo del contrato, pero cabe aclarar que un solo profesional no puede detectar todos los imponderables que pueden surgir en la obra, como el caso de la </w:t>
      </w:r>
      <w:r w:rsidRPr="00E70693">
        <w:rPr>
          <w:rFonts w:ascii="Arial" w:hAnsi="Arial" w:cs="Arial"/>
          <w:lang w:val="es-ES"/>
        </w:rPr>
        <w:lastRenderedPageBreak/>
        <w:t xml:space="preserve">inamovilidad de los postes de alta tensión, ni llegar a tener el conocimiento del terreno que la presencia permanente </w:t>
      </w:r>
      <w:r w:rsidR="00075078" w:rsidRPr="00E70693">
        <w:rPr>
          <w:rFonts w:ascii="Arial" w:hAnsi="Arial" w:cs="Arial"/>
          <w:lang w:val="es-ES"/>
        </w:rPr>
        <w:t xml:space="preserve">sí </w:t>
      </w:r>
      <w:r w:rsidRPr="00E70693">
        <w:rPr>
          <w:rFonts w:ascii="Arial" w:hAnsi="Arial" w:cs="Arial"/>
          <w:lang w:val="es-ES"/>
        </w:rPr>
        <w:t xml:space="preserve">otorga a la Supervisión. </w:t>
      </w:r>
    </w:p>
    <w:p w:rsidR="00FA2C9A" w:rsidRPr="00E70693" w:rsidRDefault="00FA2C9A" w:rsidP="00FA2C9A">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i/>
        </w:rPr>
        <w:t xml:space="preserve">Mantenimiento Periódico del tramo </w:t>
      </w:r>
      <w:proofErr w:type="spellStart"/>
      <w:r w:rsidRPr="00E70693">
        <w:rPr>
          <w:rFonts w:ascii="Arial" w:hAnsi="Arial" w:cs="Arial"/>
          <w:i/>
        </w:rPr>
        <w:t>Nandaime</w:t>
      </w:r>
      <w:proofErr w:type="spellEnd"/>
      <w:r w:rsidRPr="00E70693">
        <w:rPr>
          <w:rFonts w:ascii="Arial" w:hAnsi="Arial" w:cs="Arial"/>
          <w:i/>
        </w:rPr>
        <w:t>-Rivas-Peñas Blancas</w:t>
      </w:r>
      <w:r w:rsidRPr="00E70693">
        <w:rPr>
          <w:rFonts w:ascii="Arial" w:hAnsi="Arial" w:cs="Arial"/>
        </w:rPr>
        <w:t xml:space="preserve">. Ejecutado por el FOMAV, comprendió una serie de intervenciones en diferentes sub-tramos, </w:t>
      </w:r>
      <w:r w:rsidR="00EF6EFD" w:rsidRPr="00E70693">
        <w:rPr>
          <w:rFonts w:ascii="Arial" w:hAnsi="Arial" w:cs="Arial"/>
        </w:rPr>
        <w:t xml:space="preserve">sumando </w:t>
      </w:r>
      <w:r w:rsidR="0054696D" w:rsidRPr="00E70693">
        <w:rPr>
          <w:rFonts w:ascii="Arial" w:hAnsi="Arial" w:cs="Arial"/>
        </w:rPr>
        <w:t>un total de</w:t>
      </w:r>
      <w:r w:rsidR="00EF6EFD" w:rsidRPr="00E70693">
        <w:rPr>
          <w:rFonts w:ascii="Arial" w:hAnsi="Arial" w:cs="Arial"/>
        </w:rPr>
        <w:t xml:space="preserve"> 31 Km de carpeta de concreto asfáltico en caliente</w:t>
      </w:r>
      <w:r w:rsidR="0054696D" w:rsidRPr="00E70693">
        <w:rPr>
          <w:rFonts w:ascii="Arial" w:hAnsi="Arial" w:cs="Arial"/>
        </w:rPr>
        <w:t xml:space="preserve"> que </w:t>
      </w:r>
      <w:r w:rsidR="00FA1E33" w:rsidRPr="00E70693">
        <w:rPr>
          <w:rFonts w:ascii="Arial" w:hAnsi="Arial" w:cs="Arial"/>
        </w:rPr>
        <w:t xml:space="preserve">incluyó </w:t>
      </w:r>
      <w:r w:rsidR="0054696D" w:rsidRPr="00E70693">
        <w:rPr>
          <w:rFonts w:ascii="Arial" w:hAnsi="Arial" w:cs="Arial"/>
        </w:rPr>
        <w:t xml:space="preserve">la mejora de la base en algunos segmentos mediante </w:t>
      </w:r>
      <w:r w:rsidR="00EF6EFD" w:rsidRPr="00E70693">
        <w:rPr>
          <w:rFonts w:ascii="Arial" w:hAnsi="Arial" w:cs="Arial"/>
        </w:rPr>
        <w:t>reciclado en frío</w:t>
      </w:r>
      <w:r w:rsidRPr="00E70693">
        <w:rPr>
          <w:rFonts w:ascii="Arial" w:hAnsi="Arial" w:cs="Arial"/>
        </w:rPr>
        <w:t>, otras intervenciones menores y señalización. El diseño del mantenimiento fue elaborado por el FOMAV y los trabajos se ejecutaron sin modificaciones en un plazo menor al contractual que f</w:t>
      </w:r>
      <w:r w:rsidR="004B2521" w:rsidRPr="00E70693">
        <w:rPr>
          <w:rFonts w:ascii="Arial" w:hAnsi="Arial" w:cs="Arial"/>
        </w:rPr>
        <w:t xml:space="preserve">inalizó </w:t>
      </w:r>
      <w:r w:rsidRPr="00E70693">
        <w:rPr>
          <w:rFonts w:ascii="Arial" w:hAnsi="Arial" w:cs="Arial"/>
        </w:rPr>
        <w:t>en abril de 2013.</w:t>
      </w:r>
      <w:r w:rsidR="004B2521" w:rsidRPr="00E70693">
        <w:rPr>
          <w:rFonts w:ascii="Arial" w:hAnsi="Arial" w:cs="Arial"/>
        </w:rPr>
        <w:t xml:space="preserve"> </w:t>
      </w:r>
      <w:r w:rsidR="004B2521" w:rsidRPr="00E70693">
        <w:rPr>
          <w:rFonts w:ascii="Arial" w:hAnsi="Arial" w:cs="Arial"/>
          <w:lang w:val="es-ES"/>
        </w:rPr>
        <w:t xml:space="preserve">La estructura de costos </w:t>
      </w:r>
      <w:r w:rsidR="004B2521" w:rsidRPr="00E70693">
        <w:rPr>
          <w:rFonts w:ascii="Arial" w:hAnsi="Arial" w:cs="Arial"/>
        </w:rPr>
        <w:t>del contrato de obra es la siguiente.</w:t>
      </w:r>
    </w:p>
    <w:p w:rsidR="004B2521" w:rsidRPr="00E70693" w:rsidRDefault="004B2521" w:rsidP="004B2521">
      <w:pPr>
        <w:ind w:left="709"/>
        <w:jc w:val="both"/>
        <w:rPr>
          <w:rFonts w:ascii="Arial" w:hAnsi="Arial" w:cs="Arial"/>
        </w:rPr>
      </w:pPr>
    </w:p>
    <w:tbl>
      <w:tblPr>
        <w:tblW w:w="8222" w:type="dxa"/>
        <w:tblInd w:w="779" w:type="dxa"/>
        <w:tblCellMar>
          <w:left w:w="70" w:type="dxa"/>
          <w:right w:w="70" w:type="dxa"/>
        </w:tblCellMar>
        <w:tblLook w:val="04A0" w:firstRow="1" w:lastRow="0" w:firstColumn="1" w:lastColumn="0" w:noHBand="0" w:noVBand="1"/>
      </w:tblPr>
      <w:tblGrid>
        <w:gridCol w:w="2552"/>
        <w:gridCol w:w="1417"/>
        <w:gridCol w:w="1418"/>
        <w:gridCol w:w="1417"/>
        <w:gridCol w:w="1418"/>
      </w:tblGrid>
      <w:tr w:rsidR="004B2521" w:rsidRPr="00E70693" w:rsidTr="00635755">
        <w:tc>
          <w:tcPr>
            <w:tcW w:w="2552" w:type="dxa"/>
            <w:tcBorders>
              <w:top w:val="single" w:sz="4" w:space="0" w:color="auto"/>
              <w:left w:val="single" w:sz="4" w:space="0" w:color="auto"/>
              <w:bottom w:val="nil"/>
              <w:right w:val="nil"/>
            </w:tcBorders>
            <w:shd w:val="clear" w:color="auto" w:fill="DAEEF3" w:themeFill="accent5" w:themeFillTint="33"/>
            <w:noWrap/>
            <w:vAlign w:val="bottom"/>
            <w:hideMark/>
          </w:tcPr>
          <w:p w:rsidR="004B2521" w:rsidRPr="00E70693" w:rsidRDefault="004B2521">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Proyecto</w:t>
            </w:r>
          </w:p>
        </w:tc>
        <w:tc>
          <w:tcPr>
            <w:tcW w:w="2835" w:type="dxa"/>
            <w:gridSpan w:val="2"/>
            <w:tcBorders>
              <w:top w:val="single" w:sz="4" w:space="0" w:color="auto"/>
              <w:left w:val="single" w:sz="4" w:space="0" w:color="auto"/>
              <w:bottom w:val="single" w:sz="4" w:space="0" w:color="auto"/>
              <w:right w:val="nil"/>
            </w:tcBorders>
            <w:shd w:val="clear" w:color="auto" w:fill="DAEEF3" w:themeFill="accent5" w:themeFillTint="33"/>
            <w:noWrap/>
            <w:vAlign w:val="bottom"/>
            <w:hideMark/>
          </w:tcPr>
          <w:p w:rsidR="004B2521" w:rsidRPr="00E70693" w:rsidRDefault="004B2521">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Original</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4B2521" w:rsidRPr="00E70693" w:rsidRDefault="004B2521">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Final</w:t>
            </w:r>
          </w:p>
        </w:tc>
      </w:tr>
      <w:tr w:rsidR="004B2521" w:rsidRPr="00E70693" w:rsidTr="00635755">
        <w:tc>
          <w:tcPr>
            <w:tcW w:w="2552" w:type="dxa"/>
            <w:tcBorders>
              <w:top w:val="nil"/>
              <w:left w:val="single" w:sz="4" w:space="0" w:color="auto"/>
              <w:bottom w:val="nil"/>
              <w:right w:val="nil"/>
            </w:tcBorders>
            <w:shd w:val="clear" w:color="auto" w:fill="DAEEF3" w:themeFill="accent5" w:themeFillTint="33"/>
            <w:noWrap/>
            <w:vAlign w:val="bottom"/>
            <w:hideMark/>
          </w:tcPr>
          <w:p w:rsidR="004B2521" w:rsidRPr="00E70693" w:rsidRDefault="004B2521">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 </w:t>
            </w:r>
          </w:p>
        </w:tc>
        <w:tc>
          <w:tcPr>
            <w:tcW w:w="1417" w:type="dxa"/>
            <w:tcBorders>
              <w:top w:val="nil"/>
              <w:left w:val="single" w:sz="4" w:space="0" w:color="auto"/>
              <w:bottom w:val="nil"/>
              <w:right w:val="nil"/>
            </w:tcBorders>
            <w:shd w:val="clear" w:color="auto" w:fill="DAEEF3" w:themeFill="accent5" w:themeFillTint="33"/>
            <w:noWrap/>
            <w:vAlign w:val="bottom"/>
            <w:hideMark/>
          </w:tcPr>
          <w:p w:rsidR="004B2521" w:rsidRPr="00E70693" w:rsidRDefault="004B2521">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Fondos BID</w:t>
            </w:r>
          </w:p>
        </w:tc>
        <w:tc>
          <w:tcPr>
            <w:tcW w:w="1418" w:type="dxa"/>
            <w:tcBorders>
              <w:top w:val="nil"/>
              <w:left w:val="single" w:sz="4" w:space="0" w:color="auto"/>
              <w:bottom w:val="nil"/>
              <w:right w:val="nil"/>
            </w:tcBorders>
            <w:shd w:val="clear" w:color="auto" w:fill="DAEEF3" w:themeFill="accent5" w:themeFillTint="33"/>
            <w:noWrap/>
            <w:vAlign w:val="bottom"/>
            <w:hideMark/>
          </w:tcPr>
          <w:p w:rsidR="004B2521" w:rsidRPr="00E70693" w:rsidRDefault="004B2521">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 xml:space="preserve">Fondos </w:t>
            </w:r>
            <w:proofErr w:type="spellStart"/>
            <w:r w:rsidRPr="00E70693">
              <w:rPr>
                <w:rFonts w:ascii="Arial" w:hAnsi="Arial" w:cs="Arial"/>
                <w:b/>
                <w:bCs/>
                <w:color w:val="000000"/>
                <w:sz w:val="20"/>
                <w:lang w:val="es-PY" w:eastAsia="es-PY"/>
              </w:rPr>
              <w:t>GdN</w:t>
            </w:r>
            <w:proofErr w:type="spellEnd"/>
          </w:p>
        </w:tc>
        <w:tc>
          <w:tcPr>
            <w:tcW w:w="1417" w:type="dxa"/>
            <w:tcBorders>
              <w:top w:val="nil"/>
              <w:left w:val="single" w:sz="4" w:space="0" w:color="auto"/>
              <w:bottom w:val="nil"/>
              <w:right w:val="nil"/>
            </w:tcBorders>
            <w:shd w:val="clear" w:color="auto" w:fill="DAEEF3" w:themeFill="accent5" w:themeFillTint="33"/>
            <w:noWrap/>
            <w:vAlign w:val="bottom"/>
            <w:hideMark/>
          </w:tcPr>
          <w:p w:rsidR="004B2521" w:rsidRPr="00E70693" w:rsidRDefault="004B2521">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Fondos BID</w:t>
            </w:r>
          </w:p>
        </w:tc>
        <w:tc>
          <w:tcPr>
            <w:tcW w:w="1418" w:type="dxa"/>
            <w:tcBorders>
              <w:top w:val="nil"/>
              <w:left w:val="single" w:sz="4" w:space="0" w:color="auto"/>
              <w:bottom w:val="nil"/>
              <w:right w:val="single" w:sz="4" w:space="0" w:color="auto"/>
            </w:tcBorders>
            <w:shd w:val="clear" w:color="auto" w:fill="DAEEF3" w:themeFill="accent5" w:themeFillTint="33"/>
            <w:noWrap/>
            <w:vAlign w:val="bottom"/>
            <w:hideMark/>
          </w:tcPr>
          <w:p w:rsidR="004B2521" w:rsidRPr="00E70693" w:rsidRDefault="004B2521">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 xml:space="preserve">Fondos </w:t>
            </w:r>
            <w:proofErr w:type="spellStart"/>
            <w:r w:rsidRPr="00E70693">
              <w:rPr>
                <w:rFonts w:ascii="Arial" w:hAnsi="Arial" w:cs="Arial"/>
                <w:b/>
                <w:bCs/>
                <w:color w:val="000000"/>
                <w:sz w:val="20"/>
                <w:lang w:val="es-PY" w:eastAsia="es-PY"/>
              </w:rPr>
              <w:t>GdN</w:t>
            </w:r>
            <w:proofErr w:type="spellEnd"/>
          </w:p>
        </w:tc>
      </w:tr>
      <w:tr w:rsidR="004B2521" w:rsidRPr="00E70693" w:rsidTr="00635755">
        <w:tc>
          <w:tcPr>
            <w:tcW w:w="2552" w:type="dxa"/>
            <w:tcBorders>
              <w:top w:val="nil"/>
              <w:left w:val="single" w:sz="4" w:space="0" w:color="auto"/>
              <w:bottom w:val="single" w:sz="4" w:space="0" w:color="auto"/>
              <w:right w:val="nil"/>
            </w:tcBorders>
            <w:shd w:val="clear" w:color="auto" w:fill="DAEEF3" w:themeFill="accent5" w:themeFillTint="33"/>
            <w:noWrap/>
            <w:vAlign w:val="bottom"/>
            <w:hideMark/>
          </w:tcPr>
          <w:p w:rsidR="004B2521" w:rsidRPr="00E70693" w:rsidRDefault="004B2521">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7" w:type="dxa"/>
            <w:tcBorders>
              <w:top w:val="nil"/>
              <w:left w:val="single" w:sz="4" w:space="0" w:color="auto"/>
              <w:bottom w:val="single" w:sz="4" w:space="0" w:color="auto"/>
              <w:right w:val="nil"/>
            </w:tcBorders>
            <w:shd w:val="clear" w:color="auto" w:fill="DAEEF3" w:themeFill="accent5" w:themeFillTint="33"/>
            <w:noWrap/>
            <w:vAlign w:val="bottom"/>
            <w:hideMark/>
          </w:tcPr>
          <w:p w:rsidR="004B2521" w:rsidRPr="00E70693" w:rsidRDefault="004B2521">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c>
          <w:tcPr>
            <w:tcW w:w="1418" w:type="dxa"/>
            <w:tcBorders>
              <w:top w:val="nil"/>
              <w:left w:val="single" w:sz="4" w:space="0" w:color="auto"/>
              <w:bottom w:val="single" w:sz="4" w:space="0" w:color="auto"/>
              <w:right w:val="nil"/>
            </w:tcBorders>
            <w:shd w:val="clear" w:color="auto" w:fill="DAEEF3" w:themeFill="accent5" w:themeFillTint="33"/>
            <w:noWrap/>
            <w:vAlign w:val="bottom"/>
            <w:hideMark/>
          </w:tcPr>
          <w:p w:rsidR="004B2521" w:rsidRPr="00E70693" w:rsidRDefault="004B2521">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c>
          <w:tcPr>
            <w:tcW w:w="1417"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4B2521" w:rsidRPr="00E70693" w:rsidRDefault="004B2521">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c>
          <w:tcPr>
            <w:tcW w:w="1418" w:type="dxa"/>
            <w:tcBorders>
              <w:top w:val="nil"/>
              <w:left w:val="nil"/>
              <w:bottom w:val="single" w:sz="4" w:space="0" w:color="auto"/>
              <w:right w:val="single" w:sz="4" w:space="0" w:color="auto"/>
            </w:tcBorders>
            <w:shd w:val="clear" w:color="auto" w:fill="DAEEF3" w:themeFill="accent5" w:themeFillTint="33"/>
            <w:noWrap/>
            <w:vAlign w:val="bottom"/>
            <w:hideMark/>
          </w:tcPr>
          <w:p w:rsidR="004B2521" w:rsidRPr="00E70693" w:rsidRDefault="004B2521">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r>
      <w:tr w:rsidR="004B2521" w:rsidRPr="00E70693" w:rsidTr="00635755">
        <w:tc>
          <w:tcPr>
            <w:tcW w:w="8222" w:type="dxa"/>
            <w:gridSpan w:val="5"/>
            <w:tcBorders>
              <w:top w:val="nil"/>
              <w:left w:val="single" w:sz="4" w:space="0" w:color="auto"/>
              <w:bottom w:val="nil"/>
              <w:right w:val="single" w:sz="4" w:space="0" w:color="auto"/>
            </w:tcBorders>
            <w:shd w:val="clear" w:color="auto" w:fill="auto"/>
            <w:noWrap/>
            <w:hideMark/>
          </w:tcPr>
          <w:p w:rsidR="004B2521" w:rsidRPr="00E70693" w:rsidRDefault="004B2521">
            <w:pPr>
              <w:keepNext/>
              <w:rPr>
                <w:rFonts w:ascii="Arial" w:hAnsi="Arial" w:cs="Arial"/>
                <w:b/>
                <w:bCs/>
                <w:color w:val="000000"/>
                <w:sz w:val="20"/>
                <w:lang w:val="es-PY" w:eastAsia="es-PY"/>
              </w:rPr>
            </w:pPr>
            <w:r w:rsidRPr="00E70693">
              <w:rPr>
                <w:rFonts w:ascii="Arial" w:hAnsi="Arial" w:cs="Arial"/>
                <w:b/>
                <w:bCs/>
                <w:color w:val="000000"/>
                <w:sz w:val="20"/>
                <w:lang w:val="es-PY" w:eastAsia="es-PY"/>
              </w:rPr>
              <w:t xml:space="preserve">Mantenimiento Periódico del Tramo </w:t>
            </w:r>
            <w:proofErr w:type="spellStart"/>
            <w:r w:rsidRPr="00E70693">
              <w:rPr>
                <w:rFonts w:ascii="Arial" w:hAnsi="Arial" w:cs="Arial"/>
                <w:b/>
                <w:bCs/>
                <w:color w:val="000000"/>
                <w:sz w:val="20"/>
                <w:lang w:val="es-PY" w:eastAsia="es-PY"/>
              </w:rPr>
              <w:t>Nandaime</w:t>
            </w:r>
            <w:proofErr w:type="spellEnd"/>
            <w:r w:rsidRPr="00E70693">
              <w:rPr>
                <w:rFonts w:ascii="Arial" w:hAnsi="Arial" w:cs="Arial"/>
                <w:b/>
                <w:bCs/>
                <w:color w:val="000000"/>
                <w:sz w:val="20"/>
                <w:lang w:val="es-PY" w:eastAsia="es-PY"/>
              </w:rPr>
              <w:t>-Rivas-Peñas Blancas</w:t>
            </w:r>
          </w:p>
        </w:tc>
      </w:tr>
      <w:tr w:rsidR="004B2521" w:rsidRPr="00E70693" w:rsidTr="00635755">
        <w:tc>
          <w:tcPr>
            <w:tcW w:w="2552" w:type="dxa"/>
            <w:tcBorders>
              <w:top w:val="nil"/>
              <w:left w:val="single" w:sz="4" w:space="0" w:color="auto"/>
              <w:bottom w:val="nil"/>
              <w:right w:val="nil"/>
            </w:tcBorders>
            <w:shd w:val="clear" w:color="auto" w:fill="auto"/>
            <w:hideMark/>
          </w:tcPr>
          <w:p w:rsidR="004B2521" w:rsidRPr="00E70693" w:rsidRDefault="004B2521"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Contrato base</w:t>
            </w:r>
          </w:p>
        </w:tc>
        <w:tc>
          <w:tcPr>
            <w:tcW w:w="1417" w:type="dxa"/>
            <w:tcBorders>
              <w:top w:val="nil"/>
              <w:left w:val="single" w:sz="4" w:space="0" w:color="auto"/>
              <w:bottom w:val="nil"/>
              <w:right w:val="nil"/>
            </w:tcBorders>
            <w:shd w:val="clear" w:color="auto" w:fill="auto"/>
            <w:hideMark/>
          </w:tcPr>
          <w:p w:rsidR="004B2521" w:rsidRPr="00E70693" w:rsidRDefault="004B2521"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2.755.321,36</w:t>
            </w:r>
          </w:p>
        </w:tc>
        <w:tc>
          <w:tcPr>
            <w:tcW w:w="1418" w:type="dxa"/>
            <w:tcBorders>
              <w:top w:val="nil"/>
              <w:left w:val="single" w:sz="4" w:space="0" w:color="auto"/>
              <w:bottom w:val="nil"/>
              <w:right w:val="nil"/>
            </w:tcBorders>
            <w:shd w:val="clear" w:color="auto" w:fill="auto"/>
            <w:hideMark/>
          </w:tcPr>
          <w:p w:rsidR="004B2521" w:rsidRPr="00E70693" w:rsidRDefault="004B2521"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440.851,42</w:t>
            </w:r>
          </w:p>
        </w:tc>
        <w:tc>
          <w:tcPr>
            <w:tcW w:w="1417" w:type="dxa"/>
            <w:tcBorders>
              <w:top w:val="nil"/>
              <w:left w:val="single" w:sz="4" w:space="0" w:color="auto"/>
              <w:bottom w:val="nil"/>
              <w:right w:val="nil"/>
            </w:tcBorders>
            <w:shd w:val="clear" w:color="auto" w:fill="auto"/>
            <w:hideMark/>
          </w:tcPr>
          <w:p w:rsidR="004B2521" w:rsidRPr="00E70693" w:rsidRDefault="004B2521"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2.755.321,36</w:t>
            </w:r>
          </w:p>
        </w:tc>
        <w:tc>
          <w:tcPr>
            <w:tcW w:w="1418" w:type="dxa"/>
            <w:tcBorders>
              <w:top w:val="nil"/>
              <w:left w:val="single" w:sz="4" w:space="0" w:color="auto"/>
              <w:bottom w:val="nil"/>
              <w:right w:val="single" w:sz="4" w:space="0" w:color="auto"/>
            </w:tcBorders>
            <w:shd w:val="clear" w:color="auto" w:fill="auto"/>
            <w:hideMark/>
          </w:tcPr>
          <w:p w:rsidR="004B2521" w:rsidRPr="00E70693" w:rsidRDefault="004B2521"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440.851,42</w:t>
            </w:r>
          </w:p>
        </w:tc>
      </w:tr>
      <w:tr w:rsidR="004B2521" w:rsidRPr="00E70693" w:rsidTr="00635755">
        <w:tc>
          <w:tcPr>
            <w:tcW w:w="2552" w:type="dxa"/>
            <w:tcBorders>
              <w:top w:val="nil"/>
              <w:left w:val="single" w:sz="4" w:space="0" w:color="auto"/>
              <w:bottom w:val="nil"/>
              <w:right w:val="nil"/>
            </w:tcBorders>
            <w:shd w:val="clear" w:color="auto" w:fill="auto"/>
            <w:hideMark/>
          </w:tcPr>
          <w:p w:rsidR="004B2521" w:rsidRPr="00E70693" w:rsidRDefault="004B2521"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Incremento de obra</w:t>
            </w:r>
          </w:p>
        </w:tc>
        <w:tc>
          <w:tcPr>
            <w:tcW w:w="1417" w:type="dxa"/>
            <w:tcBorders>
              <w:top w:val="nil"/>
              <w:left w:val="single" w:sz="4" w:space="0" w:color="auto"/>
              <w:bottom w:val="nil"/>
              <w:right w:val="nil"/>
            </w:tcBorders>
            <w:shd w:val="clear" w:color="auto" w:fill="auto"/>
            <w:hideMark/>
          </w:tcPr>
          <w:p w:rsidR="004B2521" w:rsidRPr="00E70693" w:rsidRDefault="004B2521"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8" w:type="dxa"/>
            <w:tcBorders>
              <w:top w:val="nil"/>
              <w:left w:val="single" w:sz="4" w:space="0" w:color="auto"/>
              <w:bottom w:val="nil"/>
              <w:right w:val="nil"/>
            </w:tcBorders>
            <w:shd w:val="clear" w:color="auto" w:fill="auto"/>
            <w:hideMark/>
          </w:tcPr>
          <w:p w:rsidR="004B2521" w:rsidRPr="00E70693" w:rsidRDefault="004B2521"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7" w:type="dxa"/>
            <w:tcBorders>
              <w:top w:val="nil"/>
              <w:left w:val="single" w:sz="4" w:space="0" w:color="auto"/>
              <w:bottom w:val="nil"/>
              <w:right w:val="nil"/>
            </w:tcBorders>
            <w:shd w:val="clear" w:color="auto" w:fill="auto"/>
            <w:hideMark/>
          </w:tcPr>
          <w:p w:rsidR="004B2521" w:rsidRPr="00E70693" w:rsidRDefault="004B2521"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8" w:type="dxa"/>
            <w:tcBorders>
              <w:top w:val="nil"/>
              <w:left w:val="single" w:sz="4" w:space="0" w:color="auto"/>
              <w:bottom w:val="nil"/>
              <w:right w:val="single" w:sz="4" w:space="0" w:color="auto"/>
            </w:tcBorders>
            <w:shd w:val="clear" w:color="auto" w:fill="auto"/>
            <w:hideMark/>
          </w:tcPr>
          <w:p w:rsidR="004B2521" w:rsidRPr="00E70693" w:rsidRDefault="004B2521"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825.120,84</w:t>
            </w:r>
          </w:p>
        </w:tc>
      </w:tr>
      <w:tr w:rsidR="004B2521" w:rsidRPr="00E70693" w:rsidTr="00635755">
        <w:tc>
          <w:tcPr>
            <w:tcW w:w="2552" w:type="dxa"/>
            <w:tcBorders>
              <w:top w:val="nil"/>
              <w:left w:val="single" w:sz="4" w:space="0" w:color="auto"/>
              <w:bottom w:val="nil"/>
              <w:right w:val="nil"/>
            </w:tcBorders>
            <w:shd w:val="clear" w:color="auto" w:fill="auto"/>
            <w:hideMark/>
          </w:tcPr>
          <w:p w:rsidR="004B2521" w:rsidRPr="00E70693" w:rsidRDefault="004B2521"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Ajuste de precios</w:t>
            </w:r>
          </w:p>
        </w:tc>
        <w:tc>
          <w:tcPr>
            <w:tcW w:w="1417" w:type="dxa"/>
            <w:tcBorders>
              <w:top w:val="nil"/>
              <w:left w:val="single" w:sz="4" w:space="0" w:color="auto"/>
              <w:bottom w:val="nil"/>
              <w:right w:val="nil"/>
            </w:tcBorders>
            <w:shd w:val="clear" w:color="auto" w:fill="auto"/>
            <w:hideMark/>
          </w:tcPr>
          <w:p w:rsidR="004B2521" w:rsidRPr="00E70693" w:rsidRDefault="004B2521"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8" w:type="dxa"/>
            <w:tcBorders>
              <w:top w:val="nil"/>
              <w:left w:val="single" w:sz="4" w:space="0" w:color="auto"/>
              <w:bottom w:val="nil"/>
              <w:right w:val="nil"/>
            </w:tcBorders>
            <w:shd w:val="clear" w:color="auto" w:fill="auto"/>
            <w:hideMark/>
          </w:tcPr>
          <w:p w:rsidR="004B2521" w:rsidRPr="00E70693" w:rsidRDefault="004B2521"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7" w:type="dxa"/>
            <w:tcBorders>
              <w:top w:val="nil"/>
              <w:left w:val="single" w:sz="4" w:space="0" w:color="auto"/>
              <w:bottom w:val="nil"/>
              <w:right w:val="nil"/>
            </w:tcBorders>
            <w:shd w:val="clear" w:color="auto" w:fill="auto"/>
            <w:hideMark/>
          </w:tcPr>
          <w:p w:rsidR="004B2521" w:rsidRPr="00E70693" w:rsidRDefault="004B2521"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8" w:type="dxa"/>
            <w:tcBorders>
              <w:top w:val="nil"/>
              <w:left w:val="single" w:sz="4" w:space="0" w:color="auto"/>
              <w:bottom w:val="nil"/>
              <w:right w:val="single" w:sz="4" w:space="0" w:color="auto"/>
            </w:tcBorders>
            <w:shd w:val="clear" w:color="auto" w:fill="auto"/>
            <w:hideMark/>
          </w:tcPr>
          <w:p w:rsidR="004B2521" w:rsidRPr="00E70693" w:rsidRDefault="004B2521"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0,00</w:t>
            </w:r>
          </w:p>
        </w:tc>
      </w:tr>
      <w:tr w:rsidR="004B2521" w:rsidRPr="00E70693" w:rsidTr="00635755">
        <w:tc>
          <w:tcPr>
            <w:tcW w:w="2552" w:type="dxa"/>
            <w:tcBorders>
              <w:top w:val="nil"/>
              <w:left w:val="single" w:sz="4" w:space="0" w:color="auto"/>
              <w:bottom w:val="nil"/>
              <w:right w:val="nil"/>
            </w:tcBorders>
            <w:shd w:val="clear" w:color="auto" w:fill="auto"/>
            <w:hideMark/>
          </w:tcPr>
          <w:p w:rsidR="004B2521" w:rsidRPr="00E70693" w:rsidRDefault="004B2521"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Sub-total final</w:t>
            </w:r>
          </w:p>
        </w:tc>
        <w:tc>
          <w:tcPr>
            <w:tcW w:w="1417" w:type="dxa"/>
            <w:tcBorders>
              <w:top w:val="nil"/>
              <w:left w:val="single" w:sz="4" w:space="0" w:color="auto"/>
              <w:bottom w:val="nil"/>
              <w:right w:val="nil"/>
            </w:tcBorders>
            <w:shd w:val="clear" w:color="auto" w:fill="auto"/>
            <w:hideMark/>
          </w:tcPr>
          <w:p w:rsidR="004B2521" w:rsidRPr="00E70693" w:rsidRDefault="004B2521"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2.755.321,36</w:t>
            </w:r>
          </w:p>
        </w:tc>
        <w:tc>
          <w:tcPr>
            <w:tcW w:w="1418" w:type="dxa"/>
            <w:tcBorders>
              <w:top w:val="nil"/>
              <w:left w:val="single" w:sz="4" w:space="0" w:color="auto"/>
              <w:bottom w:val="nil"/>
              <w:right w:val="nil"/>
            </w:tcBorders>
            <w:shd w:val="clear" w:color="auto" w:fill="auto"/>
            <w:noWrap/>
            <w:vAlign w:val="bottom"/>
            <w:hideMark/>
          </w:tcPr>
          <w:p w:rsidR="004B2521" w:rsidRPr="00E70693" w:rsidRDefault="004B2521"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440.851,42</w:t>
            </w:r>
          </w:p>
        </w:tc>
        <w:tc>
          <w:tcPr>
            <w:tcW w:w="1417" w:type="dxa"/>
            <w:tcBorders>
              <w:top w:val="nil"/>
              <w:left w:val="single" w:sz="4" w:space="0" w:color="auto"/>
              <w:bottom w:val="nil"/>
              <w:right w:val="nil"/>
            </w:tcBorders>
            <w:shd w:val="clear" w:color="auto" w:fill="auto"/>
            <w:hideMark/>
          </w:tcPr>
          <w:p w:rsidR="004B2521" w:rsidRPr="00E70693" w:rsidRDefault="004B2521"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2.755.321,36</w:t>
            </w:r>
          </w:p>
        </w:tc>
        <w:tc>
          <w:tcPr>
            <w:tcW w:w="1418" w:type="dxa"/>
            <w:tcBorders>
              <w:top w:val="nil"/>
              <w:left w:val="single" w:sz="4" w:space="0" w:color="auto"/>
              <w:bottom w:val="nil"/>
              <w:right w:val="single" w:sz="4" w:space="0" w:color="auto"/>
            </w:tcBorders>
            <w:shd w:val="clear" w:color="auto" w:fill="auto"/>
            <w:noWrap/>
            <w:vAlign w:val="bottom"/>
            <w:hideMark/>
          </w:tcPr>
          <w:p w:rsidR="004B2521" w:rsidRPr="00E70693" w:rsidRDefault="004B2521"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1.265.972,25</w:t>
            </w:r>
          </w:p>
        </w:tc>
      </w:tr>
      <w:tr w:rsidR="004B2521" w:rsidRPr="00E70693" w:rsidTr="00635755">
        <w:tc>
          <w:tcPr>
            <w:tcW w:w="2552" w:type="dxa"/>
            <w:tcBorders>
              <w:top w:val="nil"/>
              <w:left w:val="single" w:sz="4" w:space="0" w:color="auto"/>
              <w:bottom w:val="nil"/>
              <w:right w:val="nil"/>
            </w:tcBorders>
            <w:shd w:val="clear" w:color="auto" w:fill="auto"/>
            <w:hideMark/>
          </w:tcPr>
          <w:p w:rsidR="004B2521" w:rsidRPr="00E70693" w:rsidRDefault="004B2521"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Total final</w:t>
            </w:r>
          </w:p>
        </w:tc>
        <w:tc>
          <w:tcPr>
            <w:tcW w:w="1417" w:type="dxa"/>
            <w:tcBorders>
              <w:top w:val="single" w:sz="4" w:space="0" w:color="auto"/>
              <w:left w:val="single" w:sz="4" w:space="0" w:color="auto"/>
              <w:bottom w:val="nil"/>
              <w:right w:val="nil"/>
            </w:tcBorders>
            <w:shd w:val="clear" w:color="auto" w:fill="auto"/>
            <w:hideMark/>
          </w:tcPr>
          <w:p w:rsidR="004B2521" w:rsidRPr="00E70693" w:rsidRDefault="004B2521"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 </w:t>
            </w:r>
          </w:p>
        </w:tc>
        <w:tc>
          <w:tcPr>
            <w:tcW w:w="1418" w:type="dxa"/>
            <w:tcBorders>
              <w:top w:val="single" w:sz="4" w:space="0" w:color="auto"/>
              <w:left w:val="nil"/>
              <w:bottom w:val="nil"/>
              <w:right w:val="single" w:sz="4" w:space="0" w:color="auto"/>
            </w:tcBorders>
            <w:shd w:val="clear" w:color="auto" w:fill="auto"/>
            <w:noWrap/>
            <w:vAlign w:val="bottom"/>
            <w:hideMark/>
          </w:tcPr>
          <w:p w:rsidR="004B2521" w:rsidRPr="00E70693" w:rsidRDefault="004B2521"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3.196.172,77</w:t>
            </w:r>
          </w:p>
        </w:tc>
        <w:tc>
          <w:tcPr>
            <w:tcW w:w="1417" w:type="dxa"/>
            <w:tcBorders>
              <w:top w:val="single" w:sz="4" w:space="0" w:color="auto"/>
              <w:left w:val="nil"/>
              <w:bottom w:val="nil"/>
              <w:right w:val="nil"/>
            </w:tcBorders>
            <w:shd w:val="clear" w:color="auto" w:fill="auto"/>
            <w:hideMark/>
          </w:tcPr>
          <w:p w:rsidR="004B2521" w:rsidRPr="00E70693" w:rsidRDefault="004B2521"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 </w:t>
            </w:r>
          </w:p>
        </w:tc>
        <w:tc>
          <w:tcPr>
            <w:tcW w:w="1418" w:type="dxa"/>
            <w:tcBorders>
              <w:top w:val="single" w:sz="4" w:space="0" w:color="auto"/>
              <w:left w:val="nil"/>
              <w:bottom w:val="nil"/>
              <w:right w:val="single" w:sz="4" w:space="0" w:color="auto"/>
            </w:tcBorders>
            <w:shd w:val="clear" w:color="auto" w:fill="auto"/>
            <w:noWrap/>
            <w:vAlign w:val="bottom"/>
            <w:hideMark/>
          </w:tcPr>
          <w:p w:rsidR="004B2521" w:rsidRPr="00E70693" w:rsidRDefault="004B2521"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4.021.293,61</w:t>
            </w:r>
          </w:p>
        </w:tc>
      </w:tr>
      <w:tr w:rsidR="004B2521" w:rsidRPr="00E70693" w:rsidTr="00635755">
        <w:tc>
          <w:tcPr>
            <w:tcW w:w="2552" w:type="dxa"/>
            <w:tcBorders>
              <w:top w:val="single" w:sz="4" w:space="0" w:color="auto"/>
              <w:left w:val="single" w:sz="4" w:space="0" w:color="auto"/>
              <w:bottom w:val="nil"/>
              <w:right w:val="nil"/>
            </w:tcBorders>
            <w:shd w:val="clear" w:color="auto" w:fill="auto"/>
            <w:hideMark/>
          </w:tcPr>
          <w:p w:rsidR="004B2521" w:rsidRPr="00E70693" w:rsidRDefault="004B2521"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Incremento de obra</w:t>
            </w:r>
          </w:p>
        </w:tc>
        <w:tc>
          <w:tcPr>
            <w:tcW w:w="1417" w:type="dxa"/>
            <w:tcBorders>
              <w:top w:val="single" w:sz="4" w:space="0" w:color="auto"/>
              <w:left w:val="single" w:sz="4" w:space="0" w:color="auto"/>
              <w:bottom w:val="nil"/>
              <w:right w:val="nil"/>
            </w:tcBorders>
            <w:shd w:val="clear" w:color="auto" w:fill="auto"/>
            <w:noWrap/>
            <w:vAlign w:val="bottom"/>
            <w:hideMark/>
          </w:tcPr>
          <w:p w:rsidR="004B2521" w:rsidRPr="00E70693" w:rsidRDefault="004B2521" w:rsidP="00DF3FFF">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single" w:sz="4" w:space="0" w:color="auto"/>
              <w:left w:val="nil"/>
              <w:bottom w:val="nil"/>
              <w:right w:val="nil"/>
            </w:tcBorders>
            <w:shd w:val="clear" w:color="auto" w:fill="auto"/>
            <w:noWrap/>
            <w:vAlign w:val="bottom"/>
            <w:hideMark/>
          </w:tcPr>
          <w:p w:rsidR="004B2521" w:rsidRPr="00E70693" w:rsidRDefault="004B2521" w:rsidP="00DF3FFF">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7" w:type="dxa"/>
            <w:tcBorders>
              <w:top w:val="single" w:sz="4" w:space="0" w:color="auto"/>
              <w:left w:val="nil"/>
              <w:bottom w:val="nil"/>
              <w:right w:val="nil"/>
            </w:tcBorders>
            <w:shd w:val="clear" w:color="auto" w:fill="auto"/>
            <w:noWrap/>
            <w:vAlign w:val="bottom"/>
            <w:hideMark/>
          </w:tcPr>
          <w:p w:rsidR="004B2521" w:rsidRPr="00E70693" w:rsidRDefault="004B2521" w:rsidP="00DF3FFF">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single" w:sz="4" w:space="0" w:color="auto"/>
              <w:left w:val="nil"/>
              <w:bottom w:val="nil"/>
              <w:right w:val="single" w:sz="4" w:space="0" w:color="auto"/>
            </w:tcBorders>
            <w:shd w:val="clear" w:color="auto" w:fill="auto"/>
            <w:noWrap/>
            <w:vAlign w:val="bottom"/>
            <w:hideMark/>
          </w:tcPr>
          <w:p w:rsidR="004B2521" w:rsidRPr="00E70693" w:rsidRDefault="004B2521"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25,82%</w:t>
            </w:r>
          </w:p>
        </w:tc>
      </w:tr>
      <w:tr w:rsidR="004B2521" w:rsidRPr="00E70693" w:rsidTr="00635755">
        <w:tc>
          <w:tcPr>
            <w:tcW w:w="2552" w:type="dxa"/>
            <w:tcBorders>
              <w:top w:val="nil"/>
              <w:left w:val="single" w:sz="4" w:space="0" w:color="auto"/>
              <w:bottom w:val="single" w:sz="4" w:space="0" w:color="auto"/>
              <w:right w:val="nil"/>
            </w:tcBorders>
            <w:shd w:val="clear" w:color="auto" w:fill="auto"/>
            <w:hideMark/>
          </w:tcPr>
          <w:p w:rsidR="004B2521" w:rsidRPr="00E70693" w:rsidRDefault="004B2521"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Incremento total</w:t>
            </w:r>
          </w:p>
        </w:tc>
        <w:tc>
          <w:tcPr>
            <w:tcW w:w="1417" w:type="dxa"/>
            <w:tcBorders>
              <w:top w:val="nil"/>
              <w:left w:val="single" w:sz="4" w:space="0" w:color="auto"/>
              <w:bottom w:val="single" w:sz="4" w:space="0" w:color="auto"/>
              <w:right w:val="nil"/>
            </w:tcBorders>
            <w:shd w:val="clear" w:color="auto" w:fill="auto"/>
            <w:noWrap/>
            <w:vAlign w:val="bottom"/>
            <w:hideMark/>
          </w:tcPr>
          <w:p w:rsidR="004B2521" w:rsidRPr="00E70693" w:rsidRDefault="004B2521" w:rsidP="00DF3FFF">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nil"/>
              <w:left w:val="nil"/>
              <w:bottom w:val="single" w:sz="4" w:space="0" w:color="auto"/>
              <w:right w:val="nil"/>
            </w:tcBorders>
            <w:shd w:val="clear" w:color="auto" w:fill="auto"/>
            <w:noWrap/>
            <w:vAlign w:val="bottom"/>
            <w:hideMark/>
          </w:tcPr>
          <w:p w:rsidR="004B2521" w:rsidRPr="00E70693" w:rsidRDefault="004B2521" w:rsidP="00DF3FFF">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7" w:type="dxa"/>
            <w:tcBorders>
              <w:top w:val="nil"/>
              <w:left w:val="nil"/>
              <w:bottom w:val="single" w:sz="4" w:space="0" w:color="auto"/>
              <w:right w:val="nil"/>
            </w:tcBorders>
            <w:shd w:val="clear" w:color="auto" w:fill="auto"/>
            <w:noWrap/>
            <w:vAlign w:val="bottom"/>
            <w:hideMark/>
          </w:tcPr>
          <w:p w:rsidR="004B2521" w:rsidRPr="00E70693" w:rsidRDefault="004B2521" w:rsidP="00DF3FFF">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nil"/>
              <w:left w:val="nil"/>
              <w:bottom w:val="single" w:sz="4" w:space="0" w:color="auto"/>
              <w:right w:val="single" w:sz="4" w:space="0" w:color="auto"/>
            </w:tcBorders>
            <w:shd w:val="clear" w:color="auto" w:fill="auto"/>
            <w:noWrap/>
            <w:vAlign w:val="bottom"/>
            <w:hideMark/>
          </w:tcPr>
          <w:p w:rsidR="004B2521" w:rsidRPr="00E70693" w:rsidRDefault="004B2521"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25,82%</w:t>
            </w:r>
          </w:p>
        </w:tc>
      </w:tr>
      <w:tr w:rsidR="004B2521" w:rsidRPr="00E70693" w:rsidTr="00635755">
        <w:tc>
          <w:tcPr>
            <w:tcW w:w="2552" w:type="dxa"/>
            <w:tcBorders>
              <w:top w:val="nil"/>
              <w:left w:val="single" w:sz="4" w:space="0" w:color="auto"/>
              <w:bottom w:val="single" w:sz="4" w:space="0" w:color="auto"/>
              <w:right w:val="nil"/>
            </w:tcBorders>
            <w:shd w:val="clear" w:color="auto" w:fill="auto"/>
            <w:hideMark/>
          </w:tcPr>
          <w:p w:rsidR="004B2521" w:rsidRPr="00E70693" w:rsidRDefault="004B2521" w:rsidP="004B2521">
            <w:pPr>
              <w:jc w:val="right"/>
              <w:rPr>
                <w:rFonts w:ascii="Arial" w:hAnsi="Arial" w:cs="Arial"/>
                <w:color w:val="000000"/>
                <w:sz w:val="20"/>
                <w:lang w:val="es-PY" w:eastAsia="es-PY"/>
              </w:rPr>
            </w:pPr>
            <w:r w:rsidRPr="00E70693">
              <w:rPr>
                <w:rFonts w:ascii="Arial" w:hAnsi="Arial" w:cs="Arial"/>
                <w:color w:val="000000"/>
                <w:sz w:val="20"/>
                <w:lang w:val="es-PY" w:eastAsia="es-PY"/>
              </w:rPr>
              <w:t>Precio US$/Km</w:t>
            </w:r>
          </w:p>
        </w:tc>
        <w:tc>
          <w:tcPr>
            <w:tcW w:w="1417" w:type="dxa"/>
            <w:tcBorders>
              <w:top w:val="nil"/>
              <w:left w:val="single" w:sz="4" w:space="0" w:color="auto"/>
              <w:bottom w:val="single" w:sz="4" w:space="0" w:color="auto"/>
              <w:right w:val="nil"/>
            </w:tcBorders>
            <w:shd w:val="clear" w:color="auto" w:fill="auto"/>
            <w:noWrap/>
            <w:vAlign w:val="bottom"/>
            <w:hideMark/>
          </w:tcPr>
          <w:p w:rsidR="004B2521" w:rsidRPr="00E70693" w:rsidRDefault="004B2521" w:rsidP="004B2521">
            <w:pPr>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nil"/>
              <w:left w:val="nil"/>
              <w:bottom w:val="single" w:sz="4" w:space="0" w:color="auto"/>
              <w:right w:val="single" w:sz="4" w:space="0" w:color="auto"/>
            </w:tcBorders>
            <w:shd w:val="clear" w:color="auto" w:fill="auto"/>
            <w:noWrap/>
            <w:vAlign w:val="bottom"/>
            <w:hideMark/>
          </w:tcPr>
          <w:p w:rsidR="004B2521" w:rsidRPr="00E70693" w:rsidRDefault="004B2521" w:rsidP="004B2521">
            <w:pPr>
              <w:jc w:val="right"/>
              <w:rPr>
                <w:rFonts w:ascii="Arial" w:hAnsi="Arial" w:cs="Arial"/>
                <w:color w:val="000000"/>
                <w:sz w:val="20"/>
                <w:lang w:val="es-PY" w:eastAsia="es-PY"/>
              </w:rPr>
            </w:pPr>
            <w:r w:rsidRPr="00E70693">
              <w:rPr>
                <w:rFonts w:ascii="Arial" w:hAnsi="Arial" w:cs="Arial"/>
                <w:color w:val="000000"/>
                <w:sz w:val="20"/>
                <w:lang w:val="es-PY" w:eastAsia="es-PY"/>
              </w:rPr>
              <w:t>103.102,35</w:t>
            </w:r>
          </w:p>
        </w:tc>
        <w:tc>
          <w:tcPr>
            <w:tcW w:w="1417" w:type="dxa"/>
            <w:tcBorders>
              <w:top w:val="nil"/>
              <w:left w:val="nil"/>
              <w:bottom w:val="single" w:sz="4" w:space="0" w:color="auto"/>
              <w:right w:val="nil"/>
            </w:tcBorders>
            <w:shd w:val="clear" w:color="auto" w:fill="auto"/>
            <w:noWrap/>
            <w:vAlign w:val="bottom"/>
            <w:hideMark/>
          </w:tcPr>
          <w:p w:rsidR="004B2521" w:rsidRPr="00E70693" w:rsidRDefault="004B2521" w:rsidP="004B2521">
            <w:pPr>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nil"/>
              <w:left w:val="nil"/>
              <w:bottom w:val="single" w:sz="4" w:space="0" w:color="auto"/>
              <w:right w:val="single" w:sz="4" w:space="0" w:color="auto"/>
            </w:tcBorders>
            <w:shd w:val="clear" w:color="auto" w:fill="auto"/>
            <w:noWrap/>
            <w:vAlign w:val="bottom"/>
            <w:hideMark/>
          </w:tcPr>
          <w:p w:rsidR="004B2521" w:rsidRPr="00E70693" w:rsidRDefault="004B2521" w:rsidP="004B2521">
            <w:pPr>
              <w:jc w:val="right"/>
              <w:rPr>
                <w:rFonts w:ascii="Arial" w:hAnsi="Arial" w:cs="Arial"/>
                <w:color w:val="000000"/>
                <w:sz w:val="20"/>
                <w:lang w:val="es-PY" w:eastAsia="es-PY"/>
              </w:rPr>
            </w:pPr>
            <w:r w:rsidRPr="00E70693">
              <w:rPr>
                <w:rFonts w:ascii="Arial" w:hAnsi="Arial" w:cs="Arial"/>
                <w:color w:val="000000"/>
                <w:sz w:val="20"/>
                <w:lang w:val="es-PY" w:eastAsia="es-PY"/>
              </w:rPr>
              <w:t>129.719,15</w:t>
            </w:r>
          </w:p>
        </w:tc>
      </w:tr>
    </w:tbl>
    <w:p w:rsidR="004B2521" w:rsidRPr="00E70693" w:rsidRDefault="004B2521" w:rsidP="004B2521">
      <w:pPr>
        <w:ind w:left="709"/>
        <w:jc w:val="both"/>
        <w:rPr>
          <w:rFonts w:ascii="Arial" w:hAnsi="Arial" w:cs="Arial"/>
        </w:rPr>
      </w:pPr>
    </w:p>
    <w:tbl>
      <w:tblPr>
        <w:tblW w:w="8222" w:type="dxa"/>
        <w:tblInd w:w="779" w:type="dxa"/>
        <w:tblCellMar>
          <w:left w:w="70" w:type="dxa"/>
          <w:right w:w="70" w:type="dxa"/>
        </w:tblCellMar>
        <w:tblLook w:val="04A0" w:firstRow="1" w:lastRow="0" w:firstColumn="1" w:lastColumn="0" w:noHBand="0" w:noVBand="1"/>
      </w:tblPr>
      <w:tblGrid>
        <w:gridCol w:w="3969"/>
        <w:gridCol w:w="1418"/>
        <w:gridCol w:w="1417"/>
        <w:gridCol w:w="1418"/>
      </w:tblGrid>
      <w:tr w:rsidR="00635755" w:rsidRPr="00E70693" w:rsidTr="00635755">
        <w:tc>
          <w:tcPr>
            <w:tcW w:w="3969" w:type="dxa"/>
            <w:tcBorders>
              <w:top w:val="nil"/>
              <w:left w:val="nil"/>
              <w:bottom w:val="nil"/>
              <w:right w:val="nil"/>
            </w:tcBorders>
            <w:shd w:val="clear" w:color="auto" w:fill="auto"/>
            <w:hideMark/>
          </w:tcPr>
          <w:p w:rsidR="00635755" w:rsidRPr="00E70693" w:rsidRDefault="00635755" w:rsidP="00635755">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Fecha de inicio:</w:t>
            </w:r>
          </w:p>
        </w:tc>
        <w:tc>
          <w:tcPr>
            <w:tcW w:w="1418" w:type="dxa"/>
            <w:tcBorders>
              <w:top w:val="nil"/>
              <w:left w:val="nil"/>
              <w:bottom w:val="nil"/>
              <w:right w:val="nil"/>
            </w:tcBorders>
            <w:shd w:val="clear" w:color="auto" w:fill="auto"/>
            <w:noWrap/>
            <w:vAlign w:val="bottom"/>
            <w:hideMark/>
          </w:tcPr>
          <w:p w:rsidR="00635755" w:rsidRPr="00E70693" w:rsidRDefault="00635755" w:rsidP="00635755">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20/10/2012</w:t>
            </w:r>
          </w:p>
        </w:tc>
        <w:tc>
          <w:tcPr>
            <w:tcW w:w="1417" w:type="dxa"/>
            <w:tcBorders>
              <w:top w:val="nil"/>
              <w:left w:val="nil"/>
              <w:bottom w:val="nil"/>
              <w:right w:val="nil"/>
            </w:tcBorders>
            <w:shd w:val="clear" w:color="auto" w:fill="auto"/>
            <w:noWrap/>
            <w:vAlign w:val="bottom"/>
            <w:hideMark/>
          </w:tcPr>
          <w:p w:rsidR="00635755" w:rsidRPr="00E70693" w:rsidRDefault="00635755" w:rsidP="00635755">
            <w:pPr>
              <w:rPr>
                <w:rFonts w:ascii="Arial" w:hAnsi="Arial" w:cs="Arial"/>
                <w:color w:val="000000"/>
                <w:sz w:val="22"/>
                <w:szCs w:val="22"/>
                <w:lang w:val="es-PY" w:eastAsia="es-PY"/>
              </w:rPr>
            </w:pPr>
          </w:p>
        </w:tc>
        <w:tc>
          <w:tcPr>
            <w:tcW w:w="1418" w:type="dxa"/>
            <w:tcBorders>
              <w:top w:val="nil"/>
              <w:left w:val="nil"/>
              <w:bottom w:val="nil"/>
              <w:right w:val="nil"/>
            </w:tcBorders>
            <w:shd w:val="clear" w:color="auto" w:fill="auto"/>
            <w:noWrap/>
            <w:vAlign w:val="bottom"/>
            <w:hideMark/>
          </w:tcPr>
          <w:p w:rsidR="00635755" w:rsidRPr="00E70693" w:rsidRDefault="00635755" w:rsidP="00635755">
            <w:pPr>
              <w:rPr>
                <w:rFonts w:ascii="Arial" w:hAnsi="Arial" w:cs="Arial"/>
                <w:color w:val="000000"/>
                <w:sz w:val="20"/>
                <w:lang w:val="es-PY" w:eastAsia="es-PY"/>
              </w:rPr>
            </w:pPr>
          </w:p>
        </w:tc>
      </w:tr>
      <w:tr w:rsidR="00635755" w:rsidRPr="00E70693" w:rsidTr="00635755">
        <w:tc>
          <w:tcPr>
            <w:tcW w:w="3969" w:type="dxa"/>
            <w:tcBorders>
              <w:top w:val="nil"/>
              <w:left w:val="nil"/>
              <w:bottom w:val="nil"/>
              <w:right w:val="nil"/>
            </w:tcBorders>
            <w:shd w:val="clear" w:color="auto" w:fill="auto"/>
            <w:hideMark/>
          </w:tcPr>
          <w:p w:rsidR="00635755" w:rsidRPr="00E70693" w:rsidRDefault="00635755" w:rsidP="00635755">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Fecha original de conclusión:</w:t>
            </w:r>
          </w:p>
        </w:tc>
        <w:tc>
          <w:tcPr>
            <w:tcW w:w="1418" w:type="dxa"/>
            <w:tcBorders>
              <w:top w:val="nil"/>
              <w:left w:val="nil"/>
              <w:bottom w:val="nil"/>
              <w:right w:val="nil"/>
            </w:tcBorders>
            <w:shd w:val="clear" w:color="auto" w:fill="auto"/>
            <w:noWrap/>
            <w:vAlign w:val="bottom"/>
            <w:hideMark/>
          </w:tcPr>
          <w:p w:rsidR="00635755" w:rsidRPr="00E70693" w:rsidRDefault="00635755" w:rsidP="00635755">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17/04/2013</w:t>
            </w:r>
          </w:p>
        </w:tc>
        <w:tc>
          <w:tcPr>
            <w:tcW w:w="1417" w:type="dxa"/>
            <w:tcBorders>
              <w:top w:val="nil"/>
              <w:left w:val="nil"/>
              <w:bottom w:val="nil"/>
              <w:right w:val="nil"/>
            </w:tcBorders>
            <w:shd w:val="clear" w:color="auto" w:fill="auto"/>
            <w:noWrap/>
            <w:vAlign w:val="bottom"/>
            <w:hideMark/>
          </w:tcPr>
          <w:p w:rsidR="00635755" w:rsidRPr="00E70693" w:rsidRDefault="00635755" w:rsidP="00635755">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179</w:t>
            </w:r>
          </w:p>
        </w:tc>
        <w:tc>
          <w:tcPr>
            <w:tcW w:w="1418" w:type="dxa"/>
            <w:tcBorders>
              <w:top w:val="nil"/>
              <w:left w:val="nil"/>
              <w:bottom w:val="nil"/>
              <w:right w:val="nil"/>
            </w:tcBorders>
            <w:shd w:val="clear" w:color="auto" w:fill="auto"/>
            <w:noWrap/>
            <w:vAlign w:val="bottom"/>
            <w:hideMark/>
          </w:tcPr>
          <w:p w:rsidR="00635755" w:rsidRPr="00E70693" w:rsidRDefault="00635755" w:rsidP="00635755">
            <w:pPr>
              <w:rPr>
                <w:rFonts w:ascii="Arial" w:hAnsi="Arial" w:cs="Arial"/>
                <w:bCs/>
                <w:color w:val="000000"/>
                <w:sz w:val="20"/>
                <w:lang w:val="es-PY" w:eastAsia="es-PY"/>
              </w:rPr>
            </w:pPr>
            <w:r w:rsidRPr="00E70693">
              <w:rPr>
                <w:rFonts w:ascii="Arial" w:hAnsi="Arial" w:cs="Arial"/>
                <w:bCs/>
                <w:color w:val="000000"/>
                <w:sz w:val="20"/>
                <w:lang w:val="es-PY" w:eastAsia="es-PY"/>
              </w:rPr>
              <w:t>días</w:t>
            </w:r>
          </w:p>
        </w:tc>
      </w:tr>
      <w:tr w:rsidR="00635755" w:rsidRPr="00E70693" w:rsidTr="00635755">
        <w:tc>
          <w:tcPr>
            <w:tcW w:w="3969" w:type="dxa"/>
            <w:tcBorders>
              <w:top w:val="nil"/>
              <w:left w:val="nil"/>
              <w:bottom w:val="nil"/>
              <w:right w:val="nil"/>
            </w:tcBorders>
            <w:shd w:val="clear" w:color="auto" w:fill="auto"/>
            <w:hideMark/>
          </w:tcPr>
          <w:p w:rsidR="00635755" w:rsidRPr="00E70693" w:rsidRDefault="00635755" w:rsidP="00635755">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Fecha fina</w:t>
            </w:r>
            <w:r w:rsidR="00FA1E33" w:rsidRPr="00E70693">
              <w:rPr>
                <w:rFonts w:ascii="Arial" w:hAnsi="Arial" w:cs="Arial"/>
                <w:b/>
                <w:bCs/>
                <w:color w:val="000000"/>
                <w:sz w:val="20"/>
                <w:lang w:val="es-PY" w:eastAsia="es-PY"/>
              </w:rPr>
              <w:t>l</w:t>
            </w:r>
            <w:r w:rsidRPr="00E70693">
              <w:rPr>
                <w:rFonts w:ascii="Arial" w:hAnsi="Arial" w:cs="Arial"/>
                <w:b/>
                <w:bCs/>
                <w:color w:val="000000"/>
                <w:sz w:val="20"/>
                <w:lang w:val="es-PY" w:eastAsia="es-PY"/>
              </w:rPr>
              <w:t xml:space="preserve"> de conclusión:</w:t>
            </w:r>
          </w:p>
        </w:tc>
        <w:tc>
          <w:tcPr>
            <w:tcW w:w="1418" w:type="dxa"/>
            <w:tcBorders>
              <w:top w:val="nil"/>
              <w:left w:val="nil"/>
              <w:bottom w:val="nil"/>
              <w:right w:val="nil"/>
            </w:tcBorders>
            <w:shd w:val="clear" w:color="auto" w:fill="auto"/>
            <w:noWrap/>
            <w:vAlign w:val="bottom"/>
            <w:hideMark/>
          </w:tcPr>
          <w:p w:rsidR="00635755" w:rsidRPr="00E70693" w:rsidRDefault="00635755" w:rsidP="00635755">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17/04/2013</w:t>
            </w:r>
          </w:p>
        </w:tc>
        <w:tc>
          <w:tcPr>
            <w:tcW w:w="1417" w:type="dxa"/>
            <w:tcBorders>
              <w:top w:val="nil"/>
              <w:left w:val="nil"/>
              <w:bottom w:val="nil"/>
              <w:right w:val="nil"/>
            </w:tcBorders>
            <w:shd w:val="clear" w:color="auto" w:fill="auto"/>
            <w:noWrap/>
            <w:vAlign w:val="bottom"/>
            <w:hideMark/>
          </w:tcPr>
          <w:p w:rsidR="00635755" w:rsidRPr="00E70693" w:rsidRDefault="00635755" w:rsidP="00635755">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179</w:t>
            </w:r>
          </w:p>
        </w:tc>
        <w:tc>
          <w:tcPr>
            <w:tcW w:w="1418" w:type="dxa"/>
            <w:tcBorders>
              <w:top w:val="nil"/>
              <w:left w:val="nil"/>
              <w:bottom w:val="nil"/>
              <w:right w:val="nil"/>
            </w:tcBorders>
            <w:shd w:val="clear" w:color="auto" w:fill="auto"/>
            <w:noWrap/>
            <w:vAlign w:val="bottom"/>
            <w:hideMark/>
          </w:tcPr>
          <w:p w:rsidR="00635755" w:rsidRPr="00E70693" w:rsidRDefault="00635755" w:rsidP="00635755">
            <w:pPr>
              <w:rPr>
                <w:rFonts w:ascii="Arial" w:hAnsi="Arial" w:cs="Arial"/>
                <w:bCs/>
                <w:color w:val="000000"/>
                <w:sz w:val="20"/>
                <w:lang w:val="es-PY" w:eastAsia="es-PY"/>
              </w:rPr>
            </w:pPr>
            <w:r w:rsidRPr="00E70693">
              <w:rPr>
                <w:rFonts w:ascii="Arial" w:hAnsi="Arial" w:cs="Arial"/>
                <w:bCs/>
                <w:color w:val="000000"/>
                <w:sz w:val="20"/>
                <w:lang w:val="es-PY" w:eastAsia="es-PY"/>
              </w:rPr>
              <w:t>días</w:t>
            </w:r>
          </w:p>
        </w:tc>
      </w:tr>
    </w:tbl>
    <w:p w:rsidR="00EC5FA1" w:rsidRPr="00E70693" w:rsidRDefault="00EC5FA1" w:rsidP="00B50790">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b/>
        </w:rPr>
        <w:t>2840/BL-NI Programa de Apoyo al Sector Transporte II (NI-L1052)</w:t>
      </w:r>
      <w:r w:rsidRPr="00E70693">
        <w:rPr>
          <w:rFonts w:ascii="Arial" w:hAnsi="Arial" w:cs="Arial"/>
        </w:rPr>
        <w:t xml:space="preserve">. Esta operación </w:t>
      </w:r>
      <w:r w:rsidR="00FA1E33" w:rsidRPr="00E70693">
        <w:rPr>
          <w:rFonts w:ascii="Arial" w:hAnsi="Arial" w:cs="Arial"/>
        </w:rPr>
        <w:t>comprend</w:t>
      </w:r>
      <w:r w:rsidR="007645A8" w:rsidRPr="00E70693">
        <w:rPr>
          <w:rFonts w:ascii="Arial" w:hAnsi="Arial" w:cs="Arial"/>
        </w:rPr>
        <w:t>e</w:t>
      </w:r>
      <w:r w:rsidR="00FA1E33" w:rsidRPr="00E70693">
        <w:rPr>
          <w:rFonts w:ascii="Arial" w:hAnsi="Arial" w:cs="Arial"/>
        </w:rPr>
        <w:t xml:space="preserve"> </w:t>
      </w:r>
      <w:r w:rsidRPr="00E70693">
        <w:rPr>
          <w:rFonts w:ascii="Arial" w:hAnsi="Arial" w:cs="Arial"/>
        </w:rPr>
        <w:t>las obras: i) “</w:t>
      </w:r>
      <w:r w:rsidR="00B50790" w:rsidRPr="00E70693">
        <w:rPr>
          <w:rFonts w:ascii="Arial" w:hAnsi="Arial" w:cs="Arial"/>
          <w:i/>
        </w:rPr>
        <w:t>Rehabilitación</w:t>
      </w:r>
      <w:r w:rsidR="00610984" w:rsidRPr="00E70693">
        <w:rPr>
          <w:rFonts w:ascii="Arial" w:hAnsi="Arial" w:cs="Arial"/>
          <w:i/>
        </w:rPr>
        <w:t xml:space="preserve"> de </w:t>
      </w:r>
      <w:r w:rsidR="00B50790" w:rsidRPr="00E70693">
        <w:rPr>
          <w:rFonts w:ascii="Arial" w:hAnsi="Arial" w:cs="Arial"/>
          <w:i/>
        </w:rPr>
        <w:t xml:space="preserve">Carretera </w:t>
      </w:r>
      <w:proofErr w:type="spellStart"/>
      <w:r w:rsidR="00B50790" w:rsidRPr="00E70693">
        <w:rPr>
          <w:rFonts w:ascii="Arial" w:hAnsi="Arial" w:cs="Arial"/>
          <w:i/>
        </w:rPr>
        <w:t>Miralagos-Cuyalí</w:t>
      </w:r>
      <w:proofErr w:type="spellEnd"/>
      <w:r w:rsidRPr="00E70693">
        <w:rPr>
          <w:rFonts w:ascii="Arial" w:hAnsi="Arial" w:cs="Arial"/>
          <w:i/>
        </w:rPr>
        <w:t xml:space="preserve"> (7,</w:t>
      </w:r>
      <w:r w:rsidR="00B50790" w:rsidRPr="00E70693">
        <w:rPr>
          <w:rFonts w:ascii="Arial" w:hAnsi="Arial" w:cs="Arial"/>
          <w:i/>
        </w:rPr>
        <w:t>47</w:t>
      </w:r>
      <w:r w:rsidRPr="00E70693">
        <w:rPr>
          <w:rFonts w:ascii="Arial" w:hAnsi="Arial" w:cs="Arial"/>
          <w:i/>
        </w:rPr>
        <w:t xml:space="preserve"> Km)</w:t>
      </w:r>
      <w:r w:rsidRPr="00E70693">
        <w:rPr>
          <w:rFonts w:ascii="Arial" w:hAnsi="Arial" w:cs="Arial"/>
        </w:rPr>
        <w:t xml:space="preserve">”; </w:t>
      </w:r>
      <w:r w:rsidR="00B50790" w:rsidRPr="00E70693">
        <w:rPr>
          <w:rFonts w:ascii="Arial" w:hAnsi="Arial" w:cs="Arial"/>
        </w:rPr>
        <w:t xml:space="preserve">y </w:t>
      </w:r>
      <w:r w:rsidRPr="00E70693">
        <w:rPr>
          <w:rFonts w:ascii="Arial" w:hAnsi="Arial" w:cs="Arial"/>
        </w:rPr>
        <w:t>ii) “</w:t>
      </w:r>
      <w:r w:rsidR="00B50790" w:rsidRPr="00E70693">
        <w:rPr>
          <w:rFonts w:ascii="Arial" w:hAnsi="Arial" w:cs="Arial"/>
          <w:i/>
        </w:rPr>
        <w:t>Rehabilitación de Carretera La Paz Centro-</w:t>
      </w:r>
      <w:proofErr w:type="spellStart"/>
      <w:r w:rsidR="00B50790" w:rsidRPr="00E70693">
        <w:rPr>
          <w:rFonts w:ascii="Arial" w:hAnsi="Arial" w:cs="Arial"/>
          <w:i/>
        </w:rPr>
        <w:t>Malpaisillo</w:t>
      </w:r>
      <w:proofErr w:type="spellEnd"/>
      <w:r w:rsidRPr="00E70693">
        <w:rPr>
          <w:rFonts w:ascii="Arial" w:hAnsi="Arial" w:cs="Arial"/>
          <w:i/>
        </w:rPr>
        <w:t xml:space="preserve"> (</w:t>
      </w:r>
      <w:r w:rsidR="00B50790" w:rsidRPr="00E70693">
        <w:rPr>
          <w:rFonts w:ascii="Arial" w:hAnsi="Arial" w:cs="Arial"/>
          <w:i/>
        </w:rPr>
        <w:t>38,159</w:t>
      </w:r>
      <w:r w:rsidRPr="00E70693">
        <w:rPr>
          <w:rFonts w:ascii="Arial" w:hAnsi="Arial" w:cs="Arial"/>
          <w:i/>
        </w:rPr>
        <w:t xml:space="preserve"> Km)</w:t>
      </w:r>
      <w:r w:rsidRPr="00E70693">
        <w:rPr>
          <w:rFonts w:ascii="Arial" w:hAnsi="Arial" w:cs="Arial"/>
        </w:rPr>
        <w:t>”</w:t>
      </w:r>
      <w:r w:rsidR="00B50790" w:rsidRPr="00E70693">
        <w:rPr>
          <w:rFonts w:ascii="Arial" w:hAnsi="Arial" w:cs="Arial"/>
        </w:rPr>
        <w:t>, ejecutados por el MTI; y</w:t>
      </w:r>
      <w:r w:rsidRPr="00E70693">
        <w:rPr>
          <w:rFonts w:ascii="Arial" w:hAnsi="Arial" w:cs="Arial"/>
        </w:rPr>
        <w:t xml:space="preserve"> </w:t>
      </w:r>
      <w:r w:rsidR="00B50790" w:rsidRPr="00E70693">
        <w:rPr>
          <w:rFonts w:ascii="Arial" w:hAnsi="Arial" w:cs="Arial"/>
        </w:rPr>
        <w:t>iii) “</w:t>
      </w:r>
      <w:r w:rsidR="00B50790" w:rsidRPr="00E70693">
        <w:rPr>
          <w:rFonts w:ascii="Arial" w:hAnsi="Arial" w:cs="Arial"/>
          <w:i/>
        </w:rPr>
        <w:t>Mantenimiento Periódico/ Rutinario del Tramo Jinotepe-</w:t>
      </w:r>
      <w:proofErr w:type="spellStart"/>
      <w:r w:rsidR="00B50790" w:rsidRPr="00E70693">
        <w:rPr>
          <w:rFonts w:ascii="Arial" w:hAnsi="Arial" w:cs="Arial"/>
          <w:i/>
        </w:rPr>
        <w:t>Nandaime</w:t>
      </w:r>
      <w:proofErr w:type="spellEnd"/>
      <w:r w:rsidR="00B50790" w:rsidRPr="00E70693">
        <w:rPr>
          <w:rFonts w:ascii="Arial" w:hAnsi="Arial" w:cs="Arial"/>
          <w:i/>
        </w:rPr>
        <w:t xml:space="preserve"> (22,0 Km)</w:t>
      </w:r>
      <w:r w:rsidR="00B50790" w:rsidRPr="00E70693">
        <w:rPr>
          <w:rFonts w:ascii="Arial" w:hAnsi="Arial" w:cs="Arial"/>
        </w:rPr>
        <w:t>”; y iv) “</w:t>
      </w:r>
      <w:r w:rsidR="00B50790" w:rsidRPr="00E70693">
        <w:rPr>
          <w:rFonts w:ascii="Arial" w:hAnsi="Arial" w:cs="Arial"/>
          <w:i/>
        </w:rPr>
        <w:t>Mantenimiento Periódico/ Rutinario del Tramo Jinotega-</w:t>
      </w:r>
      <w:proofErr w:type="spellStart"/>
      <w:r w:rsidR="00B50790" w:rsidRPr="00E70693">
        <w:rPr>
          <w:rFonts w:ascii="Arial" w:hAnsi="Arial" w:cs="Arial"/>
          <w:i/>
        </w:rPr>
        <w:t>Miralagos</w:t>
      </w:r>
      <w:proofErr w:type="spellEnd"/>
      <w:r w:rsidR="00B50790" w:rsidRPr="00E70693">
        <w:rPr>
          <w:rFonts w:ascii="Arial" w:hAnsi="Arial" w:cs="Arial"/>
          <w:i/>
        </w:rPr>
        <w:t xml:space="preserve"> (11,0 Km)</w:t>
      </w:r>
      <w:r w:rsidR="00B50790" w:rsidRPr="00E70693">
        <w:rPr>
          <w:rFonts w:ascii="Arial" w:hAnsi="Arial" w:cs="Arial"/>
        </w:rPr>
        <w:t xml:space="preserve">”, </w:t>
      </w:r>
      <w:r w:rsidRPr="00E70693">
        <w:rPr>
          <w:rFonts w:ascii="Arial" w:hAnsi="Arial" w:cs="Arial"/>
        </w:rPr>
        <w:t>ejecutado</w:t>
      </w:r>
      <w:r w:rsidR="00B50790" w:rsidRPr="00E70693">
        <w:rPr>
          <w:rFonts w:ascii="Arial" w:hAnsi="Arial" w:cs="Arial"/>
        </w:rPr>
        <w:t>s</w:t>
      </w:r>
      <w:r w:rsidRPr="00E70693">
        <w:rPr>
          <w:rFonts w:ascii="Arial" w:hAnsi="Arial" w:cs="Arial"/>
        </w:rPr>
        <w:t xml:space="preserve"> por el FOMAV.</w:t>
      </w:r>
    </w:p>
    <w:p w:rsidR="004B6C6F" w:rsidRPr="00E70693" w:rsidRDefault="00B50790" w:rsidP="00EC5FA1">
      <w:pPr>
        <w:numPr>
          <w:ilvl w:val="1"/>
          <w:numId w:val="1"/>
        </w:numPr>
        <w:tabs>
          <w:tab w:val="clear" w:pos="360"/>
          <w:tab w:val="num" w:pos="709"/>
        </w:tabs>
        <w:spacing w:before="240"/>
        <w:ind w:left="709" w:hanging="709"/>
        <w:jc w:val="both"/>
        <w:rPr>
          <w:rFonts w:ascii="Arial" w:hAnsi="Arial" w:cs="Arial"/>
        </w:rPr>
      </w:pPr>
      <w:bookmarkStart w:id="15" w:name="_Ref417563352"/>
      <w:r w:rsidRPr="00E70693">
        <w:rPr>
          <w:rFonts w:ascii="Arial" w:hAnsi="Arial" w:cs="Arial"/>
          <w:i/>
        </w:rPr>
        <w:t xml:space="preserve">Rehabilitación </w:t>
      </w:r>
      <w:r w:rsidR="00610984" w:rsidRPr="00E70693">
        <w:rPr>
          <w:rFonts w:ascii="Arial" w:hAnsi="Arial" w:cs="Arial"/>
          <w:i/>
        </w:rPr>
        <w:t xml:space="preserve">de </w:t>
      </w:r>
      <w:r w:rsidRPr="00E70693">
        <w:rPr>
          <w:rFonts w:ascii="Arial" w:hAnsi="Arial" w:cs="Arial"/>
          <w:i/>
        </w:rPr>
        <w:t xml:space="preserve">Carretera </w:t>
      </w:r>
      <w:proofErr w:type="spellStart"/>
      <w:r w:rsidRPr="00E70693">
        <w:rPr>
          <w:rFonts w:ascii="Arial" w:hAnsi="Arial" w:cs="Arial"/>
          <w:i/>
        </w:rPr>
        <w:t>Miralagos-Cuyalí</w:t>
      </w:r>
      <w:proofErr w:type="spellEnd"/>
      <w:r w:rsidRPr="00E70693">
        <w:rPr>
          <w:rFonts w:ascii="Arial" w:hAnsi="Arial" w:cs="Arial"/>
          <w:i/>
        </w:rPr>
        <w:t xml:space="preserve"> (7,47 Km)</w:t>
      </w:r>
      <w:r w:rsidR="00EC5FA1" w:rsidRPr="00E70693">
        <w:rPr>
          <w:rFonts w:ascii="Arial" w:hAnsi="Arial" w:cs="Arial"/>
        </w:rPr>
        <w:t xml:space="preserve">. Ejecutado por el MTI, </w:t>
      </w:r>
      <w:r w:rsidR="00EE79E8" w:rsidRPr="00E70693">
        <w:rPr>
          <w:rFonts w:ascii="Arial" w:hAnsi="Arial" w:cs="Arial"/>
        </w:rPr>
        <w:t xml:space="preserve">comprendió </w:t>
      </w:r>
      <w:r w:rsidR="00635755" w:rsidRPr="00E70693">
        <w:rPr>
          <w:rFonts w:ascii="Arial" w:hAnsi="Arial" w:cs="Arial"/>
          <w:bCs/>
          <w:lang w:val="es-ES"/>
        </w:rPr>
        <w:t>la pavimentación del tramo con</w:t>
      </w:r>
      <w:r w:rsidR="00635755" w:rsidRPr="00E70693">
        <w:rPr>
          <w:rFonts w:ascii="Arial" w:hAnsi="Arial" w:cs="Arial"/>
          <w:bCs/>
          <w:iCs/>
        </w:rPr>
        <w:t xml:space="preserve"> dos carriles; la estructura del pavimento </w:t>
      </w:r>
      <w:r w:rsidR="00FA1E33" w:rsidRPr="00E70693">
        <w:rPr>
          <w:rFonts w:ascii="Arial" w:hAnsi="Arial" w:cs="Arial"/>
          <w:bCs/>
          <w:iCs/>
        </w:rPr>
        <w:t>incluyó</w:t>
      </w:r>
      <w:r w:rsidR="00635755" w:rsidRPr="00E70693">
        <w:rPr>
          <w:rFonts w:ascii="Arial" w:hAnsi="Arial" w:cs="Arial"/>
          <w:bCs/>
          <w:iCs/>
        </w:rPr>
        <w:t xml:space="preserve"> la construcción de una sub-base mejorada y una base estabilizada con cemento sobre la cual se aplic</w:t>
      </w:r>
      <w:r w:rsidR="00EE79E8" w:rsidRPr="00E70693">
        <w:rPr>
          <w:rFonts w:ascii="Arial" w:hAnsi="Arial" w:cs="Arial"/>
          <w:bCs/>
          <w:iCs/>
        </w:rPr>
        <w:t>aba originalmente</w:t>
      </w:r>
      <w:r w:rsidR="00635755" w:rsidRPr="00E70693">
        <w:rPr>
          <w:rFonts w:ascii="Arial" w:hAnsi="Arial" w:cs="Arial"/>
          <w:bCs/>
          <w:iCs/>
        </w:rPr>
        <w:t xml:space="preserve"> una capa de Micro Pavimento. También se contempl</w:t>
      </w:r>
      <w:r w:rsidR="00EE79E8" w:rsidRPr="00E70693">
        <w:rPr>
          <w:rFonts w:ascii="Arial" w:hAnsi="Arial" w:cs="Arial"/>
          <w:bCs/>
          <w:iCs/>
        </w:rPr>
        <w:t>ó</w:t>
      </w:r>
      <w:r w:rsidR="00635755" w:rsidRPr="00E70693">
        <w:rPr>
          <w:rFonts w:ascii="Arial" w:hAnsi="Arial" w:cs="Arial"/>
          <w:bCs/>
          <w:iCs/>
        </w:rPr>
        <w:t xml:space="preserve"> el mejoramiento del sistema de drenaje menor y la construcción de </w:t>
      </w:r>
      <w:r w:rsidR="004B6C6F" w:rsidRPr="00E70693">
        <w:rPr>
          <w:rFonts w:ascii="Arial" w:hAnsi="Arial" w:cs="Arial"/>
          <w:bCs/>
          <w:iCs/>
        </w:rPr>
        <w:t>dos</w:t>
      </w:r>
      <w:r w:rsidR="00635755" w:rsidRPr="00E70693">
        <w:rPr>
          <w:rFonts w:ascii="Arial" w:hAnsi="Arial" w:cs="Arial"/>
          <w:bCs/>
          <w:iCs/>
        </w:rPr>
        <w:t xml:space="preserve"> puentes para sustituir a los existentes </w:t>
      </w:r>
      <w:r w:rsidR="004B6C6F" w:rsidRPr="00E70693">
        <w:rPr>
          <w:rFonts w:ascii="Arial" w:hAnsi="Arial" w:cs="Arial"/>
          <w:bCs/>
          <w:iCs/>
        </w:rPr>
        <w:t>de un solo carril.</w:t>
      </w:r>
      <w:r w:rsidR="00EC5FA1" w:rsidRPr="00E70693">
        <w:rPr>
          <w:rFonts w:ascii="Arial" w:hAnsi="Arial" w:cs="Arial"/>
        </w:rPr>
        <w:t xml:space="preserve"> En esta obra el d</w:t>
      </w:r>
      <w:r w:rsidR="004B6C6F" w:rsidRPr="00E70693">
        <w:rPr>
          <w:rFonts w:ascii="Arial" w:hAnsi="Arial" w:cs="Arial"/>
        </w:rPr>
        <w:t>iseño fue elaborado por el MTI</w:t>
      </w:r>
      <w:r w:rsidR="007B53D2" w:rsidRPr="00E70693">
        <w:rPr>
          <w:rFonts w:ascii="Arial" w:hAnsi="Arial" w:cs="Arial"/>
        </w:rPr>
        <w:t xml:space="preserve"> y revisado por el Auditor Técnico</w:t>
      </w:r>
      <w:r w:rsidR="004B6C6F" w:rsidRPr="00E70693">
        <w:rPr>
          <w:rFonts w:ascii="Arial" w:hAnsi="Arial" w:cs="Arial"/>
        </w:rPr>
        <w:t>. Ya durante la ejecución de las obras el MTI modificó el trazado de los puentes de manera a no demoler los existentes, medida que alter</w:t>
      </w:r>
      <w:r w:rsidR="00EE79E8" w:rsidRPr="00E70693">
        <w:rPr>
          <w:rFonts w:ascii="Arial" w:hAnsi="Arial" w:cs="Arial"/>
        </w:rPr>
        <w:t>ó</w:t>
      </w:r>
      <w:r w:rsidR="004B6C6F" w:rsidRPr="00E70693">
        <w:rPr>
          <w:rFonts w:ascii="Arial" w:hAnsi="Arial" w:cs="Arial"/>
        </w:rPr>
        <w:t xml:space="preserve"> mucho menos el tránsito de la zona</w:t>
      </w:r>
      <w:r w:rsidR="00EE79E8" w:rsidRPr="00E70693">
        <w:rPr>
          <w:rFonts w:ascii="Arial" w:hAnsi="Arial" w:cs="Arial"/>
        </w:rPr>
        <w:t xml:space="preserve">, reduciendo el riesgo de realizar </w:t>
      </w:r>
      <w:r w:rsidR="004B6C6F" w:rsidRPr="00E70693">
        <w:rPr>
          <w:rFonts w:ascii="Arial" w:hAnsi="Arial" w:cs="Arial"/>
        </w:rPr>
        <w:t>los trabajos en plena estación lluviosa.</w:t>
      </w:r>
      <w:r w:rsidR="00EE79E8" w:rsidRPr="00E70693">
        <w:rPr>
          <w:rFonts w:ascii="Arial" w:hAnsi="Arial" w:cs="Arial"/>
        </w:rPr>
        <w:t xml:space="preserve"> Por otro lado, considerando que en el tramo contiguo Jinotega-</w:t>
      </w:r>
      <w:proofErr w:type="spellStart"/>
      <w:r w:rsidR="00EE79E8" w:rsidRPr="00E70693">
        <w:rPr>
          <w:rFonts w:ascii="Arial" w:hAnsi="Arial" w:cs="Arial"/>
        </w:rPr>
        <w:t>Miralagos</w:t>
      </w:r>
      <w:proofErr w:type="spellEnd"/>
      <w:r w:rsidR="00EE79E8" w:rsidRPr="00E70693">
        <w:rPr>
          <w:rFonts w:ascii="Arial" w:hAnsi="Arial" w:cs="Arial"/>
        </w:rPr>
        <w:t xml:space="preserve"> el FOMAV colocó una carpeta de mezcla asfáltica en caliente, el MTI dispuso equiparar la calidad de la superficie de rodamiento e incrementar la durabilidad de la carretera. Finalmente el rodamiento se ejecutó con una carpeta de mezcla asfáltica en caliente y el </w:t>
      </w:r>
      <w:r w:rsidR="00EE79E8" w:rsidRPr="00E70693">
        <w:rPr>
          <w:rFonts w:ascii="Arial" w:hAnsi="Arial" w:cs="Arial"/>
        </w:rPr>
        <w:lastRenderedPageBreak/>
        <w:t xml:space="preserve">mayor costo resultante fue financiado con recursos nacionales; también se incrementó el plazo contractual en 45 días para permitir la realización de la mejora. </w:t>
      </w:r>
      <w:r w:rsidR="004B6C6F" w:rsidRPr="00E70693">
        <w:rPr>
          <w:rFonts w:ascii="Arial" w:hAnsi="Arial" w:cs="Arial"/>
        </w:rPr>
        <w:t xml:space="preserve">La obra inició el </w:t>
      </w:r>
      <w:r w:rsidR="00EE79E8" w:rsidRPr="00E70693">
        <w:rPr>
          <w:rFonts w:ascii="Arial" w:hAnsi="Arial" w:cs="Arial"/>
        </w:rPr>
        <w:t>21</w:t>
      </w:r>
      <w:r w:rsidR="004B6C6F" w:rsidRPr="00E70693">
        <w:rPr>
          <w:rFonts w:ascii="Arial" w:hAnsi="Arial" w:cs="Arial"/>
        </w:rPr>
        <w:t xml:space="preserve"> de febrero de 2014 y </w:t>
      </w:r>
      <w:r w:rsidR="00EE79E8" w:rsidRPr="00E70693">
        <w:rPr>
          <w:rFonts w:ascii="Arial" w:hAnsi="Arial" w:cs="Arial"/>
        </w:rPr>
        <w:t xml:space="preserve">concluyó </w:t>
      </w:r>
      <w:r w:rsidR="004B6C6F" w:rsidRPr="00E70693">
        <w:rPr>
          <w:rFonts w:ascii="Arial" w:hAnsi="Arial" w:cs="Arial"/>
        </w:rPr>
        <w:t xml:space="preserve">el </w:t>
      </w:r>
      <w:r w:rsidR="00EE79E8" w:rsidRPr="00E70693">
        <w:rPr>
          <w:rFonts w:ascii="Arial" w:hAnsi="Arial" w:cs="Arial"/>
        </w:rPr>
        <w:t>3 de diciembre</w:t>
      </w:r>
      <w:r w:rsidR="004B6C6F" w:rsidRPr="00E70693">
        <w:rPr>
          <w:rFonts w:ascii="Arial" w:hAnsi="Arial" w:cs="Arial"/>
        </w:rPr>
        <w:t xml:space="preserve"> de 2014.</w:t>
      </w:r>
      <w:r w:rsidR="00EE79E8" w:rsidRPr="00E70693">
        <w:rPr>
          <w:rFonts w:ascii="Arial" w:hAnsi="Arial" w:cs="Arial"/>
          <w:lang w:val="es-ES"/>
        </w:rPr>
        <w:t xml:space="preserve"> La estructura de costos </w:t>
      </w:r>
      <w:r w:rsidR="00EE79E8" w:rsidRPr="00E70693">
        <w:rPr>
          <w:rFonts w:ascii="Arial" w:hAnsi="Arial" w:cs="Arial"/>
        </w:rPr>
        <w:t>del contrato de obra es la siguiente</w:t>
      </w:r>
      <w:r w:rsidR="00281A2D" w:rsidRPr="00E70693">
        <w:rPr>
          <w:rFonts w:ascii="Arial" w:hAnsi="Arial" w:cs="Arial"/>
        </w:rPr>
        <w:t>:</w:t>
      </w:r>
      <w:bookmarkEnd w:id="15"/>
    </w:p>
    <w:p w:rsidR="00281A2D" w:rsidRPr="00E70693" w:rsidRDefault="00281A2D" w:rsidP="00DF3FFF">
      <w:pPr>
        <w:ind w:left="709"/>
        <w:jc w:val="both"/>
        <w:rPr>
          <w:rFonts w:ascii="Arial" w:hAnsi="Arial" w:cs="Arial"/>
        </w:rPr>
      </w:pPr>
    </w:p>
    <w:tbl>
      <w:tblPr>
        <w:tblW w:w="8222" w:type="dxa"/>
        <w:tblInd w:w="779" w:type="dxa"/>
        <w:tblCellMar>
          <w:left w:w="70" w:type="dxa"/>
          <w:right w:w="70" w:type="dxa"/>
        </w:tblCellMar>
        <w:tblLook w:val="04A0" w:firstRow="1" w:lastRow="0" w:firstColumn="1" w:lastColumn="0" w:noHBand="0" w:noVBand="1"/>
      </w:tblPr>
      <w:tblGrid>
        <w:gridCol w:w="2552"/>
        <w:gridCol w:w="1417"/>
        <w:gridCol w:w="1418"/>
        <w:gridCol w:w="1417"/>
        <w:gridCol w:w="1418"/>
      </w:tblGrid>
      <w:tr w:rsidR="00281A2D" w:rsidRPr="00E70693" w:rsidTr="00DF3FFF">
        <w:tc>
          <w:tcPr>
            <w:tcW w:w="2552" w:type="dxa"/>
            <w:tcBorders>
              <w:top w:val="single" w:sz="4" w:space="0" w:color="auto"/>
              <w:left w:val="single" w:sz="4" w:space="0" w:color="auto"/>
              <w:bottom w:val="nil"/>
              <w:right w:val="nil"/>
            </w:tcBorders>
            <w:shd w:val="clear" w:color="auto" w:fill="DAEEF3" w:themeFill="accent5" w:themeFillTint="33"/>
            <w:noWrap/>
            <w:vAlign w:val="bottom"/>
            <w:hideMark/>
          </w:tcPr>
          <w:p w:rsidR="00281A2D" w:rsidRPr="00E70693" w:rsidRDefault="00281A2D" w:rsidP="00DF3FFF">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Proyecto</w:t>
            </w:r>
          </w:p>
        </w:tc>
        <w:tc>
          <w:tcPr>
            <w:tcW w:w="1417" w:type="dxa"/>
            <w:tcBorders>
              <w:top w:val="single" w:sz="4" w:space="0" w:color="auto"/>
              <w:left w:val="single" w:sz="4" w:space="0" w:color="auto"/>
              <w:bottom w:val="single" w:sz="4" w:space="0" w:color="auto"/>
              <w:right w:val="nil"/>
            </w:tcBorders>
            <w:shd w:val="clear" w:color="auto" w:fill="DAEEF3" w:themeFill="accent5" w:themeFillTint="33"/>
            <w:noWrap/>
            <w:vAlign w:val="bottom"/>
            <w:hideMark/>
          </w:tcPr>
          <w:p w:rsidR="00281A2D" w:rsidRPr="00E70693" w:rsidRDefault="00281A2D" w:rsidP="00DF3FFF">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Original</w:t>
            </w:r>
          </w:p>
        </w:tc>
        <w:tc>
          <w:tcPr>
            <w:tcW w:w="1418" w:type="dxa"/>
            <w:tcBorders>
              <w:top w:val="single" w:sz="4" w:space="0" w:color="auto"/>
              <w:left w:val="single" w:sz="4" w:space="0" w:color="auto"/>
              <w:bottom w:val="single" w:sz="4" w:space="0" w:color="auto"/>
              <w:right w:val="nil"/>
            </w:tcBorders>
            <w:shd w:val="clear" w:color="auto" w:fill="DAEEF3" w:themeFill="accent5" w:themeFillTint="33"/>
            <w:noWrap/>
            <w:vAlign w:val="bottom"/>
            <w:hideMark/>
          </w:tcPr>
          <w:p w:rsidR="00281A2D" w:rsidRPr="00E70693" w:rsidRDefault="00281A2D" w:rsidP="00DF3FFF">
            <w:pPr>
              <w:keepNext/>
              <w:rPr>
                <w:rFonts w:ascii="Arial" w:hAnsi="Arial" w:cs="Arial"/>
                <w:b/>
                <w:bCs/>
                <w:color w:val="000000"/>
                <w:sz w:val="20"/>
                <w:lang w:val="es-PY" w:eastAsia="es-PY"/>
              </w:rPr>
            </w:pPr>
            <w:r w:rsidRPr="00E70693">
              <w:rPr>
                <w:rFonts w:ascii="Arial" w:hAnsi="Arial" w:cs="Arial"/>
                <w:b/>
                <w:bCs/>
                <w:color w:val="000000"/>
                <w:sz w:val="20"/>
                <w:lang w:val="es-PY" w:eastAsia="es-PY"/>
              </w:rPr>
              <w:t> </w:t>
            </w:r>
          </w:p>
        </w:tc>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281A2D" w:rsidRPr="00E70693" w:rsidRDefault="00281A2D" w:rsidP="00DF3FFF">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Final</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281A2D" w:rsidRPr="00E70693" w:rsidRDefault="00281A2D" w:rsidP="00DF3FFF">
            <w:pPr>
              <w:keepNext/>
              <w:rPr>
                <w:rFonts w:ascii="Arial" w:hAnsi="Arial" w:cs="Arial"/>
                <w:b/>
                <w:bCs/>
                <w:color w:val="000000"/>
                <w:sz w:val="20"/>
                <w:lang w:val="es-PY" w:eastAsia="es-PY"/>
              </w:rPr>
            </w:pPr>
            <w:r w:rsidRPr="00E70693">
              <w:rPr>
                <w:rFonts w:ascii="Arial" w:hAnsi="Arial" w:cs="Arial"/>
                <w:b/>
                <w:bCs/>
                <w:color w:val="000000"/>
                <w:sz w:val="20"/>
                <w:lang w:val="es-PY" w:eastAsia="es-PY"/>
              </w:rPr>
              <w:t> </w:t>
            </w:r>
          </w:p>
        </w:tc>
      </w:tr>
      <w:tr w:rsidR="00281A2D" w:rsidRPr="00E70693" w:rsidTr="00DF3FFF">
        <w:tc>
          <w:tcPr>
            <w:tcW w:w="2552" w:type="dxa"/>
            <w:tcBorders>
              <w:top w:val="nil"/>
              <w:left w:val="single" w:sz="4" w:space="0" w:color="auto"/>
              <w:bottom w:val="nil"/>
              <w:right w:val="nil"/>
            </w:tcBorders>
            <w:shd w:val="clear" w:color="auto" w:fill="DAEEF3" w:themeFill="accent5" w:themeFillTint="33"/>
            <w:noWrap/>
            <w:vAlign w:val="bottom"/>
            <w:hideMark/>
          </w:tcPr>
          <w:p w:rsidR="00281A2D" w:rsidRPr="00E70693" w:rsidRDefault="00281A2D" w:rsidP="00DF3FFF">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 </w:t>
            </w:r>
          </w:p>
        </w:tc>
        <w:tc>
          <w:tcPr>
            <w:tcW w:w="1417" w:type="dxa"/>
            <w:tcBorders>
              <w:top w:val="nil"/>
              <w:left w:val="single" w:sz="4" w:space="0" w:color="auto"/>
              <w:bottom w:val="nil"/>
              <w:right w:val="nil"/>
            </w:tcBorders>
            <w:shd w:val="clear" w:color="auto" w:fill="DAEEF3" w:themeFill="accent5" w:themeFillTint="33"/>
            <w:noWrap/>
            <w:vAlign w:val="bottom"/>
            <w:hideMark/>
          </w:tcPr>
          <w:p w:rsidR="00281A2D" w:rsidRPr="00E70693" w:rsidRDefault="00281A2D" w:rsidP="00DF3FFF">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Fondos BID</w:t>
            </w:r>
          </w:p>
        </w:tc>
        <w:tc>
          <w:tcPr>
            <w:tcW w:w="1418" w:type="dxa"/>
            <w:tcBorders>
              <w:top w:val="nil"/>
              <w:left w:val="single" w:sz="4" w:space="0" w:color="auto"/>
              <w:bottom w:val="nil"/>
              <w:right w:val="nil"/>
            </w:tcBorders>
            <w:shd w:val="clear" w:color="auto" w:fill="DAEEF3" w:themeFill="accent5" w:themeFillTint="33"/>
            <w:noWrap/>
            <w:vAlign w:val="bottom"/>
            <w:hideMark/>
          </w:tcPr>
          <w:p w:rsidR="00281A2D" w:rsidRPr="00E70693" w:rsidRDefault="00281A2D" w:rsidP="00DF3FFF">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 xml:space="preserve">Fondos </w:t>
            </w:r>
            <w:proofErr w:type="spellStart"/>
            <w:r w:rsidRPr="00E70693">
              <w:rPr>
                <w:rFonts w:ascii="Arial" w:hAnsi="Arial" w:cs="Arial"/>
                <w:b/>
                <w:bCs/>
                <w:color w:val="000000"/>
                <w:sz w:val="20"/>
                <w:lang w:val="es-PY" w:eastAsia="es-PY"/>
              </w:rPr>
              <w:t>GdNI</w:t>
            </w:r>
            <w:proofErr w:type="spellEnd"/>
          </w:p>
        </w:tc>
        <w:tc>
          <w:tcPr>
            <w:tcW w:w="1417" w:type="dxa"/>
            <w:tcBorders>
              <w:top w:val="nil"/>
              <w:left w:val="single" w:sz="4" w:space="0" w:color="auto"/>
              <w:bottom w:val="nil"/>
              <w:right w:val="nil"/>
            </w:tcBorders>
            <w:shd w:val="clear" w:color="auto" w:fill="DAEEF3" w:themeFill="accent5" w:themeFillTint="33"/>
            <w:noWrap/>
            <w:vAlign w:val="bottom"/>
            <w:hideMark/>
          </w:tcPr>
          <w:p w:rsidR="00281A2D" w:rsidRPr="00E70693" w:rsidRDefault="00281A2D" w:rsidP="00DF3FFF">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Fondos BID</w:t>
            </w:r>
          </w:p>
        </w:tc>
        <w:tc>
          <w:tcPr>
            <w:tcW w:w="1418" w:type="dxa"/>
            <w:tcBorders>
              <w:top w:val="nil"/>
              <w:left w:val="single" w:sz="4" w:space="0" w:color="auto"/>
              <w:bottom w:val="nil"/>
              <w:right w:val="single" w:sz="4" w:space="0" w:color="auto"/>
            </w:tcBorders>
            <w:shd w:val="clear" w:color="auto" w:fill="DAEEF3" w:themeFill="accent5" w:themeFillTint="33"/>
            <w:noWrap/>
            <w:vAlign w:val="bottom"/>
            <w:hideMark/>
          </w:tcPr>
          <w:p w:rsidR="00281A2D" w:rsidRPr="00E70693" w:rsidRDefault="00281A2D" w:rsidP="00DF3FFF">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 xml:space="preserve">Fondos </w:t>
            </w:r>
            <w:proofErr w:type="spellStart"/>
            <w:r w:rsidRPr="00E70693">
              <w:rPr>
                <w:rFonts w:ascii="Arial" w:hAnsi="Arial" w:cs="Arial"/>
                <w:b/>
                <w:bCs/>
                <w:color w:val="000000"/>
                <w:sz w:val="20"/>
                <w:lang w:val="es-PY" w:eastAsia="es-PY"/>
              </w:rPr>
              <w:t>GdNI</w:t>
            </w:r>
            <w:proofErr w:type="spellEnd"/>
          </w:p>
        </w:tc>
      </w:tr>
      <w:tr w:rsidR="00281A2D" w:rsidRPr="00E70693" w:rsidTr="00DF3FFF">
        <w:tc>
          <w:tcPr>
            <w:tcW w:w="2552" w:type="dxa"/>
            <w:tcBorders>
              <w:top w:val="nil"/>
              <w:left w:val="single" w:sz="4" w:space="0" w:color="auto"/>
              <w:bottom w:val="single" w:sz="4" w:space="0" w:color="auto"/>
              <w:right w:val="nil"/>
            </w:tcBorders>
            <w:shd w:val="clear" w:color="auto" w:fill="DAEEF3" w:themeFill="accent5" w:themeFillTint="33"/>
            <w:noWrap/>
            <w:vAlign w:val="bottom"/>
            <w:hideMark/>
          </w:tcPr>
          <w:p w:rsidR="00281A2D" w:rsidRPr="00E70693" w:rsidRDefault="00281A2D" w:rsidP="00DF3FFF">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7" w:type="dxa"/>
            <w:tcBorders>
              <w:top w:val="nil"/>
              <w:left w:val="single" w:sz="4" w:space="0" w:color="auto"/>
              <w:bottom w:val="single" w:sz="4" w:space="0" w:color="auto"/>
              <w:right w:val="nil"/>
            </w:tcBorders>
            <w:shd w:val="clear" w:color="auto" w:fill="DAEEF3" w:themeFill="accent5" w:themeFillTint="33"/>
            <w:noWrap/>
            <w:vAlign w:val="bottom"/>
            <w:hideMark/>
          </w:tcPr>
          <w:p w:rsidR="00281A2D" w:rsidRPr="00E70693" w:rsidRDefault="00281A2D" w:rsidP="00DF3FFF">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c>
          <w:tcPr>
            <w:tcW w:w="1418" w:type="dxa"/>
            <w:tcBorders>
              <w:top w:val="nil"/>
              <w:left w:val="single" w:sz="4" w:space="0" w:color="auto"/>
              <w:bottom w:val="single" w:sz="4" w:space="0" w:color="auto"/>
              <w:right w:val="nil"/>
            </w:tcBorders>
            <w:shd w:val="clear" w:color="auto" w:fill="DAEEF3" w:themeFill="accent5" w:themeFillTint="33"/>
            <w:noWrap/>
            <w:vAlign w:val="bottom"/>
            <w:hideMark/>
          </w:tcPr>
          <w:p w:rsidR="00281A2D" w:rsidRPr="00E70693" w:rsidRDefault="00281A2D" w:rsidP="00DF3FFF">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c>
          <w:tcPr>
            <w:tcW w:w="1417"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281A2D" w:rsidRPr="00E70693" w:rsidRDefault="00281A2D" w:rsidP="00DF3FFF">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c>
          <w:tcPr>
            <w:tcW w:w="1418" w:type="dxa"/>
            <w:tcBorders>
              <w:top w:val="nil"/>
              <w:left w:val="nil"/>
              <w:bottom w:val="single" w:sz="4" w:space="0" w:color="auto"/>
              <w:right w:val="single" w:sz="4" w:space="0" w:color="auto"/>
            </w:tcBorders>
            <w:shd w:val="clear" w:color="auto" w:fill="DAEEF3" w:themeFill="accent5" w:themeFillTint="33"/>
            <w:noWrap/>
            <w:vAlign w:val="bottom"/>
            <w:hideMark/>
          </w:tcPr>
          <w:p w:rsidR="00281A2D" w:rsidRPr="00E70693" w:rsidRDefault="00281A2D" w:rsidP="00DF3FFF">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r>
      <w:tr w:rsidR="00281A2D" w:rsidRPr="00E70693" w:rsidTr="00DF3FFF">
        <w:tc>
          <w:tcPr>
            <w:tcW w:w="2552" w:type="dxa"/>
            <w:tcBorders>
              <w:top w:val="nil"/>
              <w:left w:val="single" w:sz="4" w:space="0" w:color="auto"/>
              <w:bottom w:val="nil"/>
              <w:right w:val="nil"/>
            </w:tcBorders>
            <w:shd w:val="clear" w:color="auto" w:fill="auto"/>
            <w:noWrap/>
            <w:hideMark/>
          </w:tcPr>
          <w:p w:rsidR="00281A2D" w:rsidRPr="00E70693" w:rsidRDefault="00281A2D" w:rsidP="00DF3FFF">
            <w:pPr>
              <w:keepNext/>
              <w:rPr>
                <w:rFonts w:ascii="Arial" w:hAnsi="Arial" w:cs="Arial"/>
                <w:b/>
                <w:bCs/>
                <w:color w:val="000000"/>
                <w:sz w:val="20"/>
                <w:lang w:val="es-PY" w:eastAsia="es-PY"/>
              </w:rPr>
            </w:pPr>
            <w:r w:rsidRPr="00E70693">
              <w:rPr>
                <w:rFonts w:ascii="Arial" w:hAnsi="Arial" w:cs="Arial"/>
                <w:b/>
                <w:bCs/>
                <w:color w:val="000000"/>
                <w:sz w:val="20"/>
                <w:lang w:val="es-PY" w:eastAsia="es-PY"/>
              </w:rPr>
              <w:t xml:space="preserve">Rehabilitación Carretera </w:t>
            </w:r>
            <w:proofErr w:type="spellStart"/>
            <w:r w:rsidRPr="00E70693">
              <w:rPr>
                <w:rFonts w:ascii="Arial" w:hAnsi="Arial" w:cs="Arial"/>
                <w:b/>
                <w:bCs/>
                <w:color w:val="000000"/>
                <w:sz w:val="20"/>
                <w:lang w:val="es-PY" w:eastAsia="es-PY"/>
              </w:rPr>
              <w:t>Miralagos-Cuyalí</w:t>
            </w:r>
            <w:proofErr w:type="spellEnd"/>
          </w:p>
        </w:tc>
        <w:tc>
          <w:tcPr>
            <w:tcW w:w="1417" w:type="dxa"/>
            <w:tcBorders>
              <w:top w:val="nil"/>
              <w:left w:val="single" w:sz="4" w:space="0" w:color="auto"/>
              <w:bottom w:val="nil"/>
              <w:right w:val="nil"/>
            </w:tcBorders>
            <w:shd w:val="clear" w:color="auto" w:fill="auto"/>
            <w:noWrap/>
            <w:hideMark/>
          </w:tcPr>
          <w:p w:rsidR="00281A2D" w:rsidRPr="00E70693" w:rsidRDefault="00281A2D" w:rsidP="00DF3FFF">
            <w:pPr>
              <w:keepNext/>
              <w:rPr>
                <w:rFonts w:ascii="Arial" w:hAnsi="Arial" w:cs="Arial"/>
                <w:b/>
                <w:bCs/>
                <w:color w:val="000000"/>
                <w:sz w:val="20"/>
                <w:lang w:val="es-PY" w:eastAsia="es-PY"/>
              </w:rPr>
            </w:pPr>
            <w:r w:rsidRPr="00E70693">
              <w:rPr>
                <w:rFonts w:ascii="Arial" w:hAnsi="Arial" w:cs="Arial"/>
                <w:b/>
                <w:bCs/>
                <w:color w:val="000000"/>
                <w:sz w:val="20"/>
                <w:lang w:val="es-PY" w:eastAsia="es-PY"/>
              </w:rPr>
              <w:t> </w:t>
            </w:r>
          </w:p>
        </w:tc>
        <w:tc>
          <w:tcPr>
            <w:tcW w:w="1418" w:type="dxa"/>
            <w:tcBorders>
              <w:top w:val="nil"/>
              <w:left w:val="single" w:sz="4" w:space="0" w:color="auto"/>
              <w:bottom w:val="nil"/>
              <w:right w:val="nil"/>
            </w:tcBorders>
            <w:shd w:val="clear" w:color="auto" w:fill="auto"/>
            <w:noWrap/>
            <w:vAlign w:val="bottom"/>
            <w:hideMark/>
          </w:tcPr>
          <w:p w:rsidR="00281A2D" w:rsidRPr="00E70693" w:rsidRDefault="00281A2D" w:rsidP="00DF3FFF">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7" w:type="dxa"/>
            <w:tcBorders>
              <w:top w:val="nil"/>
              <w:left w:val="single" w:sz="4" w:space="0" w:color="auto"/>
              <w:bottom w:val="nil"/>
              <w:right w:val="single" w:sz="4" w:space="0" w:color="auto"/>
            </w:tcBorders>
            <w:shd w:val="clear" w:color="auto" w:fill="auto"/>
            <w:noWrap/>
            <w:vAlign w:val="bottom"/>
            <w:hideMark/>
          </w:tcPr>
          <w:p w:rsidR="00281A2D" w:rsidRPr="00E70693" w:rsidRDefault="00281A2D" w:rsidP="00DF3FFF">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nil"/>
              <w:left w:val="nil"/>
              <w:bottom w:val="nil"/>
              <w:right w:val="single" w:sz="4" w:space="0" w:color="auto"/>
            </w:tcBorders>
            <w:shd w:val="clear" w:color="auto" w:fill="auto"/>
            <w:noWrap/>
            <w:vAlign w:val="bottom"/>
            <w:hideMark/>
          </w:tcPr>
          <w:p w:rsidR="00281A2D" w:rsidRPr="00E70693" w:rsidRDefault="00281A2D" w:rsidP="00DF3FFF">
            <w:pPr>
              <w:keepNext/>
              <w:rPr>
                <w:rFonts w:ascii="Arial" w:hAnsi="Arial" w:cs="Arial"/>
                <w:color w:val="000000"/>
                <w:sz w:val="20"/>
                <w:lang w:val="es-PY" w:eastAsia="es-PY"/>
              </w:rPr>
            </w:pPr>
            <w:r w:rsidRPr="00E70693">
              <w:rPr>
                <w:rFonts w:ascii="Arial" w:hAnsi="Arial" w:cs="Arial"/>
                <w:color w:val="000000"/>
                <w:sz w:val="20"/>
                <w:lang w:val="es-PY" w:eastAsia="es-PY"/>
              </w:rPr>
              <w:t> </w:t>
            </w:r>
          </w:p>
        </w:tc>
      </w:tr>
      <w:tr w:rsidR="00281A2D" w:rsidRPr="00E70693" w:rsidTr="00281A2D">
        <w:tc>
          <w:tcPr>
            <w:tcW w:w="2552" w:type="dxa"/>
            <w:tcBorders>
              <w:top w:val="nil"/>
              <w:left w:val="single" w:sz="4" w:space="0" w:color="auto"/>
              <w:bottom w:val="nil"/>
              <w:right w:val="nil"/>
            </w:tcBorders>
            <w:shd w:val="clear" w:color="auto" w:fill="auto"/>
            <w:hideMark/>
          </w:tcPr>
          <w:p w:rsidR="00281A2D" w:rsidRPr="00E70693" w:rsidRDefault="00281A2D"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Contrato base</w:t>
            </w:r>
          </w:p>
        </w:tc>
        <w:tc>
          <w:tcPr>
            <w:tcW w:w="1417" w:type="dxa"/>
            <w:tcBorders>
              <w:top w:val="nil"/>
              <w:left w:val="single" w:sz="4" w:space="0" w:color="auto"/>
              <w:bottom w:val="nil"/>
              <w:right w:val="nil"/>
            </w:tcBorders>
            <w:shd w:val="clear" w:color="auto" w:fill="auto"/>
            <w:hideMark/>
          </w:tcPr>
          <w:p w:rsidR="00281A2D" w:rsidRPr="00E70693" w:rsidRDefault="00281A2D"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3.504.316,39</w:t>
            </w:r>
          </w:p>
        </w:tc>
        <w:tc>
          <w:tcPr>
            <w:tcW w:w="1418" w:type="dxa"/>
            <w:tcBorders>
              <w:top w:val="nil"/>
              <w:left w:val="single" w:sz="4" w:space="0" w:color="auto"/>
              <w:bottom w:val="nil"/>
              <w:right w:val="nil"/>
            </w:tcBorders>
            <w:shd w:val="clear" w:color="auto" w:fill="auto"/>
            <w:hideMark/>
          </w:tcPr>
          <w:p w:rsidR="00281A2D" w:rsidRPr="00E70693" w:rsidRDefault="00281A2D"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1.112.941,53</w:t>
            </w:r>
          </w:p>
        </w:tc>
        <w:tc>
          <w:tcPr>
            <w:tcW w:w="1417" w:type="dxa"/>
            <w:tcBorders>
              <w:top w:val="nil"/>
              <w:left w:val="single" w:sz="4" w:space="0" w:color="auto"/>
              <w:bottom w:val="nil"/>
              <w:right w:val="nil"/>
            </w:tcBorders>
            <w:shd w:val="clear" w:color="auto" w:fill="auto"/>
            <w:hideMark/>
          </w:tcPr>
          <w:p w:rsidR="00281A2D" w:rsidRPr="00E70693" w:rsidRDefault="00281A2D"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3.504.316,39</w:t>
            </w:r>
          </w:p>
        </w:tc>
        <w:tc>
          <w:tcPr>
            <w:tcW w:w="1418" w:type="dxa"/>
            <w:tcBorders>
              <w:top w:val="nil"/>
              <w:left w:val="single" w:sz="4" w:space="0" w:color="auto"/>
              <w:bottom w:val="nil"/>
              <w:right w:val="single" w:sz="4" w:space="0" w:color="auto"/>
            </w:tcBorders>
            <w:shd w:val="clear" w:color="auto" w:fill="auto"/>
            <w:hideMark/>
          </w:tcPr>
          <w:p w:rsidR="00281A2D" w:rsidRPr="00E70693" w:rsidRDefault="00281A2D"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1.112.941,53</w:t>
            </w:r>
          </w:p>
        </w:tc>
      </w:tr>
      <w:tr w:rsidR="00281A2D" w:rsidRPr="00E70693" w:rsidTr="00281A2D">
        <w:tc>
          <w:tcPr>
            <w:tcW w:w="2552" w:type="dxa"/>
            <w:tcBorders>
              <w:top w:val="nil"/>
              <w:left w:val="single" w:sz="4" w:space="0" w:color="auto"/>
              <w:bottom w:val="nil"/>
              <w:right w:val="nil"/>
            </w:tcBorders>
            <w:shd w:val="clear" w:color="auto" w:fill="auto"/>
            <w:hideMark/>
          </w:tcPr>
          <w:p w:rsidR="00281A2D" w:rsidRPr="00E70693" w:rsidRDefault="00281A2D"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Incremento de obra</w:t>
            </w:r>
          </w:p>
        </w:tc>
        <w:tc>
          <w:tcPr>
            <w:tcW w:w="1417" w:type="dxa"/>
            <w:tcBorders>
              <w:top w:val="nil"/>
              <w:left w:val="single" w:sz="4" w:space="0" w:color="auto"/>
              <w:bottom w:val="nil"/>
              <w:right w:val="nil"/>
            </w:tcBorders>
            <w:shd w:val="clear" w:color="auto" w:fill="auto"/>
            <w:hideMark/>
          </w:tcPr>
          <w:p w:rsidR="00281A2D" w:rsidRPr="00E70693" w:rsidRDefault="00281A2D"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8" w:type="dxa"/>
            <w:tcBorders>
              <w:top w:val="nil"/>
              <w:left w:val="single" w:sz="4" w:space="0" w:color="auto"/>
              <w:bottom w:val="nil"/>
              <w:right w:val="nil"/>
            </w:tcBorders>
            <w:shd w:val="clear" w:color="auto" w:fill="auto"/>
            <w:hideMark/>
          </w:tcPr>
          <w:p w:rsidR="00281A2D" w:rsidRPr="00E70693" w:rsidRDefault="00281A2D"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7" w:type="dxa"/>
            <w:tcBorders>
              <w:top w:val="nil"/>
              <w:left w:val="single" w:sz="4" w:space="0" w:color="auto"/>
              <w:bottom w:val="nil"/>
              <w:right w:val="nil"/>
            </w:tcBorders>
            <w:shd w:val="clear" w:color="auto" w:fill="auto"/>
            <w:hideMark/>
          </w:tcPr>
          <w:p w:rsidR="00281A2D" w:rsidRPr="00E70693" w:rsidRDefault="00281A2D"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8" w:type="dxa"/>
            <w:tcBorders>
              <w:top w:val="nil"/>
              <w:left w:val="single" w:sz="4" w:space="0" w:color="auto"/>
              <w:bottom w:val="nil"/>
              <w:right w:val="single" w:sz="4" w:space="0" w:color="auto"/>
            </w:tcBorders>
            <w:shd w:val="clear" w:color="auto" w:fill="auto"/>
            <w:hideMark/>
          </w:tcPr>
          <w:p w:rsidR="00281A2D" w:rsidRPr="00E70693" w:rsidRDefault="00281A2D"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477.540,10</w:t>
            </w:r>
          </w:p>
        </w:tc>
      </w:tr>
      <w:tr w:rsidR="00281A2D" w:rsidRPr="00E70693" w:rsidTr="00281A2D">
        <w:tc>
          <w:tcPr>
            <w:tcW w:w="2552" w:type="dxa"/>
            <w:tcBorders>
              <w:top w:val="nil"/>
              <w:left w:val="single" w:sz="4" w:space="0" w:color="auto"/>
              <w:bottom w:val="nil"/>
              <w:right w:val="nil"/>
            </w:tcBorders>
            <w:shd w:val="clear" w:color="auto" w:fill="auto"/>
            <w:hideMark/>
          </w:tcPr>
          <w:p w:rsidR="00281A2D" w:rsidRPr="00E70693" w:rsidRDefault="00281A2D"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Ajuste de precios</w:t>
            </w:r>
          </w:p>
        </w:tc>
        <w:tc>
          <w:tcPr>
            <w:tcW w:w="1417" w:type="dxa"/>
            <w:tcBorders>
              <w:top w:val="nil"/>
              <w:left w:val="single" w:sz="4" w:space="0" w:color="auto"/>
              <w:bottom w:val="nil"/>
              <w:right w:val="nil"/>
            </w:tcBorders>
            <w:shd w:val="clear" w:color="auto" w:fill="auto"/>
            <w:hideMark/>
          </w:tcPr>
          <w:p w:rsidR="00281A2D" w:rsidRPr="00E70693" w:rsidRDefault="00281A2D"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8" w:type="dxa"/>
            <w:tcBorders>
              <w:top w:val="nil"/>
              <w:left w:val="single" w:sz="4" w:space="0" w:color="auto"/>
              <w:bottom w:val="nil"/>
              <w:right w:val="nil"/>
            </w:tcBorders>
            <w:shd w:val="clear" w:color="auto" w:fill="auto"/>
            <w:hideMark/>
          </w:tcPr>
          <w:p w:rsidR="00281A2D" w:rsidRPr="00E70693" w:rsidRDefault="00281A2D"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7" w:type="dxa"/>
            <w:tcBorders>
              <w:top w:val="nil"/>
              <w:left w:val="single" w:sz="4" w:space="0" w:color="auto"/>
              <w:bottom w:val="nil"/>
              <w:right w:val="nil"/>
            </w:tcBorders>
            <w:shd w:val="clear" w:color="auto" w:fill="auto"/>
            <w:hideMark/>
          </w:tcPr>
          <w:p w:rsidR="00281A2D" w:rsidRPr="00E70693" w:rsidRDefault="00281A2D"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8" w:type="dxa"/>
            <w:tcBorders>
              <w:top w:val="nil"/>
              <w:left w:val="single" w:sz="4" w:space="0" w:color="auto"/>
              <w:bottom w:val="nil"/>
              <w:right w:val="single" w:sz="4" w:space="0" w:color="auto"/>
            </w:tcBorders>
            <w:shd w:val="clear" w:color="auto" w:fill="auto"/>
            <w:hideMark/>
          </w:tcPr>
          <w:p w:rsidR="00281A2D" w:rsidRPr="00E70693" w:rsidRDefault="00281A2D"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0,00</w:t>
            </w:r>
          </w:p>
        </w:tc>
      </w:tr>
      <w:tr w:rsidR="00281A2D" w:rsidRPr="00E70693" w:rsidTr="00281A2D">
        <w:tc>
          <w:tcPr>
            <w:tcW w:w="2552" w:type="dxa"/>
            <w:tcBorders>
              <w:top w:val="nil"/>
              <w:left w:val="single" w:sz="4" w:space="0" w:color="auto"/>
              <w:bottom w:val="nil"/>
              <w:right w:val="nil"/>
            </w:tcBorders>
            <w:shd w:val="clear" w:color="auto" w:fill="auto"/>
            <w:hideMark/>
          </w:tcPr>
          <w:p w:rsidR="00281A2D" w:rsidRPr="00E70693" w:rsidRDefault="00281A2D"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Sub-total final</w:t>
            </w:r>
          </w:p>
        </w:tc>
        <w:tc>
          <w:tcPr>
            <w:tcW w:w="1417" w:type="dxa"/>
            <w:tcBorders>
              <w:top w:val="nil"/>
              <w:left w:val="single" w:sz="4" w:space="0" w:color="auto"/>
              <w:bottom w:val="nil"/>
              <w:right w:val="nil"/>
            </w:tcBorders>
            <w:shd w:val="clear" w:color="auto" w:fill="auto"/>
            <w:hideMark/>
          </w:tcPr>
          <w:p w:rsidR="00281A2D" w:rsidRPr="00E70693" w:rsidRDefault="00281A2D"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3.504.316,39</w:t>
            </w:r>
          </w:p>
        </w:tc>
        <w:tc>
          <w:tcPr>
            <w:tcW w:w="1418" w:type="dxa"/>
            <w:tcBorders>
              <w:top w:val="nil"/>
              <w:left w:val="single" w:sz="4" w:space="0" w:color="auto"/>
              <w:bottom w:val="nil"/>
              <w:right w:val="nil"/>
            </w:tcBorders>
            <w:shd w:val="clear" w:color="auto" w:fill="auto"/>
            <w:noWrap/>
            <w:vAlign w:val="bottom"/>
            <w:hideMark/>
          </w:tcPr>
          <w:p w:rsidR="00281A2D" w:rsidRPr="00E70693" w:rsidRDefault="00281A2D"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1.112.941,53</w:t>
            </w:r>
          </w:p>
        </w:tc>
        <w:tc>
          <w:tcPr>
            <w:tcW w:w="1417" w:type="dxa"/>
            <w:tcBorders>
              <w:top w:val="nil"/>
              <w:left w:val="single" w:sz="4" w:space="0" w:color="auto"/>
              <w:bottom w:val="nil"/>
              <w:right w:val="nil"/>
            </w:tcBorders>
            <w:shd w:val="clear" w:color="auto" w:fill="auto"/>
            <w:hideMark/>
          </w:tcPr>
          <w:p w:rsidR="00281A2D" w:rsidRPr="00E70693" w:rsidRDefault="00281A2D"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3.504.316,39</w:t>
            </w:r>
          </w:p>
        </w:tc>
        <w:tc>
          <w:tcPr>
            <w:tcW w:w="1418" w:type="dxa"/>
            <w:tcBorders>
              <w:top w:val="nil"/>
              <w:left w:val="single" w:sz="4" w:space="0" w:color="auto"/>
              <w:bottom w:val="nil"/>
              <w:right w:val="single" w:sz="4" w:space="0" w:color="auto"/>
            </w:tcBorders>
            <w:shd w:val="clear" w:color="auto" w:fill="auto"/>
            <w:noWrap/>
            <w:vAlign w:val="bottom"/>
            <w:hideMark/>
          </w:tcPr>
          <w:p w:rsidR="00281A2D" w:rsidRPr="00E70693" w:rsidRDefault="00281A2D"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1.590.481,63</w:t>
            </w:r>
          </w:p>
        </w:tc>
      </w:tr>
      <w:tr w:rsidR="00281A2D" w:rsidRPr="00E70693" w:rsidTr="00281A2D">
        <w:tc>
          <w:tcPr>
            <w:tcW w:w="2552" w:type="dxa"/>
            <w:tcBorders>
              <w:top w:val="nil"/>
              <w:left w:val="single" w:sz="4" w:space="0" w:color="auto"/>
              <w:bottom w:val="nil"/>
              <w:right w:val="nil"/>
            </w:tcBorders>
            <w:shd w:val="clear" w:color="auto" w:fill="auto"/>
            <w:hideMark/>
          </w:tcPr>
          <w:p w:rsidR="00281A2D" w:rsidRPr="00E70693" w:rsidRDefault="00281A2D"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Total final</w:t>
            </w:r>
          </w:p>
        </w:tc>
        <w:tc>
          <w:tcPr>
            <w:tcW w:w="1417" w:type="dxa"/>
            <w:tcBorders>
              <w:top w:val="single" w:sz="4" w:space="0" w:color="auto"/>
              <w:left w:val="single" w:sz="4" w:space="0" w:color="auto"/>
              <w:bottom w:val="nil"/>
              <w:right w:val="nil"/>
            </w:tcBorders>
            <w:shd w:val="clear" w:color="auto" w:fill="auto"/>
            <w:hideMark/>
          </w:tcPr>
          <w:p w:rsidR="00281A2D" w:rsidRPr="00E70693" w:rsidRDefault="00281A2D"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 </w:t>
            </w:r>
          </w:p>
        </w:tc>
        <w:tc>
          <w:tcPr>
            <w:tcW w:w="1418" w:type="dxa"/>
            <w:tcBorders>
              <w:top w:val="single" w:sz="4" w:space="0" w:color="auto"/>
              <w:left w:val="nil"/>
              <w:bottom w:val="nil"/>
              <w:right w:val="single" w:sz="4" w:space="0" w:color="auto"/>
            </w:tcBorders>
            <w:shd w:val="clear" w:color="auto" w:fill="auto"/>
            <w:noWrap/>
            <w:vAlign w:val="bottom"/>
            <w:hideMark/>
          </w:tcPr>
          <w:p w:rsidR="00281A2D" w:rsidRPr="00E70693" w:rsidRDefault="00281A2D"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4.617.257,92</w:t>
            </w:r>
          </w:p>
        </w:tc>
        <w:tc>
          <w:tcPr>
            <w:tcW w:w="1417" w:type="dxa"/>
            <w:tcBorders>
              <w:top w:val="single" w:sz="4" w:space="0" w:color="auto"/>
              <w:left w:val="nil"/>
              <w:bottom w:val="nil"/>
              <w:right w:val="nil"/>
            </w:tcBorders>
            <w:shd w:val="clear" w:color="auto" w:fill="auto"/>
            <w:hideMark/>
          </w:tcPr>
          <w:p w:rsidR="00281A2D" w:rsidRPr="00E70693" w:rsidRDefault="00281A2D"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 </w:t>
            </w:r>
          </w:p>
        </w:tc>
        <w:tc>
          <w:tcPr>
            <w:tcW w:w="1418" w:type="dxa"/>
            <w:tcBorders>
              <w:top w:val="single" w:sz="4" w:space="0" w:color="auto"/>
              <w:left w:val="nil"/>
              <w:bottom w:val="nil"/>
              <w:right w:val="single" w:sz="4" w:space="0" w:color="auto"/>
            </w:tcBorders>
            <w:shd w:val="clear" w:color="auto" w:fill="auto"/>
            <w:noWrap/>
            <w:vAlign w:val="bottom"/>
            <w:hideMark/>
          </w:tcPr>
          <w:p w:rsidR="00281A2D" w:rsidRPr="00E70693" w:rsidRDefault="00281A2D"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5.094.798,02</w:t>
            </w:r>
          </w:p>
        </w:tc>
      </w:tr>
      <w:tr w:rsidR="00281A2D" w:rsidRPr="00E70693" w:rsidTr="00281A2D">
        <w:tc>
          <w:tcPr>
            <w:tcW w:w="2552" w:type="dxa"/>
            <w:tcBorders>
              <w:top w:val="single" w:sz="4" w:space="0" w:color="auto"/>
              <w:left w:val="single" w:sz="4" w:space="0" w:color="auto"/>
              <w:bottom w:val="nil"/>
              <w:right w:val="nil"/>
            </w:tcBorders>
            <w:shd w:val="clear" w:color="auto" w:fill="auto"/>
            <w:hideMark/>
          </w:tcPr>
          <w:p w:rsidR="00281A2D" w:rsidRPr="00E70693" w:rsidRDefault="00281A2D"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Incremento de obra</w:t>
            </w:r>
          </w:p>
        </w:tc>
        <w:tc>
          <w:tcPr>
            <w:tcW w:w="1417" w:type="dxa"/>
            <w:tcBorders>
              <w:top w:val="single" w:sz="4" w:space="0" w:color="auto"/>
              <w:left w:val="single" w:sz="4" w:space="0" w:color="auto"/>
              <w:bottom w:val="nil"/>
              <w:right w:val="nil"/>
            </w:tcBorders>
            <w:shd w:val="clear" w:color="auto" w:fill="auto"/>
            <w:noWrap/>
            <w:vAlign w:val="bottom"/>
            <w:hideMark/>
          </w:tcPr>
          <w:p w:rsidR="00281A2D" w:rsidRPr="00E70693" w:rsidRDefault="00281A2D" w:rsidP="00DF3FFF">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single" w:sz="4" w:space="0" w:color="auto"/>
              <w:left w:val="nil"/>
              <w:bottom w:val="nil"/>
              <w:right w:val="nil"/>
            </w:tcBorders>
            <w:shd w:val="clear" w:color="auto" w:fill="auto"/>
            <w:noWrap/>
            <w:vAlign w:val="bottom"/>
            <w:hideMark/>
          </w:tcPr>
          <w:p w:rsidR="00281A2D" w:rsidRPr="00E70693" w:rsidRDefault="00281A2D" w:rsidP="00DF3FFF">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7" w:type="dxa"/>
            <w:tcBorders>
              <w:top w:val="single" w:sz="4" w:space="0" w:color="auto"/>
              <w:left w:val="nil"/>
              <w:bottom w:val="nil"/>
              <w:right w:val="nil"/>
            </w:tcBorders>
            <w:shd w:val="clear" w:color="auto" w:fill="auto"/>
            <w:noWrap/>
            <w:vAlign w:val="bottom"/>
            <w:hideMark/>
          </w:tcPr>
          <w:p w:rsidR="00281A2D" w:rsidRPr="00E70693" w:rsidRDefault="00281A2D" w:rsidP="00DF3FFF">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single" w:sz="4" w:space="0" w:color="auto"/>
              <w:left w:val="nil"/>
              <w:bottom w:val="nil"/>
              <w:right w:val="single" w:sz="4" w:space="0" w:color="auto"/>
            </w:tcBorders>
            <w:shd w:val="clear" w:color="auto" w:fill="auto"/>
            <w:noWrap/>
            <w:vAlign w:val="bottom"/>
            <w:hideMark/>
          </w:tcPr>
          <w:p w:rsidR="00281A2D" w:rsidRPr="00E70693" w:rsidRDefault="00281A2D"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10,34%</w:t>
            </w:r>
          </w:p>
        </w:tc>
      </w:tr>
      <w:tr w:rsidR="00281A2D" w:rsidRPr="00E70693" w:rsidTr="00281A2D">
        <w:tc>
          <w:tcPr>
            <w:tcW w:w="2552" w:type="dxa"/>
            <w:tcBorders>
              <w:top w:val="nil"/>
              <w:left w:val="single" w:sz="4" w:space="0" w:color="auto"/>
              <w:bottom w:val="single" w:sz="4" w:space="0" w:color="auto"/>
              <w:right w:val="nil"/>
            </w:tcBorders>
            <w:shd w:val="clear" w:color="auto" w:fill="auto"/>
            <w:hideMark/>
          </w:tcPr>
          <w:p w:rsidR="00281A2D" w:rsidRPr="00E70693" w:rsidRDefault="00281A2D"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Incremento total</w:t>
            </w:r>
          </w:p>
        </w:tc>
        <w:tc>
          <w:tcPr>
            <w:tcW w:w="1417" w:type="dxa"/>
            <w:tcBorders>
              <w:top w:val="nil"/>
              <w:left w:val="single" w:sz="4" w:space="0" w:color="auto"/>
              <w:bottom w:val="single" w:sz="4" w:space="0" w:color="auto"/>
              <w:right w:val="nil"/>
            </w:tcBorders>
            <w:shd w:val="clear" w:color="auto" w:fill="auto"/>
            <w:noWrap/>
            <w:vAlign w:val="bottom"/>
            <w:hideMark/>
          </w:tcPr>
          <w:p w:rsidR="00281A2D" w:rsidRPr="00E70693" w:rsidRDefault="00281A2D" w:rsidP="00DF3FFF">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nil"/>
              <w:left w:val="nil"/>
              <w:bottom w:val="single" w:sz="4" w:space="0" w:color="auto"/>
              <w:right w:val="nil"/>
            </w:tcBorders>
            <w:shd w:val="clear" w:color="auto" w:fill="auto"/>
            <w:noWrap/>
            <w:vAlign w:val="bottom"/>
            <w:hideMark/>
          </w:tcPr>
          <w:p w:rsidR="00281A2D" w:rsidRPr="00E70693" w:rsidRDefault="00281A2D" w:rsidP="00DF3FFF">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7" w:type="dxa"/>
            <w:tcBorders>
              <w:top w:val="nil"/>
              <w:left w:val="nil"/>
              <w:bottom w:val="single" w:sz="4" w:space="0" w:color="auto"/>
              <w:right w:val="nil"/>
            </w:tcBorders>
            <w:shd w:val="clear" w:color="auto" w:fill="auto"/>
            <w:noWrap/>
            <w:vAlign w:val="bottom"/>
            <w:hideMark/>
          </w:tcPr>
          <w:p w:rsidR="00281A2D" w:rsidRPr="00E70693" w:rsidRDefault="00281A2D" w:rsidP="00DF3FFF">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nil"/>
              <w:left w:val="nil"/>
              <w:bottom w:val="single" w:sz="4" w:space="0" w:color="auto"/>
              <w:right w:val="single" w:sz="4" w:space="0" w:color="auto"/>
            </w:tcBorders>
            <w:shd w:val="clear" w:color="auto" w:fill="auto"/>
            <w:noWrap/>
            <w:vAlign w:val="bottom"/>
            <w:hideMark/>
          </w:tcPr>
          <w:p w:rsidR="00281A2D" w:rsidRPr="00E70693" w:rsidRDefault="00281A2D"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10,34%</w:t>
            </w:r>
          </w:p>
        </w:tc>
      </w:tr>
      <w:tr w:rsidR="00281A2D" w:rsidRPr="00E70693" w:rsidTr="00281A2D">
        <w:tc>
          <w:tcPr>
            <w:tcW w:w="2552" w:type="dxa"/>
            <w:tcBorders>
              <w:top w:val="nil"/>
              <w:left w:val="single" w:sz="4" w:space="0" w:color="auto"/>
              <w:bottom w:val="single" w:sz="4" w:space="0" w:color="auto"/>
              <w:right w:val="nil"/>
            </w:tcBorders>
            <w:shd w:val="clear" w:color="auto" w:fill="auto"/>
            <w:hideMark/>
          </w:tcPr>
          <w:p w:rsidR="00281A2D" w:rsidRPr="00E70693" w:rsidRDefault="00281A2D" w:rsidP="00281A2D">
            <w:pPr>
              <w:jc w:val="right"/>
              <w:rPr>
                <w:rFonts w:ascii="Arial" w:hAnsi="Arial" w:cs="Arial"/>
                <w:color w:val="000000"/>
                <w:sz w:val="20"/>
                <w:lang w:val="es-PY" w:eastAsia="es-PY"/>
              </w:rPr>
            </w:pPr>
            <w:r w:rsidRPr="00E70693">
              <w:rPr>
                <w:rFonts w:ascii="Arial" w:hAnsi="Arial" w:cs="Arial"/>
                <w:color w:val="000000"/>
                <w:sz w:val="20"/>
                <w:lang w:val="es-PY" w:eastAsia="es-PY"/>
              </w:rPr>
              <w:t>Precio US$/Km</w:t>
            </w:r>
          </w:p>
        </w:tc>
        <w:tc>
          <w:tcPr>
            <w:tcW w:w="1417" w:type="dxa"/>
            <w:tcBorders>
              <w:top w:val="nil"/>
              <w:left w:val="single" w:sz="4" w:space="0" w:color="auto"/>
              <w:bottom w:val="single" w:sz="4" w:space="0" w:color="auto"/>
              <w:right w:val="nil"/>
            </w:tcBorders>
            <w:shd w:val="clear" w:color="auto" w:fill="auto"/>
            <w:noWrap/>
            <w:vAlign w:val="bottom"/>
            <w:hideMark/>
          </w:tcPr>
          <w:p w:rsidR="00281A2D" w:rsidRPr="00E70693" w:rsidRDefault="00281A2D" w:rsidP="00281A2D">
            <w:pPr>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nil"/>
              <w:left w:val="nil"/>
              <w:bottom w:val="single" w:sz="4" w:space="0" w:color="auto"/>
              <w:right w:val="single" w:sz="4" w:space="0" w:color="auto"/>
            </w:tcBorders>
            <w:shd w:val="clear" w:color="auto" w:fill="auto"/>
            <w:noWrap/>
            <w:vAlign w:val="bottom"/>
            <w:hideMark/>
          </w:tcPr>
          <w:p w:rsidR="00281A2D" w:rsidRPr="00E70693" w:rsidRDefault="00281A2D" w:rsidP="00281A2D">
            <w:pPr>
              <w:jc w:val="right"/>
              <w:rPr>
                <w:rFonts w:ascii="Arial" w:hAnsi="Arial" w:cs="Arial"/>
                <w:color w:val="000000"/>
                <w:sz w:val="20"/>
                <w:lang w:val="es-PY" w:eastAsia="es-PY"/>
              </w:rPr>
            </w:pPr>
            <w:r w:rsidRPr="00E70693">
              <w:rPr>
                <w:rFonts w:ascii="Arial" w:hAnsi="Arial" w:cs="Arial"/>
                <w:color w:val="000000"/>
                <w:sz w:val="20"/>
                <w:lang w:val="es-PY" w:eastAsia="es-PY"/>
              </w:rPr>
              <w:t>618.106,82</w:t>
            </w:r>
          </w:p>
        </w:tc>
        <w:tc>
          <w:tcPr>
            <w:tcW w:w="1417" w:type="dxa"/>
            <w:tcBorders>
              <w:top w:val="nil"/>
              <w:left w:val="nil"/>
              <w:bottom w:val="single" w:sz="4" w:space="0" w:color="auto"/>
              <w:right w:val="nil"/>
            </w:tcBorders>
            <w:shd w:val="clear" w:color="auto" w:fill="auto"/>
            <w:noWrap/>
            <w:vAlign w:val="bottom"/>
            <w:hideMark/>
          </w:tcPr>
          <w:p w:rsidR="00281A2D" w:rsidRPr="00E70693" w:rsidRDefault="00281A2D" w:rsidP="00281A2D">
            <w:pPr>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nil"/>
              <w:left w:val="nil"/>
              <w:bottom w:val="single" w:sz="4" w:space="0" w:color="auto"/>
              <w:right w:val="single" w:sz="4" w:space="0" w:color="auto"/>
            </w:tcBorders>
            <w:shd w:val="clear" w:color="auto" w:fill="auto"/>
            <w:noWrap/>
            <w:vAlign w:val="bottom"/>
            <w:hideMark/>
          </w:tcPr>
          <w:p w:rsidR="00281A2D" w:rsidRPr="00E70693" w:rsidRDefault="00281A2D" w:rsidP="00281A2D">
            <w:pPr>
              <w:jc w:val="right"/>
              <w:rPr>
                <w:rFonts w:ascii="Arial" w:hAnsi="Arial" w:cs="Arial"/>
                <w:color w:val="000000"/>
                <w:sz w:val="20"/>
                <w:lang w:val="es-PY" w:eastAsia="es-PY"/>
              </w:rPr>
            </w:pPr>
            <w:r w:rsidRPr="00E70693">
              <w:rPr>
                <w:rFonts w:ascii="Arial" w:hAnsi="Arial" w:cs="Arial"/>
                <w:color w:val="000000"/>
                <w:sz w:val="20"/>
                <w:lang w:val="es-PY" w:eastAsia="es-PY"/>
              </w:rPr>
              <w:t>682.034,54</w:t>
            </w:r>
          </w:p>
        </w:tc>
      </w:tr>
    </w:tbl>
    <w:p w:rsidR="00075078" w:rsidRPr="00E70693" w:rsidRDefault="00075078" w:rsidP="00DF3FFF">
      <w:pPr>
        <w:ind w:left="709"/>
        <w:jc w:val="both"/>
        <w:rPr>
          <w:rFonts w:ascii="Arial" w:hAnsi="Arial" w:cs="Arial"/>
        </w:rPr>
      </w:pPr>
    </w:p>
    <w:tbl>
      <w:tblPr>
        <w:tblW w:w="8945" w:type="dxa"/>
        <w:tblInd w:w="55" w:type="dxa"/>
        <w:tblCellMar>
          <w:left w:w="70" w:type="dxa"/>
          <w:right w:w="70" w:type="dxa"/>
        </w:tblCellMar>
        <w:tblLook w:val="04A0" w:firstRow="1" w:lastRow="0" w:firstColumn="1" w:lastColumn="0" w:noHBand="0" w:noVBand="1"/>
      </w:tblPr>
      <w:tblGrid>
        <w:gridCol w:w="4693"/>
        <w:gridCol w:w="1418"/>
        <w:gridCol w:w="1417"/>
        <w:gridCol w:w="1417"/>
      </w:tblGrid>
      <w:tr w:rsidR="00281A2D" w:rsidRPr="00E70693" w:rsidTr="00281A2D">
        <w:tc>
          <w:tcPr>
            <w:tcW w:w="4693" w:type="dxa"/>
            <w:tcBorders>
              <w:top w:val="nil"/>
              <w:left w:val="nil"/>
              <w:bottom w:val="nil"/>
              <w:right w:val="nil"/>
            </w:tcBorders>
            <w:shd w:val="clear" w:color="auto" w:fill="auto"/>
            <w:hideMark/>
          </w:tcPr>
          <w:p w:rsidR="00281A2D" w:rsidRPr="00E70693" w:rsidRDefault="00281A2D" w:rsidP="00281A2D">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Km original:</w:t>
            </w:r>
          </w:p>
        </w:tc>
        <w:tc>
          <w:tcPr>
            <w:tcW w:w="1418" w:type="dxa"/>
            <w:tcBorders>
              <w:top w:val="nil"/>
              <w:left w:val="nil"/>
              <w:bottom w:val="nil"/>
              <w:right w:val="nil"/>
            </w:tcBorders>
            <w:shd w:val="clear" w:color="auto" w:fill="auto"/>
            <w:noWrap/>
            <w:vAlign w:val="bottom"/>
            <w:hideMark/>
          </w:tcPr>
          <w:p w:rsidR="00281A2D" w:rsidRPr="00E70693" w:rsidRDefault="00281A2D" w:rsidP="00281A2D">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7,47</w:t>
            </w:r>
          </w:p>
        </w:tc>
        <w:tc>
          <w:tcPr>
            <w:tcW w:w="1417" w:type="dxa"/>
            <w:tcBorders>
              <w:top w:val="nil"/>
              <w:left w:val="nil"/>
              <w:bottom w:val="nil"/>
              <w:right w:val="nil"/>
            </w:tcBorders>
            <w:shd w:val="clear" w:color="auto" w:fill="auto"/>
            <w:noWrap/>
            <w:vAlign w:val="bottom"/>
            <w:hideMark/>
          </w:tcPr>
          <w:p w:rsidR="00281A2D" w:rsidRPr="00E70693" w:rsidRDefault="00281A2D" w:rsidP="00281A2D">
            <w:pPr>
              <w:rPr>
                <w:rFonts w:ascii="Arial" w:hAnsi="Arial" w:cs="Arial"/>
                <w:color w:val="000000"/>
                <w:sz w:val="22"/>
                <w:szCs w:val="22"/>
                <w:lang w:val="es-PY" w:eastAsia="es-PY"/>
              </w:rPr>
            </w:pPr>
          </w:p>
        </w:tc>
        <w:tc>
          <w:tcPr>
            <w:tcW w:w="1417" w:type="dxa"/>
            <w:tcBorders>
              <w:top w:val="nil"/>
              <w:left w:val="nil"/>
              <w:bottom w:val="nil"/>
              <w:right w:val="nil"/>
            </w:tcBorders>
            <w:shd w:val="clear" w:color="auto" w:fill="auto"/>
            <w:noWrap/>
            <w:vAlign w:val="bottom"/>
            <w:hideMark/>
          </w:tcPr>
          <w:p w:rsidR="00281A2D" w:rsidRPr="00E70693" w:rsidRDefault="00281A2D" w:rsidP="00281A2D">
            <w:pPr>
              <w:rPr>
                <w:rFonts w:ascii="Arial" w:hAnsi="Arial" w:cs="Arial"/>
                <w:color w:val="000000"/>
                <w:sz w:val="22"/>
                <w:szCs w:val="22"/>
                <w:lang w:val="es-PY" w:eastAsia="es-PY"/>
              </w:rPr>
            </w:pPr>
          </w:p>
        </w:tc>
      </w:tr>
      <w:tr w:rsidR="00281A2D" w:rsidRPr="00E70693" w:rsidTr="00281A2D">
        <w:tc>
          <w:tcPr>
            <w:tcW w:w="4693" w:type="dxa"/>
            <w:tcBorders>
              <w:top w:val="nil"/>
              <w:left w:val="nil"/>
              <w:bottom w:val="nil"/>
              <w:right w:val="nil"/>
            </w:tcBorders>
            <w:shd w:val="clear" w:color="auto" w:fill="auto"/>
            <w:hideMark/>
          </w:tcPr>
          <w:p w:rsidR="00281A2D" w:rsidRPr="00E70693" w:rsidRDefault="00281A2D" w:rsidP="00281A2D">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Km final:</w:t>
            </w:r>
          </w:p>
        </w:tc>
        <w:tc>
          <w:tcPr>
            <w:tcW w:w="1418" w:type="dxa"/>
            <w:tcBorders>
              <w:top w:val="nil"/>
              <w:left w:val="nil"/>
              <w:bottom w:val="nil"/>
              <w:right w:val="nil"/>
            </w:tcBorders>
            <w:shd w:val="clear" w:color="auto" w:fill="auto"/>
            <w:noWrap/>
            <w:vAlign w:val="bottom"/>
            <w:hideMark/>
          </w:tcPr>
          <w:p w:rsidR="00281A2D" w:rsidRPr="00E70693" w:rsidRDefault="00281A2D" w:rsidP="00281A2D">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7,69</w:t>
            </w:r>
          </w:p>
        </w:tc>
        <w:tc>
          <w:tcPr>
            <w:tcW w:w="1417" w:type="dxa"/>
            <w:tcBorders>
              <w:top w:val="nil"/>
              <w:left w:val="nil"/>
              <w:bottom w:val="nil"/>
              <w:right w:val="nil"/>
            </w:tcBorders>
            <w:shd w:val="clear" w:color="auto" w:fill="auto"/>
            <w:noWrap/>
            <w:vAlign w:val="bottom"/>
            <w:hideMark/>
          </w:tcPr>
          <w:p w:rsidR="00281A2D" w:rsidRPr="00E70693" w:rsidRDefault="00281A2D" w:rsidP="00281A2D">
            <w:pPr>
              <w:rPr>
                <w:rFonts w:ascii="Arial" w:hAnsi="Arial" w:cs="Arial"/>
                <w:color w:val="000000"/>
                <w:sz w:val="22"/>
                <w:szCs w:val="22"/>
                <w:lang w:val="es-PY" w:eastAsia="es-PY"/>
              </w:rPr>
            </w:pPr>
          </w:p>
        </w:tc>
        <w:tc>
          <w:tcPr>
            <w:tcW w:w="1417" w:type="dxa"/>
            <w:tcBorders>
              <w:top w:val="nil"/>
              <w:left w:val="nil"/>
              <w:bottom w:val="nil"/>
              <w:right w:val="nil"/>
            </w:tcBorders>
            <w:shd w:val="clear" w:color="auto" w:fill="auto"/>
            <w:noWrap/>
            <w:vAlign w:val="bottom"/>
            <w:hideMark/>
          </w:tcPr>
          <w:p w:rsidR="00281A2D" w:rsidRPr="00E70693" w:rsidRDefault="00281A2D" w:rsidP="00281A2D">
            <w:pPr>
              <w:rPr>
                <w:rFonts w:ascii="Arial" w:hAnsi="Arial" w:cs="Arial"/>
                <w:color w:val="000000"/>
                <w:sz w:val="22"/>
                <w:szCs w:val="22"/>
                <w:lang w:val="es-PY" w:eastAsia="es-PY"/>
              </w:rPr>
            </w:pPr>
          </w:p>
        </w:tc>
      </w:tr>
      <w:tr w:rsidR="00281A2D" w:rsidRPr="00E70693" w:rsidTr="00281A2D">
        <w:tc>
          <w:tcPr>
            <w:tcW w:w="4693" w:type="dxa"/>
            <w:tcBorders>
              <w:top w:val="nil"/>
              <w:left w:val="nil"/>
              <w:bottom w:val="nil"/>
              <w:right w:val="nil"/>
            </w:tcBorders>
            <w:shd w:val="clear" w:color="auto" w:fill="auto"/>
            <w:hideMark/>
          </w:tcPr>
          <w:p w:rsidR="00281A2D" w:rsidRPr="00E70693" w:rsidRDefault="00281A2D" w:rsidP="00281A2D">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Fecha de inicio:</w:t>
            </w:r>
          </w:p>
        </w:tc>
        <w:tc>
          <w:tcPr>
            <w:tcW w:w="1418" w:type="dxa"/>
            <w:tcBorders>
              <w:top w:val="nil"/>
              <w:left w:val="nil"/>
              <w:bottom w:val="nil"/>
              <w:right w:val="nil"/>
            </w:tcBorders>
            <w:shd w:val="clear" w:color="auto" w:fill="auto"/>
            <w:noWrap/>
            <w:vAlign w:val="bottom"/>
            <w:hideMark/>
          </w:tcPr>
          <w:p w:rsidR="00281A2D" w:rsidRPr="00E70693" w:rsidRDefault="00281A2D" w:rsidP="00281A2D">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21/02/2014</w:t>
            </w:r>
          </w:p>
        </w:tc>
        <w:tc>
          <w:tcPr>
            <w:tcW w:w="1417" w:type="dxa"/>
            <w:tcBorders>
              <w:top w:val="nil"/>
              <w:left w:val="nil"/>
              <w:bottom w:val="nil"/>
              <w:right w:val="nil"/>
            </w:tcBorders>
            <w:shd w:val="clear" w:color="auto" w:fill="auto"/>
            <w:noWrap/>
            <w:vAlign w:val="bottom"/>
            <w:hideMark/>
          </w:tcPr>
          <w:p w:rsidR="00281A2D" w:rsidRPr="00E70693" w:rsidRDefault="00281A2D" w:rsidP="00281A2D">
            <w:pPr>
              <w:rPr>
                <w:rFonts w:ascii="Arial" w:hAnsi="Arial" w:cs="Arial"/>
                <w:color w:val="000000"/>
                <w:sz w:val="22"/>
                <w:szCs w:val="22"/>
                <w:lang w:val="es-PY" w:eastAsia="es-PY"/>
              </w:rPr>
            </w:pPr>
          </w:p>
        </w:tc>
        <w:tc>
          <w:tcPr>
            <w:tcW w:w="1417" w:type="dxa"/>
            <w:tcBorders>
              <w:top w:val="nil"/>
              <w:left w:val="nil"/>
              <w:bottom w:val="nil"/>
              <w:right w:val="nil"/>
            </w:tcBorders>
            <w:shd w:val="clear" w:color="auto" w:fill="auto"/>
            <w:noWrap/>
            <w:vAlign w:val="bottom"/>
            <w:hideMark/>
          </w:tcPr>
          <w:p w:rsidR="00281A2D" w:rsidRPr="00E70693" w:rsidRDefault="00281A2D" w:rsidP="00281A2D">
            <w:pPr>
              <w:rPr>
                <w:rFonts w:ascii="Arial" w:hAnsi="Arial" w:cs="Arial"/>
                <w:color w:val="000000"/>
                <w:sz w:val="20"/>
                <w:lang w:val="es-PY" w:eastAsia="es-PY"/>
              </w:rPr>
            </w:pPr>
          </w:p>
        </w:tc>
      </w:tr>
      <w:tr w:rsidR="00281A2D" w:rsidRPr="00E70693" w:rsidTr="00281A2D">
        <w:tc>
          <w:tcPr>
            <w:tcW w:w="4693" w:type="dxa"/>
            <w:tcBorders>
              <w:top w:val="nil"/>
              <w:left w:val="nil"/>
              <w:bottom w:val="nil"/>
              <w:right w:val="nil"/>
            </w:tcBorders>
            <w:shd w:val="clear" w:color="auto" w:fill="auto"/>
            <w:hideMark/>
          </w:tcPr>
          <w:p w:rsidR="00281A2D" w:rsidRPr="00E70693" w:rsidRDefault="00281A2D" w:rsidP="00281A2D">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Fecha original de conclusión:</w:t>
            </w:r>
          </w:p>
        </w:tc>
        <w:tc>
          <w:tcPr>
            <w:tcW w:w="1418" w:type="dxa"/>
            <w:tcBorders>
              <w:top w:val="nil"/>
              <w:left w:val="nil"/>
              <w:bottom w:val="nil"/>
              <w:right w:val="nil"/>
            </w:tcBorders>
            <w:shd w:val="clear" w:color="auto" w:fill="auto"/>
            <w:noWrap/>
            <w:vAlign w:val="bottom"/>
            <w:hideMark/>
          </w:tcPr>
          <w:p w:rsidR="00281A2D" w:rsidRPr="00E70693" w:rsidRDefault="00281A2D" w:rsidP="00281A2D">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19/10/2014</w:t>
            </w:r>
          </w:p>
        </w:tc>
        <w:tc>
          <w:tcPr>
            <w:tcW w:w="1417" w:type="dxa"/>
            <w:tcBorders>
              <w:top w:val="nil"/>
              <w:left w:val="nil"/>
              <w:bottom w:val="nil"/>
              <w:right w:val="nil"/>
            </w:tcBorders>
            <w:shd w:val="clear" w:color="auto" w:fill="auto"/>
            <w:noWrap/>
            <w:vAlign w:val="bottom"/>
            <w:hideMark/>
          </w:tcPr>
          <w:p w:rsidR="00281A2D" w:rsidRPr="00E70693" w:rsidRDefault="00281A2D" w:rsidP="00281A2D">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240</w:t>
            </w:r>
          </w:p>
        </w:tc>
        <w:tc>
          <w:tcPr>
            <w:tcW w:w="1417" w:type="dxa"/>
            <w:tcBorders>
              <w:top w:val="nil"/>
              <w:left w:val="nil"/>
              <w:bottom w:val="nil"/>
              <w:right w:val="nil"/>
            </w:tcBorders>
            <w:shd w:val="clear" w:color="auto" w:fill="auto"/>
            <w:noWrap/>
            <w:vAlign w:val="bottom"/>
            <w:hideMark/>
          </w:tcPr>
          <w:p w:rsidR="00281A2D" w:rsidRPr="00E70693" w:rsidRDefault="00281A2D" w:rsidP="00281A2D">
            <w:pPr>
              <w:rPr>
                <w:rFonts w:ascii="Arial" w:hAnsi="Arial" w:cs="Arial"/>
                <w:b/>
                <w:bCs/>
                <w:color w:val="000000"/>
                <w:sz w:val="20"/>
                <w:lang w:val="es-PY" w:eastAsia="es-PY"/>
              </w:rPr>
            </w:pPr>
            <w:r w:rsidRPr="00E70693">
              <w:rPr>
                <w:rFonts w:ascii="Arial" w:hAnsi="Arial" w:cs="Arial"/>
                <w:b/>
                <w:bCs/>
                <w:color w:val="000000"/>
                <w:sz w:val="20"/>
                <w:lang w:val="es-PY" w:eastAsia="es-PY"/>
              </w:rPr>
              <w:t>días</w:t>
            </w:r>
          </w:p>
        </w:tc>
      </w:tr>
      <w:tr w:rsidR="00281A2D" w:rsidRPr="00E70693" w:rsidTr="00281A2D">
        <w:tc>
          <w:tcPr>
            <w:tcW w:w="4693" w:type="dxa"/>
            <w:tcBorders>
              <w:top w:val="nil"/>
              <w:left w:val="nil"/>
              <w:bottom w:val="nil"/>
              <w:right w:val="nil"/>
            </w:tcBorders>
            <w:shd w:val="clear" w:color="auto" w:fill="auto"/>
            <w:hideMark/>
          </w:tcPr>
          <w:p w:rsidR="00281A2D" w:rsidRPr="00E70693" w:rsidRDefault="00281A2D" w:rsidP="00281A2D">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Fecha final de conclusión:</w:t>
            </w:r>
          </w:p>
        </w:tc>
        <w:tc>
          <w:tcPr>
            <w:tcW w:w="1418" w:type="dxa"/>
            <w:tcBorders>
              <w:top w:val="nil"/>
              <w:left w:val="nil"/>
              <w:bottom w:val="nil"/>
              <w:right w:val="nil"/>
            </w:tcBorders>
            <w:shd w:val="clear" w:color="auto" w:fill="auto"/>
            <w:noWrap/>
            <w:vAlign w:val="bottom"/>
            <w:hideMark/>
          </w:tcPr>
          <w:p w:rsidR="00281A2D" w:rsidRPr="00E70693" w:rsidRDefault="00281A2D" w:rsidP="00281A2D">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03/12/2014</w:t>
            </w:r>
          </w:p>
        </w:tc>
        <w:tc>
          <w:tcPr>
            <w:tcW w:w="1417" w:type="dxa"/>
            <w:tcBorders>
              <w:top w:val="nil"/>
              <w:left w:val="nil"/>
              <w:bottom w:val="nil"/>
              <w:right w:val="nil"/>
            </w:tcBorders>
            <w:shd w:val="clear" w:color="auto" w:fill="auto"/>
            <w:noWrap/>
            <w:vAlign w:val="bottom"/>
            <w:hideMark/>
          </w:tcPr>
          <w:p w:rsidR="00281A2D" w:rsidRPr="00E70693" w:rsidRDefault="00281A2D" w:rsidP="00281A2D">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285</w:t>
            </w:r>
          </w:p>
        </w:tc>
        <w:tc>
          <w:tcPr>
            <w:tcW w:w="1417" w:type="dxa"/>
            <w:tcBorders>
              <w:top w:val="nil"/>
              <w:left w:val="nil"/>
              <w:bottom w:val="nil"/>
              <w:right w:val="nil"/>
            </w:tcBorders>
            <w:shd w:val="clear" w:color="auto" w:fill="auto"/>
            <w:noWrap/>
            <w:vAlign w:val="bottom"/>
            <w:hideMark/>
          </w:tcPr>
          <w:p w:rsidR="00281A2D" w:rsidRPr="00E70693" w:rsidRDefault="00281A2D" w:rsidP="00281A2D">
            <w:pPr>
              <w:rPr>
                <w:rFonts w:ascii="Arial" w:hAnsi="Arial" w:cs="Arial"/>
                <w:b/>
                <w:bCs/>
                <w:color w:val="000000"/>
                <w:sz w:val="20"/>
                <w:lang w:val="es-PY" w:eastAsia="es-PY"/>
              </w:rPr>
            </w:pPr>
            <w:r w:rsidRPr="00E70693">
              <w:rPr>
                <w:rFonts w:ascii="Arial" w:hAnsi="Arial" w:cs="Arial"/>
                <w:b/>
                <w:bCs/>
                <w:color w:val="000000"/>
                <w:sz w:val="20"/>
                <w:lang w:val="es-PY" w:eastAsia="es-PY"/>
              </w:rPr>
              <w:t>días</w:t>
            </w:r>
          </w:p>
        </w:tc>
      </w:tr>
    </w:tbl>
    <w:p w:rsidR="00506BE5" w:rsidRPr="00E70693" w:rsidRDefault="000701AD" w:rsidP="000701AD">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i/>
        </w:rPr>
        <w:t>Rehabilitación de Carretera La Paz Centro-</w:t>
      </w:r>
      <w:proofErr w:type="spellStart"/>
      <w:r w:rsidRPr="00E70693">
        <w:rPr>
          <w:rFonts w:ascii="Arial" w:hAnsi="Arial" w:cs="Arial"/>
          <w:i/>
        </w:rPr>
        <w:t>Malpaisillo</w:t>
      </w:r>
      <w:proofErr w:type="spellEnd"/>
      <w:r w:rsidRPr="00E70693">
        <w:rPr>
          <w:rFonts w:ascii="Arial" w:hAnsi="Arial" w:cs="Arial"/>
          <w:i/>
        </w:rPr>
        <w:t xml:space="preserve"> (38,159 Km)</w:t>
      </w:r>
      <w:r w:rsidRPr="00E70693">
        <w:rPr>
          <w:rFonts w:ascii="Arial" w:hAnsi="Arial" w:cs="Arial"/>
        </w:rPr>
        <w:t xml:space="preserve">. Ejecutado por el MTI, comprende </w:t>
      </w:r>
      <w:r w:rsidR="007B53D2" w:rsidRPr="00E70693">
        <w:rPr>
          <w:rFonts w:ascii="Arial" w:hAnsi="Arial" w:cs="Arial"/>
        </w:rPr>
        <w:t xml:space="preserve">la ejecución de una estructura completa de pavimento consistiendo de una capa de material selecto sobre la sub-rasante, sub-base y base granulares y el acabado superficial con micro-carpeta; además se prevé obras de drenaje nuevas y sustitución de puentes existentes de un carril. Las obras también incluyen un </w:t>
      </w:r>
      <w:proofErr w:type="spellStart"/>
      <w:r w:rsidR="007B53D2" w:rsidRPr="00E70693">
        <w:rPr>
          <w:rFonts w:ascii="Arial" w:hAnsi="Arial" w:cs="Arial"/>
        </w:rPr>
        <w:t>by-pass</w:t>
      </w:r>
      <w:proofErr w:type="spellEnd"/>
      <w:r w:rsidR="007B53D2" w:rsidRPr="00E70693">
        <w:rPr>
          <w:rFonts w:ascii="Arial" w:hAnsi="Arial" w:cs="Arial"/>
        </w:rPr>
        <w:t xml:space="preserve"> a la ciudad de </w:t>
      </w:r>
      <w:proofErr w:type="spellStart"/>
      <w:r w:rsidR="007B53D2" w:rsidRPr="00E70693">
        <w:rPr>
          <w:rFonts w:ascii="Arial" w:hAnsi="Arial" w:cs="Arial"/>
        </w:rPr>
        <w:t>Malpaisillo</w:t>
      </w:r>
      <w:proofErr w:type="spellEnd"/>
      <w:r w:rsidR="007B53D2" w:rsidRPr="00E70693">
        <w:rPr>
          <w:rFonts w:ascii="Arial" w:hAnsi="Arial" w:cs="Arial"/>
        </w:rPr>
        <w:t>. El diseño fue elaborado por el MTI y revisado por el Auditor Técnico.</w:t>
      </w:r>
      <w:r w:rsidR="00506BE5" w:rsidRPr="00E70693">
        <w:rPr>
          <w:rFonts w:ascii="Arial" w:hAnsi="Arial" w:cs="Arial"/>
        </w:rPr>
        <w:t xml:space="preserve"> El precio del contrato, resultante de la licitación, es inferior al previsto en los recursos del préstamo. La obra inició el 31 de marzo de 2014 y se prevé su conclusión el 23 de julio de 2015.</w:t>
      </w:r>
    </w:p>
    <w:p w:rsidR="000701AD" w:rsidRPr="00E70693" w:rsidRDefault="000701AD" w:rsidP="000701AD">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i/>
        </w:rPr>
        <w:t>Mantenimiento Periódico/ Rutinario del Tramo Jinotepe-</w:t>
      </w:r>
      <w:proofErr w:type="spellStart"/>
      <w:r w:rsidRPr="00E70693">
        <w:rPr>
          <w:rFonts w:ascii="Arial" w:hAnsi="Arial" w:cs="Arial"/>
          <w:i/>
        </w:rPr>
        <w:t>Nandaime</w:t>
      </w:r>
      <w:proofErr w:type="spellEnd"/>
      <w:r w:rsidRPr="00E70693">
        <w:rPr>
          <w:rFonts w:ascii="Arial" w:hAnsi="Arial" w:cs="Arial"/>
          <w:i/>
        </w:rPr>
        <w:t xml:space="preserve"> (22,0 Km)</w:t>
      </w:r>
      <w:r w:rsidRPr="00E70693">
        <w:rPr>
          <w:rFonts w:ascii="Arial" w:hAnsi="Arial" w:cs="Arial"/>
        </w:rPr>
        <w:t xml:space="preserve">. </w:t>
      </w:r>
      <w:r w:rsidR="007B53D2" w:rsidRPr="00E70693">
        <w:rPr>
          <w:rFonts w:ascii="Arial" w:hAnsi="Arial" w:cs="Arial"/>
        </w:rPr>
        <w:t xml:space="preserve">Ejecutado por el FOMAV, </w:t>
      </w:r>
      <w:r w:rsidR="007645A8" w:rsidRPr="00E70693">
        <w:rPr>
          <w:rFonts w:ascii="Arial" w:hAnsi="Arial" w:cs="Arial"/>
        </w:rPr>
        <w:t xml:space="preserve">comprendió el </w:t>
      </w:r>
      <w:r w:rsidR="007B53D2" w:rsidRPr="00E70693">
        <w:rPr>
          <w:rFonts w:ascii="Arial" w:hAnsi="Arial" w:cs="Arial"/>
          <w:bCs/>
          <w:iCs/>
        </w:rPr>
        <w:t>reciclado de la carpeta existente y</w:t>
      </w:r>
      <w:r w:rsidR="007645A8" w:rsidRPr="00E70693">
        <w:rPr>
          <w:rFonts w:ascii="Arial" w:hAnsi="Arial" w:cs="Arial"/>
          <w:bCs/>
          <w:iCs/>
        </w:rPr>
        <w:t xml:space="preserve"> la</w:t>
      </w:r>
      <w:r w:rsidR="007B53D2" w:rsidRPr="00E70693">
        <w:rPr>
          <w:rFonts w:ascii="Arial" w:hAnsi="Arial" w:cs="Arial"/>
          <w:bCs/>
          <w:iCs/>
        </w:rPr>
        <w:t xml:space="preserve"> conformación de </w:t>
      </w:r>
      <w:r w:rsidR="007645A8" w:rsidRPr="00E70693">
        <w:rPr>
          <w:rFonts w:ascii="Arial" w:hAnsi="Arial" w:cs="Arial"/>
          <w:bCs/>
          <w:iCs/>
        </w:rPr>
        <w:t xml:space="preserve">una </w:t>
      </w:r>
      <w:r w:rsidR="007B53D2" w:rsidRPr="00E70693">
        <w:rPr>
          <w:rFonts w:ascii="Arial" w:hAnsi="Arial" w:cs="Arial"/>
          <w:bCs/>
          <w:iCs/>
        </w:rPr>
        <w:t>base estabilizada con cemento y posterior colocación de la carpeta de rodamiento con concreto asfáltico en caliente de 7 cm de espesor; también se incluyen algunas obras de drenaje como reemplazo de alcantarillas, construcción de cunetas y mampostería de protección, señalización horizontal y vertical y obras colaterales.</w:t>
      </w:r>
      <w:r w:rsidR="007B53D2" w:rsidRPr="00E70693">
        <w:rPr>
          <w:rFonts w:ascii="Arial" w:hAnsi="Arial" w:cs="Arial"/>
        </w:rPr>
        <w:t xml:space="preserve">  La obra inició el 21 de noviembre de 2013 y concluyó el 19 de mayo de 2014, sin extensión del plazo original y sin variación del precio del contrato</w:t>
      </w:r>
      <w:r w:rsidRPr="00E70693">
        <w:rPr>
          <w:rFonts w:ascii="Arial" w:hAnsi="Arial" w:cs="Arial"/>
        </w:rPr>
        <w:t>.</w:t>
      </w:r>
    </w:p>
    <w:p w:rsidR="000701AD" w:rsidRPr="00E70693" w:rsidRDefault="000701AD" w:rsidP="000701AD">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i/>
        </w:rPr>
        <w:t>Mantenimiento Periódico/ Rutinario del Tramo Jinotega-</w:t>
      </w:r>
      <w:proofErr w:type="spellStart"/>
      <w:r w:rsidRPr="00E70693">
        <w:rPr>
          <w:rFonts w:ascii="Arial" w:hAnsi="Arial" w:cs="Arial"/>
          <w:i/>
        </w:rPr>
        <w:t>Miralagos</w:t>
      </w:r>
      <w:proofErr w:type="spellEnd"/>
      <w:r w:rsidRPr="00E70693">
        <w:rPr>
          <w:rFonts w:ascii="Arial" w:hAnsi="Arial" w:cs="Arial"/>
          <w:i/>
        </w:rPr>
        <w:t xml:space="preserve"> (11,0 Km)</w:t>
      </w:r>
      <w:r w:rsidRPr="00E70693">
        <w:rPr>
          <w:rFonts w:ascii="Arial" w:hAnsi="Arial" w:cs="Arial"/>
        </w:rPr>
        <w:t xml:space="preserve">. Ejecutado por el </w:t>
      </w:r>
      <w:r w:rsidR="004B6C6F" w:rsidRPr="00E70693">
        <w:rPr>
          <w:rFonts w:ascii="Arial" w:hAnsi="Arial" w:cs="Arial"/>
        </w:rPr>
        <w:t>FOMAV,</w:t>
      </w:r>
      <w:r w:rsidRPr="00E70693">
        <w:rPr>
          <w:rFonts w:ascii="Arial" w:hAnsi="Arial" w:cs="Arial"/>
        </w:rPr>
        <w:t xml:space="preserve"> </w:t>
      </w:r>
      <w:r w:rsidR="007645A8" w:rsidRPr="00E70693">
        <w:rPr>
          <w:rFonts w:ascii="Arial" w:hAnsi="Arial" w:cs="Arial"/>
        </w:rPr>
        <w:t xml:space="preserve">comprendió </w:t>
      </w:r>
      <w:r w:rsidR="004B6C6F" w:rsidRPr="00E70693">
        <w:rPr>
          <w:rFonts w:ascii="Arial" w:hAnsi="Arial" w:cs="Arial"/>
          <w:bCs/>
          <w:lang w:val="es-ES"/>
        </w:rPr>
        <w:t xml:space="preserve">el reciclado de la carpeta existente y </w:t>
      </w:r>
      <w:r w:rsidR="007645A8" w:rsidRPr="00E70693">
        <w:rPr>
          <w:rFonts w:ascii="Arial" w:hAnsi="Arial" w:cs="Arial"/>
          <w:bCs/>
          <w:lang w:val="es-ES"/>
        </w:rPr>
        <w:t xml:space="preserve">la </w:t>
      </w:r>
      <w:r w:rsidR="004B6C6F" w:rsidRPr="00E70693">
        <w:rPr>
          <w:rFonts w:ascii="Arial" w:hAnsi="Arial" w:cs="Arial"/>
          <w:bCs/>
          <w:lang w:val="es-ES"/>
        </w:rPr>
        <w:t xml:space="preserve">estabilización de </w:t>
      </w:r>
      <w:r w:rsidR="007645A8" w:rsidRPr="00E70693">
        <w:rPr>
          <w:rFonts w:ascii="Arial" w:hAnsi="Arial" w:cs="Arial"/>
          <w:bCs/>
          <w:lang w:val="es-ES"/>
        </w:rPr>
        <w:t xml:space="preserve">la </w:t>
      </w:r>
      <w:r w:rsidR="004B6C6F" w:rsidRPr="00E70693">
        <w:rPr>
          <w:rFonts w:ascii="Arial" w:hAnsi="Arial" w:cs="Arial"/>
          <w:bCs/>
          <w:lang w:val="es-ES"/>
        </w:rPr>
        <w:t>base con cemento, colocación de la carpeta de rodamiento en diferentes sectores con 4cm y 3cm de espesor. También se incluye</w:t>
      </w:r>
      <w:r w:rsidR="007645A8" w:rsidRPr="00E70693">
        <w:rPr>
          <w:rFonts w:ascii="Arial" w:hAnsi="Arial" w:cs="Arial"/>
          <w:bCs/>
          <w:lang w:val="es-ES"/>
        </w:rPr>
        <w:t>ro</w:t>
      </w:r>
      <w:r w:rsidR="004B6C6F" w:rsidRPr="00E70693">
        <w:rPr>
          <w:rFonts w:ascii="Arial" w:hAnsi="Arial" w:cs="Arial"/>
          <w:bCs/>
          <w:lang w:val="es-ES"/>
        </w:rPr>
        <w:t>n obras de drenaje como el reemplazo de alcantarillas, construcción de cunetas y mampostería de protección, además de señalización horizontal y vertical</w:t>
      </w:r>
      <w:r w:rsidR="004B6C6F" w:rsidRPr="00E70693">
        <w:rPr>
          <w:rFonts w:ascii="Arial" w:hAnsi="Arial" w:cs="Arial"/>
          <w:bCs/>
          <w:iCs/>
        </w:rPr>
        <w:t>. D</w:t>
      </w:r>
      <w:r w:rsidR="004B6C6F" w:rsidRPr="00E70693">
        <w:rPr>
          <w:rFonts w:ascii="Arial" w:hAnsi="Arial" w:cs="Arial"/>
        </w:rPr>
        <w:t xml:space="preserve">urante la ejecución de las obras se identificó un segmento </w:t>
      </w:r>
      <w:r w:rsidR="004B6C6F" w:rsidRPr="00E70693">
        <w:rPr>
          <w:rFonts w:ascii="Arial" w:hAnsi="Arial" w:cs="Arial"/>
        </w:rPr>
        <w:lastRenderedPageBreak/>
        <w:t>adicional</w:t>
      </w:r>
      <w:r w:rsidR="009F350A" w:rsidRPr="00E70693">
        <w:rPr>
          <w:rFonts w:ascii="Arial" w:hAnsi="Arial" w:cs="Arial"/>
        </w:rPr>
        <w:t xml:space="preserve"> de 1,06 Km</w:t>
      </w:r>
      <w:r w:rsidR="004B6C6F" w:rsidRPr="00E70693">
        <w:rPr>
          <w:rFonts w:ascii="Arial" w:hAnsi="Arial" w:cs="Arial"/>
        </w:rPr>
        <w:t xml:space="preserve"> para empalmar con la obra </w:t>
      </w:r>
      <w:proofErr w:type="spellStart"/>
      <w:r w:rsidR="004B6C6F" w:rsidRPr="00E70693">
        <w:rPr>
          <w:rFonts w:ascii="Arial" w:hAnsi="Arial" w:cs="Arial"/>
        </w:rPr>
        <w:t>Miralagos-Cuyalí</w:t>
      </w:r>
      <w:proofErr w:type="spellEnd"/>
      <w:r w:rsidR="004B6C6F" w:rsidRPr="00E70693">
        <w:rPr>
          <w:rFonts w:ascii="Arial" w:hAnsi="Arial" w:cs="Arial"/>
        </w:rPr>
        <w:t xml:space="preserve"> del MTI. El FOMAV ejecutó las obras faltantes mediante el contratista de obra de su tramo</w:t>
      </w:r>
      <w:r w:rsidR="006B1A29" w:rsidRPr="00E70693">
        <w:rPr>
          <w:rFonts w:ascii="Arial" w:hAnsi="Arial" w:cs="Arial"/>
        </w:rPr>
        <w:t>,</w:t>
      </w:r>
      <w:r w:rsidR="004B6C6F" w:rsidRPr="00E70693">
        <w:rPr>
          <w:rFonts w:ascii="Arial" w:hAnsi="Arial" w:cs="Arial"/>
        </w:rPr>
        <w:t xml:space="preserve"> suplementando el contrato respectivo y disponiendo los recursos financieros de su fondos propios. </w:t>
      </w:r>
      <w:r w:rsidR="009F350A" w:rsidRPr="00E70693">
        <w:rPr>
          <w:rFonts w:ascii="Arial" w:hAnsi="Arial" w:cs="Arial"/>
          <w:lang w:val="es-ES"/>
        </w:rPr>
        <w:t xml:space="preserve">La estructura de costos </w:t>
      </w:r>
      <w:r w:rsidR="009F350A" w:rsidRPr="00E70693">
        <w:rPr>
          <w:rFonts w:ascii="Arial" w:hAnsi="Arial" w:cs="Arial"/>
        </w:rPr>
        <w:t>de costos del contrato de obra es la siguiente</w:t>
      </w:r>
      <w:r w:rsidRPr="00E70693">
        <w:rPr>
          <w:rFonts w:ascii="Arial" w:hAnsi="Arial" w:cs="Arial"/>
        </w:rPr>
        <w:t>.</w:t>
      </w:r>
      <w:r w:rsidR="007672D8" w:rsidRPr="00E70693">
        <w:rPr>
          <w:rFonts w:ascii="Arial" w:hAnsi="Arial" w:cs="Arial"/>
        </w:rPr>
        <w:t xml:space="preserve"> La longitud final mejorada es 12.06 Km (9.64%).</w:t>
      </w:r>
    </w:p>
    <w:p w:rsidR="009F350A" w:rsidRPr="00E70693" w:rsidRDefault="009F350A" w:rsidP="009F350A">
      <w:pPr>
        <w:ind w:left="709"/>
        <w:jc w:val="both"/>
        <w:rPr>
          <w:rFonts w:ascii="Arial" w:hAnsi="Arial" w:cs="Arial"/>
        </w:rPr>
      </w:pPr>
    </w:p>
    <w:tbl>
      <w:tblPr>
        <w:tblW w:w="8222" w:type="dxa"/>
        <w:tblInd w:w="779" w:type="dxa"/>
        <w:tblCellMar>
          <w:left w:w="70" w:type="dxa"/>
          <w:right w:w="70" w:type="dxa"/>
        </w:tblCellMar>
        <w:tblLook w:val="04A0" w:firstRow="1" w:lastRow="0" w:firstColumn="1" w:lastColumn="0" w:noHBand="0" w:noVBand="1"/>
      </w:tblPr>
      <w:tblGrid>
        <w:gridCol w:w="2552"/>
        <w:gridCol w:w="1417"/>
        <w:gridCol w:w="1418"/>
        <w:gridCol w:w="1417"/>
        <w:gridCol w:w="1418"/>
      </w:tblGrid>
      <w:tr w:rsidR="00DB3FCF" w:rsidRPr="00E70693" w:rsidTr="00DB3FCF">
        <w:tc>
          <w:tcPr>
            <w:tcW w:w="2552" w:type="dxa"/>
            <w:tcBorders>
              <w:top w:val="single" w:sz="4" w:space="0" w:color="auto"/>
              <w:left w:val="single" w:sz="4" w:space="0" w:color="auto"/>
              <w:bottom w:val="nil"/>
              <w:right w:val="nil"/>
            </w:tcBorders>
            <w:shd w:val="clear" w:color="auto" w:fill="DAEEF3" w:themeFill="accent5" w:themeFillTint="33"/>
            <w:noWrap/>
            <w:vAlign w:val="bottom"/>
            <w:hideMark/>
          </w:tcPr>
          <w:p w:rsidR="00DB3FCF" w:rsidRPr="00E70693" w:rsidRDefault="00DB3FCF" w:rsidP="00DF3FFF">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Proyecto</w:t>
            </w:r>
          </w:p>
        </w:tc>
        <w:tc>
          <w:tcPr>
            <w:tcW w:w="2835" w:type="dxa"/>
            <w:gridSpan w:val="2"/>
            <w:tcBorders>
              <w:top w:val="single" w:sz="4" w:space="0" w:color="auto"/>
              <w:left w:val="single" w:sz="4" w:space="0" w:color="auto"/>
              <w:bottom w:val="single" w:sz="4" w:space="0" w:color="auto"/>
              <w:right w:val="nil"/>
            </w:tcBorders>
            <w:shd w:val="clear" w:color="auto" w:fill="DAEEF3" w:themeFill="accent5" w:themeFillTint="33"/>
            <w:noWrap/>
            <w:vAlign w:val="bottom"/>
            <w:hideMark/>
          </w:tcPr>
          <w:p w:rsidR="00DB3FCF" w:rsidRPr="00E70693" w:rsidRDefault="00DB3FCF" w:rsidP="00DF3FFF">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Original</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DB3FCF" w:rsidRPr="00E70693" w:rsidRDefault="00DB3FCF" w:rsidP="00DF3FFF">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Final</w:t>
            </w:r>
          </w:p>
        </w:tc>
      </w:tr>
      <w:tr w:rsidR="00DB3FCF" w:rsidRPr="00E70693" w:rsidTr="00DB3FCF">
        <w:tc>
          <w:tcPr>
            <w:tcW w:w="2552" w:type="dxa"/>
            <w:tcBorders>
              <w:top w:val="nil"/>
              <w:left w:val="single" w:sz="4" w:space="0" w:color="auto"/>
              <w:bottom w:val="nil"/>
              <w:right w:val="nil"/>
            </w:tcBorders>
            <w:shd w:val="clear" w:color="auto" w:fill="DAEEF3" w:themeFill="accent5" w:themeFillTint="33"/>
            <w:noWrap/>
            <w:vAlign w:val="bottom"/>
            <w:hideMark/>
          </w:tcPr>
          <w:p w:rsidR="00DB3FCF" w:rsidRPr="00E70693" w:rsidRDefault="00DB3FCF" w:rsidP="00DF3FFF">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 </w:t>
            </w:r>
          </w:p>
        </w:tc>
        <w:tc>
          <w:tcPr>
            <w:tcW w:w="1417" w:type="dxa"/>
            <w:tcBorders>
              <w:top w:val="nil"/>
              <w:left w:val="single" w:sz="4" w:space="0" w:color="auto"/>
              <w:bottom w:val="nil"/>
              <w:right w:val="nil"/>
            </w:tcBorders>
            <w:shd w:val="clear" w:color="auto" w:fill="DAEEF3" w:themeFill="accent5" w:themeFillTint="33"/>
            <w:noWrap/>
            <w:vAlign w:val="bottom"/>
            <w:hideMark/>
          </w:tcPr>
          <w:p w:rsidR="00DB3FCF" w:rsidRPr="00E70693" w:rsidRDefault="00DB3FCF" w:rsidP="00DF3FFF">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Fondos BID</w:t>
            </w:r>
          </w:p>
        </w:tc>
        <w:tc>
          <w:tcPr>
            <w:tcW w:w="1418" w:type="dxa"/>
            <w:tcBorders>
              <w:top w:val="nil"/>
              <w:left w:val="single" w:sz="4" w:space="0" w:color="auto"/>
              <w:bottom w:val="nil"/>
              <w:right w:val="nil"/>
            </w:tcBorders>
            <w:shd w:val="clear" w:color="auto" w:fill="DAEEF3" w:themeFill="accent5" w:themeFillTint="33"/>
            <w:noWrap/>
            <w:vAlign w:val="bottom"/>
            <w:hideMark/>
          </w:tcPr>
          <w:p w:rsidR="00DB3FCF" w:rsidRPr="00E70693" w:rsidRDefault="00DB3FCF" w:rsidP="00DF3FFF">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 xml:space="preserve">Fondos </w:t>
            </w:r>
            <w:proofErr w:type="spellStart"/>
            <w:r w:rsidRPr="00E70693">
              <w:rPr>
                <w:rFonts w:ascii="Arial" w:hAnsi="Arial" w:cs="Arial"/>
                <w:b/>
                <w:bCs/>
                <w:color w:val="000000"/>
                <w:sz w:val="20"/>
                <w:lang w:val="es-PY" w:eastAsia="es-PY"/>
              </w:rPr>
              <w:t>GdNI</w:t>
            </w:r>
            <w:proofErr w:type="spellEnd"/>
          </w:p>
        </w:tc>
        <w:tc>
          <w:tcPr>
            <w:tcW w:w="1417" w:type="dxa"/>
            <w:tcBorders>
              <w:top w:val="nil"/>
              <w:left w:val="single" w:sz="4" w:space="0" w:color="auto"/>
              <w:bottom w:val="nil"/>
              <w:right w:val="nil"/>
            </w:tcBorders>
            <w:shd w:val="clear" w:color="auto" w:fill="DAEEF3" w:themeFill="accent5" w:themeFillTint="33"/>
            <w:noWrap/>
            <w:vAlign w:val="bottom"/>
            <w:hideMark/>
          </w:tcPr>
          <w:p w:rsidR="00DB3FCF" w:rsidRPr="00E70693" w:rsidRDefault="00DB3FCF" w:rsidP="00DF3FFF">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Fondos BID</w:t>
            </w:r>
          </w:p>
        </w:tc>
        <w:tc>
          <w:tcPr>
            <w:tcW w:w="1418" w:type="dxa"/>
            <w:tcBorders>
              <w:top w:val="nil"/>
              <w:left w:val="single" w:sz="4" w:space="0" w:color="auto"/>
              <w:bottom w:val="nil"/>
              <w:right w:val="single" w:sz="4" w:space="0" w:color="auto"/>
            </w:tcBorders>
            <w:shd w:val="clear" w:color="auto" w:fill="DAEEF3" w:themeFill="accent5" w:themeFillTint="33"/>
            <w:noWrap/>
            <w:vAlign w:val="bottom"/>
            <w:hideMark/>
          </w:tcPr>
          <w:p w:rsidR="00DB3FCF" w:rsidRPr="00E70693" w:rsidRDefault="00DB3FCF" w:rsidP="00DF3FFF">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 xml:space="preserve">Fondos </w:t>
            </w:r>
            <w:proofErr w:type="spellStart"/>
            <w:r w:rsidRPr="00E70693">
              <w:rPr>
                <w:rFonts w:ascii="Arial" w:hAnsi="Arial" w:cs="Arial"/>
                <w:b/>
                <w:bCs/>
                <w:color w:val="000000"/>
                <w:sz w:val="20"/>
                <w:lang w:val="es-PY" w:eastAsia="es-PY"/>
              </w:rPr>
              <w:t>GdNI</w:t>
            </w:r>
            <w:proofErr w:type="spellEnd"/>
          </w:p>
        </w:tc>
      </w:tr>
      <w:tr w:rsidR="00DB3FCF" w:rsidRPr="00E70693" w:rsidTr="00DB3FCF">
        <w:tc>
          <w:tcPr>
            <w:tcW w:w="2552" w:type="dxa"/>
            <w:tcBorders>
              <w:top w:val="nil"/>
              <w:left w:val="single" w:sz="4" w:space="0" w:color="auto"/>
              <w:bottom w:val="single" w:sz="4" w:space="0" w:color="auto"/>
              <w:right w:val="nil"/>
            </w:tcBorders>
            <w:shd w:val="clear" w:color="auto" w:fill="DAEEF3" w:themeFill="accent5" w:themeFillTint="33"/>
            <w:noWrap/>
            <w:vAlign w:val="bottom"/>
            <w:hideMark/>
          </w:tcPr>
          <w:p w:rsidR="00DB3FCF" w:rsidRPr="00E70693" w:rsidRDefault="00DB3FCF" w:rsidP="00DF3FFF">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7" w:type="dxa"/>
            <w:tcBorders>
              <w:top w:val="nil"/>
              <w:left w:val="single" w:sz="4" w:space="0" w:color="auto"/>
              <w:bottom w:val="single" w:sz="4" w:space="0" w:color="auto"/>
              <w:right w:val="nil"/>
            </w:tcBorders>
            <w:shd w:val="clear" w:color="auto" w:fill="DAEEF3" w:themeFill="accent5" w:themeFillTint="33"/>
            <w:noWrap/>
            <w:vAlign w:val="bottom"/>
            <w:hideMark/>
          </w:tcPr>
          <w:p w:rsidR="00DB3FCF" w:rsidRPr="00E70693" w:rsidRDefault="00DB3FCF" w:rsidP="00DF3FFF">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c>
          <w:tcPr>
            <w:tcW w:w="1418" w:type="dxa"/>
            <w:tcBorders>
              <w:top w:val="nil"/>
              <w:left w:val="single" w:sz="4" w:space="0" w:color="auto"/>
              <w:bottom w:val="single" w:sz="4" w:space="0" w:color="auto"/>
              <w:right w:val="nil"/>
            </w:tcBorders>
            <w:shd w:val="clear" w:color="auto" w:fill="DAEEF3" w:themeFill="accent5" w:themeFillTint="33"/>
            <w:noWrap/>
            <w:vAlign w:val="bottom"/>
            <w:hideMark/>
          </w:tcPr>
          <w:p w:rsidR="00DB3FCF" w:rsidRPr="00E70693" w:rsidRDefault="00DB3FCF" w:rsidP="00DF3FFF">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c>
          <w:tcPr>
            <w:tcW w:w="1417" w:type="dxa"/>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rsidR="00DB3FCF" w:rsidRPr="00E70693" w:rsidRDefault="00DB3FCF" w:rsidP="00DF3FFF">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c>
          <w:tcPr>
            <w:tcW w:w="1418" w:type="dxa"/>
            <w:tcBorders>
              <w:top w:val="nil"/>
              <w:left w:val="nil"/>
              <w:bottom w:val="single" w:sz="4" w:space="0" w:color="auto"/>
              <w:right w:val="single" w:sz="4" w:space="0" w:color="auto"/>
            </w:tcBorders>
            <w:shd w:val="clear" w:color="auto" w:fill="DAEEF3" w:themeFill="accent5" w:themeFillTint="33"/>
            <w:noWrap/>
            <w:vAlign w:val="bottom"/>
            <w:hideMark/>
          </w:tcPr>
          <w:p w:rsidR="00DB3FCF" w:rsidRPr="00E70693" w:rsidRDefault="00DB3FCF" w:rsidP="00DF3FFF">
            <w:pPr>
              <w:keepNext/>
              <w:jc w:val="center"/>
              <w:rPr>
                <w:rFonts w:ascii="Arial" w:hAnsi="Arial" w:cs="Arial"/>
                <w:b/>
                <w:bCs/>
                <w:color w:val="000000"/>
                <w:sz w:val="20"/>
                <w:lang w:val="es-PY" w:eastAsia="es-PY"/>
              </w:rPr>
            </w:pPr>
            <w:r w:rsidRPr="00E70693">
              <w:rPr>
                <w:rFonts w:ascii="Arial" w:hAnsi="Arial" w:cs="Arial"/>
                <w:b/>
                <w:bCs/>
                <w:color w:val="000000"/>
                <w:sz w:val="20"/>
                <w:lang w:val="es-PY" w:eastAsia="es-PY"/>
              </w:rPr>
              <w:t>U$S</w:t>
            </w:r>
          </w:p>
        </w:tc>
      </w:tr>
      <w:tr w:rsidR="00DB3FCF" w:rsidRPr="00E70693" w:rsidTr="00DB3FCF">
        <w:tc>
          <w:tcPr>
            <w:tcW w:w="8222" w:type="dxa"/>
            <w:gridSpan w:val="5"/>
            <w:tcBorders>
              <w:top w:val="nil"/>
              <w:left w:val="single" w:sz="4" w:space="0" w:color="auto"/>
              <w:bottom w:val="nil"/>
              <w:right w:val="single" w:sz="4" w:space="0" w:color="auto"/>
            </w:tcBorders>
            <w:shd w:val="clear" w:color="auto" w:fill="auto"/>
            <w:noWrap/>
            <w:hideMark/>
          </w:tcPr>
          <w:p w:rsidR="00DB3FCF" w:rsidRPr="00E70693" w:rsidRDefault="00DB3FCF" w:rsidP="00DF3FFF">
            <w:pPr>
              <w:keepNext/>
              <w:rPr>
                <w:rFonts w:ascii="Arial" w:hAnsi="Arial" w:cs="Arial"/>
                <w:b/>
                <w:bCs/>
                <w:color w:val="000000"/>
                <w:sz w:val="20"/>
                <w:lang w:val="es-PY" w:eastAsia="es-PY"/>
              </w:rPr>
            </w:pPr>
            <w:r w:rsidRPr="00E70693">
              <w:rPr>
                <w:rFonts w:ascii="Arial" w:hAnsi="Arial" w:cs="Arial"/>
                <w:b/>
                <w:bCs/>
                <w:color w:val="000000"/>
                <w:sz w:val="20"/>
                <w:lang w:val="es-PY" w:eastAsia="es-PY"/>
              </w:rPr>
              <w:t>Mantenimiento Periódico/ Rutinario del Tramo Jinotega-</w:t>
            </w:r>
            <w:proofErr w:type="spellStart"/>
            <w:r w:rsidRPr="00E70693">
              <w:rPr>
                <w:rFonts w:ascii="Arial" w:hAnsi="Arial" w:cs="Arial"/>
                <w:b/>
                <w:bCs/>
                <w:color w:val="000000"/>
                <w:sz w:val="20"/>
                <w:lang w:val="es-PY" w:eastAsia="es-PY"/>
              </w:rPr>
              <w:t>Miralagos</w:t>
            </w:r>
            <w:proofErr w:type="spellEnd"/>
          </w:p>
        </w:tc>
      </w:tr>
      <w:tr w:rsidR="00DB3FCF" w:rsidRPr="00E70693" w:rsidTr="00DB3FCF">
        <w:tc>
          <w:tcPr>
            <w:tcW w:w="2552" w:type="dxa"/>
            <w:tcBorders>
              <w:top w:val="nil"/>
              <w:left w:val="single" w:sz="4" w:space="0" w:color="auto"/>
              <w:bottom w:val="nil"/>
              <w:right w:val="nil"/>
            </w:tcBorders>
            <w:shd w:val="clear" w:color="auto" w:fill="auto"/>
            <w:hideMark/>
          </w:tcPr>
          <w:p w:rsidR="00DB3FCF" w:rsidRPr="00E70693" w:rsidRDefault="00DB3FCF"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Contrato base</w:t>
            </w:r>
          </w:p>
        </w:tc>
        <w:tc>
          <w:tcPr>
            <w:tcW w:w="1417" w:type="dxa"/>
            <w:tcBorders>
              <w:top w:val="nil"/>
              <w:left w:val="single" w:sz="4" w:space="0" w:color="auto"/>
              <w:bottom w:val="nil"/>
              <w:right w:val="nil"/>
            </w:tcBorders>
            <w:shd w:val="clear" w:color="auto" w:fill="auto"/>
            <w:hideMark/>
          </w:tcPr>
          <w:p w:rsidR="00DB3FCF" w:rsidRPr="00E70693" w:rsidRDefault="00DB3FCF"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3.237.033,23</w:t>
            </w:r>
          </w:p>
        </w:tc>
        <w:tc>
          <w:tcPr>
            <w:tcW w:w="1418" w:type="dxa"/>
            <w:tcBorders>
              <w:top w:val="nil"/>
              <w:left w:val="single" w:sz="4" w:space="0" w:color="auto"/>
              <w:bottom w:val="nil"/>
              <w:right w:val="nil"/>
            </w:tcBorders>
            <w:shd w:val="clear" w:color="auto" w:fill="auto"/>
            <w:hideMark/>
          </w:tcPr>
          <w:p w:rsidR="00DB3FCF" w:rsidRPr="00E70693" w:rsidRDefault="00DB3FCF"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354.243,92</w:t>
            </w:r>
          </w:p>
        </w:tc>
        <w:tc>
          <w:tcPr>
            <w:tcW w:w="1417" w:type="dxa"/>
            <w:tcBorders>
              <w:top w:val="nil"/>
              <w:left w:val="single" w:sz="4" w:space="0" w:color="auto"/>
              <w:bottom w:val="nil"/>
              <w:right w:val="nil"/>
            </w:tcBorders>
            <w:shd w:val="clear" w:color="auto" w:fill="auto"/>
            <w:hideMark/>
          </w:tcPr>
          <w:p w:rsidR="00DB3FCF" w:rsidRPr="00E70693" w:rsidRDefault="00DB3FCF"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3.237.033,23</w:t>
            </w:r>
          </w:p>
        </w:tc>
        <w:tc>
          <w:tcPr>
            <w:tcW w:w="1418" w:type="dxa"/>
            <w:tcBorders>
              <w:top w:val="nil"/>
              <w:left w:val="single" w:sz="4" w:space="0" w:color="auto"/>
              <w:bottom w:val="nil"/>
              <w:right w:val="single" w:sz="4" w:space="0" w:color="auto"/>
            </w:tcBorders>
            <w:shd w:val="clear" w:color="auto" w:fill="auto"/>
            <w:hideMark/>
          </w:tcPr>
          <w:p w:rsidR="00DB3FCF" w:rsidRPr="00E70693" w:rsidRDefault="00DB3FCF"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354.243,92</w:t>
            </w:r>
          </w:p>
        </w:tc>
      </w:tr>
      <w:tr w:rsidR="00DB3FCF" w:rsidRPr="00E70693" w:rsidTr="00DB3FCF">
        <w:tc>
          <w:tcPr>
            <w:tcW w:w="2552" w:type="dxa"/>
            <w:tcBorders>
              <w:top w:val="nil"/>
              <w:left w:val="single" w:sz="4" w:space="0" w:color="auto"/>
              <w:bottom w:val="nil"/>
              <w:right w:val="nil"/>
            </w:tcBorders>
            <w:shd w:val="clear" w:color="auto" w:fill="auto"/>
            <w:hideMark/>
          </w:tcPr>
          <w:p w:rsidR="00DB3FCF" w:rsidRPr="00E70693" w:rsidRDefault="00DB3FCF"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Incremento de obra</w:t>
            </w:r>
          </w:p>
        </w:tc>
        <w:tc>
          <w:tcPr>
            <w:tcW w:w="1417" w:type="dxa"/>
            <w:tcBorders>
              <w:top w:val="nil"/>
              <w:left w:val="single" w:sz="4" w:space="0" w:color="auto"/>
              <w:bottom w:val="nil"/>
              <w:right w:val="nil"/>
            </w:tcBorders>
            <w:shd w:val="clear" w:color="auto" w:fill="auto"/>
            <w:hideMark/>
          </w:tcPr>
          <w:p w:rsidR="00DB3FCF" w:rsidRPr="00E70693" w:rsidRDefault="00DB3FCF"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8" w:type="dxa"/>
            <w:tcBorders>
              <w:top w:val="nil"/>
              <w:left w:val="single" w:sz="4" w:space="0" w:color="auto"/>
              <w:bottom w:val="nil"/>
              <w:right w:val="nil"/>
            </w:tcBorders>
            <w:shd w:val="clear" w:color="auto" w:fill="auto"/>
            <w:hideMark/>
          </w:tcPr>
          <w:p w:rsidR="00DB3FCF" w:rsidRPr="00E70693" w:rsidRDefault="00DB3FCF"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7" w:type="dxa"/>
            <w:tcBorders>
              <w:top w:val="nil"/>
              <w:left w:val="single" w:sz="4" w:space="0" w:color="auto"/>
              <w:bottom w:val="nil"/>
              <w:right w:val="nil"/>
            </w:tcBorders>
            <w:shd w:val="clear" w:color="auto" w:fill="auto"/>
            <w:hideMark/>
          </w:tcPr>
          <w:p w:rsidR="00DB3FCF" w:rsidRPr="00E70693" w:rsidRDefault="00DB3FCF"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8" w:type="dxa"/>
            <w:tcBorders>
              <w:top w:val="nil"/>
              <w:left w:val="single" w:sz="4" w:space="0" w:color="auto"/>
              <w:bottom w:val="nil"/>
              <w:right w:val="single" w:sz="4" w:space="0" w:color="auto"/>
            </w:tcBorders>
            <w:shd w:val="clear" w:color="auto" w:fill="auto"/>
            <w:hideMark/>
          </w:tcPr>
          <w:p w:rsidR="00DB3FCF" w:rsidRPr="00E70693" w:rsidRDefault="00DB3FCF"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426.413,22</w:t>
            </w:r>
          </w:p>
        </w:tc>
      </w:tr>
      <w:tr w:rsidR="00DB3FCF" w:rsidRPr="00E70693" w:rsidTr="00DB3FCF">
        <w:tc>
          <w:tcPr>
            <w:tcW w:w="2552" w:type="dxa"/>
            <w:tcBorders>
              <w:top w:val="nil"/>
              <w:left w:val="single" w:sz="4" w:space="0" w:color="auto"/>
              <w:bottom w:val="nil"/>
              <w:right w:val="nil"/>
            </w:tcBorders>
            <w:shd w:val="clear" w:color="auto" w:fill="auto"/>
            <w:hideMark/>
          </w:tcPr>
          <w:p w:rsidR="00DB3FCF" w:rsidRPr="00E70693" w:rsidRDefault="00DB3FCF"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Ajuste de precios</w:t>
            </w:r>
          </w:p>
        </w:tc>
        <w:tc>
          <w:tcPr>
            <w:tcW w:w="1417" w:type="dxa"/>
            <w:tcBorders>
              <w:top w:val="nil"/>
              <w:left w:val="single" w:sz="4" w:space="0" w:color="auto"/>
              <w:bottom w:val="nil"/>
              <w:right w:val="nil"/>
            </w:tcBorders>
            <w:shd w:val="clear" w:color="auto" w:fill="auto"/>
            <w:hideMark/>
          </w:tcPr>
          <w:p w:rsidR="00DB3FCF" w:rsidRPr="00E70693" w:rsidRDefault="00DB3FCF"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8" w:type="dxa"/>
            <w:tcBorders>
              <w:top w:val="nil"/>
              <w:left w:val="single" w:sz="4" w:space="0" w:color="auto"/>
              <w:bottom w:val="nil"/>
              <w:right w:val="nil"/>
            </w:tcBorders>
            <w:shd w:val="clear" w:color="auto" w:fill="auto"/>
            <w:hideMark/>
          </w:tcPr>
          <w:p w:rsidR="00DB3FCF" w:rsidRPr="00E70693" w:rsidRDefault="00DB3FCF"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7" w:type="dxa"/>
            <w:tcBorders>
              <w:top w:val="nil"/>
              <w:left w:val="single" w:sz="4" w:space="0" w:color="auto"/>
              <w:bottom w:val="nil"/>
              <w:right w:val="nil"/>
            </w:tcBorders>
            <w:shd w:val="clear" w:color="auto" w:fill="auto"/>
            <w:hideMark/>
          </w:tcPr>
          <w:p w:rsidR="00DB3FCF" w:rsidRPr="00E70693" w:rsidRDefault="00DB3FCF"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8" w:type="dxa"/>
            <w:tcBorders>
              <w:top w:val="nil"/>
              <w:left w:val="single" w:sz="4" w:space="0" w:color="auto"/>
              <w:bottom w:val="nil"/>
              <w:right w:val="single" w:sz="4" w:space="0" w:color="auto"/>
            </w:tcBorders>
            <w:shd w:val="clear" w:color="auto" w:fill="auto"/>
            <w:hideMark/>
          </w:tcPr>
          <w:p w:rsidR="00DB3FCF" w:rsidRPr="00E70693" w:rsidRDefault="00DB3FCF"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0,00</w:t>
            </w:r>
          </w:p>
        </w:tc>
      </w:tr>
      <w:tr w:rsidR="00DB3FCF" w:rsidRPr="00E70693" w:rsidTr="00DB3FCF">
        <w:tc>
          <w:tcPr>
            <w:tcW w:w="2552" w:type="dxa"/>
            <w:tcBorders>
              <w:top w:val="nil"/>
              <w:left w:val="single" w:sz="4" w:space="0" w:color="auto"/>
              <w:bottom w:val="nil"/>
              <w:right w:val="nil"/>
            </w:tcBorders>
            <w:shd w:val="clear" w:color="auto" w:fill="auto"/>
            <w:hideMark/>
          </w:tcPr>
          <w:p w:rsidR="00DB3FCF" w:rsidRPr="00E70693" w:rsidRDefault="00DB3FCF"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Sub-total final</w:t>
            </w:r>
          </w:p>
        </w:tc>
        <w:tc>
          <w:tcPr>
            <w:tcW w:w="1417" w:type="dxa"/>
            <w:tcBorders>
              <w:top w:val="nil"/>
              <w:left w:val="single" w:sz="4" w:space="0" w:color="auto"/>
              <w:bottom w:val="nil"/>
              <w:right w:val="nil"/>
            </w:tcBorders>
            <w:shd w:val="clear" w:color="auto" w:fill="auto"/>
            <w:hideMark/>
          </w:tcPr>
          <w:p w:rsidR="00DB3FCF" w:rsidRPr="00E70693" w:rsidRDefault="00DB3FCF"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3.237.033,23</w:t>
            </w:r>
          </w:p>
        </w:tc>
        <w:tc>
          <w:tcPr>
            <w:tcW w:w="1418" w:type="dxa"/>
            <w:tcBorders>
              <w:top w:val="nil"/>
              <w:left w:val="single" w:sz="4" w:space="0" w:color="auto"/>
              <w:bottom w:val="nil"/>
              <w:right w:val="nil"/>
            </w:tcBorders>
            <w:shd w:val="clear" w:color="auto" w:fill="auto"/>
            <w:noWrap/>
            <w:vAlign w:val="bottom"/>
            <w:hideMark/>
          </w:tcPr>
          <w:p w:rsidR="00DB3FCF" w:rsidRPr="00E70693" w:rsidRDefault="00DB3FCF"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354.243,92</w:t>
            </w:r>
          </w:p>
        </w:tc>
        <w:tc>
          <w:tcPr>
            <w:tcW w:w="1417" w:type="dxa"/>
            <w:tcBorders>
              <w:top w:val="nil"/>
              <w:left w:val="single" w:sz="4" w:space="0" w:color="auto"/>
              <w:bottom w:val="nil"/>
              <w:right w:val="nil"/>
            </w:tcBorders>
            <w:shd w:val="clear" w:color="auto" w:fill="auto"/>
            <w:hideMark/>
          </w:tcPr>
          <w:p w:rsidR="00DB3FCF" w:rsidRPr="00E70693" w:rsidRDefault="00DB3FCF"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3.237.033,23</w:t>
            </w:r>
          </w:p>
        </w:tc>
        <w:tc>
          <w:tcPr>
            <w:tcW w:w="1418" w:type="dxa"/>
            <w:tcBorders>
              <w:top w:val="nil"/>
              <w:left w:val="single" w:sz="4" w:space="0" w:color="auto"/>
              <w:bottom w:val="nil"/>
              <w:right w:val="single" w:sz="4" w:space="0" w:color="auto"/>
            </w:tcBorders>
            <w:shd w:val="clear" w:color="auto" w:fill="auto"/>
            <w:noWrap/>
            <w:vAlign w:val="bottom"/>
            <w:hideMark/>
          </w:tcPr>
          <w:p w:rsidR="00DB3FCF" w:rsidRPr="00E70693" w:rsidRDefault="00DB3FCF" w:rsidP="00DF3FFF">
            <w:pPr>
              <w:keepNext/>
              <w:jc w:val="right"/>
              <w:rPr>
                <w:rFonts w:ascii="Arial" w:hAnsi="Arial" w:cs="Arial"/>
                <w:color w:val="000000"/>
                <w:sz w:val="20"/>
                <w:lang w:val="es-PY" w:eastAsia="es-PY"/>
              </w:rPr>
            </w:pPr>
            <w:r w:rsidRPr="00E70693">
              <w:rPr>
                <w:rFonts w:ascii="Arial" w:hAnsi="Arial" w:cs="Arial"/>
                <w:color w:val="000000"/>
                <w:sz w:val="20"/>
                <w:lang w:val="es-PY" w:eastAsia="es-PY"/>
              </w:rPr>
              <w:t>780.657,14</w:t>
            </w:r>
          </w:p>
        </w:tc>
      </w:tr>
      <w:tr w:rsidR="00DB3FCF" w:rsidRPr="00E70693" w:rsidTr="00DB3FCF">
        <w:tc>
          <w:tcPr>
            <w:tcW w:w="2552" w:type="dxa"/>
            <w:tcBorders>
              <w:top w:val="nil"/>
              <w:left w:val="single" w:sz="4" w:space="0" w:color="auto"/>
              <w:bottom w:val="nil"/>
              <w:right w:val="nil"/>
            </w:tcBorders>
            <w:shd w:val="clear" w:color="auto" w:fill="auto"/>
            <w:hideMark/>
          </w:tcPr>
          <w:p w:rsidR="00DB3FCF" w:rsidRPr="00E70693" w:rsidRDefault="00DB3FCF"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Total final</w:t>
            </w:r>
          </w:p>
        </w:tc>
        <w:tc>
          <w:tcPr>
            <w:tcW w:w="1417" w:type="dxa"/>
            <w:tcBorders>
              <w:top w:val="single" w:sz="4" w:space="0" w:color="auto"/>
              <w:left w:val="single" w:sz="4" w:space="0" w:color="auto"/>
              <w:bottom w:val="nil"/>
              <w:right w:val="nil"/>
            </w:tcBorders>
            <w:shd w:val="clear" w:color="auto" w:fill="auto"/>
            <w:hideMark/>
          </w:tcPr>
          <w:p w:rsidR="00DB3FCF" w:rsidRPr="00E70693" w:rsidRDefault="00DB3FCF"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 </w:t>
            </w:r>
          </w:p>
        </w:tc>
        <w:tc>
          <w:tcPr>
            <w:tcW w:w="1418" w:type="dxa"/>
            <w:tcBorders>
              <w:top w:val="single" w:sz="4" w:space="0" w:color="auto"/>
              <w:left w:val="nil"/>
              <w:bottom w:val="nil"/>
              <w:right w:val="single" w:sz="4" w:space="0" w:color="auto"/>
            </w:tcBorders>
            <w:shd w:val="clear" w:color="auto" w:fill="auto"/>
            <w:noWrap/>
            <w:vAlign w:val="bottom"/>
            <w:hideMark/>
          </w:tcPr>
          <w:p w:rsidR="00DB3FCF" w:rsidRPr="00E70693" w:rsidRDefault="00DB3FCF"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3.591.277,15</w:t>
            </w:r>
          </w:p>
        </w:tc>
        <w:tc>
          <w:tcPr>
            <w:tcW w:w="1417" w:type="dxa"/>
            <w:tcBorders>
              <w:top w:val="single" w:sz="4" w:space="0" w:color="auto"/>
              <w:left w:val="nil"/>
              <w:bottom w:val="nil"/>
              <w:right w:val="nil"/>
            </w:tcBorders>
            <w:shd w:val="clear" w:color="auto" w:fill="auto"/>
            <w:hideMark/>
          </w:tcPr>
          <w:p w:rsidR="00DB3FCF" w:rsidRPr="00E70693" w:rsidRDefault="00DB3FCF"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 </w:t>
            </w:r>
          </w:p>
        </w:tc>
        <w:tc>
          <w:tcPr>
            <w:tcW w:w="1418" w:type="dxa"/>
            <w:tcBorders>
              <w:top w:val="single" w:sz="4" w:space="0" w:color="auto"/>
              <w:left w:val="nil"/>
              <w:bottom w:val="nil"/>
              <w:right w:val="single" w:sz="4" w:space="0" w:color="auto"/>
            </w:tcBorders>
            <w:shd w:val="clear" w:color="auto" w:fill="auto"/>
            <w:noWrap/>
            <w:vAlign w:val="bottom"/>
            <w:hideMark/>
          </w:tcPr>
          <w:p w:rsidR="00DB3FCF" w:rsidRPr="00E70693" w:rsidRDefault="00DB3FCF"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4.017.690,37</w:t>
            </w:r>
          </w:p>
        </w:tc>
      </w:tr>
      <w:tr w:rsidR="00DB3FCF" w:rsidRPr="00E70693" w:rsidTr="00DB3FCF">
        <w:tc>
          <w:tcPr>
            <w:tcW w:w="2552" w:type="dxa"/>
            <w:tcBorders>
              <w:top w:val="single" w:sz="4" w:space="0" w:color="auto"/>
              <w:left w:val="single" w:sz="4" w:space="0" w:color="auto"/>
              <w:bottom w:val="nil"/>
              <w:right w:val="nil"/>
            </w:tcBorders>
            <w:shd w:val="clear" w:color="auto" w:fill="auto"/>
            <w:hideMark/>
          </w:tcPr>
          <w:p w:rsidR="00DB3FCF" w:rsidRPr="00E70693" w:rsidRDefault="00DB3FCF"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Incremento de obra</w:t>
            </w:r>
          </w:p>
        </w:tc>
        <w:tc>
          <w:tcPr>
            <w:tcW w:w="1417" w:type="dxa"/>
            <w:tcBorders>
              <w:top w:val="single" w:sz="4" w:space="0" w:color="auto"/>
              <w:left w:val="single" w:sz="4" w:space="0" w:color="auto"/>
              <w:bottom w:val="nil"/>
              <w:right w:val="nil"/>
            </w:tcBorders>
            <w:shd w:val="clear" w:color="auto" w:fill="auto"/>
            <w:noWrap/>
            <w:vAlign w:val="bottom"/>
            <w:hideMark/>
          </w:tcPr>
          <w:p w:rsidR="00DB3FCF" w:rsidRPr="00E70693" w:rsidRDefault="00DB3FCF" w:rsidP="00DF3FFF">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single" w:sz="4" w:space="0" w:color="auto"/>
              <w:left w:val="nil"/>
              <w:bottom w:val="nil"/>
              <w:right w:val="nil"/>
            </w:tcBorders>
            <w:shd w:val="clear" w:color="auto" w:fill="auto"/>
            <w:noWrap/>
            <w:vAlign w:val="bottom"/>
            <w:hideMark/>
          </w:tcPr>
          <w:p w:rsidR="00DB3FCF" w:rsidRPr="00E70693" w:rsidRDefault="00DB3FCF" w:rsidP="00DF3FFF">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7" w:type="dxa"/>
            <w:tcBorders>
              <w:top w:val="single" w:sz="4" w:space="0" w:color="auto"/>
              <w:left w:val="nil"/>
              <w:bottom w:val="nil"/>
              <w:right w:val="nil"/>
            </w:tcBorders>
            <w:shd w:val="clear" w:color="auto" w:fill="auto"/>
            <w:noWrap/>
            <w:vAlign w:val="bottom"/>
            <w:hideMark/>
          </w:tcPr>
          <w:p w:rsidR="00DB3FCF" w:rsidRPr="00E70693" w:rsidRDefault="00DB3FCF" w:rsidP="00DF3FFF">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single" w:sz="4" w:space="0" w:color="auto"/>
              <w:left w:val="nil"/>
              <w:bottom w:val="nil"/>
              <w:right w:val="single" w:sz="4" w:space="0" w:color="auto"/>
            </w:tcBorders>
            <w:shd w:val="clear" w:color="auto" w:fill="auto"/>
            <w:noWrap/>
            <w:vAlign w:val="bottom"/>
            <w:hideMark/>
          </w:tcPr>
          <w:p w:rsidR="00DB3FCF" w:rsidRPr="00E70693" w:rsidRDefault="00DB3FCF"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11,87%</w:t>
            </w:r>
          </w:p>
        </w:tc>
      </w:tr>
      <w:tr w:rsidR="00DB3FCF" w:rsidRPr="00E70693" w:rsidTr="00DB3FCF">
        <w:tc>
          <w:tcPr>
            <w:tcW w:w="2552" w:type="dxa"/>
            <w:tcBorders>
              <w:top w:val="nil"/>
              <w:left w:val="single" w:sz="4" w:space="0" w:color="auto"/>
              <w:bottom w:val="single" w:sz="4" w:space="0" w:color="auto"/>
              <w:right w:val="nil"/>
            </w:tcBorders>
            <w:shd w:val="clear" w:color="auto" w:fill="auto"/>
            <w:hideMark/>
          </w:tcPr>
          <w:p w:rsidR="00DB3FCF" w:rsidRPr="00E70693" w:rsidRDefault="00DB3FCF"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Incremento total</w:t>
            </w:r>
          </w:p>
        </w:tc>
        <w:tc>
          <w:tcPr>
            <w:tcW w:w="1417" w:type="dxa"/>
            <w:tcBorders>
              <w:top w:val="nil"/>
              <w:left w:val="single" w:sz="4" w:space="0" w:color="auto"/>
              <w:bottom w:val="single" w:sz="4" w:space="0" w:color="auto"/>
              <w:right w:val="nil"/>
            </w:tcBorders>
            <w:shd w:val="clear" w:color="auto" w:fill="auto"/>
            <w:noWrap/>
            <w:vAlign w:val="bottom"/>
            <w:hideMark/>
          </w:tcPr>
          <w:p w:rsidR="00DB3FCF" w:rsidRPr="00E70693" w:rsidRDefault="00DB3FCF" w:rsidP="00DF3FFF">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nil"/>
              <w:left w:val="nil"/>
              <w:bottom w:val="single" w:sz="4" w:space="0" w:color="auto"/>
              <w:right w:val="nil"/>
            </w:tcBorders>
            <w:shd w:val="clear" w:color="auto" w:fill="auto"/>
            <w:noWrap/>
            <w:vAlign w:val="bottom"/>
            <w:hideMark/>
          </w:tcPr>
          <w:p w:rsidR="00DB3FCF" w:rsidRPr="00E70693" w:rsidRDefault="00DB3FCF" w:rsidP="00DF3FFF">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7" w:type="dxa"/>
            <w:tcBorders>
              <w:top w:val="nil"/>
              <w:left w:val="nil"/>
              <w:bottom w:val="single" w:sz="4" w:space="0" w:color="auto"/>
              <w:right w:val="nil"/>
            </w:tcBorders>
            <w:shd w:val="clear" w:color="auto" w:fill="auto"/>
            <w:noWrap/>
            <w:vAlign w:val="bottom"/>
            <w:hideMark/>
          </w:tcPr>
          <w:p w:rsidR="00DB3FCF" w:rsidRPr="00E70693" w:rsidRDefault="00DB3FCF" w:rsidP="00DF3FFF">
            <w:pPr>
              <w:keepNext/>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nil"/>
              <w:left w:val="nil"/>
              <w:bottom w:val="single" w:sz="4" w:space="0" w:color="auto"/>
              <w:right w:val="single" w:sz="4" w:space="0" w:color="auto"/>
            </w:tcBorders>
            <w:shd w:val="clear" w:color="auto" w:fill="auto"/>
            <w:noWrap/>
            <w:vAlign w:val="bottom"/>
            <w:hideMark/>
          </w:tcPr>
          <w:p w:rsidR="00DB3FCF" w:rsidRPr="00E70693" w:rsidRDefault="00DB3FCF" w:rsidP="00DF3FFF">
            <w:pPr>
              <w:keepNext/>
              <w:jc w:val="right"/>
              <w:rPr>
                <w:rFonts w:ascii="Arial" w:hAnsi="Arial" w:cs="Arial"/>
                <w:b/>
                <w:bCs/>
                <w:color w:val="000000"/>
                <w:sz w:val="20"/>
                <w:lang w:val="es-PY" w:eastAsia="es-PY"/>
              </w:rPr>
            </w:pPr>
            <w:r w:rsidRPr="00E70693">
              <w:rPr>
                <w:rFonts w:ascii="Arial" w:hAnsi="Arial" w:cs="Arial"/>
                <w:b/>
                <w:bCs/>
                <w:color w:val="000000"/>
                <w:sz w:val="20"/>
                <w:lang w:val="es-PY" w:eastAsia="es-PY"/>
              </w:rPr>
              <w:t>11,87%</w:t>
            </w:r>
          </w:p>
        </w:tc>
      </w:tr>
      <w:tr w:rsidR="00DB3FCF" w:rsidRPr="00E70693" w:rsidTr="00DB3FCF">
        <w:tc>
          <w:tcPr>
            <w:tcW w:w="2552" w:type="dxa"/>
            <w:tcBorders>
              <w:top w:val="nil"/>
              <w:left w:val="single" w:sz="4" w:space="0" w:color="auto"/>
              <w:bottom w:val="single" w:sz="4" w:space="0" w:color="auto"/>
              <w:right w:val="nil"/>
            </w:tcBorders>
            <w:shd w:val="clear" w:color="auto" w:fill="auto"/>
            <w:hideMark/>
          </w:tcPr>
          <w:p w:rsidR="00DB3FCF" w:rsidRPr="00E70693" w:rsidRDefault="00DB3FCF" w:rsidP="00DB3FCF">
            <w:pPr>
              <w:jc w:val="right"/>
              <w:rPr>
                <w:rFonts w:ascii="Arial" w:hAnsi="Arial" w:cs="Arial"/>
                <w:color w:val="000000"/>
                <w:sz w:val="20"/>
                <w:lang w:val="es-PY" w:eastAsia="es-PY"/>
              </w:rPr>
            </w:pPr>
            <w:r w:rsidRPr="00E70693">
              <w:rPr>
                <w:rFonts w:ascii="Arial" w:hAnsi="Arial" w:cs="Arial"/>
                <w:color w:val="000000"/>
                <w:sz w:val="20"/>
                <w:lang w:val="es-PY" w:eastAsia="es-PY"/>
              </w:rPr>
              <w:t>Precio US$/Km</w:t>
            </w:r>
          </w:p>
        </w:tc>
        <w:tc>
          <w:tcPr>
            <w:tcW w:w="1417" w:type="dxa"/>
            <w:tcBorders>
              <w:top w:val="nil"/>
              <w:left w:val="single" w:sz="4" w:space="0" w:color="auto"/>
              <w:bottom w:val="single" w:sz="4" w:space="0" w:color="auto"/>
              <w:right w:val="nil"/>
            </w:tcBorders>
            <w:shd w:val="clear" w:color="auto" w:fill="auto"/>
            <w:noWrap/>
            <w:vAlign w:val="bottom"/>
            <w:hideMark/>
          </w:tcPr>
          <w:p w:rsidR="00DB3FCF" w:rsidRPr="00E70693" w:rsidRDefault="00DB3FCF" w:rsidP="00DB3FCF">
            <w:pPr>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nil"/>
              <w:left w:val="nil"/>
              <w:bottom w:val="single" w:sz="4" w:space="0" w:color="auto"/>
              <w:right w:val="single" w:sz="4" w:space="0" w:color="auto"/>
            </w:tcBorders>
            <w:shd w:val="clear" w:color="auto" w:fill="auto"/>
            <w:noWrap/>
            <w:vAlign w:val="bottom"/>
            <w:hideMark/>
          </w:tcPr>
          <w:p w:rsidR="00DB3FCF" w:rsidRPr="00E70693" w:rsidRDefault="00DB3FCF" w:rsidP="00DB3FCF">
            <w:pPr>
              <w:jc w:val="right"/>
              <w:rPr>
                <w:rFonts w:ascii="Arial" w:hAnsi="Arial" w:cs="Arial"/>
                <w:color w:val="000000"/>
                <w:sz w:val="20"/>
                <w:lang w:val="es-PY" w:eastAsia="es-PY"/>
              </w:rPr>
            </w:pPr>
            <w:r w:rsidRPr="00E70693">
              <w:rPr>
                <w:rFonts w:ascii="Arial" w:hAnsi="Arial" w:cs="Arial"/>
                <w:color w:val="000000"/>
                <w:sz w:val="20"/>
                <w:lang w:val="es-PY" w:eastAsia="es-PY"/>
              </w:rPr>
              <w:t>326.479,74</w:t>
            </w:r>
          </w:p>
        </w:tc>
        <w:tc>
          <w:tcPr>
            <w:tcW w:w="1417" w:type="dxa"/>
            <w:tcBorders>
              <w:top w:val="nil"/>
              <w:left w:val="nil"/>
              <w:bottom w:val="single" w:sz="4" w:space="0" w:color="auto"/>
              <w:right w:val="nil"/>
            </w:tcBorders>
            <w:shd w:val="clear" w:color="auto" w:fill="auto"/>
            <w:noWrap/>
            <w:vAlign w:val="bottom"/>
            <w:hideMark/>
          </w:tcPr>
          <w:p w:rsidR="00DB3FCF" w:rsidRPr="00E70693" w:rsidRDefault="00DB3FCF" w:rsidP="00DB3FCF">
            <w:pPr>
              <w:rPr>
                <w:rFonts w:ascii="Arial" w:hAnsi="Arial" w:cs="Arial"/>
                <w:color w:val="000000"/>
                <w:sz w:val="20"/>
                <w:lang w:val="es-PY" w:eastAsia="es-PY"/>
              </w:rPr>
            </w:pPr>
            <w:r w:rsidRPr="00E70693">
              <w:rPr>
                <w:rFonts w:ascii="Arial" w:hAnsi="Arial" w:cs="Arial"/>
                <w:color w:val="000000"/>
                <w:sz w:val="20"/>
                <w:lang w:val="es-PY" w:eastAsia="es-PY"/>
              </w:rPr>
              <w:t> </w:t>
            </w:r>
          </w:p>
        </w:tc>
        <w:tc>
          <w:tcPr>
            <w:tcW w:w="1418" w:type="dxa"/>
            <w:tcBorders>
              <w:top w:val="nil"/>
              <w:left w:val="nil"/>
              <w:bottom w:val="single" w:sz="4" w:space="0" w:color="auto"/>
              <w:right w:val="single" w:sz="4" w:space="0" w:color="auto"/>
            </w:tcBorders>
            <w:shd w:val="clear" w:color="auto" w:fill="auto"/>
            <w:noWrap/>
            <w:vAlign w:val="bottom"/>
            <w:hideMark/>
          </w:tcPr>
          <w:p w:rsidR="00DB3FCF" w:rsidRPr="00E70693" w:rsidRDefault="00DB3FCF" w:rsidP="00DB3FCF">
            <w:pPr>
              <w:jc w:val="right"/>
              <w:rPr>
                <w:rFonts w:ascii="Arial" w:hAnsi="Arial" w:cs="Arial"/>
                <w:color w:val="000000"/>
                <w:sz w:val="20"/>
                <w:lang w:val="es-PY" w:eastAsia="es-PY"/>
              </w:rPr>
            </w:pPr>
            <w:r w:rsidRPr="00E70693">
              <w:rPr>
                <w:rFonts w:ascii="Arial" w:hAnsi="Arial" w:cs="Arial"/>
                <w:color w:val="000000"/>
                <w:sz w:val="20"/>
                <w:lang w:val="es-PY" w:eastAsia="es-PY"/>
              </w:rPr>
              <w:t>333.141,82</w:t>
            </w:r>
          </w:p>
        </w:tc>
      </w:tr>
    </w:tbl>
    <w:p w:rsidR="00FE56AE" w:rsidRPr="00E70693" w:rsidRDefault="00FE56AE" w:rsidP="009F350A">
      <w:pPr>
        <w:ind w:left="709"/>
        <w:jc w:val="both"/>
        <w:rPr>
          <w:rFonts w:ascii="Arial" w:hAnsi="Arial" w:cs="Arial"/>
        </w:rPr>
      </w:pPr>
    </w:p>
    <w:tbl>
      <w:tblPr>
        <w:tblW w:w="6111" w:type="dxa"/>
        <w:tblInd w:w="55" w:type="dxa"/>
        <w:tblCellMar>
          <w:left w:w="70" w:type="dxa"/>
          <w:right w:w="70" w:type="dxa"/>
        </w:tblCellMar>
        <w:tblLook w:val="04A0" w:firstRow="1" w:lastRow="0" w:firstColumn="1" w:lastColumn="0" w:noHBand="0" w:noVBand="1"/>
      </w:tblPr>
      <w:tblGrid>
        <w:gridCol w:w="3969"/>
        <w:gridCol w:w="1418"/>
        <w:gridCol w:w="1417"/>
        <w:gridCol w:w="1418"/>
      </w:tblGrid>
      <w:tr w:rsidR="00FE56AE" w:rsidRPr="00E70693" w:rsidTr="00DF3FFF">
        <w:trPr>
          <w:gridAfter w:val="2"/>
          <w:wAfter w:w="2835" w:type="dxa"/>
        </w:trPr>
        <w:tc>
          <w:tcPr>
            <w:tcW w:w="4693" w:type="dxa"/>
            <w:tcBorders>
              <w:top w:val="nil"/>
              <w:left w:val="nil"/>
              <w:bottom w:val="nil"/>
              <w:right w:val="nil"/>
            </w:tcBorders>
            <w:shd w:val="clear" w:color="auto" w:fill="auto"/>
            <w:hideMark/>
          </w:tcPr>
          <w:p w:rsidR="00FE56AE" w:rsidRPr="00E70693" w:rsidRDefault="00FE56AE" w:rsidP="00FE56AE">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Km original:</w:t>
            </w:r>
          </w:p>
        </w:tc>
        <w:tc>
          <w:tcPr>
            <w:tcW w:w="1418" w:type="dxa"/>
            <w:tcBorders>
              <w:top w:val="nil"/>
              <w:left w:val="nil"/>
              <w:bottom w:val="nil"/>
              <w:right w:val="nil"/>
            </w:tcBorders>
            <w:shd w:val="clear" w:color="auto" w:fill="auto"/>
            <w:noWrap/>
            <w:vAlign w:val="bottom"/>
            <w:hideMark/>
          </w:tcPr>
          <w:p w:rsidR="00FE56AE" w:rsidRPr="00E70693" w:rsidRDefault="00FE56AE" w:rsidP="00FE56AE">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11,00</w:t>
            </w:r>
          </w:p>
        </w:tc>
      </w:tr>
      <w:tr w:rsidR="00FE56AE" w:rsidRPr="00E70693" w:rsidTr="00DF3FFF">
        <w:trPr>
          <w:gridAfter w:val="2"/>
          <w:wAfter w:w="2835" w:type="dxa"/>
        </w:trPr>
        <w:tc>
          <w:tcPr>
            <w:tcW w:w="4693" w:type="dxa"/>
            <w:tcBorders>
              <w:top w:val="nil"/>
              <w:left w:val="nil"/>
              <w:bottom w:val="nil"/>
              <w:right w:val="nil"/>
            </w:tcBorders>
            <w:shd w:val="clear" w:color="auto" w:fill="auto"/>
            <w:hideMark/>
          </w:tcPr>
          <w:p w:rsidR="00FE56AE" w:rsidRPr="00E70693" w:rsidRDefault="00FE56AE" w:rsidP="00FE56AE">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Km final:</w:t>
            </w:r>
          </w:p>
        </w:tc>
        <w:tc>
          <w:tcPr>
            <w:tcW w:w="1418" w:type="dxa"/>
            <w:tcBorders>
              <w:top w:val="nil"/>
              <w:left w:val="nil"/>
              <w:bottom w:val="nil"/>
              <w:right w:val="nil"/>
            </w:tcBorders>
            <w:shd w:val="clear" w:color="auto" w:fill="auto"/>
            <w:noWrap/>
            <w:vAlign w:val="bottom"/>
            <w:hideMark/>
          </w:tcPr>
          <w:p w:rsidR="00FE56AE" w:rsidRPr="00E70693" w:rsidRDefault="00FE56AE" w:rsidP="00FE56AE">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12,06</w:t>
            </w:r>
          </w:p>
        </w:tc>
      </w:tr>
      <w:tr w:rsidR="009F350A" w:rsidRPr="00E70693" w:rsidTr="009F350A">
        <w:tc>
          <w:tcPr>
            <w:tcW w:w="3969" w:type="dxa"/>
            <w:tcBorders>
              <w:top w:val="nil"/>
              <w:left w:val="nil"/>
              <w:bottom w:val="nil"/>
              <w:right w:val="nil"/>
            </w:tcBorders>
            <w:shd w:val="clear" w:color="auto" w:fill="auto"/>
            <w:hideMark/>
          </w:tcPr>
          <w:p w:rsidR="009F350A" w:rsidRPr="00E70693" w:rsidRDefault="009F350A" w:rsidP="009F350A">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Fecha de inicio:</w:t>
            </w:r>
          </w:p>
        </w:tc>
        <w:tc>
          <w:tcPr>
            <w:tcW w:w="1418" w:type="dxa"/>
            <w:tcBorders>
              <w:top w:val="nil"/>
              <w:left w:val="nil"/>
              <w:bottom w:val="nil"/>
              <w:right w:val="nil"/>
            </w:tcBorders>
            <w:shd w:val="clear" w:color="auto" w:fill="auto"/>
            <w:noWrap/>
            <w:vAlign w:val="bottom"/>
            <w:hideMark/>
          </w:tcPr>
          <w:p w:rsidR="009F350A" w:rsidRPr="00E70693" w:rsidRDefault="009F350A" w:rsidP="009F350A">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14/11/2013</w:t>
            </w:r>
          </w:p>
        </w:tc>
        <w:tc>
          <w:tcPr>
            <w:tcW w:w="1417" w:type="dxa"/>
            <w:tcBorders>
              <w:top w:val="nil"/>
              <w:left w:val="nil"/>
              <w:bottom w:val="nil"/>
              <w:right w:val="nil"/>
            </w:tcBorders>
            <w:shd w:val="clear" w:color="auto" w:fill="auto"/>
            <w:noWrap/>
            <w:vAlign w:val="bottom"/>
            <w:hideMark/>
          </w:tcPr>
          <w:p w:rsidR="009F350A" w:rsidRPr="00E70693" w:rsidRDefault="009F350A" w:rsidP="009F350A">
            <w:pPr>
              <w:rPr>
                <w:rFonts w:ascii="Arial" w:hAnsi="Arial" w:cs="Arial"/>
                <w:color w:val="000000"/>
                <w:sz w:val="22"/>
                <w:szCs w:val="22"/>
                <w:lang w:val="es-PY" w:eastAsia="es-PY"/>
              </w:rPr>
            </w:pPr>
          </w:p>
        </w:tc>
        <w:tc>
          <w:tcPr>
            <w:tcW w:w="1418" w:type="dxa"/>
            <w:tcBorders>
              <w:top w:val="nil"/>
              <w:left w:val="nil"/>
              <w:bottom w:val="nil"/>
              <w:right w:val="nil"/>
            </w:tcBorders>
            <w:shd w:val="clear" w:color="auto" w:fill="auto"/>
            <w:noWrap/>
            <w:vAlign w:val="bottom"/>
            <w:hideMark/>
          </w:tcPr>
          <w:p w:rsidR="009F350A" w:rsidRPr="00E70693" w:rsidRDefault="009F350A" w:rsidP="009F350A">
            <w:pPr>
              <w:rPr>
                <w:rFonts w:ascii="Arial" w:hAnsi="Arial" w:cs="Arial"/>
                <w:color w:val="000000"/>
                <w:sz w:val="20"/>
                <w:lang w:val="es-PY" w:eastAsia="es-PY"/>
              </w:rPr>
            </w:pPr>
          </w:p>
        </w:tc>
      </w:tr>
      <w:tr w:rsidR="009F350A" w:rsidRPr="00E70693" w:rsidTr="009F350A">
        <w:tc>
          <w:tcPr>
            <w:tcW w:w="3969" w:type="dxa"/>
            <w:tcBorders>
              <w:top w:val="nil"/>
              <w:left w:val="nil"/>
              <w:bottom w:val="nil"/>
              <w:right w:val="nil"/>
            </w:tcBorders>
            <w:shd w:val="clear" w:color="auto" w:fill="auto"/>
            <w:hideMark/>
          </w:tcPr>
          <w:p w:rsidR="009F350A" w:rsidRPr="00E70693" w:rsidRDefault="009F350A" w:rsidP="009F350A">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Fecha original de conclusión:</w:t>
            </w:r>
          </w:p>
        </w:tc>
        <w:tc>
          <w:tcPr>
            <w:tcW w:w="1418" w:type="dxa"/>
            <w:tcBorders>
              <w:top w:val="nil"/>
              <w:left w:val="nil"/>
              <w:bottom w:val="nil"/>
              <w:right w:val="nil"/>
            </w:tcBorders>
            <w:shd w:val="clear" w:color="auto" w:fill="auto"/>
            <w:noWrap/>
            <w:vAlign w:val="bottom"/>
            <w:hideMark/>
          </w:tcPr>
          <w:p w:rsidR="009F350A" w:rsidRPr="00E70693" w:rsidRDefault="009F350A" w:rsidP="009F350A">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13/03/2014</w:t>
            </w:r>
          </w:p>
        </w:tc>
        <w:tc>
          <w:tcPr>
            <w:tcW w:w="1417" w:type="dxa"/>
            <w:tcBorders>
              <w:top w:val="nil"/>
              <w:left w:val="nil"/>
              <w:bottom w:val="nil"/>
              <w:right w:val="nil"/>
            </w:tcBorders>
            <w:shd w:val="clear" w:color="auto" w:fill="auto"/>
            <w:noWrap/>
            <w:vAlign w:val="bottom"/>
            <w:hideMark/>
          </w:tcPr>
          <w:p w:rsidR="009F350A" w:rsidRPr="00E70693" w:rsidRDefault="009F350A" w:rsidP="009F350A">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119</w:t>
            </w:r>
          </w:p>
        </w:tc>
        <w:tc>
          <w:tcPr>
            <w:tcW w:w="1418" w:type="dxa"/>
            <w:tcBorders>
              <w:top w:val="nil"/>
              <w:left w:val="nil"/>
              <w:bottom w:val="nil"/>
              <w:right w:val="nil"/>
            </w:tcBorders>
            <w:shd w:val="clear" w:color="auto" w:fill="auto"/>
            <w:noWrap/>
            <w:vAlign w:val="bottom"/>
            <w:hideMark/>
          </w:tcPr>
          <w:p w:rsidR="009F350A" w:rsidRPr="00E70693" w:rsidRDefault="009F350A" w:rsidP="009F350A">
            <w:pPr>
              <w:rPr>
                <w:rFonts w:ascii="Arial" w:hAnsi="Arial" w:cs="Arial"/>
                <w:b/>
                <w:bCs/>
                <w:color w:val="000000"/>
                <w:sz w:val="20"/>
                <w:lang w:val="es-PY" w:eastAsia="es-PY"/>
              </w:rPr>
            </w:pPr>
            <w:r w:rsidRPr="00E70693">
              <w:rPr>
                <w:rFonts w:ascii="Arial" w:hAnsi="Arial" w:cs="Arial"/>
                <w:b/>
                <w:bCs/>
                <w:color w:val="000000"/>
                <w:sz w:val="20"/>
                <w:lang w:val="es-PY" w:eastAsia="es-PY"/>
              </w:rPr>
              <w:t>días</w:t>
            </w:r>
          </w:p>
        </w:tc>
      </w:tr>
      <w:tr w:rsidR="009F350A" w:rsidRPr="00E70693" w:rsidTr="009F350A">
        <w:tc>
          <w:tcPr>
            <w:tcW w:w="3969" w:type="dxa"/>
            <w:tcBorders>
              <w:top w:val="nil"/>
              <w:left w:val="nil"/>
              <w:bottom w:val="nil"/>
              <w:right w:val="nil"/>
            </w:tcBorders>
            <w:shd w:val="clear" w:color="auto" w:fill="auto"/>
            <w:hideMark/>
          </w:tcPr>
          <w:p w:rsidR="009F350A" w:rsidRPr="00E70693" w:rsidRDefault="009F350A" w:rsidP="009F350A">
            <w:pPr>
              <w:jc w:val="right"/>
              <w:rPr>
                <w:rFonts w:ascii="Arial" w:hAnsi="Arial" w:cs="Arial"/>
                <w:b/>
                <w:bCs/>
                <w:color w:val="000000"/>
                <w:sz w:val="20"/>
                <w:lang w:val="es-PY" w:eastAsia="es-PY"/>
              </w:rPr>
            </w:pPr>
            <w:r w:rsidRPr="00E70693">
              <w:rPr>
                <w:rFonts w:ascii="Arial" w:hAnsi="Arial" w:cs="Arial"/>
                <w:b/>
                <w:bCs/>
                <w:color w:val="000000"/>
                <w:sz w:val="20"/>
                <w:lang w:val="es-PY" w:eastAsia="es-PY"/>
              </w:rPr>
              <w:t>Fecha final de conclusión:</w:t>
            </w:r>
          </w:p>
        </w:tc>
        <w:tc>
          <w:tcPr>
            <w:tcW w:w="1418" w:type="dxa"/>
            <w:tcBorders>
              <w:top w:val="nil"/>
              <w:left w:val="nil"/>
              <w:bottom w:val="nil"/>
              <w:right w:val="nil"/>
            </w:tcBorders>
            <w:shd w:val="clear" w:color="auto" w:fill="auto"/>
            <w:noWrap/>
            <w:vAlign w:val="bottom"/>
            <w:hideMark/>
          </w:tcPr>
          <w:p w:rsidR="009F350A" w:rsidRPr="00E70693" w:rsidRDefault="009F350A" w:rsidP="009F350A">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12/04/2014</w:t>
            </w:r>
          </w:p>
        </w:tc>
        <w:tc>
          <w:tcPr>
            <w:tcW w:w="1417" w:type="dxa"/>
            <w:tcBorders>
              <w:top w:val="nil"/>
              <w:left w:val="nil"/>
              <w:bottom w:val="nil"/>
              <w:right w:val="nil"/>
            </w:tcBorders>
            <w:shd w:val="clear" w:color="auto" w:fill="auto"/>
            <w:noWrap/>
            <w:vAlign w:val="bottom"/>
            <w:hideMark/>
          </w:tcPr>
          <w:p w:rsidR="009F350A" w:rsidRPr="00E70693" w:rsidRDefault="009F350A" w:rsidP="009F350A">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149</w:t>
            </w:r>
          </w:p>
        </w:tc>
        <w:tc>
          <w:tcPr>
            <w:tcW w:w="1418" w:type="dxa"/>
            <w:tcBorders>
              <w:top w:val="nil"/>
              <w:left w:val="nil"/>
              <w:bottom w:val="nil"/>
              <w:right w:val="nil"/>
            </w:tcBorders>
            <w:shd w:val="clear" w:color="auto" w:fill="auto"/>
            <w:noWrap/>
            <w:vAlign w:val="bottom"/>
            <w:hideMark/>
          </w:tcPr>
          <w:p w:rsidR="009F350A" w:rsidRPr="00E70693" w:rsidRDefault="009F350A" w:rsidP="009F350A">
            <w:pPr>
              <w:rPr>
                <w:rFonts w:ascii="Arial" w:hAnsi="Arial" w:cs="Arial"/>
                <w:b/>
                <w:bCs/>
                <w:color w:val="000000"/>
                <w:sz w:val="20"/>
                <w:lang w:val="es-PY" w:eastAsia="es-PY"/>
              </w:rPr>
            </w:pPr>
            <w:r w:rsidRPr="00E70693">
              <w:rPr>
                <w:rFonts w:ascii="Arial" w:hAnsi="Arial" w:cs="Arial"/>
                <w:b/>
                <w:bCs/>
                <w:color w:val="000000"/>
                <w:sz w:val="20"/>
                <w:lang w:val="es-PY" w:eastAsia="es-PY"/>
              </w:rPr>
              <w:t>días</w:t>
            </w:r>
          </w:p>
        </w:tc>
      </w:tr>
      <w:tr w:rsidR="009F350A" w:rsidRPr="00E70693" w:rsidTr="009F350A">
        <w:tc>
          <w:tcPr>
            <w:tcW w:w="3969" w:type="dxa"/>
            <w:tcBorders>
              <w:top w:val="nil"/>
              <w:left w:val="nil"/>
              <w:bottom w:val="nil"/>
              <w:right w:val="nil"/>
            </w:tcBorders>
            <w:shd w:val="clear" w:color="auto" w:fill="auto"/>
            <w:noWrap/>
            <w:vAlign w:val="bottom"/>
            <w:hideMark/>
          </w:tcPr>
          <w:p w:rsidR="009F350A" w:rsidRPr="00E70693" w:rsidRDefault="009F350A" w:rsidP="009F350A">
            <w:pPr>
              <w:jc w:val="right"/>
              <w:rPr>
                <w:rFonts w:ascii="Arial" w:hAnsi="Arial" w:cs="Arial"/>
                <w:color w:val="000000"/>
                <w:sz w:val="22"/>
                <w:szCs w:val="22"/>
                <w:lang w:val="es-PY" w:eastAsia="es-PY"/>
              </w:rPr>
            </w:pPr>
            <w:r w:rsidRPr="00E70693">
              <w:rPr>
                <w:rFonts w:ascii="Arial" w:hAnsi="Arial" w:cs="Arial"/>
                <w:b/>
                <w:bCs/>
                <w:color w:val="000000"/>
                <w:sz w:val="20"/>
                <w:lang w:val="es-PY" w:eastAsia="es-PY"/>
              </w:rPr>
              <w:t>Incremento:</w:t>
            </w:r>
          </w:p>
        </w:tc>
        <w:tc>
          <w:tcPr>
            <w:tcW w:w="1418" w:type="dxa"/>
            <w:tcBorders>
              <w:top w:val="nil"/>
              <w:left w:val="nil"/>
              <w:bottom w:val="nil"/>
              <w:right w:val="nil"/>
            </w:tcBorders>
            <w:shd w:val="clear" w:color="auto" w:fill="auto"/>
            <w:noWrap/>
            <w:vAlign w:val="bottom"/>
            <w:hideMark/>
          </w:tcPr>
          <w:p w:rsidR="009F350A" w:rsidRPr="00E70693" w:rsidRDefault="009F350A" w:rsidP="009F350A">
            <w:pPr>
              <w:jc w:val="right"/>
              <w:rPr>
                <w:rFonts w:ascii="Arial" w:hAnsi="Arial" w:cs="Arial"/>
                <w:color w:val="000000"/>
                <w:sz w:val="22"/>
                <w:szCs w:val="22"/>
                <w:lang w:val="es-PY" w:eastAsia="es-PY"/>
              </w:rPr>
            </w:pPr>
            <w:r w:rsidRPr="00E70693">
              <w:rPr>
                <w:rFonts w:ascii="Arial" w:hAnsi="Arial" w:cs="Arial"/>
                <w:color w:val="000000"/>
                <w:sz w:val="22"/>
                <w:szCs w:val="22"/>
                <w:lang w:val="es-PY" w:eastAsia="es-PY"/>
              </w:rPr>
              <w:t>25,2%</w:t>
            </w:r>
          </w:p>
        </w:tc>
        <w:tc>
          <w:tcPr>
            <w:tcW w:w="1417" w:type="dxa"/>
            <w:tcBorders>
              <w:top w:val="nil"/>
              <w:left w:val="nil"/>
              <w:bottom w:val="nil"/>
              <w:right w:val="nil"/>
            </w:tcBorders>
            <w:shd w:val="clear" w:color="auto" w:fill="auto"/>
            <w:noWrap/>
            <w:vAlign w:val="bottom"/>
            <w:hideMark/>
          </w:tcPr>
          <w:p w:rsidR="009F350A" w:rsidRPr="00E70693" w:rsidRDefault="009F350A" w:rsidP="009F350A">
            <w:pPr>
              <w:rPr>
                <w:rFonts w:ascii="Arial" w:hAnsi="Arial" w:cs="Arial"/>
                <w:color w:val="000000"/>
                <w:sz w:val="22"/>
                <w:szCs w:val="22"/>
                <w:lang w:val="es-PY" w:eastAsia="es-PY"/>
              </w:rPr>
            </w:pPr>
          </w:p>
        </w:tc>
        <w:tc>
          <w:tcPr>
            <w:tcW w:w="1418" w:type="dxa"/>
            <w:tcBorders>
              <w:top w:val="nil"/>
              <w:left w:val="nil"/>
              <w:bottom w:val="nil"/>
              <w:right w:val="nil"/>
            </w:tcBorders>
            <w:shd w:val="clear" w:color="auto" w:fill="auto"/>
            <w:noWrap/>
            <w:vAlign w:val="bottom"/>
            <w:hideMark/>
          </w:tcPr>
          <w:p w:rsidR="009F350A" w:rsidRPr="00E70693" w:rsidRDefault="009F350A" w:rsidP="009F350A">
            <w:pPr>
              <w:rPr>
                <w:rFonts w:ascii="Arial" w:hAnsi="Arial" w:cs="Arial"/>
                <w:color w:val="000000"/>
                <w:sz w:val="22"/>
                <w:szCs w:val="22"/>
                <w:lang w:val="es-PY" w:eastAsia="es-PY"/>
              </w:rPr>
            </w:pPr>
          </w:p>
        </w:tc>
      </w:tr>
    </w:tbl>
    <w:p w:rsidR="00EC5FA1" w:rsidRPr="00E70693" w:rsidRDefault="00EC5FA1" w:rsidP="00EC5FA1">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b/>
        </w:rPr>
        <w:t>2979/BL-NI Programa de Apoyo al Sector Transporte III (NI-L1071)</w:t>
      </w:r>
      <w:r w:rsidRPr="00E70693">
        <w:rPr>
          <w:rFonts w:ascii="Arial" w:hAnsi="Arial" w:cs="Arial"/>
        </w:rPr>
        <w:t>. Esta operación</w:t>
      </w:r>
      <w:r w:rsidR="00506BE5" w:rsidRPr="00E70693">
        <w:rPr>
          <w:rFonts w:ascii="Arial" w:hAnsi="Arial" w:cs="Arial"/>
        </w:rPr>
        <w:t xml:space="preserve"> </w:t>
      </w:r>
      <w:r w:rsidRPr="00E70693">
        <w:rPr>
          <w:rFonts w:ascii="Arial" w:hAnsi="Arial" w:cs="Arial"/>
        </w:rPr>
        <w:t>comprende las obras siguientes: i) “</w:t>
      </w:r>
      <w:r w:rsidR="00C514B9" w:rsidRPr="00E70693">
        <w:rPr>
          <w:rFonts w:ascii="Arial" w:hAnsi="Arial" w:cs="Arial"/>
          <w:bCs/>
          <w:i/>
          <w:iCs/>
          <w:lang w:val="es-ES"/>
        </w:rPr>
        <w:t xml:space="preserve">Mejoramiento del tramo de Carretera Empalme </w:t>
      </w:r>
      <w:proofErr w:type="spellStart"/>
      <w:r w:rsidR="00C514B9" w:rsidRPr="00E70693">
        <w:rPr>
          <w:rFonts w:ascii="Arial" w:hAnsi="Arial" w:cs="Arial"/>
          <w:bCs/>
          <w:i/>
          <w:iCs/>
          <w:lang w:val="es-ES"/>
        </w:rPr>
        <w:t>Malpaisillo</w:t>
      </w:r>
      <w:proofErr w:type="spellEnd"/>
      <w:r w:rsidR="00C514B9" w:rsidRPr="00E70693">
        <w:rPr>
          <w:rFonts w:ascii="Arial" w:hAnsi="Arial" w:cs="Arial"/>
          <w:bCs/>
          <w:i/>
          <w:iCs/>
          <w:lang w:val="es-ES"/>
        </w:rPr>
        <w:t>-Villa 15 de Julio (Tramo I y II, 36.40 Km)</w:t>
      </w:r>
      <w:r w:rsidRPr="00E70693">
        <w:rPr>
          <w:rFonts w:ascii="Arial" w:hAnsi="Arial" w:cs="Arial"/>
        </w:rPr>
        <w:t>”; ii) “</w:t>
      </w:r>
      <w:r w:rsidR="00C514B9" w:rsidRPr="00E70693">
        <w:rPr>
          <w:rFonts w:ascii="Arial" w:hAnsi="Arial" w:cs="Arial"/>
          <w:i/>
        </w:rPr>
        <w:t>Rehabilitación del tramo de Carretera Boaco-Muy Muy (24.70 Km)</w:t>
      </w:r>
      <w:r w:rsidRPr="00E70693">
        <w:rPr>
          <w:rFonts w:ascii="Arial" w:hAnsi="Arial" w:cs="Arial"/>
        </w:rPr>
        <w:t xml:space="preserve">”; </w:t>
      </w:r>
      <w:r w:rsidR="00C514B9" w:rsidRPr="00E70693">
        <w:rPr>
          <w:rFonts w:ascii="Arial" w:hAnsi="Arial" w:cs="Arial"/>
        </w:rPr>
        <w:t>iii) “</w:t>
      </w:r>
      <w:r w:rsidR="00C514B9" w:rsidRPr="00E70693">
        <w:rPr>
          <w:rFonts w:ascii="Arial" w:hAnsi="Arial" w:cs="Arial"/>
          <w:i/>
          <w:lang w:val="es-PY"/>
        </w:rPr>
        <w:t>Rehabilitación del Tramo de Carretera Chinandega-</w:t>
      </w:r>
      <w:proofErr w:type="spellStart"/>
      <w:r w:rsidR="00C514B9" w:rsidRPr="00E70693">
        <w:rPr>
          <w:rFonts w:ascii="Arial" w:hAnsi="Arial" w:cs="Arial"/>
          <w:i/>
          <w:lang w:val="es-PY"/>
        </w:rPr>
        <w:t>Guasaule</w:t>
      </w:r>
      <w:proofErr w:type="spellEnd"/>
      <w:r w:rsidR="00C514B9" w:rsidRPr="00E70693">
        <w:rPr>
          <w:rFonts w:ascii="Arial" w:hAnsi="Arial" w:cs="Arial"/>
          <w:i/>
          <w:lang w:val="es-PY"/>
        </w:rPr>
        <w:t xml:space="preserve"> (31.39 Km.)</w:t>
      </w:r>
      <w:r w:rsidR="00C514B9" w:rsidRPr="00E70693">
        <w:rPr>
          <w:rFonts w:ascii="Arial" w:hAnsi="Arial" w:cs="Arial"/>
        </w:rPr>
        <w:t>”; y iv) “</w:t>
      </w:r>
      <w:r w:rsidR="00C514B9" w:rsidRPr="00E70693">
        <w:rPr>
          <w:rFonts w:ascii="Arial" w:hAnsi="Arial" w:cs="Arial"/>
          <w:i/>
          <w:lang w:val="es-PY"/>
        </w:rPr>
        <w:t>Obras de mitigación en puntos críticos de la Ruta Chinandega-</w:t>
      </w:r>
      <w:proofErr w:type="spellStart"/>
      <w:r w:rsidR="00C514B9" w:rsidRPr="00E70693">
        <w:rPr>
          <w:rFonts w:ascii="Arial" w:hAnsi="Arial" w:cs="Arial"/>
          <w:i/>
          <w:lang w:val="es-PY"/>
        </w:rPr>
        <w:t>Guasaule</w:t>
      </w:r>
      <w:proofErr w:type="spellEnd"/>
      <w:r w:rsidR="00C514B9" w:rsidRPr="00E70693">
        <w:rPr>
          <w:rFonts w:ascii="Arial" w:hAnsi="Arial" w:cs="Arial"/>
        </w:rPr>
        <w:t xml:space="preserve">”, ejecutados por el MTI; </w:t>
      </w:r>
      <w:r w:rsidRPr="00E70693">
        <w:rPr>
          <w:rFonts w:ascii="Arial" w:hAnsi="Arial" w:cs="Arial"/>
        </w:rPr>
        <w:t xml:space="preserve">y </w:t>
      </w:r>
      <w:r w:rsidR="00C514B9" w:rsidRPr="00E70693">
        <w:rPr>
          <w:rFonts w:ascii="Arial" w:hAnsi="Arial" w:cs="Arial"/>
        </w:rPr>
        <w:t>v</w:t>
      </w:r>
      <w:r w:rsidRPr="00E70693">
        <w:rPr>
          <w:rFonts w:ascii="Arial" w:hAnsi="Arial" w:cs="Arial"/>
        </w:rPr>
        <w:t>) “</w:t>
      </w:r>
      <w:r w:rsidR="00C514B9" w:rsidRPr="00E70693">
        <w:rPr>
          <w:rFonts w:ascii="Arial" w:hAnsi="Arial" w:cs="Arial"/>
          <w:i/>
          <w:lang w:val="es-ES"/>
        </w:rPr>
        <w:t>Mantenimiento Vial por Resultados del Tramo: Las Piedrecitas-</w:t>
      </w:r>
      <w:proofErr w:type="spellStart"/>
      <w:r w:rsidR="00C514B9" w:rsidRPr="00E70693">
        <w:rPr>
          <w:rFonts w:ascii="Arial" w:hAnsi="Arial" w:cs="Arial"/>
          <w:i/>
          <w:lang w:val="es-ES"/>
        </w:rPr>
        <w:t>Nagarote</w:t>
      </w:r>
      <w:proofErr w:type="spellEnd"/>
      <w:r w:rsidR="00C514B9" w:rsidRPr="00E70693">
        <w:rPr>
          <w:rFonts w:ascii="Arial" w:hAnsi="Arial" w:cs="Arial"/>
          <w:i/>
          <w:lang w:val="es-ES"/>
        </w:rPr>
        <w:t xml:space="preserve">-Empalme </w:t>
      </w:r>
      <w:proofErr w:type="spellStart"/>
      <w:r w:rsidR="00C514B9" w:rsidRPr="00E70693">
        <w:rPr>
          <w:rFonts w:ascii="Arial" w:hAnsi="Arial" w:cs="Arial"/>
          <w:i/>
          <w:lang w:val="es-ES"/>
        </w:rPr>
        <w:t>Izapa</w:t>
      </w:r>
      <w:proofErr w:type="spellEnd"/>
      <w:r w:rsidR="00C514B9" w:rsidRPr="00E70693">
        <w:rPr>
          <w:rFonts w:ascii="Arial" w:hAnsi="Arial" w:cs="Arial"/>
          <w:i/>
          <w:lang w:val="es-ES"/>
        </w:rPr>
        <w:t xml:space="preserve"> (60.5km)</w:t>
      </w:r>
      <w:r w:rsidRPr="00E70693">
        <w:rPr>
          <w:rFonts w:ascii="Arial" w:hAnsi="Arial" w:cs="Arial"/>
        </w:rPr>
        <w:t>”, ejecutado por el FOMAV.</w:t>
      </w:r>
    </w:p>
    <w:p w:rsidR="00EC5FA1" w:rsidRPr="00E70693" w:rsidRDefault="00C514B9" w:rsidP="00EC5FA1">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bCs/>
          <w:i/>
          <w:iCs/>
          <w:lang w:val="es-ES"/>
        </w:rPr>
        <w:t xml:space="preserve">Mejoramiento del tramo de Carretera Empalme </w:t>
      </w:r>
      <w:proofErr w:type="spellStart"/>
      <w:r w:rsidRPr="00E70693">
        <w:rPr>
          <w:rFonts w:ascii="Arial" w:hAnsi="Arial" w:cs="Arial"/>
          <w:bCs/>
          <w:i/>
          <w:iCs/>
          <w:lang w:val="es-ES"/>
        </w:rPr>
        <w:t>Malpaisillo</w:t>
      </w:r>
      <w:proofErr w:type="spellEnd"/>
      <w:r w:rsidRPr="00E70693">
        <w:rPr>
          <w:rFonts w:ascii="Arial" w:hAnsi="Arial" w:cs="Arial"/>
          <w:bCs/>
          <w:i/>
          <w:iCs/>
          <w:lang w:val="es-ES"/>
        </w:rPr>
        <w:t>-Villa 15 de Julio (Tramo I y II, 36.40 Km)</w:t>
      </w:r>
      <w:r w:rsidR="00EC5FA1" w:rsidRPr="00E70693">
        <w:rPr>
          <w:rFonts w:ascii="Arial" w:hAnsi="Arial" w:cs="Arial"/>
        </w:rPr>
        <w:t xml:space="preserve">. </w:t>
      </w:r>
      <w:r w:rsidR="003D38AD" w:rsidRPr="00E70693">
        <w:rPr>
          <w:rFonts w:ascii="Arial" w:hAnsi="Arial" w:cs="Arial"/>
        </w:rPr>
        <w:t>E</w:t>
      </w:r>
      <w:r w:rsidR="00506BE5" w:rsidRPr="00E70693">
        <w:rPr>
          <w:rFonts w:ascii="Arial" w:hAnsi="Arial" w:cs="Arial"/>
        </w:rPr>
        <w:t>jecutado por el MTI, comprende la construcción de una nueva estructura de pavimento, obras de drenaje y la sustitución de puentes de un solo carril.</w:t>
      </w:r>
      <w:r w:rsidR="003D38AD" w:rsidRPr="00E70693">
        <w:rPr>
          <w:rFonts w:ascii="Arial" w:hAnsi="Arial" w:cs="Arial"/>
        </w:rPr>
        <w:t xml:space="preserve"> Este tramo a ser pavimentado, que se empalma con el tramo La Paz Centro-</w:t>
      </w:r>
      <w:proofErr w:type="spellStart"/>
      <w:r w:rsidR="003D38AD" w:rsidRPr="00E70693">
        <w:rPr>
          <w:rFonts w:ascii="Arial" w:hAnsi="Arial" w:cs="Arial"/>
        </w:rPr>
        <w:t>Malpaisillo</w:t>
      </w:r>
      <w:proofErr w:type="spellEnd"/>
      <w:r w:rsidR="003D38AD" w:rsidRPr="00E70693">
        <w:rPr>
          <w:rFonts w:ascii="Arial" w:hAnsi="Arial" w:cs="Arial"/>
        </w:rPr>
        <w:t>, conformará un corredor Panamericano alternativo al que actualmente pasa por las ciudades de Chinandega y Le</w:t>
      </w:r>
      <w:r w:rsidR="00B4612D" w:rsidRPr="00E70693">
        <w:rPr>
          <w:rFonts w:ascii="Arial" w:hAnsi="Arial" w:cs="Arial"/>
        </w:rPr>
        <w:t>ón.</w:t>
      </w:r>
      <w:r w:rsidR="00506BE5" w:rsidRPr="00E70693">
        <w:rPr>
          <w:rFonts w:ascii="Arial" w:hAnsi="Arial" w:cs="Arial"/>
        </w:rPr>
        <w:t xml:space="preserve"> El diseño fue elaborado por el MTI y</w:t>
      </w:r>
      <w:r w:rsidR="003D38AD" w:rsidRPr="00E70693">
        <w:rPr>
          <w:rFonts w:ascii="Arial" w:hAnsi="Arial" w:cs="Arial"/>
        </w:rPr>
        <w:t xml:space="preserve"> las obras correspondientes a cada tramo ya están contratadas y se han iniciado simultáneamente el 3 de abril de 2015</w:t>
      </w:r>
      <w:r w:rsidR="00B4612D" w:rsidRPr="00E70693">
        <w:rPr>
          <w:rFonts w:ascii="Arial" w:hAnsi="Arial" w:cs="Arial"/>
        </w:rPr>
        <w:t>;</w:t>
      </w:r>
      <w:r w:rsidR="003D38AD" w:rsidRPr="00E70693">
        <w:rPr>
          <w:rFonts w:ascii="Arial" w:hAnsi="Arial" w:cs="Arial"/>
        </w:rPr>
        <w:t xml:space="preserve"> se prevé su conclusión </w:t>
      </w:r>
      <w:r w:rsidR="00B4612D" w:rsidRPr="00E70693">
        <w:rPr>
          <w:rFonts w:ascii="Arial" w:hAnsi="Arial" w:cs="Arial"/>
        </w:rPr>
        <w:t>para</w:t>
      </w:r>
      <w:r w:rsidR="003D38AD" w:rsidRPr="00E70693">
        <w:rPr>
          <w:rFonts w:ascii="Arial" w:hAnsi="Arial" w:cs="Arial"/>
        </w:rPr>
        <w:t xml:space="preserve"> noviembre de 2016</w:t>
      </w:r>
      <w:r w:rsidR="00506BE5" w:rsidRPr="00E70693">
        <w:rPr>
          <w:rFonts w:ascii="Arial" w:hAnsi="Arial" w:cs="Arial"/>
        </w:rPr>
        <w:t xml:space="preserve">. </w:t>
      </w:r>
    </w:p>
    <w:p w:rsidR="00C514B9" w:rsidRPr="00E70693" w:rsidRDefault="00C514B9" w:rsidP="00C514B9">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bCs/>
          <w:i/>
          <w:iCs/>
        </w:rPr>
        <w:t>Rehabilitación del tramo de Carretera Boaco-Muy Muy (24.70 Km)</w:t>
      </w:r>
      <w:r w:rsidRPr="00E70693">
        <w:rPr>
          <w:rFonts w:ascii="Arial" w:hAnsi="Arial" w:cs="Arial"/>
        </w:rPr>
        <w:t xml:space="preserve">. </w:t>
      </w:r>
      <w:r w:rsidR="00B4612D" w:rsidRPr="00E70693">
        <w:rPr>
          <w:rFonts w:ascii="Arial" w:hAnsi="Arial" w:cs="Arial"/>
        </w:rPr>
        <w:t>E</w:t>
      </w:r>
      <w:r w:rsidR="00506BE5" w:rsidRPr="00E70693">
        <w:rPr>
          <w:rFonts w:ascii="Arial" w:hAnsi="Arial" w:cs="Arial"/>
        </w:rPr>
        <w:t xml:space="preserve">jecutado por el MTI, comprende </w:t>
      </w:r>
      <w:r w:rsidR="00B4612D" w:rsidRPr="00E70693">
        <w:rPr>
          <w:rFonts w:ascii="Arial" w:hAnsi="Arial" w:cs="Arial"/>
        </w:rPr>
        <w:t>el</w:t>
      </w:r>
      <w:r w:rsidR="009E1C95" w:rsidRPr="00E70693">
        <w:rPr>
          <w:rFonts w:ascii="Arial" w:hAnsi="Arial" w:cs="Arial"/>
        </w:rPr>
        <w:t xml:space="preserve"> reciclado de</w:t>
      </w:r>
      <w:r w:rsidR="00B4612D" w:rsidRPr="00E70693">
        <w:rPr>
          <w:rFonts w:ascii="Arial" w:hAnsi="Arial" w:cs="Arial"/>
        </w:rPr>
        <w:t>l</w:t>
      </w:r>
      <w:r w:rsidR="009E1C95" w:rsidRPr="00E70693">
        <w:rPr>
          <w:rFonts w:ascii="Arial" w:hAnsi="Arial" w:cs="Arial"/>
        </w:rPr>
        <w:t xml:space="preserve"> pavimento</w:t>
      </w:r>
      <w:r w:rsidR="00B4612D" w:rsidRPr="00E70693">
        <w:rPr>
          <w:rFonts w:ascii="Arial" w:hAnsi="Arial" w:cs="Arial"/>
        </w:rPr>
        <w:t xml:space="preserve"> existente</w:t>
      </w:r>
      <w:r w:rsidR="009E1C95" w:rsidRPr="00E70693">
        <w:rPr>
          <w:rFonts w:ascii="Arial" w:hAnsi="Arial" w:cs="Arial"/>
        </w:rPr>
        <w:t xml:space="preserve"> y </w:t>
      </w:r>
      <w:r w:rsidR="00B4612D" w:rsidRPr="00E70693">
        <w:rPr>
          <w:rFonts w:ascii="Arial" w:hAnsi="Arial" w:cs="Arial"/>
        </w:rPr>
        <w:t xml:space="preserve">colocación de </w:t>
      </w:r>
      <w:r w:rsidR="009E1C95" w:rsidRPr="00E70693">
        <w:rPr>
          <w:rFonts w:ascii="Arial" w:hAnsi="Arial" w:cs="Arial"/>
        </w:rPr>
        <w:t>carpeta de concreto asfáltico en caliente, así como mejora del drenaje, señalización horizontal y vertical</w:t>
      </w:r>
      <w:r w:rsidRPr="00E70693">
        <w:rPr>
          <w:rFonts w:ascii="Arial" w:hAnsi="Arial" w:cs="Arial"/>
        </w:rPr>
        <w:t xml:space="preserve">. </w:t>
      </w:r>
      <w:r w:rsidR="00506BE5" w:rsidRPr="00E70693">
        <w:rPr>
          <w:rFonts w:ascii="Arial" w:hAnsi="Arial" w:cs="Arial"/>
        </w:rPr>
        <w:t>El</w:t>
      </w:r>
      <w:r w:rsidRPr="00E70693">
        <w:rPr>
          <w:rFonts w:ascii="Arial" w:hAnsi="Arial" w:cs="Arial"/>
        </w:rPr>
        <w:t xml:space="preserve"> diseño </w:t>
      </w:r>
      <w:r w:rsidR="00B4612D" w:rsidRPr="00E70693">
        <w:rPr>
          <w:rFonts w:ascii="Arial" w:hAnsi="Arial" w:cs="Arial"/>
        </w:rPr>
        <w:t>fue</w:t>
      </w:r>
      <w:r w:rsidRPr="00E70693">
        <w:rPr>
          <w:rFonts w:ascii="Arial" w:hAnsi="Arial" w:cs="Arial"/>
        </w:rPr>
        <w:t xml:space="preserve"> elaborado por el MTI</w:t>
      </w:r>
      <w:r w:rsidR="00B4612D" w:rsidRPr="00E70693">
        <w:rPr>
          <w:rFonts w:ascii="Arial" w:hAnsi="Arial" w:cs="Arial"/>
        </w:rPr>
        <w:t xml:space="preserve"> y las obras ya fueron contratadas. El inicio de la obra fue el </w:t>
      </w:r>
      <w:r w:rsidR="001939B4" w:rsidRPr="00E70693">
        <w:rPr>
          <w:rFonts w:ascii="Arial" w:hAnsi="Arial" w:cs="Arial"/>
        </w:rPr>
        <w:t>12 de enero de 2015 y se prevé su culminación el 11 de enero de 2016</w:t>
      </w:r>
      <w:r w:rsidR="00506BE5" w:rsidRPr="00E70693">
        <w:rPr>
          <w:rFonts w:ascii="Arial" w:hAnsi="Arial" w:cs="Arial"/>
        </w:rPr>
        <w:t>.</w:t>
      </w:r>
    </w:p>
    <w:p w:rsidR="00C514B9" w:rsidRPr="00E70693" w:rsidRDefault="00C514B9" w:rsidP="00C514B9">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bCs/>
          <w:i/>
          <w:iCs/>
          <w:lang w:val="es-PY"/>
        </w:rPr>
        <w:lastRenderedPageBreak/>
        <w:t>Rehabilitación del Tramo de Carretera Chinandega-</w:t>
      </w:r>
      <w:proofErr w:type="spellStart"/>
      <w:r w:rsidRPr="00E70693">
        <w:rPr>
          <w:rFonts w:ascii="Arial" w:hAnsi="Arial" w:cs="Arial"/>
          <w:bCs/>
          <w:i/>
          <w:iCs/>
          <w:lang w:val="es-PY"/>
        </w:rPr>
        <w:t>Guasaule</w:t>
      </w:r>
      <w:proofErr w:type="spellEnd"/>
      <w:r w:rsidRPr="00E70693">
        <w:rPr>
          <w:rFonts w:ascii="Arial" w:hAnsi="Arial" w:cs="Arial"/>
          <w:bCs/>
          <w:i/>
          <w:iCs/>
          <w:lang w:val="es-PY"/>
        </w:rPr>
        <w:t xml:space="preserve"> (31.39 Km.)</w:t>
      </w:r>
      <w:r w:rsidRPr="00E70693">
        <w:rPr>
          <w:rFonts w:ascii="Arial" w:hAnsi="Arial" w:cs="Arial"/>
        </w:rPr>
        <w:t xml:space="preserve">. </w:t>
      </w:r>
      <w:r w:rsidR="009E1C95" w:rsidRPr="00E70693">
        <w:rPr>
          <w:rFonts w:ascii="Arial" w:hAnsi="Arial" w:cs="Arial"/>
        </w:rPr>
        <w:t xml:space="preserve">A ser ejecutado por el MTI, comprende la ejecución de refuerzo del pavimento con carpeta de concreto asfáltico en caliente, así como mejora del drenaje, señalización horizontal y vertical. El diseño está siendo elaborado </w:t>
      </w:r>
      <w:r w:rsidR="007645A8" w:rsidRPr="00E70693">
        <w:rPr>
          <w:rFonts w:ascii="Arial" w:hAnsi="Arial" w:cs="Arial"/>
        </w:rPr>
        <w:t>mediante servicios de consultoría contratados por el MTI con recursos del 2840/BL-NI-1</w:t>
      </w:r>
      <w:r w:rsidR="009E1C95" w:rsidRPr="00E70693">
        <w:rPr>
          <w:rFonts w:ascii="Arial" w:hAnsi="Arial" w:cs="Arial"/>
        </w:rPr>
        <w:t xml:space="preserve">. Se prevé la licitación y adjudicación de las obras durante el </w:t>
      </w:r>
      <w:r w:rsidR="001939B4" w:rsidRPr="00E70693">
        <w:rPr>
          <w:rFonts w:ascii="Arial" w:hAnsi="Arial" w:cs="Arial"/>
        </w:rPr>
        <w:t>2015</w:t>
      </w:r>
      <w:r w:rsidRPr="00E70693">
        <w:rPr>
          <w:rFonts w:ascii="Arial" w:hAnsi="Arial" w:cs="Arial"/>
        </w:rPr>
        <w:t>.</w:t>
      </w:r>
    </w:p>
    <w:p w:rsidR="00C514B9" w:rsidRPr="00E70693" w:rsidRDefault="00C514B9" w:rsidP="00C514B9">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i/>
          <w:lang w:val="es-PY"/>
        </w:rPr>
        <w:t>Obras de mitigación en puntos críticos de la Ruta Chinandega-</w:t>
      </w:r>
      <w:proofErr w:type="spellStart"/>
      <w:r w:rsidRPr="00E70693">
        <w:rPr>
          <w:rFonts w:ascii="Arial" w:hAnsi="Arial" w:cs="Arial"/>
          <w:i/>
          <w:lang w:val="es-PY"/>
        </w:rPr>
        <w:t>Guasaule</w:t>
      </w:r>
      <w:proofErr w:type="spellEnd"/>
      <w:r w:rsidRPr="00E70693">
        <w:rPr>
          <w:rFonts w:ascii="Arial" w:hAnsi="Arial" w:cs="Arial"/>
        </w:rPr>
        <w:t xml:space="preserve">. </w:t>
      </w:r>
      <w:r w:rsidR="005A763A" w:rsidRPr="00E70693">
        <w:rPr>
          <w:rFonts w:ascii="Arial" w:hAnsi="Arial" w:cs="Arial"/>
        </w:rPr>
        <w:t>A ser ejecutado por el MTI</w:t>
      </w:r>
      <w:r w:rsidRPr="00E70693">
        <w:rPr>
          <w:rFonts w:ascii="Arial" w:hAnsi="Arial" w:cs="Arial"/>
        </w:rPr>
        <w:t xml:space="preserve">, comprende </w:t>
      </w:r>
      <w:r w:rsidR="005A763A" w:rsidRPr="00E70693">
        <w:rPr>
          <w:rFonts w:ascii="Arial" w:hAnsi="Arial" w:cs="Arial"/>
        </w:rPr>
        <w:t xml:space="preserve">la ejecución de obras de adaptación de un tramo crítico de la carretera a los efectos del cambio climático. El estudio y diseño pertinente </w:t>
      </w:r>
      <w:r w:rsidR="005B302B" w:rsidRPr="00E70693">
        <w:rPr>
          <w:rFonts w:ascii="Arial" w:hAnsi="Arial" w:cs="Arial"/>
        </w:rPr>
        <w:t>fue</w:t>
      </w:r>
      <w:r w:rsidR="005A763A" w:rsidRPr="00E70693">
        <w:rPr>
          <w:rFonts w:ascii="Arial" w:hAnsi="Arial" w:cs="Arial"/>
        </w:rPr>
        <w:t xml:space="preserve"> elaborado mediante servicios de consultoría contratados por el MTI con recursos del 2840/BL-NI</w:t>
      </w:r>
      <w:r w:rsidR="007645A8" w:rsidRPr="00E70693">
        <w:rPr>
          <w:rFonts w:ascii="Arial" w:hAnsi="Arial" w:cs="Arial"/>
        </w:rPr>
        <w:t>-1</w:t>
      </w:r>
      <w:r w:rsidR="005A763A" w:rsidRPr="00E70693">
        <w:rPr>
          <w:rFonts w:ascii="Arial" w:hAnsi="Arial" w:cs="Arial"/>
        </w:rPr>
        <w:t>. Se prevé la licitación e inicio de las obras en el 2015</w:t>
      </w:r>
      <w:r w:rsidRPr="00E70693">
        <w:rPr>
          <w:rFonts w:ascii="Arial" w:hAnsi="Arial" w:cs="Arial"/>
        </w:rPr>
        <w:t>.</w:t>
      </w:r>
    </w:p>
    <w:p w:rsidR="00C514B9" w:rsidRPr="00E70693" w:rsidRDefault="00C514B9" w:rsidP="00C514B9">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i/>
          <w:lang w:val="es-ES"/>
        </w:rPr>
        <w:t>Mantenimiento Vial por Resultados del Tramo: Las Piedrecitas-</w:t>
      </w:r>
      <w:proofErr w:type="spellStart"/>
      <w:r w:rsidRPr="00E70693">
        <w:rPr>
          <w:rFonts w:ascii="Arial" w:hAnsi="Arial" w:cs="Arial"/>
          <w:i/>
          <w:lang w:val="es-ES"/>
        </w:rPr>
        <w:t>Nagarote</w:t>
      </w:r>
      <w:proofErr w:type="spellEnd"/>
      <w:r w:rsidRPr="00E70693">
        <w:rPr>
          <w:rFonts w:ascii="Arial" w:hAnsi="Arial" w:cs="Arial"/>
          <w:i/>
          <w:lang w:val="es-ES"/>
        </w:rPr>
        <w:t xml:space="preserve">-Empalme </w:t>
      </w:r>
      <w:proofErr w:type="spellStart"/>
      <w:r w:rsidRPr="00E70693">
        <w:rPr>
          <w:rFonts w:ascii="Arial" w:hAnsi="Arial" w:cs="Arial"/>
          <w:i/>
          <w:lang w:val="es-ES"/>
        </w:rPr>
        <w:t>Izapa</w:t>
      </w:r>
      <w:proofErr w:type="spellEnd"/>
      <w:r w:rsidRPr="00E70693">
        <w:rPr>
          <w:rFonts w:ascii="Arial" w:hAnsi="Arial" w:cs="Arial"/>
          <w:i/>
          <w:lang w:val="es-ES"/>
        </w:rPr>
        <w:t xml:space="preserve"> (60.5km)</w:t>
      </w:r>
      <w:r w:rsidRPr="00E70693">
        <w:rPr>
          <w:rFonts w:ascii="Arial" w:hAnsi="Arial" w:cs="Arial"/>
        </w:rPr>
        <w:t>. Ejecutado por el FOMAV,</w:t>
      </w:r>
      <w:r w:rsidR="00EE7810" w:rsidRPr="00E70693">
        <w:rPr>
          <w:rFonts w:ascii="Arial" w:hAnsi="Arial" w:cs="Arial"/>
        </w:rPr>
        <w:t xml:space="preserve"> comprende la ejecución del mantenimiento por resultados del tramo de carretera durante cuatro años. Al inicio el contratista deberá ejecutar obras de puesta a punto, según requerimientos establecidos en el contrato, para luego pasar a la etapa de mantenimiento. Esta modalidad, aunque ejecutada por primera vez con recursos de préstamo del Banco, ya fue implementada con éxito por el FOMAV durante</w:t>
      </w:r>
      <w:r w:rsidR="005B302B" w:rsidRPr="00E70693">
        <w:rPr>
          <w:rFonts w:ascii="Arial" w:hAnsi="Arial" w:cs="Arial"/>
        </w:rPr>
        <w:t xml:space="preserve"> los últimos</w:t>
      </w:r>
      <w:r w:rsidR="00EE7810" w:rsidRPr="00E70693">
        <w:rPr>
          <w:rFonts w:ascii="Arial" w:hAnsi="Arial" w:cs="Arial"/>
        </w:rPr>
        <w:t xml:space="preserve"> cuatro años.</w:t>
      </w:r>
      <w:r w:rsidRPr="00E70693">
        <w:rPr>
          <w:rFonts w:ascii="Arial" w:hAnsi="Arial" w:cs="Arial"/>
        </w:rPr>
        <w:t xml:space="preserve"> </w:t>
      </w:r>
      <w:r w:rsidR="00EE7810" w:rsidRPr="00E70693">
        <w:rPr>
          <w:rFonts w:ascii="Arial" w:hAnsi="Arial" w:cs="Arial"/>
        </w:rPr>
        <w:t>Para la estructuración del proyecto</w:t>
      </w:r>
      <w:r w:rsidR="005B302B" w:rsidRPr="00E70693">
        <w:rPr>
          <w:rFonts w:ascii="Arial" w:hAnsi="Arial" w:cs="Arial"/>
        </w:rPr>
        <w:t>,</w:t>
      </w:r>
      <w:r w:rsidR="00EE7810" w:rsidRPr="00E70693">
        <w:rPr>
          <w:rFonts w:ascii="Arial" w:hAnsi="Arial" w:cs="Arial"/>
        </w:rPr>
        <w:t xml:space="preserve"> la elaboración de los documentos de licitación</w:t>
      </w:r>
      <w:r w:rsidR="005B302B" w:rsidRPr="00E70693">
        <w:rPr>
          <w:rFonts w:ascii="Arial" w:hAnsi="Arial" w:cs="Arial"/>
        </w:rPr>
        <w:t xml:space="preserve"> y el seguimiento del contrato </w:t>
      </w:r>
      <w:r w:rsidR="00EE7810" w:rsidRPr="00E70693">
        <w:rPr>
          <w:rFonts w:ascii="Arial" w:hAnsi="Arial" w:cs="Arial"/>
        </w:rPr>
        <w:t xml:space="preserve">el FOMAV </w:t>
      </w:r>
      <w:r w:rsidR="005B302B" w:rsidRPr="00E70693">
        <w:rPr>
          <w:rFonts w:ascii="Arial" w:hAnsi="Arial" w:cs="Arial"/>
        </w:rPr>
        <w:t xml:space="preserve">cuenta </w:t>
      </w:r>
      <w:r w:rsidR="00EE7810" w:rsidRPr="00E70693">
        <w:rPr>
          <w:rFonts w:ascii="Arial" w:hAnsi="Arial" w:cs="Arial"/>
        </w:rPr>
        <w:t>con el asesoramiento experto de un Asesor</w:t>
      </w:r>
      <w:r w:rsidRPr="00E70693">
        <w:rPr>
          <w:rFonts w:ascii="Arial" w:hAnsi="Arial" w:cs="Arial"/>
        </w:rPr>
        <w:t xml:space="preserve"> Técnico</w:t>
      </w:r>
      <w:r w:rsidR="00EE7810" w:rsidRPr="00E70693">
        <w:rPr>
          <w:rFonts w:ascii="Arial" w:hAnsi="Arial" w:cs="Arial"/>
        </w:rPr>
        <w:t xml:space="preserve"> con experiencia específica en la modalidad de mantenimiento</w:t>
      </w:r>
      <w:r w:rsidR="005B302B" w:rsidRPr="00E70693">
        <w:rPr>
          <w:rFonts w:ascii="Arial" w:hAnsi="Arial" w:cs="Arial"/>
        </w:rPr>
        <w:t xml:space="preserve"> por resultados</w:t>
      </w:r>
      <w:r w:rsidR="00EE7810" w:rsidRPr="00E70693">
        <w:rPr>
          <w:rFonts w:ascii="Arial" w:hAnsi="Arial" w:cs="Arial"/>
        </w:rPr>
        <w:t>.</w:t>
      </w:r>
      <w:r w:rsidRPr="00E70693">
        <w:rPr>
          <w:rFonts w:ascii="Arial" w:hAnsi="Arial" w:cs="Arial"/>
        </w:rPr>
        <w:t xml:space="preserve"> </w:t>
      </w:r>
      <w:r w:rsidR="005B302B" w:rsidRPr="00E70693">
        <w:rPr>
          <w:rFonts w:ascii="Arial" w:hAnsi="Arial" w:cs="Arial"/>
        </w:rPr>
        <w:t>El contrato fue suscrito en octubre de 2014 y a la fecha se están ejecutando las obras de puesta a punto</w:t>
      </w:r>
      <w:r w:rsidR="005A763A" w:rsidRPr="00E70693">
        <w:rPr>
          <w:rFonts w:ascii="Arial" w:hAnsi="Arial" w:cs="Arial"/>
        </w:rPr>
        <w:t>.</w:t>
      </w:r>
    </w:p>
    <w:p w:rsidR="003322EC" w:rsidRPr="00E70693" w:rsidRDefault="003322EC" w:rsidP="003322EC">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b/>
        </w:rPr>
        <w:t>2225/BL-NI Programa Suplementario para la Infraestructura Vial para la Competitividad (NI-L1035)</w:t>
      </w:r>
      <w:r w:rsidRPr="00E70693">
        <w:rPr>
          <w:rFonts w:ascii="Arial" w:hAnsi="Arial" w:cs="Arial"/>
        </w:rPr>
        <w:t xml:space="preserve">. Esta operación </w:t>
      </w:r>
      <w:r w:rsidR="0051639A" w:rsidRPr="00E70693">
        <w:rPr>
          <w:rFonts w:ascii="Arial" w:hAnsi="Arial" w:cs="Arial"/>
        </w:rPr>
        <w:t>tuvo por</w:t>
      </w:r>
      <w:r w:rsidRPr="00E70693">
        <w:rPr>
          <w:rFonts w:ascii="Arial" w:hAnsi="Arial" w:cs="Arial"/>
        </w:rPr>
        <w:t xml:space="preserve"> objetivos: a) un adicional para concluir las obras previstas originalmente en Contratos de Préstamo en ejecución</w:t>
      </w:r>
      <w:r w:rsidR="0051639A" w:rsidRPr="00E70693">
        <w:rPr>
          <w:rFonts w:ascii="Arial" w:hAnsi="Arial" w:cs="Arial"/>
        </w:rPr>
        <w:t>; y b) un financiamiento adicional para concluir las obras de rehabilitación de caminos productivos. Con recursos disponibles al final de la ejecución de este Contrato de Préstamo el MTI solicit</w:t>
      </w:r>
      <w:r w:rsidR="003B0BA2" w:rsidRPr="00E70693">
        <w:rPr>
          <w:rFonts w:ascii="Arial" w:hAnsi="Arial" w:cs="Arial"/>
        </w:rPr>
        <w:t xml:space="preserve">ó ejecutar </w:t>
      </w:r>
      <w:r w:rsidR="0069712C" w:rsidRPr="00E70693">
        <w:rPr>
          <w:rFonts w:ascii="Arial" w:hAnsi="Arial" w:cs="Arial"/>
        </w:rPr>
        <w:t>un proyecto</w:t>
      </w:r>
      <w:r w:rsidR="003B0BA2" w:rsidRPr="00E70693">
        <w:rPr>
          <w:rFonts w:ascii="Arial" w:hAnsi="Arial" w:cs="Arial"/>
        </w:rPr>
        <w:t xml:space="preserve"> que resultó </w:t>
      </w:r>
      <w:r w:rsidR="007645A8" w:rsidRPr="00E70693">
        <w:rPr>
          <w:rFonts w:ascii="Arial" w:hAnsi="Arial" w:cs="Arial"/>
        </w:rPr>
        <w:t>emblemático</w:t>
      </w:r>
      <w:r w:rsidR="003B0BA2" w:rsidRPr="00E70693">
        <w:rPr>
          <w:rFonts w:ascii="Arial" w:hAnsi="Arial" w:cs="Arial"/>
        </w:rPr>
        <w:t>, la mejora puntual en un tramo de la</w:t>
      </w:r>
      <w:r w:rsidR="0051639A" w:rsidRPr="00E70693">
        <w:rPr>
          <w:rFonts w:ascii="Arial" w:hAnsi="Arial" w:cs="Arial"/>
        </w:rPr>
        <w:t xml:space="preserve"> carretera R</w:t>
      </w:r>
      <w:r w:rsidR="0069712C" w:rsidRPr="00E70693">
        <w:rPr>
          <w:rFonts w:ascii="Arial" w:hAnsi="Arial" w:cs="Arial"/>
        </w:rPr>
        <w:t>ío Blanco-</w:t>
      </w:r>
      <w:proofErr w:type="spellStart"/>
      <w:r w:rsidR="0069712C" w:rsidRPr="00E70693">
        <w:rPr>
          <w:rFonts w:ascii="Arial" w:hAnsi="Arial" w:cs="Arial"/>
        </w:rPr>
        <w:t>Siuna</w:t>
      </w:r>
      <w:proofErr w:type="spellEnd"/>
      <w:r w:rsidR="0069712C" w:rsidRPr="00E70693">
        <w:rPr>
          <w:rFonts w:ascii="Arial" w:hAnsi="Arial" w:cs="Arial"/>
        </w:rPr>
        <w:t>-</w:t>
      </w:r>
      <w:proofErr w:type="spellStart"/>
      <w:r w:rsidR="0069712C" w:rsidRPr="00E70693">
        <w:rPr>
          <w:rFonts w:ascii="Arial" w:hAnsi="Arial" w:cs="Arial"/>
        </w:rPr>
        <w:t>Bilwi</w:t>
      </w:r>
      <w:proofErr w:type="spellEnd"/>
      <w:r w:rsidR="0051639A" w:rsidRPr="00E70693">
        <w:rPr>
          <w:rFonts w:ascii="Arial" w:hAnsi="Arial" w:cs="Arial"/>
        </w:rPr>
        <w:t xml:space="preserve"> en la RACCN, en la modalidad de</w:t>
      </w:r>
      <w:r w:rsidR="0069712C" w:rsidRPr="00E70693">
        <w:rPr>
          <w:rFonts w:ascii="Arial" w:hAnsi="Arial" w:cs="Arial"/>
        </w:rPr>
        <w:t xml:space="preserve"> contrato</w:t>
      </w:r>
      <w:r w:rsidR="0051639A" w:rsidRPr="00E70693">
        <w:rPr>
          <w:rFonts w:ascii="Arial" w:hAnsi="Arial" w:cs="Arial"/>
        </w:rPr>
        <w:t xml:space="preserve"> </w:t>
      </w:r>
      <w:r w:rsidR="0051639A" w:rsidRPr="00E70693">
        <w:rPr>
          <w:rFonts w:ascii="Arial" w:hAnsi="Arial" w:cs="Arial"/>
          <w:i/>
        </w:rPr>
        <w:t>diseño &amp; construcción</w:t>
      </w:r>
      <w:r w:rsidR="0069712C" w:rsidRPr="00E70693">
        <w:rPr>
          <w:rFonts w:ascii="Arial" w:hAnsi="Arial" w:cs="Arial"/>
        </w:rPr>
        <w:t>. De este forma se concretó</w:t>
      </w:r>
      <w:r w:rsidR="0051639A" w:rsidRPr="00E70693">
        <w:rPr>
          <w:rFonts w:ascii="Arial" w:hAnsi="Arial" w:cs="Arial"/>
        </w:rPr>
        <w:t xml:space="preserve"> el proyecto </w:t>
      </w:r>
      <w:r w:rsidRPr="00E70693">
        <w:rPr>
          <w:rFonts w:ascii="Arial" w:hAnsi="Arial" w:cs="Arial"/>
        </w:rPr>
        <w:t>“</w:t>
      </w:r>
      <w:r w:rsidR="0051639A" w:rsidRPr="00E70693">
        <w:rPr>
          <w:rFonts w:ascii="Arial" w:hAnsi="Arial" w:cs="Arial"/>
          <w:bCs/>
          <w:i/>
          <w:iCs/>
          <w:lang w:val="es-ES"/>
        </w:rPr>
        <w:t>Mejoramiento del Tramo de Carretera Río Blanco-</w:t>
      </w:r>
      <w:proofErr w:type="spellStart"/>
      <w:r w:rsidR="0051639A" w:rsidRPr="00E70693">
        <w:rPr>
          <w:rFonts w:ascii="Arial" w:hAnsi="Arial" w:cs="Arial"/>
          <w:bCs/>
          <w:i/>
          <w:iCs/>
          <w:lang w:val="es-ES"/>
        </w:rPr>
        <w:t>Mulukukú</w:t>
      </w:r>
      <w:proofErr w:type="spellEnd"/>
      <w:r w:rsidR="0051639A" w:rsidRPr="00E70693">
        <w:rPr>
          <w:rFonts w:ascii="Arial" w:hAnsi="Arial" w:cs="Arial"/>
          <w:bCs/>
          <w:i/>
          <w:iCs/>
          <w:lang w:val="es-ES"/>
        </w:rPr>
        <w:t>-</w:t>
      </w:r>
      <w:proofErr w:type="spellStart"/>
      <w:r w:rsidR="0051639A" w:rsidRPr="00E70693">
        <w:rPr>
          <w:rFonts w:ascii="Arial" w:hAnsi="Arial" w:cs="Arial"/>
          <w:bCs/>
          <w:i/>
          <w:iCs/>
          <w:lang w:val="es-ES"/>
        </w:rPr>
        <w:t>Siuna</w:t>
      </w:r>
      <w:proofErr w:type="spellEnd"/>
      <w:r w:rsidR="0051639A" w:rsidRPr="00E70693">
        <w:rPr>
          <w:rFonts w:ascii="Arial" w:hAnsi="Arial" w:cs="Arial"/>
          <w:bCs/>
          <w:i/>
          <w:iCs/>
          <w:lang w:val="es-ES"/>
        </w:rPr>
        <w:t xml:space="preserve"> (</w:t>
      </w:r>
      <w:proofErr w:type="spellStart"/>
      <w:r w:rsidR="0051639A" w:rsidRPr="00E70693">
        <w:rPr>
          <w:rFonts w:ascii="Arial" w:hAnsi="Arial" w:cs="Arial"/>
          <w:bCs/>
          <w:i/>
          <w:iCs/>
          <w:lang w:val="es-ES"/>
        </w:rPr>
        <w:t>Unikwas-Mulukukú</w:t>
      </w:r>
      <w:proofErr w:type="spellEnd"/>
      <w:r w:rsidR="0051639A" w:rsidRPr="00E70693">
        <w:rPr>
          <w:rFonts w:ascii="Arial" w:hAnsi="Arial" w:cs="Arial"/>
          <w:bCs/>
          <w:i/>
          <w:iCs/>
          <w:lang w:val="es-ES"/>
        </w:rPr>
        <w:t>) (Longitud total: 7 Km)</w:t>
      </w:r>
      <w:r w:rsidR="0051639A" w:rsidRPr="00E70693">
        <w:rPr>
          <w:rFonts w:ascii="Arial" w:hAnsi="Arial" w:cs="Arial"/>
        </w:rPr>
        <w:t>”</w:t>
      </w:r>
      <w:r w:rsidRPr="00E70693">
        <w:rPr>
          <w:rFonts w:ascii="Arial" w:hAnsi="Arial" w:cs="Arial"/>
        </w:rPr>
        <w:t xml:space="preserve">. </w:t>
      </w:r>
      <w:r w:rsidR="0069712C" w:rsidRPr="00E70693">
        <w:rPr>
          <w:rFonts w:ascii="Arial" w:hAnsi="Arial" w:cs="Arial"/>
        </w:rPr>
        <w:t>El diseño referencial fue elaborado por el MTI, así como los documentos de licitación en un proceso con apoyo del Banco</w:t>
      </w:r>
      <w:proofErr w:type="gramStart"/>
      <w:r w:rsidR="0069712C" w:rsidRPr="00E70693">
        <w:rPr>
          <w:rFonts w:ascii="Arial" w:hAnsi="Arial" w:cs="Arial"/>
        </w:rPr>
        <w:t>..</w:t>
      </w:r>
      <w:proofErr w:type="gramEnd"/>
      <w:r w:rsidR="0069712C" w:rsidRPr="00E70693">
        <w:rPr>
          <w:rFonts w:ascii="Arial" w:hAnsi="Arial" w:cs="Arial"/>
        </w:rPr>
        <w:t xml:space="preserve"> </w:t>
      </w:r>
    </w:p>
    <w:p w:rsidR="00E91CA0" w:rsidRPr="00E70693" w:rsidRDefault="003B0BA2" w:rsidP="003322EC">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bCs/>
          <w:i/>
          <w:iCs/>
          <w:lang w:val="es-ES"/>
        </w:rPr>
        <w:t>Mejoramiento del Tramo de Carretera Río Blanco-</w:t>
      </w:r>
      <w:proofErr w:type="spellStart"/>
      <w:r w:rsidRPr="00E70693">
        <w:rPr>
          <w:rFonts w:ascii="Arial" w:hAnsi="Arial" w:cs="Arial"/>
          <w:bCs/>
          <w:i/>
          <w:iCs/>
          <w:lang w:val="es-ES"/>
        </w:rPr>
        <w:t>Mulukukú</w:t>
      </w:r>
      <w:proofErr w:type="spellEnd"/>
      <w:r w:rsidRPr="00E70693">
        <w:rPr>
          <w:rFonts w:ascii="Arial" w:hAnsi="Arial" w:cs="Arial"/>
          <w:bCs/>
          <w:i/>
          <w:iCs/>
          <w:lang w:val="es-ES"/>
        </w:rPr>
        <w:t>-</w:t>
      </w:r>
      <w:proofErr w:type="spellStart"/>
      <w:r w:rsidRPr="00E70693">
        <w:rPr>
          <w:rFonts w:ascii="Arial" w:hAnsi="Arial" w:cs="Arial"/>
          <w:bCs/>
          <w:i/>
          <w:iCs/>
          <w:lang w:val="es-ES"/>
        </w:rPr>
        <w:t>Siuna</w:t>
      </w:r>
      <w:proofErr w:type="spellEnd"/>
      <w:r w:rsidRPr="00E70693">
        <w:rPr>
          <w:rFonts w:ascii="Arial" w:hAnsi="Arial" w:cs="Arial"/>
          <w:bCs/>
          <w:i/>
          <w:iCs/>
          <w:lang w:val="es-ES"/>
        </w:rPr>
        <w:t xml:space="preserve"> (</w:t>
      </w:r>
      <w:proofErr w:type="spellStart"/>
      <w:r w:rsidRPr="00E70693">
        <w:rPr>
          <w:rFonts w:ascii="Arial" w:hAnsi="Arial" w:cs="Arial"/>
          <w:bCs/>
          <w:i/>
          <w:iCs/>
          <w:lang w:val="es-ES"/>
        </w:rPr>
        <w:t>Unikwas-Mulukukú</w:t>
      </w:r>
      <w:proofErr w:type="spellEnd"/>
      <w:r w:rsidRPr="00E70693">
        <w:rPr>
          <w:rFonts w:ascii="Arial" w:hAnsi="Arial" w:cs="Arial"/>
          <w:bCs/>
          <w:i/>
          <w:iCs/>
          <w:lang w:val="es-ES"/>
        </w:rPr>
        <w:t>) (Longitud total: 7 Km)</w:t>
      </w:r>
      <w:r w:rsidR="003322EC" w:rsidRPr="00E70693">
        <w:rPr>
          <w:rFonts w:ascii="Arial" w:hAnsi="Arial" w:cs="Arial"/>
        </w:rPr>
        <w:t>. Ejecutado por el MTI, comprend</w:t>
      </w:r>
      <w:r w:rsidRPr="00E70693">
        <w:rPr>
          <w:rFonts w:ascii="Arial" w:hAnsi="Arial" w:cs="Arial"/>
        </w:rPr>
        <w:t xml:space="preserve">ió: i) el diseño ejecutivo </w:t>
      </w:r>
      <w:r w:rsidR="00E91CA0" w:rsidRPr="00E70693">
        <w:rPr>
          <w:rFonts w:ascii="Arial" w:hAnsi="Arial" w:cs="Arial"/>
        </w:rPr>
        <w:t xml:space="preserve">y el </w:t>
      </w:r>
      <w:r w:rsidR="007645A8" w:rsidRPr="00E70693">
        <w:rPr>
          <w:rFonts w:ascii="Arial" w:hAnsi="Arial" w:cs="Arial"/>
        </w:rPr>
        <w:t>estudio de impacto ambiental</w:t>
      </w:r>
      <w:r w:rsidR="00E91CA0" w:rsidRPr="00E70693">
        <w:rPr>
          <w:rFonts w:ascii="Arial" w:hAnsi="Arial" w:cs="Arial"/>
        </w:rPr>
        <w:t>;</w:t>
      </w:r>
      <w:r w:rsidR="007645A8" w:rsidRPr="00E70693">
        <w:rPr>
          <w:rFonts w:ascii="Arial" w:hAnsi="Arial" w:cs="Arial"/>
        </w:rPr>
        <w:t xml:space="preserve"> </w:t>
      </w:r>
      <w:r w:rsidRPr="00E70693">
        <w:rPr>
          <w:rFonts w:ascii="Arial" w:hAnsi="Arial" w:cs="Arial"/>
        </w:rPr>
        <w:t xml:space="preserve">y ii) el mejoramiento </w:t>
      </w:r>
      <w:r w:rsidR="00E91CA0" w:rsidRPr="00E70693">
        <w:rPr>
          <w:rFonts w:ascii="Arial" w:hAnsi="Arial" w:cs="Arial"/>
        </w:rPr>
        <w:t xml:space="preserve">de la vía mediante la construcción de terracería, </w:t>
      </w:r>
      <w:r w:rsidRPr="00E70693">
        <w:rPr>
          <w:rFonts w:ascii="Arial" w:hAnsi="Arial" w:cs="Arial"/>
        </w:rPr>
        <w:t xml:space="preserve">base y pavimento de concreto hidráulico, </w:t>
      </w:r>
      <w:r w:rsidR="00E91CA0" w:rsidRPr="00E70693">
        <w:rPr>
          <w:rFonts w:ascii="Arial" w:hAnsi="Arial" w:cs="Arial"/>
        </w:rPr>
        <w:t xml:space="preserve">del </w:t>
      </w:r>
      <w:r w:rsidRPr="00E70693">
        <w:rPr>
          <w:rFonts w:ascii="Arial" w:hAnsi="Arial" w:cs="Arial"/>
        </w:rPr>
        <w:t xml:space="preserve">drenaje, </w:t>
      </w:r>
      <w:r w:rsidR="00E91CA0" w:rsidRPr="00E70693">
        <w:rPr>
          <w:rFonts w:ascii="Arial" w:hAnsi="Arial" w:cs="Arial"/>
        </w:rPr>
        <w:t xml:space="preserve">de la </w:t>
      </w:r>
      <w:r w:rsidRPr="00E70693">
        <w:rPr>
          <w:rFonts w:ascii="Arial" w:hAnsi="Arial" w:cs="Arial"/>
        </w:rPr>
        <w:t>señ</w:t>
      </w:r>
      <w:r w:rsidR="00E91CA0" w:rsidRPr="00E70693">
        <w:rPr>
          <w:rFonts w:ascii="Arial" w:hAnsi="Arial" w:cs="Arial"/>
        </w:rPr>
        <w:t>alización vertical y horizontal</w:t>
      </w:r>
      <w:r w:rsidRPr="00E70693">
        <w:rPr>
          <w:rFonts w:ascii="Arial" w:hAnsi="Arial" w:cs="Arial"/>
        </w:rPr>
        <w:t xml:space="preserve"> y la implementación de las medidas de mitigación </w:t>
      </w:r>
      <w:r w:rsidR="00E91CA0" w:rsidRPr="00E70693">
        <w:rPr>
          <w:rFonts w:ascii="Arial" w:hAnsi="Arial" w:cs="Arial"/>
        </w:rPr>
        <w:t>ambiental</w:t>
      </w:r>
      <w:r w:rsidR="003322EC" w:rsidRPr="00E70693">
        <w:rPr>
          <w:rFonts w:ascii="Arial" w:hAnsi="Arial" w:cs="Arial"/>
        </w:rPr>
        <w:t xml:space="preserve">. </w:t>
      </w:r>
      <w:r w:rsidR="00E91CA0" w:rsidRPr="00E70693">
        <w:rPr>
          <w:rFonts w:ascii="Arial" w:hAnsi="Arial" w:cs="Arial"/>
        </w:rPr>
        <w:t xml:space="preserve">Las obras se iniciaron en octubre de 2013. </w:t>
      </w:r>
      <w:r w:rsidR="0069712C" w:rsidRPr="00E70693">
        <w:rPr>
          <w:rFonts w:ascii="Arial" w:hAnsi="Arial" w:cs="Arial"/>
        </w:rPr>
        <w:t xml:space="preserve">Originalmente, dada la limitación de recursos financieros previstos en ese momento, se contrató una extensión de obra de 4 Km, pero posteriormente, al disponerse de más fondos del préstamo </w:t>
      </w:r>
      <w:r w:rsidR="00E91CA0" w:rsidRPr="00E70693">
        <w:rPr>
          <w:rFonts w:ascii="Arial" w:hAnsi="Arial" w:cs="Arial"/>
        </w:rPr>
        <w:t>2225/BL-NI</w:t>
      </w:r>
      <w:r w:rsidR="0069712C" w:rsidRPr="00E70693">
        <w:rPr>
          <w:rFonts w:ascii="Arial" w:hAnsi="Arial" w:cs="Arial"/>
        </w:rPr>
        <w:t>, se amplió el alcance en 3 Km más</w:t>
      </w:r>
      <w:r w:rsidR="00E91CA0" w:rsidRPr="00E70693">
        <w:rPr>
          <w:rFonts w:ascii="Arial" w:hAnsi="Arial" w:cs="Arial"/>
        </w:rPr>
        <w:t xml:space="preserve"> en el marco del contrato de </w:t>
      </w:r>
      <w:r w:rsidR="00E91CA0" w:rsidRPr="00E70693">
        <w:rPr>
          <w:rFonts w:ascii="Arial" w:hAnsi="Arial" w:cs="Arial"/>
          <w:i/>
        </w:rPr>
        <w:lastRenderedPageBreak/>
        <w:t>diseño &amp; construcción</w:t>
      </w:r>
      <w:r w:rsidR="00E91CA0" w:rsidRPr="00E70693">
        <w:rPr>
          <w:rFonts w:ascii="Arial" w:hAnsi="Arial" w:cs="Arial"/>
        </w:rPr>
        <w:t>,</w:t>
      </w:r>
      <w:r w:rsidR="0069712C" w:rsidRPr="00E70693">
        <w:rPr>
          <w:rFonts w:ascii="Arial" w:hAnsi="Arial" w:cs="Arial"/>
        </w:rPr>
        <w:t xml:space="preserve"> concluyendo la totalidad </w:t>
      </w:r>
      <w:r w:rsidR="00E91CA0" w:rsidRPr="00E70693">
        <w:rPr>
          <w:rFonts w:ascii="Arial" w:hAnsi="Arial" w:cs="Arial"/>
        </w:rPr>
        <w:t xml:space="preserve">de las obras </w:t>
      </w:r>
      <w:r w:rsidR="0069712C" w:rsidRPr="00E70693">
        <w:rPr>
          <w:rFonts w:ascii="Arial" w:hAnsi="Arial" w:cs="Arial"/>
        </w:rPr>
        <w:t>en enero de 2015.</w:t>
      </w:r>
      <w:r w:rsidR="003322EC" w:rsidRPr="00E70693">
        <w:rPr>
          <w:rFonts w:ascii="Arial" w:hAnsi="Arial" w:cs="Arial"/>
        </w:rPr>
        <w:t xml:space="preserve"> </w:t>
      </w:r>
    </w:p>
    <w:p w:rsidR="003322EC" w:rsidRPr="00E70693" w:rsidRDefault="003B0BA2" w:rsidP="003322EC">
      <w:pPr>
        <w:numPr>
          <w:ilvl w:val="1"/>
          <w:numId w:val="1"/>
        </w:numPr>
        <w:tabs>
          <w:tab w:val="clear" w:pos="360"/>
          <w:tab w:val="num" w:pos="709"/>
        </w:tabs>
        <w:spacing w:before="240"/>
        <w:ind w:left="709" w:hanging="709"/>
        <w:jc w:val="both"/>
        <w:rPr>
          <w:rFonts w:ascii="Arial" w:hAnsi="Arial" w:cs="Arial"/>
        </w:rPr>
      </w:pPr>
      <w:bookmarkStart w:id="16" w:name="_Ref419192678"/>
      <w:r w:rsidRPr="00E70693">
        <w:rPr>
          <w:rFonts w:ascii="Arial" w:hAnsi="Arial" w:cs="Arial"/>
        </w:rPr>
        <w:t>Con la finalización</w:t>
      </w:r>
      <w:r w:rsidR="0069712C" w:rsidRPr="00E70693">
        <w:rPr>
          <w:rFonts w:ascii="Arial" w:hAnsi="Arial" w:cs="Arial"/>
        </w:rPr>
        <w:t xml:space="preserve"> exitosa</w:t>
      </w:r>
      <w:r w:rsidRPr="00E70693">
        <w:rPr>
          <w:rFonts w:ascii="Arial" w:hAnsi="Arial" w:cs="Arial"/>
        </w:rPr>
        <w:t xml:space="preserve"> de este proyecto puede calificarse como satisfactoria la primera experiencia del MTI </w:t>
      </w:r>
      <w:r w:rsidR="0069712C" w:rsidRPr="00E70693">
        <w:rPr>
          <w:rFonts w:ascii="Arial" w:hAnsi="Arial" w:cs="Arial"/>
        </w:rPr>
        <w:t>en la aplicación de la modalidad</w:t>
      </w:r>
      <w:r w:rsidR="00D86A03" w:rsidRPr="00E70693">
        <w:rPr>
          <w:rFonts w:ascii="Arial" w:hAnsi="Arial" w:cs="Arial"/>
        </w:rPr>
        <w:t xml:space="preserve"> de contrato</w:t>
      </w:r>
      <w:r w:rsidR="0069712C" w:rsidRPr="00E70693">
        <w:rPr>
          <w:rFonts w:ascii="Arial" w:hAnsi="Arial" w:cs="Arial"/>
        </w:rPr>
        <w:t xml:space="preserve"> </w:t>
      </w:r>
      <w:r w:rsidR="0069712C" w:rsidRPr="00E70693">
        <w:rPr>
          <w:rFonts w:ascii="Arial" w:hAnsi="Arial" w:cs="Arial"/>
          <w:i/>
        </w:rPr>
        <w:t>diseño &amp; construcción</w:t>
      </w:r>
      <w:r w:rsidR="000F759B" w:rsidRPr="00E70693">
        <w:rPr>
          <w:rStyle w:val="FootnoteReference"/>
          <w:rFonts w:ascii="Arial" w:hAnsi="Arial" w:cs="Arial"/>
          <w:i/>
        </w:rPr>
        <w:footnoteReference w:id="4"/>
      </w:r>
      <w:r w:rsidR="0069712C" w:rsidRPr="00E70693">
        <w:rPr>
          <w:rFonts w:ascii="Arial" w:hAnsi="Arial" w:cs="Arial"/>
        </w:rPr>
        <w:t xml:space="preserve">, a punto que seguidamente </w:t>
      </w:r>
      <w:r w:rsidR="00E91CA0" w:rsidRPr="00E70693">
        <w:rPr>
          <w:rFonts w:ascii="Arial" w:hAnsi="Arial" w:cs="Arial"/>
        </w:rPr>
        <w:t>la Institución</w:t>
      </w:r>
      <w:r w:rsidR="0069712C" w:rsidRPr="00E70693">
        <w:rPr>
          <w:rFonts w:ascii="Arial" w:hAnsi="Arial" w:cs="Arial"/>
        </w:rPr>
        <w:t xml:space="preserve"> contrató otra obra sobre la misma carretera Río Blanco-</w:t>
      </w:r>
      <w:proofErr w:type="spellStart"/>
      <w:r w:rsidR="0069712C" w:rsidRPr="00E70693">
        <w:rPr>
          <w:rFonts w:ascii="Arial" w:hAnsi="Arial" w:cs="Arial"/>
        </w:rPr>
        <w:t>Siuna</w:t>
      </w:r>
      <w:proofErr w:type="spellEnd"/>
      <w:r w:rsidR="0069712C" w:rsidRPr="00E70693">
        <w:rPr>
          <w:rFonts w:ascii="Arial" w:hAnsi="Arial" w:cs="Arial"/>
        </w:rPr>
        <w:t>-</w:t>
      </w:r>
      <w:proofErr w:type="spellStart"/>
      <w:r w:rsidR="0069712C" w:rsidRPr="00E70693">
        <w:rPr>
          <w:rFonts w:ascii="Arial" w:hAnsi="Arial" w:cs="Arial"/>
        </w:rPr>
        <w:t>Bilwi</w:t>
      </w:r>
      <w:proofErr w:type="spellEnd"/>
      <w:r w:rsidR="00C23378" w:rsidRPr="00E70693">
        <w:rPr>
          <w:rStyle w:val="FootnoteReference"/>
          <w:rFonts w:ascii="Arial" w:hAnsi="Arial" w:cs="Arial"/>
        </w:rPr>
        <w:footnoteReference w:id="5"/>
      </w:r>
      <w:r w:rsidR="0069712C" w:rsidRPr="00E70693">
        <w:rPr>
          <w:rFonts w:ascii="Arial" w:hAnsi="Arial" w:cs="Arial"/>
        </w:rPr>
        <w:t xml:space="preserve"> en la misma modalidad, con financiamiento del Banco Centroamericano de Integración Económica (BCIE).</w:t>
      </w:r>
      <w:bookmarkEnd w:id="16"/>
    </w:p>
    <w:p w:rsidR="00B9153C" w:rsidRPr="00E70693" w:rsidRDefault="00B9153C" w:rsidP="00B9153C">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b/>
        </w:rPr>
        <w:t>3353/BL-NI Conectividad Vial de las Costa Atlántica (NI-L1087)</w:t>
      </w:r>
      <w:r w:rsidRPr="00E70693">
        <w:rPr>
          <w:rFonts w:ascii="Arial" w:hAnsi="Arial" w:cs="Arial"/>
        </w:rPr>
        <w:t>. Esta operación</w:t>
      </w:r>
      <w:r w:rsidR="003322EC" w:rsidRPr="00E70693">
        <w:rPr>
          <w:rFonts w:ascii="Arial" w:hAnsi="Arial" w:cs="Arial"/>
        </w:rPr>
        <w:t xml:space="preserve"> </w:t>
      </w:r>
      <w:r w:rsidR="00E91CA0" w:rsidRPr="00E70693">
        <w:rPr>
          <w:rFonts w:ascii="Arial" w:hAnsi="Arial" w:cs="Arial"/>
        </w:rPr>
        <w:t>será</w:t>
      </w:r>
      <w:r w:rsidRPr="00E70693">
        <w:rPr>
          <w:rFonts w:ascii="Arial" w:hAnsi="Arial" w:cs="Arial"/>
        </w:rPr>
        <w:t xml:space="preserve"> ejecutada por el MTI </w:t>
      </w:r>
      <w:r w:rsidR="003322EC" w:rsidRPr="00E70693">
        <w:rPr>
          <w:rFonts w:ascii="Arial" w:hAnsi="Arial" w:cs="Arial"/>
        </w:rPr>
        <w:t xml:space="preserve">y </w:t>
      </w:r>
      <w:r w:rsidRPr="00E70693">
        <w:rPr>
          <w:rFonts w:ascii="Arial" w:hAnsi="Arial" w:cs="Arial"/>
        </w:rPr>
        <w:t>comprende el proyecto específico “</w:t>
      </w:r>
      <w:r w:rsidRPr="00E70693">
        <w:rPr>
          <w:rFonts w:ascii="Arial" w:hAnsi="Arial" w:cs="Arial"/>
          <w:bCs/>
          <w:i/>
          <w:iCs/>
          <w:lang w:val="es-ES"/>
        </w:rPr>
        <w:t>Mejoramiento del Camino Rural Naciones Unidas - Km 46+100, Sector de San Francisco</w:t>
      </w:r>
      <w:r w:rsidRPr="00E70693">
        <w:rPr>
          <w:rFonts w:ascii="Arial" w:hAnsi="Arial" w:cs="Arial"/>
        </w:rPr>
        <w:t>”.</w:t>
      </w:r>
      <w:r w:rsidR="003322EC" w:rsidRPr="00E70693">
        <w:rPr>
          <w:rFonts w:ascii="Arial" w:hAnsi="Arial" w:cs="Arial"/>
        </w:rPr>
        <w:t xml:space="preserve"> L</w:t>
      </w:r>
      <w:r w:rsidRPr="00E70693">
        <w:rPr>
          <w:rFonts w:ascii="Arial" w:hAnsi="Arial" w:cs="Arial"/>
        </w:rPr>
        <w:t xml:space="preserve">os ejecutores ya han avanzado en la elaboración de los documentos de licitación y se prevé el inicio de la obra a </w:t>
      </w:r>
      <w:r w:rsidR="003322EC" w:rsidRPr="00E70693">
        <w:rPr>
          <w:rFonts w:ascii="Arial" w:hAnsi="Arial" w:cs="Arial"/>
        </w:rPr>
        <w:t>fines</w:t>
      </w:r>
      <w:r w:rsidRPr="00E70693">
        <w:rPr>
          <w:rFonts w:ascii="Arial" w:hAnsi="Arial" w:cs="Arial"/>
        </w:rPr>
        <w:t xml:space="preserve"> del 2015.</w:t>
      </w:r>
    </w:p>
    <w:p w:rsidR="00B9153C" w:rsidRPr="00E70693" w:rsidRDefault="00B9153C" w:rsidP="00B9153C">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bCs/>
          <w:i/>
          <w:iCs/>
          <w:lang w:val="es-ES"/>
        </w:rPr>
        <w:t>Mejoramiento del Camino Rural Naciones Unidas - Km 46+100, Sector de San Francisco</w:t>
      </w:r>
      <w:r w:rsidRPr="00E70693">
        <w:rPr>
          <w:rFonts w:ascii="Arial" w:hAnsi="Arial" w:cs="Arial"/>
        </w:rPr>
        <w:t xml:space="preserve">. A ser licitado en dos tramos, comprende </w:t>
      </w:r>
      <w:r w:rsidRPr="00E70693">
        <w:rPr>
          <w:rFonts w:ascii="Arial" w:hAnsi="Arial" w:cs="Arial"/>
          <w:lang w:val="es-MX"/>
        </w:rPr>
        <w:t>el mejoramiento de un camino rural mediante la ejecución de una estructura de pavimento formada por una base triturada tratada con cemento y una capa de rodadura constituida por una losa de concreto hidráulico. También se incluyen obras de drenaje y puentes, señalización horizontal y vertical y obras de mitigación ambiental</w:t>
      </w:r>
      <w:r w:rsidRPr="00E70693">
        <w:rPr>
          <w:rFonts w:ascii="Arial" w:hAnsi="Arial" w:cs="Arial"/>
        </w:rPr>
        <w:t xml:space="preserve">. El diseño fue </w:t>
      </w:r>
      <w:r w:rsidR="00926725" w:rsidRPr="00E70693">
        <w:rPr>
          <w:rFonts w:ascii="Arial" w:hAnsi="Arial" w:cs="Arial"/>
        </w:rPr>
        <w:t>contratado</w:t>
      </w:r>
      <w:r w:rsidRPr="00E70693">
        <w:rPr>
          <w:rFonts w:ascii="Arial" w:hAnsi="Arial" w:cs="Arial"/>
        </w:rPr>
        <w:t xml:space="preserve"> por el MTI</w:t>
      </w:r>
      <w:r w:rsidR="00926725" w:rsidRPr="00E70693">
        <w:rPr>
          <w:rStyle w:val="FootnoteReference"/>
          <w:rFonts w:ascii="Arial" w:hAnsi="Arial" w:cs="Arial"/>
        </w:rPr>
        <w:footnoteReference w:id="6"/>
      </w:r>
      <w:r w:rsidRPr="00E70693">
        <w:rPr>
          <w:rFonts w:ascii="Arial" w:hAnsi="Arial" w:cs="Arial"/>
        </w:rPr>
        <w:t xml:space="preserve"> </w:t>
      </w:r>
      <w:r w:rsidR="003322EC" w:rsidRPr="00E70693">
        <w:rPr>
          <w:rFonts w:ascii="Arial" w:hAnsi="Arial" w:cs="Arial"/>
        </w:rPr>
        <w:t xml:space="preserve">y </w:t>
      </w:r>
      <w:r w:rsidR="00E91CA0" w:rsidRPr="00E70693">
        <w:rPr>
          <w:rFonts w:ascii="Arial" w:hAnsi="Arial" w:cs="Arial"/>
        </w:rPr>
        <w:t>actualmente es revisado</w:t>
      </w:r>
      <w:r w:rsidR="003322EC" w:rsidRPr="00E70693">
        <w:rPr>
          <w:rFonts w:ascii="Arial" w:hAnsi="Arial" w:cs="Arial"/>
        </w:rPr>
        <w:t xml:space="preserve"> por el Asesor Técnico </w:t>
      </w:r>
      <w:r w:rsidR="00E91CA0" w:rsidRPr="00E70693">
        <w:rPr>
          <w:rFonts w:ascii="Arial" w:hAnsi="Arial" w:cs="Arial"/>
        </w:rPr>
        <w:t>contratado para asesoramiento experto a la Institución en la ejecución de este proyecto</w:t>
      </w:r>
      <w:r w:rsidRPr="00E70693">
        <w:rPr>
          <w:rFonts w:ascii="Arial" w:hAnsi="Arial" w:cs="Arial"/>
        </w:rPr>
        <w:t>.</w:t>
      </w:r>
    </w:p>
    <w:p w:rsidR="00937781" w:rsidRPr="00E70693" w:rsidRDefault="00157CF8" w:rsidP="00D94F16">
      <w:pPr>
        <w:pStyle w:val="Heading1"/>
        <w:rPr>
          <w:rFonts w:ascii="Arial" w:hAnsi="Arial" w:cs="Arial"/>
        </w:rPr>
      </w:pPr>
      <w:bookmarkStart w:id="17" w:name="_Toc419462928"/>
      <w:bookmarkStart w:id="18" w:name="_Toc419463177"/>
      <w:bookmarkStart w:id="19" w:name="_Toc422154436"/>
      <w:bookmarkEnd w:id="17"/>
      <w:bookmarkEnd w:id="18"/>
      <w:r w:rsidRPr="00E70693">
        <w:rPr>
          <w:rFonts w:ascii="Arial" w:hAnsi="Arial" w:cs="Arial"/>
        </w:rPr>
        <w:t xml:space="preserve">La ejecución de proyectos </w:t>
      </w:r>
      <w:r w:rsidR="006B3026" w:rsidRPr="00E70693">
        <w:rPr>
          <w:rFonts w:ascii="Arial" w:hAnsi="Arial" w:cs="Arial"/>
        </w:rPr>
        <w:t xml:space="preserve">viales </w:t>
      </w:r>
      <w:r w:rsidRPr="00E70693">
        <w:rPr>
          <w:rFonts w:ascii="Arial" w:hAnsi="Arial" w:cs="Arial"/>
        </w:rPr>
        <w:t xml:space="preserve">en </w:t>
      </w:r>
      <w:r w:rsidR="006B3026" w:rsidRPr="00E70693">
        <w:rPr>
          <w:rFonts w:ascii="Arial" w:hAnsi="Arial" w:cs="Arial"/>
        </w:rPr>
        <w:t xml:space="preserve">la </w:t>
      </w:r>
      <w:r w:rsidR="00076426" w:rsidRPr="00E70693">
        <w:rPr>
          <w:rFonts w:ascii="Arial" w:hAnsi="Arial" w:cs="Arial"/>
        </w:rPr>
        <w:t>C</w:t>
      </w:r>
      <w:r w:rsidR="006B3026" w:rsidRPr="00E70693">
        <w:rPr>
          <w:rFonts w:ascii="Arial" w:hAnsi="Arial" w:cs="Arial"/>
        </w:rPr>
        <w:t xml:space="preserve">osta </w:t>
      </w:r>
      <w:r w:rsidR="00784A10" w:rsidRPr="00E70693">
        <w:rPr>
          <w:rFonts w:ascii="Arial" w:hAnsi="Arial" w:cs="Arial"/>
        </w:rPr>
        <w:t xml:space="preserve">Caribe </w:t>
      </w:r>
      <w:r w:rsidR="005B302B" w:rsidRPr="00E70693">
        <w:rPr>
          <w:rFonts w:ascii="Arial" w:hAnsi="Arial" w:cs="Arial"/>
        </w:rPr>
        <w:t>y en Jinotega</w:t>
      </w:r>
      <w:r w:rsidR="00937781" w:rsidRPr="00E70693">
        <w:rPr>
          <w:rFonts w:ascii="Arial" w:hAnsi="Arial" w:cs="Arial"/>
        </w:rPr>
        <w:t>.</w:t>
      </w:r>
      <w:bookmarkEnd w:id="19"/>
    </w:p>
    <w:p w:rsidR="00467B9F" w:rsidRPr="00E70693" w:rsidRDefault="00467B9F" w:rsidP="00467B9F">
      <w:pPr>
        <w:pStyle w:val="ListParagraph"/>
        <w:numPr>
          <w:ilvl w:val="0"/>
          <w:numId w:val="1"/>
        </w:numPr>
        <w:spacing w:before="240" w:after="0" w:line="240" w:lineRule="auto"/>
        <w:contextualSpacing w:val="0"/>
        <w:jc w:val="both"/>
        <w:rPr>
          <w:rFonts w:ascii="Arial" w:eastAsia="Times New Roman" w:hAnsi="Arial" w:cs="Arial"/>
          <w:vanish/>
          <w:sz w:val="24"/>
          <w:szCs w:val="20"/>
          <w:lang w:val="es-ES_tradnl" w:eastAsia="en-US"/>
        </w:rPr>
      </w:pPr>
    </w:p>
    <w:p w:rsidR="00937781" w:rsidRPr="00E70693" w:rsidRDefault="00157CF8" w:rsidP="00DF3FFF">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rPr>
        <w:t xml:space="preserve">El MTI está ejecutando varios proyectos </w:t>
      </w:r>
      <w:r w:rsidR="006B3026" w:rsidRPr="00E70693">
        <w:rPr>
          <w:rFonts w:ascii="Arial" w:hAnsi="Arial" w:cs="Arial"/>
        </w:rPr>
        <w:t xml:space="preserve">viales </w:t>
      </w:r>
      <w:r w:rsidRPr="00E70693">
        <w:rPr>
          <w:rFonts w:ascii="Arial" w:hAnsi="Arial" w:cs="Arial"/>
        </w:rPr>
        <w:t xml:space="preserve">en la </w:t>
      </w:r>
      <w:r w:rsidR="00076426" w:rsidRPr="00E70693">
        <w:rPr>
          <w:rFonts w:ascii="Arial" w:hAnsi="Arial" w:cs="Arial"/>
        </w:rPr>
        <w:t xml:space="preserve">Región Autónoma </w:t>
      </w:r>
      <w:r w:rsidR="00D86A03" w:rsidRPr="00E70693">
        <w:rPr>
          <w:rFonts w:ascii="Arial" w:hAnsi="Arial" w:cs="Arial"/>
        </w:rPr>
        <w:t xml:space="preserve">Costa </w:t>
      </w:r>
      <w:r w:rsidR="00B9153C" w:rsidRPr="00E70693">
        <w:rPr>
          <w:rFonts w:ascii="Arial" w:hAnsi="Arial" w:cs="Arial"/>
        </w:rPr>
        <w:t>Caribe Norte</w:t>
      </w:r>
      <w:r w:rsidR="00076426" w:rsidRPr="00E70693">
        <w:rPr>
          <w:rFonts w:ascii="Arial" w:hAnsi="Arial" w:cs="Arial"/>
        </w:rPr>
        <w:t xml:space="preserve"> (</w:t>
      </w:r>
      <w:r w:rsidR="00B9153C" w:rsidRPr="00E70693">
        <w:rPr>
          <w:rFonts w:ascii="Arial" w:hAnsi="Arial" w:cs="Arial"/>
        </w:rPr>
        <w:t>RA</w:t>
      </w:r>
      <w:r w:rsidR="00D86A03" w:rsidRPr="00E70693">
        <w:rPr>
          <w:rFonts w:ascii="Arial" w:hAnsi="Arial" w:cs="Arial"/>
        </w:rPr>
        <w:t>C</w:t>
      </w:r>
      <w:r w:rsidR="00B9153C" w:rsidRPr="00E70693">
        <w:rPr>
          <w:rFonts w:ascii="Arial" w:hAnsi="Arial" w:cs="Arial"/>
        </w:rPr>
        <w:t>CN</w:t>
      </w:r>
      <w:r w:rsidR="00076426" w:rsidRPr="00E70693">
        <w:rPr>
          <w:rFonts w:ascii="Arial" w:hAnsi="Arial" w:cs="Arial"/>
        </w:rPr>
        <w:t>)</w:t>
      </w:r>
      <w:r w:rsidR="003322EC" w:rsidRPr="00E70693">
        <w:rPr>
          <w:rFonts w:ascii="Arial" w:hAnsi="Arial" w:cs="Arial"/>
        </w:rPr>
        <w:t xml:space="preserve">, </w:t>
      </w:r>
      <w:r w:rsidRPr="00E70693">
        <w:rPr>
          <w:rFonts w:ascii="Arial" w:hAnsi="Arial" w:cs="Arial"/>
        </w:rPr>
        <w:t>en la</w:t>
      </w:r>
      <w:r w:rsidR="00076426" w:rsidRPr="00E70693">
        <w:rPr>
          <w:rFonts w:ascii="Arial" w:hAnsi="Arial" w:cs="Arial"/>
        </w:rPr>
        <w:t xml:space="preserve"> Región Autónoma </w:t>
      </w:r>
      <w:r w:rsidR="003322EC" w:rsidRPr="00E70693">
        <w:rPr>
          <w:rFonts w:ascii="Arial" w:hAnsi="Arial" w:cs="Arial"/>
        </w:rPr>
        <w:t xml:space="preserve">Costa Caribe Sur </w:t>
      </w:r>
      <w:r w:rsidR="00076426" w:rsidRPr="00E70693">
        <w:rPr>
          <w:rFonts w:ascii="Arial" w:hAnsi="Arial" w:cs="Arial"/>
        </w:rPr>
        <w:t>(</w:t>
      </w:r>
      <w:r w:rsidR="003322EC" w:rsidRPr="00E70693">
        <w:rPr>
          <w:rFonts w:ascii="Arial" w:hAnsi="Arial" w:cs="Arial"/>
        </w:rPr>
        <w:t>RA</w:t>
      </w:r>
      <w:r w:rsidR="00D86A03" w:rsidRPr="00E70693">
        <w:rPr>
          <w:rFonts w:ascii="Arial" w:hAnsi="Arial" w:cs="Arial"/>
        </w:rPr>
        <w:t>CC</w:t>
      </w:r>
      <w:r w:rsidR="003322EC" w:rsidRPr="00E70693">
        <w:rPr>
          <w:rFonts w:ascii="Arial" w:hAnsi="Arial" w:cs="Arial"/>
        </w:rPr>
        <w:t>S</w:t>
      </w:r>
      <w:r w:rsidR="00076426" w:rsidRPr="00E70693">
        <w:rPr>
          <w:rFonts w:ascii="Arial" w:hAnsi="Arial" w:cs="Arial"/>
        </w:rPr>
        <w:t>)</w:t>
      </w:r>
      <w:r w:rsidR="003322EC" w:rsidRPr="00E70693">
        <w:rPr>
          <w:rFonts w:ascii="Arial" w:hAnsi="Arial" w:cs="Arial"/>
        </w:rPr>
        <w:t xml:space="preserve"> y en el departamento de Jinotega</w:t>
      </w:r>
      <w:r w:rsidRPr="00E70693">
        <w:rPr>
          <w:rFonts w:ascii="Arial" w:hAnsi="Arial" w:cs="Arial"/>
        </w:rPr>
        <w:t>.</w:t>
      </w:r>
      <w:r w:rsidR="00076426" w:rsidRPr="00E70693">
        <w:rPr>
          <w:rFonts w:ascii="Arial" w:hAnsi="Arial" w:cs="Arial"/>
        </w:rPr>
        <w:t xml:space="preserve"> </w:t>
      </w:r>
      <w:r w:rsidRPr="00E70693">
        <w:rPr>
          <w:rFonts w:ascii="Arial" w:hAnsi="Arial" w:cs="Arial"/>
        </w:rPr>
        <w:t xml:space="preserve">Seguidamente se describen las intervenciones del MTI tanto en la </w:t>
      </w:r>
      <w:r w:rsidR="00D86A03" w:rsidRPr="00E70693">
        <w:rPr>
          <w:rFonts w:ascii="Arial" w:hAnsi="Arial" w:cs="Arial"/>
        </w:rPr>
        <w:t>RACCN,</w:t>
      </w:r>
      <w:r w:rsidRPr="00E70693">
        <w:rPr>
          <w:rFonts w:ascii="Arial" w:hAnsi="Arial" w:cs="Arial"/>
        </w:rPr>
        <w:t xml:space="preserve"> </w:t>
      </w:r>
      <w:r w:rsidR="00D86A03" w:rsidRPr="00E70693">
        <w:rPr>
          <w:rFonts w:ascii="Arial" w:hAnsi="Arial" w:cs="Arial"/>
        </w:rPr>
        <w:t xml:space="preserve">en </w:t>
      </w:r>
      <w:r w:rsidR="000500BE" w:rsidRPr="00E70693">
        <w:rPr>
          <w:rFonts w:ascii="Arial" w:hAnsi="Arial" w:cs="Arial"/>
        </w:rPr>
        <w:t xml:space="preserve">la </w:t>
      </w:r>
      <w:r w:rsidR="00D86A03" w:rsidRPr="00E70693">
        <w:rPr>
          <w:rFonts w:ascii="Arial" w:hAnsi="Arial" w:cs="Arial"/>
        </w:rPr>
        <w:t>RACCS y en Jinotega</w:t>
      </w:r>
      <w:r w:rsidR="00937781" w:rsidRPr="00E70693">
        <w:rPr>
          <w:rFonts w:ascii="Arial" w:hAnsi="Arial" w:cs="Arial"/>
        </w:rPr>
        <w:t>.</w:t>
      </w:r>
    </w:p>
    <w:p w:rsidR="003C7601" w:rsidRPr="00E70693" w:rsidRDefault="00157CF8" w:rsidP="00282835">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b/>
        </w:rPr>
        <w:t xml:space="preserve">Los proyectos en la </w:t>
      </w:r>
      <w:r w:rsidR="0005759E" w:rsidRPr="00E70693">
        <w:rPr>
          <w:rFonts w:ascii="Arial" w:hAnsi="Arial" w:cs="Arial"/>
          <w:b/>
        </w:rPr>
        <w:t>RACCN</w:t>
      </w:r>
      <w:r w:rsidRPr="00E70693">
        <w:rPr>
          <w:rFonts w:ascii="Arial" w:hAnsi="Arial" w:cs="Arial"/>
        </w:rPr>
        <w:t xml:space="preserve">. </w:t>
      </w:r>
      <w:r w:rsidR="0054538C" w:rsidRPr="00E70693">
        <w:rPr>
          <w:rFonts w:ascii="Arial" w:hAnsi="Arial" w:cs="Arial"/>
        </w:rPr>
        <w:t>La actividad social y económica de esta región se desarrolla sobre el corredor</w:t>
      </w:r>
      <w:r w:rsidR="006B3026" w:rsidRPr="00E70693">
        <w:rPr>
          <w:rFonts w:ascii="Arial" w:hAnsi="Arial" w:cs="Arial"/>
        </w:rPr>
        <w:t>, de 338 km de extensión,</w:t>
      </w:r>
      <w:r w:rsidR="0054538C" w:rsidRPr="00E70693">
        <w:rPr>
          <w:rFonts w:ascii="Arial" w:hAnsi="Arial" w:cs="Arial"/>
        </w:rPr>
        <w:t xml:space="preserve"> Río Blanco</w:t>
      </w:r>
      <w:r w:rsidR="000500BE" w:rsidRPr="00E70693">
        <w:rPr>
          <w:rFonts w:ascii="Arial" w:hAnsi="Arial" w:cs="Arial"/>
        </w:rPr>
        <w:t>-</w:t>
      </w:r>
      <w:proofErr w:type="spellStart"/>
      <w:r w:rsidR="000500BE" w:rsidRPr="00E70693">
        <w:rPr>
          <w:rFonts w:ascii="Arial" w:hAnsi="Arial" w:cs="Arial"/>
        </w:rPr>
        <w:t>Siuna</w:t>
      </w:r>
      <w:proofErr w:type="spellEnd"/>
      <w:r w:rsidR="000500BE" w:rsidRPr="00E70693">
        <w:rPr>
          <w:rFonts w:ascii="Arial" w:hAnsi="Arial" w:cs="Arial"/>
        </w:rPr>
        <w:t>-</w:t>
      </w:r>
      <w:r w:rsidR="0054538C" w:rsidRPr="00E70693">
        <w:rPr>
          <w:rFonts w:ascii="Arial" w:hAnsi="Arial" w:cs="Arial"/>
        </w:rPr>
        <w:t>Puerto Cabezas (</w:t>
      </w:r>
      <w:proofErr w:type="spellStart"/>
      <w:r w:rsidR="0054538C" w:rsidRPr="00E70693">
        <w:rPr>
          <w:rFonts w:ascii="Arial" w:hAnsi="Arial" w:cs="Arial"/>
        </w:rPr>
        <w:t>Bilwi</w:t>
      </w:r>
      <w:proofErr w:type="spellEnd"/>
      <w:r w:rsidR="0054538C" w:rsidRPr="00E70693">
        <w:rPr>
          <w:rFonts w:ascii="Arial" w:hAnsi="Arial" w:cs="Arial"/>
        </w:rPr>
        <w:t>),</w:t>
      </w:r>
      <w:r w:rsidR="006B3026" w:rsidRPr="00E70693">
        <w:rPr>
          <w:rFonts w:ascii="Arial" w:hAnsi="Arial" w:cs="Arial"/>
        </w:rPr>
        <w:t xml:space="preserve"> </w:t>
      </w:r>
      <w:r w:rsidR="0054538C" w:rsidRPr="00E70693">
        <w:rPr>
          <w:rFonts w:ascii="Arial" w:hAnsi="Arial" w:cs="Arial"/>
        </w:rPr>
        <w:t>siendo esta última la</w:t>
      </w:r>
      <w:r w:rsidRPr="00E70693">
        <w:rPr>
          <w:rFonts w:ascii="Arial" w:hAnsi="Arial" w:cs="Arial"/>
        </w:rPr>
        <w:t xml:space="preserve"> capital </w:t>
      </w:r>
      <w:r w:rsidR="0054538C" w:rsidRPr="00E70693">
        <w:rPr>
          <w:rFonts w:ascii="Arial" w:hAnsi="Arial" w:cs="Arial"/>
        </w:rPr>
        <w:t xml:space="preserve">regional ubicada sobre la costa Atlántica. La carretera </w:t>
      </w:r>
      <w:r w:rsidR="006B3026" w:rsidRPr="00E70693">
        <w:rPr>
          <w:rFonts w:ascii="Arial" w:hAnsi="Arial" w:cs="Arial"/>
        </w:rPr>
        <w:t xml:space="preserve">sin pavimento </w:t>
      </w:r>
      <w:r w:rsidR="0054538C" w:rsidRPr="00E70693">
        <w:rPr>
          <w:rFonts w:ascii="Arial" w:hAnsi="Arial" w:cs="Arial"/>
        </w:rPr>
        <w:t>fue construida a finales de la década de los años 70</w:t>
      </w:r>
      <w:r w:rsidR="00282835" w:rsidRPr="00E70693">
        <w:rPr>
          <w:rFonts w:ascii="Arial" w:hAnsi="Arial" w:cs="Arial"/>
        </w:rPr>
        <w:t xml:space="preserve"> con fondos del BID</w:t>
      </w:r>
      <w:r w:rsidR="0054538C" w:rsidRPr="00E70693">
        <w:rPr>
          <w:rFonts w:ascii="Arial" w:hAnsi="Arial" w:cs="Arial"/>
        </w:rPr>
        <w:t>, posteriormente y hasta los años 90 tuvo un deficiente mantenimiento vial. Recién a partir de 2004</w:t>
      </w:r>
      <w:r w:rsidR="00282835" w:rsidRPr="00E70693">
        <w:rPr>
          <w:rFonts w:ascii="Arial" w:hAnsi="Arial" w:cs="Arial"/>
        </w:rPr>
        <w:t>,</w:t>
      </w:r>
      <w:r w:rsidR="0054538C" w:rsidRPr="00E70693">
        <w:rPr>
          <w:rFonts w:ascii="Arial" w:hAnsi="Arial" w:cs="Arial"/>
        </w:rPr>
        <w:t xml:space="preserve"> mediante la cooperación danesa</w:t>
      </w:r>
      <w:r w:rsidR="00282835" w:rsidRPr="00E70693">
        <w:rPr>
          <w:rFonts w:ascii="Arial" w:hAnsi="Arial" w:cs="Arial"/>
        </w:rPr>
        <w:t>,</w:t>
      </w:r>
      <w:r w:rsidR="0054538C" w:rsidRPr="00E70693">
        <w:rPr>
          <w:rFonts w:ascii="Arial" w:hAnsi="Arial" w:cs="Arial"/>
        </w:rPr>
        <w:t xml:space="preserve"> y </w:t>
      </w:r>
      <w:r w:rsidR="00282835" w:rsidRPr="00E70693">
        <w:rPr>
          <w:rFonts w:ascii="Arial" w:hAnsi="Arial" w:cs="Arial"/>
        </w:rPr>
        <w:t xml:space="preserve">en el 2006, con fondos del </w:t>
      </w:r>
      <w:r w:rsidR="00282835" w:rsidRPr="00E70693">
        <w:rPr>
          <w:rFonts w:ascii="Arial" w:hAnsi="Arial" w:cs="Arial"/>
          <w:lang w:val="es-NI"/>
        </w:rPr>
        <w:t>Banco Centroamericano de Integración Económica (BCIE), se continuó la inversión en este tramo bajo la modalidad de mejoras puntuales. El año 2008, con una visión de brindar una solución permanente, el Gobierno de Nicaragua obtuvo más fondos del BCIE para encarar la pavimentación del corredor</w:t>
      </w:r>
      <w:r w:rsidR="003C7601" w:rsidRPr="00E70693">
        <w:rPr>
          <w:rFonts w:ascii="Arial" w:hAnsi="Arial" w:cs="Arial"/>
          <w:lang w:val="es-NI"/>
        </w:rPr>
        <w:t xml:space="preserve"> con concreto hidráulico</w:t>
      </w:r>
      <w:r w:rsidR="00282835" w:rsidRPr="00E70693">
        <w:rPr>
          <w:rFonts w:ascii="Arial" w:hAnsi="Arial" w:cs="Arial"/>
          <w:lang w:val="es-NI"/>
        </w:rPr>
        <w:t xml:space="preserve">, </w:t>
      </w:r>
      <w:r w:rsidR="00282835" w:rsidRPr="00E70693">
        <w:rPr>
          <w:rFonts w:ascii="Arial" w:hAnsi="Arial" w:cs="Arial"/>
          <w:lang w:val="es-NI"/>
        </w:rPr>
        <w:lastRenderedPageBreak/>
        <w:t>iniciándose un programa de inversiones</w:t>
      </w:r>
      <w:r w:rsidR="004915CC" w:rsidRPr="00E70693">
        <w:rPr>
          <w:rStyle w:val="FootnoteReference"/>
          <w:rFonts w:ascii="Arial" w:hAnsi="Arial" w:cs="Arial"/>
          <w:lang w:val="es-NI"/>
        </w:rPr>
        <w:footnoteReference w:id="7"/>
      </w:r>
      <w:r w:rsidR="00282835" w:rsidRPr="00E70693">
        <w:rPr>
          <w:rFonts w:ascii="Arial" w:hAnsi="Arial" w:cs="Arial"/>
          <w:lang w:val="es-NI"/>
        </w:rPr>
        <w:t xml:space="preserve"> que en su primera etapa abarcó 16 km. En </w:t>
      </w:r>
      <w:r w:rsidR="0005759E" w:rsidRPr="00E70693">
        <w:rPr>
          <w:rFonts w:ascii="Arial" w:hAnsi="Arial" w:cs="Arial"/>
          <w:lang w:val="es-NI"/>
        </w:rPr>
        <w:t>enero de 2015</w:t>
      </w:r>
      <w:r w:rsidR="00282835" w:rsidRPr="00E70693">
        <w:rPr>
          <w:rFonts w:ascii="Arial" w:hAnsi="Arial" w:cs="Arial"/>
          <w:lang w:val="es-NI"/>
        </w:rPr>
        <w:t xml:space="preserve">, con fondos BID del contrato de préstamo N° 2225/BL-NI, </w:t>
      </w:r>
      <w:r w:rsidR="0005759E" w:rsidRPr="00E70693">
        <w:rPr>
          <w:rFonts w:ascii="Arial" w:hAnsi="Arial" w:cs="Arial"/>
          <w:lang w:val="es-NI"/>
        </w:rPr>
        <w:t>concluyó</w:t>
      </w:r>
      <w:r w:rsidR="00282835" w:rsidRPr="00E70693">
        <w:rPr>
          <w:rFonts w:ascii="Arial" w:hAnsi="Arial" w:cs="Arial"/>
          <w:lang w:val="es-NI"/>
        </w:rPr>
        <w:t xml:space="preserve"> la pavimentación de otros 7 km desde el Km 235 al Km 242, </w:t>
      </w:r>
      <w:r w:rsidR="006B3026" w:rsidRPr="00E70693">
        <w:rPr>
          <w:rFonts w:ascii="Arial" w:hAnsi="Arial" w:cs="Arial"/>
          <w:lang w:val="es-NI"/>
        </w:rPr>
        <w:t>donde se ubica</w:t>
      </w:r>
      <w:r w:rsidR="004915CC" w:rsidRPr="00E70693">
        <w:rPr>
          <w:rFonts w:ascii="Arial" w:hAnsi="Arial" w:cs="Arial"/>
          <w:lang w:val="es-NI"/>
        </w:rPr>
        <w:t xml:space="preserve"> la </w:t>
      </w:r>
      <w:r w:rsidR="003C7601" w:rsidRPr="00E70693">
        <w:rPr>
          <w:rFonts w:ascii="Arial" w:hAnsi="Arial" w:cs="Arial"/>
          <w:lang w:val="es-NI"/>
        </w:rPr>
        <w:t xml:space="preserve">localidad </w:t>
      </w:r>
      <w:r w:rsidR="00282835" w:rsidRPr="00E70693">
        <w:rPr>
          <w:rFonts w:ascii="Arial" w:hAnsi="Arial" w:cs="Arial"/>
          <w:lang w:val="es-NI"/>
        </w:rPr>
        <w:t>denominad</w:t>
      </w:r>
      <w:r w:rsidR="003C7601" w:rsidRPr="00E70693">
        <w:rPr>
          <w:rFonts w:ascii="Arial" w:hAnsi="Arial" w:cs="Arial"/>
          <w:lang w:val="es-NI"/>
        </w:rPr>
        <w:t>a</w:t>
      </w:r>
      <w:r w:rsidR="00282835" w:rsidRPr="00E70693">
        <w:rPr>
          <w:rFonts w:ascii="Arial" w:hAnsi="Arial" w:cs="Arial"/>
          <w:lang w:val="es-NI"/>
        </w:rPr>
        <w:t xml:space="preserve"> </w:t>
      </w:r>
      <w:proofErr w:type="spellStart"/>
      <w:r w:rsidR="00282835" w:rsidRPr="00E70693">
        <w:rPr>
          <w:rFonts w:ascii="Arial" w:hAnsi="Arial" w:cs="Arial"/>
          <w:lang w:val="es-NI"/>
        </w:rPr>
        <w:t>Mulukukú</w:t>
      </w:r>
      <w:proofErr w:type="spellEnd"/>
      <w:r w:rsidR="00282835" w:rsidRPr="00E70693">
        <w:rPr>
          <w:rFonts w:ascii="Arial" w:hAnsi="Arial" w:cs="Arial"/>
          <w:lang w:val="es-NI"/>
        </w:rPr>
        <w:t xml:space="preserve">. </w:t>
      </w:r>
      <w:r w:rsidR="0005759E" w:rsidRPr="00E70693">
        <w:rPr>
          <w:rFonts w:ascii="Arial" w:hAnsi="Arial" w:cs="Arial"/>
          <w:lang w:val="es-NI"/>
        </w:rPr>
        <w:t>Actualmente</w:t>
      </w:r>
      <w:r w:rsidR="00234814" w:rsidRPr="00E70693">
        <w:rPr>
          <w:rFonts w:ascii="Arial" w:hAnsi="Arial" w:cs="Arial"/>
          <w:lang w:val="es-NI"/>
        </w:rPr>
        <w:t>, el MTI también está ejecutando la pavimentación con concreto hidr</w:t>
      </w:r>
      <w:r w:rsidR="000E7A70" w:rsidRPr="00E70693">
        <w:rPr>
          <w:rFonts w:ascii="Arial" w:hAnsi="Arial" w:cs="Arial"/>
          <w:lang w:val="es-NI"/>
        </w:rPr>
        <w:t>áulico de otro</w:t>
      </w:r>
      <w:r w:rsidR="00234814" w:rsidRPr="00E70693">
        <w:rPr>
          <w:rFonts w:ascii="Arial" w:hAnsi="Arial" w:cs="Arial"/>
          <w:lang w:val="es-NI"/>
        </w:rPr>
        <w:t xml:space="preserve"> segmento en el mismo tramo de Rio Blanco a </w:t>
      </w:r>
      <w:proofErr w:type="spellStart"/>
      <w:r w:rsidR="00234814" w:rsidRPr="00E70693">
        <w:rPr>
          <w:rFonts w:ascii="Arial" w:hAnsi="Arial" w:cs="Arial"/>
          <w:lang w:val="es-NI"/>
        </w:rPr>
        <w:t>Siuna</w:t>
      </w:r>
      <w:proofErr w:type="spellEnd"/>
      <w:r w:rsidR="0005759E" w:rsidRPr="00E70693">
        <w:rPr>
          <w:rFonts w:ascii="Arial" w:hAnsi="Arial" w:cs="Arial"/>
          <w:lang w:val="es-NI"/>
        </w:rPr>
        <w:t xml:space="preserve"> </w:t>
      </w:r>
      <w:r w:rsidR="00234814" w:rsidRPr="00E70693">
        <w:rPr>
          <w:rFonts w:ascii="Arial" w:hAnsi="Arial" w:cs="Arial"/>
          <w:lang w:val="es-NI"/>
        </w:rPr>
        <w:t>con fondos del Banco Mundial</w:t>
      </w:r>
      <w:r w:rsidR="00234814" w:rsidRPr="00E70693">
        <w:rPr>
          <w:rStyle w:val="FootnoteReference"/>
          <w:rFonts w:ascii="Arial" w:hAnsi="Arial" w:cs="Arial"/>
          <w:lang w:val="es-NI"/>
        </w:rPr>
        <w:footnoteReference w:id="8"/>
      </w:r>
      <w:r w:rsidR="00076426" w:rsidRPr="00E70693">
        <w:rPr>
          <w:rFonts w:ascii="Arial" w:hAnsi="Arial" w:cs="Arial"/>
          <w:lang w:val="es-NI"/>
        </w:rPr>
        <w:t xml:space="preserve"> </w:t>
      </w:r>
      <w:r w:rsidR="0005759E" w:rsidRPr="00E70693">
        <w:rPr>
          <w:rFonts w:ascii="Arial" w:hAnsi="Arial" w:cs="Arial"/>
          <w:lang w:val="es-NI"/>
        </w:rPr>
        <w:t xml:space="preserve">y, en la modalidad de contrato </w:t>
      </w:r>
      <w:r w:rsidR="0005759E" w:rsidRPr="00E70693">
        <w:rPr>
          <w:rFonts w:ascii="Arial" w:hAnsi="Arial" w:cs="Arial"/>
          <w:i/>
          <w:lang w:val="es-NI"/>
        </w:rPr>
        <w:t>diseño &amp; construcción</w:t>
      </w:r>
      <w:r w:rsidR="002436A9" w:rsidRPr="00E70693">
        <w:rPr>
          <w:rFonts w:ascii="Arial" w:hAnsi="Arial" w:cs="Arial"/>
          <w:lang w:val="es-NI"/>
        </w:rPr>
        <w:t xml:space="preserve">, prosigue la pavimentación con concreto hidráulico de </w:t>
      </w:r>
      <w:r w:rsidR="008A6442" w:rsidRPr="00E70693">
        <w:rPr>
          <w:rFonts w:ascii="Arial" w:hAnsi="Arial" w:cs="Arial"/>
          <w:lang w:val="es-NI"/>
        </w:rPr>
        <w:t>3</w:t>
      </w:r>
      <w:r w:rsidR="002436A9" w:rsidRPr="00E70693">
        <w:rPr>
          <w:rFonts w:ascii="Arial" w:hAnsi="Arial" w:cs="Arial"/>
          <w:lang w:val="es-NI"/>
        </w:rPr>
        <w:t xml:space="preserve">9 Km </w:t>
      </w:r>
      <w:r w:rsidR="00076426" w:rsidRPr="00E70693">
        <w:rPr>
          <w:rFonts w:ascii="Arial" w:hAnsi="Arial" w:cs="Arial"/>
          <w:lang w:val="es-NI"/>
        </w:rPr>
        <w:t>con fondos del BCIE</w:t>
      </w:r>
      <w:r w:rsidR="00B407FB" w:rsidRPr="00E70693">
        <w:rPr>
          <w:rFonts w:ascii="Arial" w:hAnsi="Arial" w:cs="Arial"/>
          <w:lang w:val="es-NI"/>
        </w:rPr>
        <w:t xml:space="preserve"> (¶</w:t>
      </w:r>
      <w:r w:rsidR="00B407FB" w:rsidRPr="00E70693">
        <w:rPr>
          <w:rFonts w:ascii="Arial" w:hAnsi="Arial" w:cs="Arial"/>
          <w:lang w:val="es-NI"/>
        </w:rPr>
        <w:fldChar w:fldCharType="begin"/>
      </w:r>
      <w:r w:rsidR="00B407FB" w:rsidRPr="00E70693">
        <w:rPr>
          <w:rFonts w:ascii="Arial" w:hAnsi="Arial" w:cs="Arial"/>
          <w:lang w:val="es-NI"/>
        </w:rPr>
        <w:instrText xml:space="preserve"> REF _Ref419192678 \r \h </w:instrText>
      </w:r>
      <w:r w:rsidR="00B407FB" w:rsidRPr="00E70693">
        <w:rPr>
          <w:rFonts w:ascii="Arial" w:hAnsi="Arial" w:cs="Arial"/>
          <w:lang w:val="es-NI"/>
        </w:rPr>
      </w:r>
      <w:r w:rsidR="00E70693">
        <w:rPr>
          <w:rFonts w:ascii="Arial" w:hAnsi="Arial" w:cs="Arial"/>
          <w:lang w:val="es-NI"/>
        </w:rPr>
        <w:instrText xml:space="preserve"> \* MERGEFORMAT </w:instrText>
      </w:r>
      <w:r w:rsidR="00B407FB" w:rsidRPr="00E70693">
        <w:rPr>
          <w:rFonts w:ascii="Arial" w:hAnsi="Arial" w:cs="Arial"/>
          <w:lang w:val="es-NI"/>
        </w:rPr>
        <w:fldChar w:fldCharType="separate"/>
      </w:r>
      <w:r w:rsidR="00B407FB" w:rsidRPr="00E70693">
        <w:rPr>
          <w:rFonts w:ascii="Arial" w:hAnsi="Arial" w:cs="Arial"/>
          <w:lang w:val="es-NI"/>
        </w:rPr>
        <w:t>2.26</w:t>
      </w:r>
      <w:r w:rsidR="00B407FB" w:rsidRPr="00E70693">
        <w:rPr>
          <w:rFonts w:ascii="Arial" w:hAnsi="Arial" w:cs="Arial"/>
          <w:lang w:val="es-NI"/>
        </w:rPr>
        <w:fldChar w:fldCharType="end"/>
      </w:r>
      <w:r w:rsidR="00B407FB" w:rsidRPr="00E70693">
        <w:rPr>
          <w:rFonts w:ascii="Arial" w:hAnsi="Arial" w:cs="Arial"/>
          <w:lang w:val="es-NI"/>
        </w:rPr>
        <w:t>)</w:t>
      </w:r>
      <w:r w:rsidR="00076426" w:rsidRPr="00E70693">
        <w:rPr>
          <w:rFonts w:ascii="Arial" w:hAnsi="Arial" w:cs="Arial"/>
          <w:lang w:val="es-NI"/>
        </w:rPr>
        <w:t>.</w:t>
      </w:r>
    </w:p>
    <w:p w:rsidR="00CC257A" w:rsidRPr="00E70693" w:rsidRDefault="00234814" w:rsidP="00282835">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b/>
        </w:rPr>
        <w:t xml:space="preserve">Los proyectos en la </w:t>
      </w:r>
      <w:r w:rsidR="002436A9" w:rsidRPr="00E70693">
        <w:rPr>
          <w:rFonts w:ascii="Arial" w:hAnsi="Arial" w:cs="Arial"/>
          <w:b/>
        </w:rPr>
        <w:t>RACCS</w:t>
      </w:r>
      <w:r w:rsidR="00C27B82" w:rsidRPr="00E70693">
        <w:rPr>
          <w:rFonts w:ascii="Arial" w:hAnsi="Arial" w:cs="Arial"/>
          <w:b/>
        </w:rPr>
        <w:t xml:space="preserve">. </w:t>
      </w:r>
      <w:r w:rsidR="00C27B82" w:rsidRPr="00E70693">
        <w:rPr>
          <w:rFonts w:ascii="Arial" w:hAnsi="Arial" w:cs="Arial"/>
        </w:rPr>
        <w:t xml:space="preserve">El MTI </w:t>
      </w:r>
      <w:r w:rsidR="000E7A70" w:rsidRPr="00E70693">
        <w:rPr>
          <w:rFonts w:ascii="Arial" w:hAnsi="Arial" w:cs="Arial"/>
          <w:lang w:val="es-PY"/>
        </w:rPr>
        <w:t>viene trabajando en la</w:t>
      </w:r>
      <w:r w:rsidR="00C27B82" w:rsidRPr="00E70693">
        <w:rPr>
          <w:rFonts w:ascii="Arial" w:hAnsi="Arial" w:cs="Arial"/>
        </w:rPr>
        <w:t xml:space="preserve"> </w:t>
      </w:r>
      <w:r w:rsidR="002436A9" w:rsidRPr="00E70693">
        <w:rPr>
          <w:rFonts w:ascii="Arial" w:hAnsi="Arial" w:cs="Arial"/>
        </w:rPr>
        <w:t>Conectividad</w:t>
      </w:r>
      <w:r w:rsidR="00FE226D" w:rsidRPr="00E70693">
        <w:rPr>
          <w:rFonts w:ascii="Arial" w:hAnsi="Arial" w:cs="Arial"/>
        </w:rPr>
        <w:t xml:space="preserve"> Vial</w:t>
      </w:r>
      <w:r w:rsidR="00C27B82" w:rsidRPr="00E70693">
        <w:rPr>
          <w:rFonts w:ascii="Arial" w:hAnsi="Arial" w:cs="Arial"/>
        </w:rPr>
        <w:t xml:space="preserve"> </w:t>
      </w:r>
      <w:r w:rsidR="00E50E12" w:rsidRPr="00E70693">
        <w:rPr>
          <w:rFonts w:ascii="Arial" w:hAnsi="Arial" w:cs="Arial"/>
        </w:rPr>
        <w:t>de</w:t>
      </w:r>
      <w:r w:rsidR="00C27B82" w:rsidRPr="00E70693">
        <w:rPr>
          <w:rFonts w:ascii="Arial" w:hAnsi="Arial" w:cs="Arial"/>
        </w:rPr>
        <w:t xml:space="preserve"> la </w:t>
      </w:r>
      <w:r w:rsidR="002436A9" w:rsidRPr="00E70693">
        <w:rPr>
          <w:rFonts w:ascii="Arial" w:hAnsi="Arial" w:cs="Arial"/>
        </w:rPr>
        <w:t xml:space="preserve">RACCS </w:t>
      </w:r>
      <w:r w:rsidR="00C27B82" w:rsidRPr="00E70693">
        <w:rPr>
          <w:rFonts w:ascii="Arial" w:hAnsi="Arial" w:cs="Arial"/>
        </w:rPr>
        <w:t>con la red vial nacional</w:t>
      </w:r>
      <w:r w:rsidR="00E50E12" w:rsidRPr="00E70693">
        <w:rPr>
          <w:rFonts w:ascii="Arial" w:hAnsi="Arial" w:cs="Arial"/>
        </w:rPr>
        <w:t xml:space="preserve"> </w:t>
      </w:r>
      <w:r w:rsidR="00E50E12" w:rsidRPr="00E70693">
        <w:rPr>
          <w:rFonts w:ascii="Arial" w:hAnsi="Arial" w:cs="Arial"/>
          <w:lang w:val="es-PY"/>
        </w:rPr>
        <w:t>desde hace más de una década, mediante estudios</w:t>
      </w:r>
      <w:r w:rsidR="00E50E12" w:rsidRPr="00E70693">
        <w:rPr>
          <w:rFonts w:ascii="Arial" w:hAnsi="Arial" w:cs="Arial"/>
          <w:vertAlign w:val="superscript"/>
          <w:lang w:val="en-US"/>
        </w:rPr>
        <w:footnoteReference w:id="9"/>
      </w:r>
      <w:r w:rsidR="00E50E12" w:rsidRPr="00E70693">
        <w:rPr>
          <w:rFonts w:ascii="Arial" w:hAnsi="Arial" w:cs="Arial"/>
          <w:lang w:val="es-PY"/>
        </w:rPr>
        <w:t xml:space="preserve"> y actuaciones de mejora en el camino existente, que </w:t>
      </w:r>
      <w:r w:rsidR="00E50E12" w:rsidRPr="00E70693">
        <w:rPr>
          <w:rFonts w:ascii="Arial" w:hAnsi="Arial" w:cs="Arial"/>
        </w:rPr>
        <w:t>se desarrolla en el eje Nueva Guinea</w:t>
      </w:r>
      <w:r w:rsidR="000500BE" w:rsidRPr="00E70693">
        <w:rPr>
          <w:rFonts w:ascii="Arial" w:hAnsi="Arial" w:cs="Arial"/>
        </w:rPr>
        <w:t>-</w:t>
      </w:r>
      <w:r w:rsidR="00E50E12" w:rsidRPr="00E70693">
        <w:rPr>
          <w:rFonts w:ascii="Arial" w:hAnsi="Arial" w:cs="Arial"/>
        </w:rPr>
        <w:t>Bluefields,</w:t>
      </w:r>
      <w:r w:rsidR="00E50E12" w:rsidRPr="00E70693">
        <w:rPr>
          <w:rFonts w:ascii="Arial" w:hAnsi="Arial" w:cs="Arial"/>
          <w:lang w:val="es-PY"/>
        </w:rPr>
        <w:t xml:space="preserve"> con el objeto de hacerlo operativo durante todo el año. </w:t>
      </w:r>
      <w:r w:rsidR="00E50E12" w:rsidRPr="00E70693">
        <w:rPr>
          <w:rFonts w:ascii="Arial" w:hAnsi="Arial" w:cs="Arial"/>
        </w:rPr>
        <w:t>A este efecto el MTI ha desarrollado</w:t>
      </w:r>
      <w:r w:rsidR="00C27B82" w:rsidRPr="00E70693">
        <w:rPr>
          <w:rFonts w:ascii="Arial" w:hAnsi="Arial" w:cs="Arial"/>
        </w:rPr>
        <w:t xml:space="preserve"> </w:t>
      </w:r>
      <w:r w:rsidR="00E50E12" w:rsidRPr="00E70693">
        <w:rPr>
          <w:rFonts w:ascii="Arial" w:hAnsi="Arial" w:cs="Arial"/>
        </w:rPr>
        <w:t>acciones por etapas, aplicando soluciones de diferente alcance pero dentro de un programa definido de inversiones</w:t>
      </w:r>
      <w:r w:rsidR="000500BE" w:rsidRPr="00E70693">
        <w:rPr>
          <w:rFonts w:ascii="Arial" w:hAnsi="Arial" w:cs="Arial"/>
          <w:vertAlign w:val="superscript"/>
          <w:lang w:val="en-US"/>
        </w:rPr>
        <w:footnoteReference w:id="10"/>
      </w:r>
      <w:r w:rsidR="000500BE" w:rsidRPr="00E70693">
        <w:rPr>
          <w:rFonts w:ascii="Arial" w:hAnsi="Arial" w:cs="Arial"/>
        </w:rPr>
        <w:t xml:space="preserve"> </w:t>
      </w:r>
      <w:r w:rsidR="00E50E12" w:rsidRPr="00E70693">
        <w:rPr>
          <w:rFonts w:ascii="Arial" w:hAnsi="Arial" w:cs="Arial"/>
        </w:rPr>
        <w:t xml:space="preserve">que comprende: </w:t>
      </w:r>
      <w:r w:rsidR="000500BE" w:rsidRPr="00E70693">
        <w:rPr>
          <w:rFonts w:ascii="Arial" w:hAnsi="Arial" w:cs="Arial"/>
        </w:rPr>
        <w:t xml:space="preserve">i) </w:t>
      </w:r>
      <w:r w:rsidR="000500BE" w:rsidRPr="00E70693">
        <w:rPr>
          <w:rFonts w:ascii="Arial" w:hAnsi="Arial" w:cs="Arial"/>
          <w:lang w:val="es-PY"/>
        </w:rPr>
        <w:t>el pavimento con adoquines</w:t>
      </w:r>
      <w:r w:rsidR="006B3026" w:rsidRPr="00E70693">
        <w:rPr>
          <w:rFonts w:ascii="Arial" w:hAnsi="Arial" w:cs="Arial"/>
          <w:lang w:val="es-PY"/>
        </w:rPr>
        <w:t xml:space="preserve"> ya concluido</w:t>
      </w:r>
      <w:r w:rsidR="000500BE" w:rsidRPr="00E70693">
        <w:rPr>
          <w:rFonts w:ascii="Arial" w:hAnsi="Arial" w:cs="Arial"/>
          <w:lang w:val="es-PY"/>
        </w:rPr>
        <w:t xml:space="preserve"> </w:t>
      </w:r>
      <w:r w:rsidR="008A6442" w:rsidRPr="00E70693">
        <w:rPr>
          <w:rFonts w:ascii="Arial" w:hAnsi="Arial" w:cs="Arial"/>
          <w:lang w:val="es-PY"/>
        </w:rPr>
        <w:t xml:space="preserve">en el año 2012 </w:t>
      </w:r>
      <w:r w:rsidR="000500BE" w:rsidRPr="00E70693">
        <w:rPr>
          <w:rFonts w:ascii="Arial" w:hAnsi="Arial" w:cs="Arial"/>
          <w:lang w:val="es-PY"/>
        </w:rPr>
        <w:t>del tramo Nueva Guinea-Naciones Unidas</w:t>
      </w:r>
      <w:r w:rsidR="000500BE" w:rsidRPr="00E70693">
        <w:rPr>
          <w:rStyle w:val="FootnoteReference"/>
          <w:rFonts w:ascii="Arial" w:hAnsi="Arial" w:cs="Arial"/>
          <w:lang w:val="es-PY"/>
        </w:rPr>
        <w:footnoteReference w:id="11"/>
      </w:r>
      <w:r w:rsidR="000500BE" w:rsidRPr="00E70693">
        <w:rPr>
          <w:rFonts w:ascii="Arial" w:hAnsi="Arial" w:cs="Arial"/>
          <w:lang w:val="es-PY"/>
        </w:rPr>
        <w:t xml:space="preserve"> de 22,6 km (US$7,0 millones), con recursos del Banco Mundial y fondos propios; y ii) el mejoramiento del tramo Naciones Unidas-Bluefields con </w:t>
      </w:r>
      <w:r w:rsidR="000500BE" w:rsidRPr="00E70693">
        <w:rPr>
          <w:rFonts w:ascii="Arial" w:hAnsi="Arial" w:cs="Arial"/>
        </w:rPr>
        <w:t>Fondos de Contravalor del Gobierno del Japón (a abril de 2014 se han utilizado US$7,8 millones) y fondos propios (US$1,4 millones)</w:t>
      </w:r>
      <w:r w:rsidR="000500BE" w:rsidRPr="00E70693">
        <w:rPr>
          <w:rFonts w:ascii="Arial" w:hAnsi="Arial" w:cs="Arial"/>
          <w:lang w:val="es-PY"/>
        </w:rPr>
        <w:t>, realizándose la construcción de puentes y alcantarillas, movimiento de tierra (mejora de la alineación horizontal y vertical) y acabado superficial con revestido de grava, aunque estos trabajos avanzan al ritmo de los fondos que se van obteniendo.</w:t>
      </w:r>
      <w:r w:rsidR="00EB74E8" w:rsidRPr="00E70693">
        <w:rPr>
          <w:rFonts w:ascii="Arial" w:hAnsi="Arial" w:cs="Arial"/>
          <w:lang w:val="es-PY"/>
        </w:rPr>
        <w:t xml:space="preserve"> </w:t>
      </w:r>
      <w:r w:rsidR="002436A9" w:rsidRPr="00E70693">
        <w:rPr>
          <w:rFonts w:ascii="Arial" w:hAnsi="Arial" w:cs="Arial"/>
          <w:lang w:val="es-PY"/>
        </w:rPr>
        <w:t xml:space="preserve">Actualmente, con recursos del préstamo BID </w:t>
      </w:r>
      <w:r w:rsidR="008A6442" w:rsidRPr="00E70693">
        <w:rPr>
          <w:rFonts w:ascii="Arial" w:hAnsi="Arial" w:cs="Arial"/>
          <w:lang w:val="es-PY"/>
        </w:rPr>
        <w:t xml:space="preserve">N° </w:t>
      </w:r>
      <w:r w:rsidR="002436A9" w:rsidRPr="00E70693">
        <w:rPr>
          <w:rFonts w:ascii="Arial" w:hAnsi="Arial" w:cs="Arial"/>
          <w:lang w:val="es-PY"/>
        </w:rPr>
        <w:t>3353/BL-NI se encarará la pavimentación desde Naciones Unidas al Km 46.1, sector San Francisco, y con financiamiento del Banco Mundial la pavimentación</w:t>
      </w:r>
      <w:r w:rsidR="00B407FB" w:rsidRPr="00E70693">
        <w:rPr>
          <w:rStyle w:val="FootnoteReference"/>
          <w:rFonts w:ascii="Arial" w:hAnsi="Arial" w:cs="Arial"/>
          <w:lang w:val="es-PY"/>
        </w:rPr>
        <w:footnoteReference w:id="12"/>
      </w:r>
      <w:r w:rsidR="002436A9" w:rsidRPr="00E70693">
        <w:rPr>
          <w:rFonts w:ascii="Arial" w:hAnsi="Arial" w:cs="Arial"/>
          <w:lang w:val="es-PY"/>
        </w:rPr>
        <w:t xml:space="preserve"> de los 26</w:t>
      </w:r>
      <w:r w:rsidR="00A255E0" w:rsidRPr="00E70693">
        <w:rPr>
          <w:rFonts w:ascii="Arial" w:hAnsi="Arial" w:cs="Arial"/>
          <w:lang w:val="es-PY"/>
        </w:rPr>
        <w:t>,5</w:t>
      </w:r>
      <w:r w:rsidR="002436A9" w:rsidRPr="00E70693">
        <w:rPr>
          <w:rFonts w:ascii="Arial" w:hAnsi="Arial" w:cs="Arial"/>
          <w:lang w:val="es-PY"/>
        </w:rPr>
        <w:t xml:space="preserve"> Km restantes hasta llegar a la ciudad de Bluefields. </w:t>
      </w:r>
    </w:p>
    <w:p w:rsidR="00CC257A" w:rsidRPr="00E70693" w:rsidRDefault="00CC257A" w:rsidP="00282835">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b/>
        </w:rPr>
        <w:t xml:space="preserve">Los proyectos en Jinotega. </w:t>
      </w:r>
      <w:r w:rsidRPr="00E70693">
        <w:rPr>
          <w:rFonts w:ascii="Arial" w:hAnsi="Arial" w:cs="Arial"/>
        </w:rPr>
        <w:t xml:space="preserve">Con recursos del préstamo BID 2840/BL-NI el MTI culminó la pavimentación del tramo </w:t>
      </w:r>
      <w:proofErr w:type="spellStart"/>
      <w:r w:rsidRPr="00E70693">
        <w:rPr>
          <w:rFonts w:ascii="Arial" w:hAnsi="Arial" w:cs="Arial"/>
        </w:rPr>
        <w:t>Miralagos-Cuyalí</w:t>
      </w:r>
      <w:proofErr w:type="spellEnd"/>
      <w:r w:rsidRPr="00E70693">
        <w:rPr>
          <w:rFonts w:ascii="Arial" w:hAnsi="Arial" w:cs="Arial"/>
        </w:rPr>
        <w:t xml:space="preserve"> a fines de 2014, lograda con buenos resultados (¶</w:t>
      </w:r>
      <w:r w:rsidRPr="00E70693">
        <w:rPr>
          <w:rFonts w:ascii="Arial" w:hAnsi="Arial" w:cs="Arial"/>
        </w:rPr>
        <w:fldChar w:fldCharType="begin"/>
      </w:r>
      <w:r w:rsidRPr="00E70693">
        <w:rPr>
          <w:rFonts w:ascii="Arial" w:hAnsi="Arial" w:cs="Arial"/>
        </w:rPr>
        <w:instrText xml:space="preserve"> REF _Ref417563352 \r \h </w:instrText>
      </w:r>
      <w:r w:rsidRPr="00E70693">
        <w:rPr>
          <w:rFonts w:ascii="Arial" w:hAnsi="Arial" w:cs="Arial"/>
        </w:rPr>
      </w:r>
      <w:r w:rsidR="00E70693">
        <w:rPr>
          <w:rFonts w:ascii="Arial" w:hAnsi="Arial" w:cs="Arial"/>
        </w:rPr>
        <w:instrText xml:space="preserve"> \* MERGEFORMAT </w:instrText>
      </w:r>
      <w:r w:rsidRPr="00E70693">
        <w:rPr>
          <w:rFonts w:ascii="Arial" w:hAnsi="Arial" w:cs="Arial"/>
        </w:rPr>
        <w:fldChar w:fldCharType="separate"/>
      </w:r>
      <w:r w:rsidR="00A255E0" w:rsidRPr="00E70693">
        <w:rPr>
          <w:rFonts w:ascii="Arial" w:hAnsi="Arial" w:cs="Arial"/>
        </w:rPr>
        <w:t>2.14</w:t>
      </w:r>
      <w:r w:rsidRPr="00E70693">
        <w:rPr>
          <w:rFonts w:ascii="Arial" w:hAnsi="Arial" w:cs="Arial"/>
        </w:rPr>
        <w:fldChar w:fldCharType="end"/>
      </w:r>
      <w:r w:rsidRPr="00E70693">
        <w:rPr>
          <w:rFonts w:ascii="Arial" w:hAnsi="Arial" w:cs="Arial"/>
        </w:rPr>
        <w:t xml:space="preserve">). Desde </w:t>
      </w:r>
      <w:proofErr w:type="spellStart"/>
      <w:r w:rsidRPr="00E70693">
        <w:rPr>
          <w:rFonts w:ascii="Arial" w:hAnsi="Arial" w:cs="Arial"/>
        </w:rPr>
        <w:t>Cuyalí</w:t>
      </w:r>
      <w:proofErr w:type="spellEnd"/>
      <w:r w:rsidRPr="00E70693">
        <w:rPr>
          <w:rFonts w:ascii="Arial" w:hAnsi="Arial" w:cs="Arial"/>
        </w:rPr>
        <w:t xml:space="preserve"> el Ejecutor ha estado </w:t>
      </w:r>
      <w:r w:rsidR="00A255E0" w:rsidRPr="00E70693">
        <w:rPr>
          <w:rFonts w:ascii="Arial" w:hAnsi="Arial" w:cs="Arial"/>
        </w:rPr>
        <w:t>materializando</w:t>
      </w:r>
      <w:r w:rsidRPr="00E70693">
        <w:rPr>
          <w:rFonts w:ascii="Arial" w:hAnsi="Arial" w:cs="Arial"/>
        </w:rPr>
        <w:t xml:space="preserve"> la pavimentación de una red de caminos productivos destinados a mejorar la infraestructura del departamento, cuyos índices de pobreza lo ubican entre los cuatro más críticos de Nicaragua. La zona se caracteriza por su topografía montañosa surcada por arroyos torrentosos en </w:t>
      </w:r>
      <w:r w:rsidRPr="00E70693">
        <w:rPr>
          <w:rFonts w:ascii="Arial" w:hAnsi="Arial" w:cs="Arial"/>
        </w:rPr>
        <w:lastRenderedPageBreak/>
        <w:t>la temporada de lluvias, pero de la observación del estado de los caminos ya pavimentados se aprecia el buen desempeño logrado por la Institución en su construcción.</w:t>
      </w:r>
    </w:p>
    <w:p w:rsidR="0043484D" w:rsidRPr="00E70693" w:rsidRDefault="00CC257A" w:rsidP="00282835">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b/>
          <w:lang w:val="es-PY"/>
        </w:rPr>
        <w:t>Síntesis de la experiencia en la región</w:t>
      </w:r>
      <w:r w:rsidRPr="00E70693">
        <w:rPr>
          <w:rFonts w:ascii="Arial" w:hAnsi="Arial" w:cs="Arial"/>
          <w:lang w:val="es-PY"/>
        </w:rPr>
        <w:t xml:space="preserve">. </w:t>
      </w:r>
      <w:r w:rsidR="00EB74E8" w:rsidRPr="00E70693">
        <w:rPr>
          <w:rFonts w:ascii="Arial" w:hAnsi="Arial" w:cs="Arial"/>
          <w:lang w:val="es-PY"/>
        </w:rPr>
        <w:t>Dado</w:t>
      </w:r>
      <w:r w:rsidR="000500BE" w:rsidRPr="00E70693">
        <w:rPr>
          <w:rFonts w:ascii="Arial" w:hAnsi="Arial" w:cs="Arial"/>
        </w:rPr>
        <w:t xml:space="preserve"> que </w:t>
      </w:r>
      <w:r w:rsidRPr="00E70693">
        <w:rPr>
          <w:rFonts w:ascii="Arial" w:hAnsi="Arial" w:cs="Arial"/>
        </w:rPr>
        <w:t>las</w:t>
      </w:r>
      <w:r w:rsidR="000500BE" w:rsidRPr="00E70693">
        <w:rPr>
          <w:rFonts w:ascii="Arial" w:hAnsi="Arial" w:cs="Arial"/>
        </w:rPr>
        <w:t xml:space="preserve"> </w:t>
      </w:r>
      <w:r w:rsidRPr="00E70693">
        <w:rPr>
          <w:rFonts w:ascii="Arial" w:hAnsi="Arial" w:cs="Arial"/>
        </w:rPr>
        <w:t xml:space="preserve">intervenciones mencionadas </w:t>
      </w:r>
      <w:r w:rsidR="000500BE" w:rsidRPr="00E70693">
        <w:rPr>
          <w:rFonts w:ascii="Arial" w:hAnsi="Arial" w:cs="Arial"/>
        </w:rPr>
        <w:t>se realiza</w:t>
      </w:r>
      <w:r w:rsidRPr="00E70693">
        <w:rPr>
          <w:rFonts w:ascii="Arial" w:hAnsi="Arial" w:cs="Arial"/>
        </w:rPr>
        <w:t>n</w:t>
      </w:r>
      <w:r w:rsidR="000500BE" w:rsidRPr="00E70693">
        <w:rPr>
          <w:rFonts w:ascii="Arial" w:hAnsi="Arial" w:cs="Arial"/>
        </w:rPr>
        <w:t xml:space="preserve"> </w:t>
      </w:r>
      <w:r w:rsidR="00F16454" w:rsidRPr="00E70693">
        <w:rPr>
          <w:rFonts w:ascii="Arial" w:hAnsi="Arial" w:cs="Arial"/>
        </w:rPr>
        <w:t>propiamente en la</w:t>
      </w:r>
      <w:r w:rsidRPr="00E70693">
        <w:rPr>
          <w:rFonts w:ascii="Arial" w:hAnsi="Arial" w:cs="Arial"/>
        </w:rPr>
        <w:t>s</w:t>
      </w:r>
      <w:r w:rsidR="000500BE" w:rsidRPr="00E70693">
        <w:rPr>
          <w:rFonts w:ascii="Arial" w:hAnsi="Arial" w:cs="Arial"/>
        </w:rPr>
        <w:t xml:space="preserve"> </w:t>
      </w:r>
      <w:r w:rsidR="00EB74E8" w:rsidRPr="00E70693">
        <w:rPr>
          <w:rFonts w:ascii="Arial" w:hAnsi="Arial" w:cs="Arial"/>
        </w:rPr>
        <w:t>zona</w:t>
      </w:r>
      <w:r w:rsidRPr="00E70693">
        <w:rPr>
          <w:rFonts w:ascii="Arial" w:hAnsi="Arial" w:cs="Arial"/>
        </w:rPr>
        <w:t>s</w:t>
      </w:r>
      <w:r w:rsidR="00EB74E8" w:rsidRPr="00E70693">
        <w:rPr>
          <w:rFonts w:ascii="Arial" w:hAnsi="Arial" w:cs="Arial"/>
        </w:rPr>
        <w:t xml:space="preserve"> de</w:t>
      </w:r>
      <w:r w:rsidRPr="00E70693">
        <w:rPr>
          <w:rFonts w:ascii="Arial" w:hAnsi="Arial" w:cs="Arial"/>
        </w:rPr>
        <w:t xml:space="preserve"> </w:t>
      </w:r>
      <w:r w:rsidR="00EB74E8" w:rsidRPr="00E70693">
        <w:rPr>
          <w:rFonts w:ascii="Arial" w:hAnsi="Arial" w:cs="Arial"/>
        </w:rPr>
        <w:t>l</w:t>
      </w:r>
      <w:r w:rsidRPr="00E70693">
        <w:rPr>
          <w:rFonts w:ascii="Arial" w:hAnsi="Arial" w:cs="Arial"/>
        </w:rPr>
        <w:t>os</w:t>
      </w:r>
      <w:r w:rsidR="00EB74E8" w:rsidRPr="00E70693">
        <w:rPr>
          <w:rFonts w:ascii="Arial" w:hAnsi="Arial" w:cs="Arial"/>
        </w:rPr>
        <w:t xml:space="preserve"> proyecto</w:t>
      </w:r>
      <w:r w:rsidRPr="00E70693">
        <w:rPr>
          <w:rFonts w:ascii="Arial" w:hAnsi="Arial" w:cs="Arial"/>
        </w:rPr>
        <w:t>s</w:t>
      </w:r>
      <w:r w:rsidR="00EB74E8" w:rsidRPr="00E70693">
        <w:rPr>
          <w:rFonts w:ascii="Arial" w:hAnsi="Arial" w:cs="Arial"/>
        </w:rPr>
        <w:t xml:space="preserve"> de la operación </w:t>
      </w:r>
      <w:r w:rsidR="00FE226D" w:rsidRPr="00E70693">
        <w:rPr>
          <w:rFonts w:ascii="Arial" w:hAnsi="Arial" w:cs="Arial"/>
        </w:rPr>
        <w:t>NI-L1092</w:t>
      </w:r>
      <w:r w:rsidR="00EB74E8" w:rsidRPr="00E70693">
        <w:rPr>
          <w:rFonts w:ascii="Arial" w:hAnsi="Arial" w:cs="Arial"/>
        </w:rPr>
        <w:t xml:space="preserve">, involucrando a los funcionarios de la Institución de forma directa, es razonable esperar que el MTI esté familiarizado con las condiciones del terreno y del clima, así como de los costos de las obras, capitalizándose esta experiencia como capacidad adecuada para asegurar buenos resultados en las obras viales que encare en la región. Como obra emblemática </w:t>
      </w:r>
      <w:r w:rsidR="0043484D" w:rsidRPr="00E70693">
        <w:rPr>
          <w:rFonts w:ascii="Arial" w:hAnsi="Arial" w:cs="Arial"/>
        </w:rPr>
        <w:t xml:space="preserve">que demuestra la madurez </w:t>
      </w:r>
      <w:r w:rsidR="00EB74E8" w:rsidRPr="00E70693">
        <w:rPr>
          <w:rFonts w:ascii="Arial" w:hAnsi="Arial" w:cs="Arial"/>
        </w:rPr>
        <w:t xml:space="preserve">de esta gestión se </w:t>
      </w:r>
      <w:r w:rsidR="00F16454" w:rsidRPr="00E70693">
        <w:rPr>
          <w:rFonts w:ascii="Arial" w:hAnsi="Arial" w:cs="Arial"/>
        </w:rPr>
        <w:t>resalta</w:t>
      </w:r>
      <w:r w:rsidR="00EB74E8" w:rsidRPr="00E70693">
        <w:rPr>
          <w:rFonts w:ascii="Arial" w:hAnsi="Arial" w:cs="Arial"/>
        </w:rPr>
        <w:t xml:space="preserve"> la </w:t>
      </w:r>
      <w:r w:rsidR="0043484D" w:rsidRPr="00E70693">
        <w:rPr>
          <w:rFonts w:ascii="Arial" w:hAnsi="Arial" w:cs="Arial"/>
        </w:rPr>
        <w:t xml:space="preserve">aplicación de la modalidad de contrato </w:t>
      </w:r>
      <w:r w:rsidR="0043484D" w:rsidRPr="00E70693">
        <w:rPr>
          <w:rFonts w:ascii="Arial" w:hAnsi="Arial" w:cs="Arial"/>
          <w:i/>
        </w:rPr>
        <w:t>diseño &amp; construcción</w:t>
      </w:r>
      <w:r w:rsidR="0043484D" w:rsidRPr="00E70693">
        <w:rPr>
          <w:rFonts w:ascii="Arial" w:hAnsi="Arial" w:cs="Arial"/>
        </w:rPr>
        <w:t xml:space="preserve"> en dos </w:t>
      </w:r>
      <w:r w:rsidR="00A255E0" w:rsidRPr="00E70693">
        <w:rPr>
          <w:rFonts w:ascii="Arial" w:hAnsi="Arial" w:cs="Arial"/>
        </w:rPr>
        <w:t>segmentos</w:t>
      </w:r>
      <w:r w:rsidR="0043484D" w:rsidRPr="00E70693">
        <w:rPr>
          <w:rFonts w:ascii="Arial" w:hAnsi="Arial" w:cs="Arial"/>
        </w:rPr>
        <w:t xml:space="preserve"> de la carretera Río Blanco-</w:t>
      </w:r>
      <w:proofErr w:type="spellStart"/>
      <w:r w:rsidR="0043484D" w:rsidRPr="00E70693">
        <w:rPr>
          <w:rFonts w:ascii="Arial" w:hAnsi="Arial" w:cs="Arial"/>
        </w:rPr>
        <w:t>Siuna</w:t>
      </w:r>
      <w:proofErr w:type="spellEnd"/>
      <w:r w:rsidR="0043484D" w:rsidRPr="00E70693">
        <w:rPr>
          <w:rFonts w:ascii="Arial" w:hAnsi="Arial" w:cs="Arial"/>
        </w:rPr>
        <w:t>-</w:t>
      </w:r>
      <w:proofErr w:type="spellStart"/>
      <w:r w:rsidR="0043484D" w:rsidRPr="00E70693">
        <w:rPr>
          <w:rFonts w:ascii="Arial" w:hAnsi="Arial" w:cs="Arial"/>
        </w:rPr>
        <w:t>Bilwi</w:t>
      </w:r>
      <w:proofErr w:type="spellEnd"/>
      <w:r w:rsidR="0043484D" w:rsidRPr="00E70693">
        <w:rPr>
          <w:rFonts w:ascii="Arial" w:hAnsi="Arial" w:cs="Arial"/>
        </w:rPr>
        <w:t>, para ejecutar la pavimentación con concreto hidráulico en terreno difícil y agravado por las frecuentes lluvias.</w:t>
      </w:r>
    </w:p>
    <w:p w:rsidR="00937781" w:rsidRPr="00E70693" w:rsidRDefault="00937781" w:rsidP="00D94F16">
      <w:pPr>
        <w:pStyle w:val="Heading1"/>
        <w:rPr>
          <w:rFonts w:ascii="Arial" w:hAnsi="Arial" w:cs="Arial"/>
        </w:rPr>
      </w:pPr>
      <w:bookmarkStart w:id="20" w:name="_Toc419462930"/>
      <w:bookmarkStart w:id="21" w:name="_Toc419463179"/>
      <w:bookmarkStart w:id="22" w:name="_Toc422154437"/>
      <w:bookmarkEnd w:id="20"/>
      <w:bookmarkEnd w:id="21"/>
      <w:r w:rsidRPr="00E70693">
        <w:rPr>
          <w:rFonts w:ascii="Arial" w:hAnsi="Arial" w:cs="Arial"/>
        </w:rPr>
        <w:t xml:space="preserve">La </w:t>
      </w:r>
      <w:r w:rsidR="00F16454" w:rsidRPr="00E70693">
        <w:rPr>
          <w:rFonts w:ascii="Arial" w:hAnsi="Arial" w:cs="Arial"/>
        </w:rPr>
        <w:t>ejecución del presupuesto nacional</w:t>
      </w:r>
      <w:r w:rsidRPr="00E70693">
        <w:rPr>
          <w:rFonts w:ascii="Arial" w:hAnsi="Arial" w:cs="Arial"/>
        </w:rPr>
        <w:t>.</w:t>
      </w:r>
      <w:bookmarkEnd w:id="22"/>
    </w:p>
    <w:p w:rsidR="00467B9F" w:rsidRPr="00E70693" w:rsidRDefault="00467B9F" w:rsidP="00467B9F">
      <w:pPr>
        <w:pStyle w:val="ListParagraph"/>
        <w:numPr>
          <w:ilvl w:val="0"/>
          <w:numId w:val="1"/>
        </w:numPr>
        <w:spacing w:before="240" w:after="0" w:line="240" w:lineRule="auto"/>
        <w:contextualSpacing w:val="0"/>
        <w:jc w:val="both"/>
        <w:rPr>
          <w:rFonts w:ascii="Arial" w:eastAsia="Times New Roman" w:hAnsi="Arial" w:cs="Arial"/>
          <w:b/>
          <w:vanish/>
          <w:sz w:val="24"/>
          <w:szCs w:val="20"/>
          <w:lang w:val="es-ES_tradnl" w:eastAsia="en-US"/>
        </w:rPr>
      </w:pPr>
    </w:p>
    <w:p w:rsidR="00FA2C9A" w:rsidRPr="00E70693" w:rsidRDefault="00FA2C9A" w:rsidP="00DF3FFF">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b/>
        </w:rPr>
        <w:t>Ejecución presupuestaria del MTI</w:t>
      </w:r>
      <w:r w:rsidRPr="00E70693">
        <w:rPr>
          <w:rFonts w:ascii="Arial" w:hAnsi="Arial" w:cs="Arial"/>
        </w:rPr>
        <w:t xml:space="preserve">. De acuerdo a los datos de la Memoria Institucional </w:t>
      </w:r>
      <w:r w:rsidR="00824CA3" w:rsidRPr="00E70693">
        <w:rPr>
          <w:rFonts w:ascii="Arial" w:hAnsi="Arial" w:cs="Arial"/>
        </w:rPr>
        <w:t xml:space="preserve">2014 </w:t>
      </w:r>
      <w:r w:rsidRPr="00E70693">
        <w:rPr>
          <w:rFonts w:ascii="Arial" w:hAnsi="Arial" w:cs="Arial"/>
        </w:rPr>
        <w:t xml:space="preserve">la ejecución presupuestaria del MTI ha sido elevada, como se indica en el cuadro siguiente, donde se observa un </w:t>
      </w:r>
      <w:r w:rsidR="00F16454" w:rsidRPr="00E70693">
        <w:rPr>
          <w:rFonts w:ascii="Arial" w:hAnsi="Arial" w:cs="Arial"/>
          <w:lang w:val="es-PY"/>
        </w:rPr>
        <w:t>99,</w:t>
      </w:r>
      <w:r w:rsidR="00824CA3" w:rsidRPr="00E70693">
        <w:rPr>
          <w:rFonts w:ascii="Arial" w:hAnsi="Arial" w:cs="Arial"/>
          <w:lang w:val="es-PY"/>
        </w:rPr>
        <w:t>67</w:t>
      </w:r>
      <w:r w:rsidR="00F16454" w:rsidRPr="00E70693">
        <w:rPr>
          <w:rFonts w:ascii="Arial" w:hAnsi="Arial" w:cs="Arial"/>
          <w:lang w:val="es-PY"/>
        </w:rPr>
        <w:t xml:space="preserve">% </w:t>
      </w:r>
      <w:r w:rsidRPr="00E70693">
        <w:rPr>
          <w:rFonts w:ascii="Arial" w:hAnsi="Arial" w:cs="Arial"/>
        </w:rPr>
        <w:t>en la</w:t>
      </w:r>
      <w:r w:rsidR="00F16454" w:rsidRPr="00E70693">
        <w:rPr>
          <w:rFonts w:ascii="Arial" w:hAnsi="Arial" w:cs="Arial"/>
        </w:rPr>
        <w:t xml:space="preserve"> ejecución </w:t>
      </w:r>
      <w:r w:rsidR="00824CA3" w:rsidRPr="00E70693">
        <w:rPr>
          <w:rFonts w:ascii="Arial" w:hAnsi="Arial" w:cs="Arial"/>
        </w:rPr>
        <w:t>de</w:t>
      </w:r>
      <w:r w:rsidR="00F16454" w:rsidRPr="00E70693">
        <w:rPr>
          <w:rFonts w:ascii="Arial" w:hAnsi="Arial" w:cs="Arial"/>
        </w:rPr>
        <w:t xml:space="preserve"> recursos del BID</w:t>
      </w:r>
      <w:r w:rsidR="00824CA3" w:rsidRPr="00E70693">
        <w:rPr>
          <w:rFonts w:ascii="Arial" w:hAnsi="Arial" w:cs="Arial"/>
        </w:rPr>
        <w:t>, un 99,71% en la ejecución del total de Gastos de Capital</w:t>
      </w:r>
      <w:r w:rsidR="00F16454" w:rsidRPr="00E70693">
        <w:rPr>
          <w:rFonts w:ascii="Arial" w:hAnsi="Arial" w:cs="Arial"/>
        </w:rPr>
        <w:t xml:space="preserve"> y un 99,</w:t>
      </w:r>
      <w:r w:rsidR="00711E67" w:rsidRPr="00E70693">
        <w:rPr>
          <w:rFonts w:ascii="Arial" w:hAnsi="Arial" w:cs="Arial"/>
        </w:rPr>
        <w:t>72</w:t>
      </w:r>
      <w:r w:rsidR="00F16454" w:rsidRPr="00E70693">
        <w:rPr>
          <w:rFonts w:ascii="Arial" w:hAnsi="Arial" w:cs="Arial"/>
        </w:rPr>
        <w:t>% en la ejecuci</w:t>
      </w:r>
      <w:r w:rsidR="00945BD2" w:rsidRPr="00E70693">
        <w:rPr>
          <w:rFonts w:ascii="Arial" w:hAnsi="Arial" w:cs="Arial"/>
        </w:rPr>
        <w:t>ón general del presupuesto.</w:t>
      </w:r>
    </w:p>
    <w:p w:rsidR="00467B9F" w:rsidRPr="00E70693" w:rsidRDefault="00467B9F" w:rsidP="00DF3FFF">
      <w:pPr>
        <w:ind w:left="709"/>
        <w:jc w:val="both"/>
        <w:rPr>
          <w:rFonts w:ascii="Arial" w:hAnsi="Arial" w:cs="Arial"/>
        </w:rPr>
      </w:pPr>
    </w:p>
    <w:tbl>
      <w:tblPr>
        <w:tblW w:w="7088" w:type="dxa"/>
        <w:tblInd w:w="779" w:type="dxa"/>
        <w:tblCellMar>
          <w:left w:w="70" w:type="dxa"/>
          <w:right w:w="70" w:type="dxa"/>
        </w:tblCellMar>
        <w:tblLook w:val="04A0" w:firstRow="1" w:lastRow="0" w:firstColumn="1" w:lastColumn="0" w:noHBand="0" w:noVBand="1"/>
      </w:tblPr>
      <w:tblGrid>
        <w:gridCol w:w="3119"/>
        <w:gridCol w:w="1275"/>
        <w:gridCol w:w="1276"/>
        <w:gridCol w:w="1574"/>
      </w:tblGrid>
      <w:tr w:rsidR="00CB1B40" w:rsidRPr="00E70693" w:rsidTr="00DF3FFF">
        <w:trPr>
          <w:tblHeader/>
        </w:trPr>
        <w:tc>
          <w:tcPr>
            <w:tcW w:w="3119" w:type="dxa"/>
            <w:tcBorders>
              <w:top w:val="nil"/>
              <w:left w:val="nil"/>
              <w:bottom w:val="nil"/>
              <w:right w:val="nil"/>
            </w:tcBorders>
            <w:shd w:val="clear" w:color="000000" w:fill="DAEEF3"/>
            <w:noWrap/>
            <w:vAlign w:val="center"/>
            <w:hideMark/>
          </w:tcPr>
          <w:p w:rsidR="00CB1B40" w:rsidRPr="00E70693" w:rsidRDefault="00CB1B40" w:rsidP="00CB1B40">
            <w:pPr>
              <w:jc w:val="center"/>
              <w:rPr>
                <w:rFonts w:ascii="Arial" w:hAnsi="Arial" w:cs="Arial"/>
                <w:b/>
                <w:bCs/>
                <w:sz w:val="20"/>
                <w:lang w:val="es-PY" w:eastAsia="es-PY"/>
              </w:rPr>
            </w:pPr>
            <w:r w:rsidRPr="00E70693">
              <w:rPr>
                <w:rFonts w:ascii="Arial" w:hAnsi="Arial" w:cs="Arial"/>
                <w:b/>
                <w:bCs/>
                <w:sz w:val="20"/>
                <w:lang w:val="es-PY" w:eastAsia="es-PY"/>
              </w:rPr>
              <w:t>Descripción</w:t>
            </w:r>
          </w:p>
        </w:tc>
        <w:tc>
          <w:tcPr>
            <w:tcW w:w="1275" w:type="dxa"/>
            <w:tcBorders>
              <w:top w:val="nil"/>
              <w:left w:val="nil"/>
              <w:bottom w:val="nil"/>
              <w:right w:val="nil"/>
            </w:tcBorders>
            <w:shd w:val="clear" w:color="000000" w:fill="DAEEF3"/>
            <w:noWrap/>
            <w:vAlign w:val="center"/>
            <w:hideMark/>
          </w:tcPr>
          <w:p w:rsidR="00CB1B40" w:rsidRPr="00E70693" w:rsidRDefault="00CB1B40" w:rsidP="00CB1B40">
            <w:pPr>
              <w:jc w:val="center"/>
              <w:rPr>
                <w:rFonts w:ascii="Arial" w:hAnsi="Arial" w:cs="Arial"/>
                <w:b/>
                <w:bCs/>
                <w:sz w:val="20"/>
                <w:lang w:val="es-PY" w:eastAsia="es-PY"/>
              </w:rPr>
            </w:pPr>
            <w:r w:rsidRPr="00E70693">
              <w:rPr>
                <w:rFonts w:ascii="Arial" w:hAnsi="Arial" w:cs="Arial"/>
                <w:b/>
                <w:bCs/>
                <w:sz w:val="20"/>
                <w:lang w:val="es-PY" w:eastAsia="es-PY"/>
              </w:rPr>
              <w:t>Asignación</w:t>
            </w:r>
          </w:p>
        </w:tc>
        <w:tc>
          <w:tcPr>
            <w:tcW w:w="1276" w:type="dxa"/>
            <w:tcBorders>
              <w:top w:val="nil"/>
              <w:left w:val="nil"/>
              <w:bottom w:val="nil"/>
              <w:right w:val="nil"/>
            </w:tcBorders>
            <w:shd w:val="clear" w:color="000000" w:fill="DAEEF3"/>
            <w:noWrap/>
            <w:vAlign w:val="center"/>
            <w:hideMark/>
          </w:tcPr>
          <w:p w:rsidR="00CB1B40" w:rsidRPr="00E70693" w:rsidRDefault="00CB1B40" w:rsidP="00CB1B40">
            <w:pPr>
              <w:jc w:val="center"/>
              <w:rPr>
                <w:rFonts w:ascii="Arial" w:hAnsi="Arial" w:cs="Arial"/>
                <w:b/>
                <w:bCs/>
                <w:sz w:val="20"/>
                <w:lang w:val="es-PY" w:eastAsia="es-PY"/>
              </w:rPr>
            </w:pPr>
            <w:r w:rsidRPr="00E70693">
              <w:rPr>
                <w:rFonts w:ascii="Arial" w:hAnsi="Arial" w:cs="Arial"/>
                <w:b/>
                <w:bCs/>
                <w:sz w:val="20"/>
                <w:lang w:val="es-PY" w:eastAsia="es-PY"/>
              </w:rPr>
              <w:t>Ejecutado</w:t>
            </w:r>
          </w:p>
        </w:tc>
        <w:tc>
          <w:tcPr>
            <w:tcW w:w="1418" w:type="dxa"/>
            <w:vMerge w:val="restart"/>
            <w:tcBorders>
              <w:top w:val="nil"/>
              <w:left w:val="nil"/>
              <w:bottom w:val="nil"/>
              <w:right w:val="nil"/>
            </w:tcBorders>
            <w:shd w:val="clear" w:color="000000" w:fill="DAEEF3"/>
            <w:vAlign w:val="center"/>
            <w:hideMark/>
          </w:tcPr>
          <w:p w:rsidR="00CB1B40" w:rsidRPr="00E70693" w:rsidRDefault="00CB1B40" w:rsidP="00CB1B40">
            <w:pPr>
              <w:jc w:val="center"/>
              <w:rPr>
                <w:rFonts w:ascii="Arial" w:hAnsi="Arial" w:cs="Arial"/>
                <w:b/>
                <w:bCs/>
                <w:sz w:val="20"/>
                <w:lang w:val="es-PY" w:eastAsia="es-PY"/>
              </w:rPr>
            </w:pPr>
            <w:r w:rsidRPr="00E70693">
              <w:rPr>
                <w:rFonts w:ascii="Arial" w:hAnsi="Arial" w:cs="Arial"/>
                <w:b/>
                <w:bCs/>
                <w:sz w:val="20"/>
                <w:lang w:val="es-PY" w:eastAsia="es-PY"/>
              </w:rPr>
              <w:t>Ejecución presupuestaria</w:t>
            </w:r>
          </w:p>
        </w:tc>
      </w:tr>
      <w:tr w:rsidR="00CB1B40" w:rsidRPr="00E70693" w:rsidTr="00DF3FFF">
        <w:trPr>
          <w:tblHeader/>
        </w:trPr>
        <w:tc>
          <w:tcPr>
            <w:tcW w:w="3119" w:type="dxa"/>
            <w:tcBorders>
              <w:top w:val="nil"/>
              <w:left w:val="nil"/>
              <w:bottom w:val="nil"/>
              <w:right w:val="nil"/>
            </w:tcBorders>
            <w:shd w:val="clear" w:color="000000" w:fill="DAEEF3"/>
            <w:noWrap/>
            <w:vAlign w:val="center"/>
            <w:hideMark/>
          </w:tcPr>
          <w:p w:rsidR="00CB1B40" w:rsidRPr="00E70693" w:rsidRDefault="00CB1B40" w:rsidP="00CB1B40">
            <w:pPr>
              <w:jc w:val="center"/>
              <w:rPr>
                <w:rFonts w:ascii="Arial" w:hAnsi="Arial" w:cs="Arial"/>
                <w:b/>
                <w:bCs/>
                <w:sz w:val="20"/>
                <w:lang w:val="es-PY" w:eastAsia="es-PY"/>
              </w:rPr>
            </w:pPr>
            <w:r w:rsidRPr="00E70693">
              <w:rPr>
                <w:rFonts w:ascii="Arial" w:hAnsi="Arial" w:cs="Arial"/>
                <w:b/>
                <w:bCs/>
                <w:sz w:val="20"/>
                <w:lang w:val="es-PY" w:eastAsia="es-PY"/>
              </w:rPr>
              <w:t> </w:t>
            </w:r>
          </w:p>
        </w:tc>
        <w:tc>
          <w:tcPr>
            <w:tcW w:w="1275" w:type="dxa"/>
            <w:tcBorders>
              <w:top w:val="nil"/>
              <w:left w:val="nil"/>
              <w:bottom w:val="nil"/>
              <w:right w:val="nil"/>
            </w:tcBorders>
            <w:shd w:val="clear" w:color="000000" w:fill="DAEEF3"/>
            <w:noWrap/>
            <w:vAlign w:val="center"/>
            <w:hideMark/>
          </w:tcPr>
          <w:p w:rsidR="00CB1B40" w:rsidRPr="00E70693" w:rsidRDefault="00CB1B40" w:rsidP="00CB1B40">
            <w:pPr>
              <w:jc w:val="center"/>
              <w:rPr>
                <w:rFonts w:ascii="Arial" w:hAnsi="Arial" w:cs="Arial"/>
                <w:b/>
                <w:bCs/>
                <w:sz w:val="16"/>
                <w:szCs w:val="16"/>
                <w:lang w:val="es-PY" w:eastAsia="es-PY"/>
              </w:rPr>
            </w:pPr>
            <w:r w:rsidRPr="00E70693">
              <w:rPr>
                <w:rFonts w:ascii="Arial" w:hAnsi="Arial" w:cs="Arial"/>
                <w:b/>
                <w:bCs/>
                <w:sz w:val="16"/>
                <w:szCs w:val="16"/>
                <w:lang w:val="es-PY" w:eastAsia="es-PY"/>
              </w:rPr>
              <w:t>millones C$</w:t>
            </w:r>
          </w:p>
        </w:tc>
        <w:tc>
          <w:tcPr>
            <w:tcW w:w="1276" w:type="dxa"/>
            <w:tcBorders>
              <w:top w:val="nil"/>
              <w:left w:val="nil"/>
              <w:bottom w:val="nil"/>
              <w:right w:val="nil"/>
            </w:tcBorders>
            <w:shd w:val="clear" w:color="000000" w:fill="DAEEF3"/>
            <w:noWrap/>
            <w:vAlign w:val="center"/>
            <w:hideMark/>
          </w:tcPr>
          <w:p w:rsidR="00CB1B40" w:rsidRPr="00E70693" w:rsidRDefault="00CB1B40" w:rsidP="00CB1B40">
            <w:pPr>
              <w:jc w:val="center"/>
              <w:rPr>
                <w:rFonts w:ascii="Arial" w:hAnsi="Arial" w:cs="Arial"/>
                <w:b/>
                <w:bCs/>
                <w:sz w:val="16"/>
                <w:szCs w:val="16"/>
                <w:lang w:val="es-PY" w:eastAsia="es-PY"/>
              </w:rPr>
            </w:pPr>
            <w:r w:rsidRPr="00E70693">
              <w:rPr>
                <w:rFonts w:ascii="Arial" w:hAnsi="Arial" w:cs="Arial"/>
                <w:b/>
                <w:bCs/>
                <w:sz w:val="16"/>
                <w:szCs w:val="16"/>
                <w:lang w:val="es-PY" w:eastAsia="es-PY"/>
              </w:rPr>
              <w:t>millones C$</w:t>
            </w:r>
          </w:p>
        </w:tc>
        <w:tc>
          <w:tcPr>
            <w:tcW w:w="1418" w:type="dxa"/>
            <w:vMerge/>
            <w:tcBorders>
              <w:top w:val="nil"/>
              <w:left w:val="nil"/>
              <w:bottom w:val="nil"/>
              <w:right w:val="nil"/>
            </w:tcBorders>
            <w:vAlign w:val="center"/>
            <w:hideMark/>
          </w:tcPr>
          <w:p w:rsidR="00CB1B40" w:rsidRPr="00E70693" w:rsidRDefault="00CB1B40" w:rsidP="00CB1B40">
            <w:pPr>
              <w:rPr>
                <w:rFonts w:ascii="Arial" w:hAnsi="Arial" w:cs="Arial"/>
                <w:b/>
                <w:bCs/>
                <w:sz w:val="20"/>
                <w:lang w:val="es-PY" w:eastAsia="es-PY"/>
              </w:rPr>
            </w:pPr>
          </w:p>
        </w:tc>
      </w:tr>
      <w:tr w:rsidR="00CB1B40" w:rsidRPr="00E70693" w:rsidTr="00DF3FFF">
        <w:trPr>
          <w:tblHeader/>
        </w:trPr>
        <w:tc>
          <w:tcPr>
            <w:tcW w:w="3119" w:type="dxa"/>
            <w:tcBorders>
              <w:top w:val="nil"/>
              <w:left w:val="nil"/>
              <w:bottom w:val="nil"/>
              <w:right w:val="nil"/>
            </w:tcBorders>
            <w:shd w:val="clear" w:color="auto" w:fill="auto"/>
            <w:noWrap/>
            <w:vAlign w:val="bottom"/>
          </w:tcPr>
          <w:p w:rsidR="00CB1B40" w:rsidRPr="00E70693" w:rsidRDefault="00CB1B40" w:rsidP="00CB1B40">
            <w:pPr>
              <w:rPr>
                <w:rFonts w:ascii="Arial" w:hAnsi="Arial" w:cs="Arial"/>
                <w:b/>
                <w:bCs/>
                <w:sz w:val="20"/>
                <w:lang w:val="es-PY" w:eastAsia="es-PY"/>
              </w:rPr>
            </w:pPr>
          </w:p>
        </w:tc>
        <w:tc>
          <w:tcPr>
            <w:tcW w:w="1275" w:type="dxa"/>
            <w:tcBorders>
              <w:top w:val="nil"/>
              <w:left w:val="nil"/>
              <w:bottom w:val="nil"/>
              <w:right w:val="nil"/>
            </w:tcBorders>
            <w:shd w:val="clear" w:color="auto" w:fill="auto"/>
            <w:noWrap/>
            <w:vAlign w:val="bottom"/>
          </w:tcPr>
          <w:p w:rsidR="00CB1B40" w:rsidRPr="00E70693" w:rsidRDefault="00CB1B40" w:rsidP="00CB1B40">
            <w:pPr>
              <w:jc w:val="right"/>
              <w:rPr>
                <w:rFonts w:ascii="Arial" w:hAnsi="Arial" w:cs="Arial"/>
                <w:b/>
                <w:bCs/>
                <w:sz w:val="20"/>
                <w:lang w:val="es-PY" w:eastAsia="es-PY"/>
              </w:rPr>
            </w:pPr>
          </w:p>
        </w:tc>
        <w:tc>
          <w:tcPr>
            <w:tcW w:w="1276" w:type="dxa"/>
            <w:tcBorders>
              <w:top w:val="nil"/>
              <w:left w:val="nil"/>
              <w:bottom w:val="nil"/>
              <w:right w:val="nil"/>
            </w:tcBorders>
            <w:shd w:val="clear" w:color="auto" w:fill="auto"/>
            <w:noWrap/>
            <w:vAlign w:val="bottom"/>
          </w:tcPr>
          <w:p w:rsidR="00CB1B40" w:rsidRPr="00E70693" w:rsidRDefault="00CB1B40" w:rsidP="00CB1B40">
            <w:pPr>
              <w:jc w:val="right"/>
              <w:rPr>
                <w:rFonts w:ascii="Arial" w:hAnsi="Arial" w:cs="Arial"/>
                <w:b/>
                <w:bCs/>
                <w:sz w:val="20"/>
                <w:lang w:val="es-PY" w:eastAsia="es-PY"/>
              </w:rPr>
            </w:pPr>
          </w:p>
        </w:tc>
        <w:tc>
          <w:tcPr>
            <w:tcW w:w="1418" w:type="dxa"/>
            <w:tcBorders>
              <w:top w:val="nil"/>
              <w:left w:val="nil"/>
              <w:bottom w:val="nil"/>
              <w:right w:val="nil"/>
            </w:tcBorders>
            <w:shd w:val="clear" w:color="auto" w:fill="auto"/>
            <w:noWrap/>
            <w:vAlign w:val="bottom"/>
          </w:tcPr>
          <w:p w:rsidR="00CB1B40" w:rsidRPr="00E70693" w:rsidRDefault="00CB1B40" w:rsidP="00CB1B40">
            <w:pPr>
              <w:jc w:val="right"/>
              <w:rPr>
                <w:rFonts w:ascii="Arial" w:hAnsi="Arial" w:cs="Arial"/>
                <w:b/>
                <w:bCs/>
                <w:sz w:val="20"/>
                <w:lang w:val="es-PY" w:eastAsia="es-PY"/>
              </w:rPr>
            </w:pPr>
          </w:p>
        </w:tc>
      </w:tr>
      <w:tr w:rsidR="00CB1B40" w:rsidRPr="00E70693" w:rsidTr="00DF3FFF">
        <w:tc>
          <w:tcPr>
            <w:tcW w:w="3119" w:type="dxa"/>
            <w:tcBorders>
              <w:top w:val="nil"/>
              <w:left w:val="nil"/>
              <w:bottom w:val="nil"/>
              <w:right w:val="nil"/>
            </w:tcBorders>
            <w:shd w:val="clear" w:color="auto" w:fill="auto"/>
            <w:noWrap/>
            <w:vAlign w:val="bottom"/>
            <w:hideMark/>
          </w:tcPr>
          <w:p w:rsidR="00CB1B40" w:rsidRPr="00E70693" w:rsidRDefault="00CB1B40">
            <w:pPr>
              <w:rPr>
                <w:rFonts w:ascii="Arial" w:hAnsi="Arial" w:cs="Arial"/>
                <w:b/>
                <w:bCs/>
                <w:sz w:val="20"/>
                <w:lang w:val="es-PY" w:eastAsia="es-PY"/>
              </w:rPr>
            </w:pPr>
            <w:r w:rsidRPr="00E70693">
              <w:rPr>
                <w:rFonts w:ascii="Arial" w:hAnsi="Arial" w:cs="Arial"/>
                <w:b/>
                <w:bCs/>
                <w:sz w:val="20"/>
                <w:lang w:val="es-PY" w:eastAsia="es-PY"/>
              </w:rPr>
              <w:t>Total Presupuesto 201</w:t>
            </w:r>
            <w:r w:rsidR="00711E67" w:rsidRPr="00E70693">
              <w:rPr>
                <w:rFonts w:ascii="Arial" w:hAnsi="Arial" w:cs="Arial"/>
                <w:b/>
                <w:bCs/>
                <w:sz w:val="20"/>
                <w:lang w:val="es-PY" w:eastAsia="es-PY"/>
              </w:rPr>
              <w:t>4</w:t>
            </w:r>
          </w:p>
        </w:tc>
        <w:tc>
          <w:tcPr>
            <w:tcW w:w="1275"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b/>
                <w:bCs/>
                <w:sz w:val="20"/>
                <w:lang w:val="es-PY" w:eastAsia="es-PY"/>
              </w:rPr>
            </w:pPr>
            <w:r w:rsidRPr="00E70693">
              <w:rPr>
                <w:rFonts w:ascii="Arial" w:hAnsi="Arial" w:cs="Arial"/>
                <w:b/>
                <w:bCs/>
                <w:sz w:val="20"/>
                <w:lang w:val="es-PY" w:eastAsia="es-PY"/>
              </w:rPr>
              <w:t>4.307,37</w:t>
            </w:r>
          </w:p>
        </w:tc>
        <w:tc>
          <w:tcPr>
            <w:tcW w:w="1276"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b/>
                <w:bCs/>
                <w:sz w:val="20"/>
                <w:lang w:val="es-PY" w:eastAsia="es-PY"/>
              </w:rPr>
            </w:pPr>
            <w:r w:rsidRPr="00E70693">
              <w:rPr>
                <w:rFonts w:ascii="Arial" w:hAnsi="Arial" w:cs="Arial"/>
                <w:b/>
                <w:bCs/>
                <w:sz w:val="20"/>
                <w:lang w:val="es-PY" w:eastAsia="es-PY"/>
              </w:rPr>
              <w:t>4.295,23</w:t>
            </w:r>
          </w:p>
        </w:tc>
        <w:tc>
          <w:tcPr>
            <w:tcW w:w="1418"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b/>
                <w:bCs/>
                <w:sz w:val="20"/>
                <w:lang w:val="es-PY" w:eastAsia="es-PY"/>
              </w:rPr>
            </w:pPr>
            <w:r w:rsidRPr="00E70693">
              <w:rPr>
                <w:rFonts w:ascii="Arial" w:hAnsi="Arial" w:cs="Arial"/>
                <w:b/>
                <w:bCs/>
                <w:sz w:val="20"/>
                <w:lang w:val="es-PY" w:eastAsia="es-PY"/>
              </w:rPr>
              <w:t>99,72%</w:t>
            </w:r>
          </w:p>
        </w:tc>
      </w:tr>
      <w:tr w:rsidR="00CB1B40" w:rsidRPr="00E70693" w:rsidTr="00DF3FFF">
        <w:tc>
          <w:tcPr>
            <w:tcW w:w="3119"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color w:val="000000"/>
                <w:sz w:val="20"/>
                <w:lang w:val="es-PY" w:eastAsia="es-PY"/>
              </w:rPr>
            </w:pPr>
            <w:r w:rsidRPr="00E70693">
              <w:rPr>
                <w:rFonts w:ascii="Arial" w:hAnsi="Arial" w:cs="Arial"/>
                <w:color w:val="000000"/>
                <w:sz w:val="20"/>
                <w:lang w:val="es-PY" w:eastAsia="es-PY"/>
              </w:rPr>
              <w:t>Gastos Corrientes</w:t>
            </w:r>
          </w:p>
        </w:tc>
        <w:tc>
          <w:tcPr>
            <w:tcW w:w="1275"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color w:val="000000"/>
                <w:sz w:val="20"/>
                <w:lang w:val="es-PY" w:eastAsia="es-PY"/>
              </w:rPr>
            </w:pPr>
            <w:r w:rsidRPr="00E70693">
              <w:rPr>
                <w:rFonts w:ascii="Arial" w:hAnsi="Arial" w:cs="Arial"/>
                <w:color w:val="000000"/>
                <w:sz w:val="20"/>
                <w:lang w:val="es-PY" w:eastAsia="es-PY"/>
              </w:rPr>
              <w:t>424,69</w:t>
            </w:r>
          </w:p>
        </w:tc>
        <w:tc>
          <w:tcPr>
            <w:tcW w:w="1276"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color w:val="000000"/>
                <w:sz w:val="20"/>
                <w:lang w:val="es-PY" w:eastAsia="es-PY"/>
              </w:rPr>
            </w:pPr>
            <w:r w:rsidRPr="00E70693">
              <w:rPr>
                <w:rFonts w:ascii="Arial" w:hAnsi="Arial" w:cs="Arial"/>
                <w:color w:val="000000"/>
                <w:sz w:val="20"/>
                <w:lang w:val="es-PY" w:eastAsia="es-PY"/>
              </w:rPr>
              <w:t>423,88</w:t>
            </w:r>
          </w:p>
        </w:tc>
        <w:tc>
          <w:tcPr>
            <w:tcW w:w="1418"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sz w:val="20"/>
                <w:lang w:val="es-PY" w:eastAsia="es-PY"/>
              </w:rPr>
            </w:pPr>
            <w:r w:rsidRPr="00E70693">
              <w:rPr>
                <w:rFonts w:ascii="Arial" w:hAnsi="Arial" w:cs="Arial"/>
                <w:sz w:val="20"/>
                <w:lang w:val="es-PY" w:eastAsia="es-PY"/>
              </w:rPr>
              <w:t>99,81%</w:t>
            </w:r>
          </w:p>
        </w:tc>
      </w:tr>
      <w:tr w:rsidR="00CB1B40" w:rsidRPr="00E70693" w:rsidTr="00DF3FFF">
        <w:tc>
          <w:tcPr>
            <w:tcW w:w="3119"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color w:val="000000"/>
                <w:sz w:val="20"/>
                <w:lang w:val="es-PY" w:eastAsia="es-PY"/>
              </w:rPr>
            </w:pPr>
            <w:r w:rsidRPr="00E70693">
              <w:rPr>
                <w:rFonts w:ascii="Arial" w:hAnsi="Arial" w:cs="Arial"/>
                <w:color w:val="000000"/>
                <w:sz w:val="20"/>
                <w:lang w:val="es-PY" w:eastAsia="es-PY"/>
              </w:rPr>
              <w:t>Gastos de Capital (Inversión)</w:t>
            </w:r>
          </w:p>
        </w:tc>
        <w:tc>
          <w:tcPr>
            <w:tcW w:w="1275"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color w:val="000000"/>
                <w:sz w:val="20"/>
                <w:lang w:val="es-PY" w:eastAsia="es-PY"/>
              </w:rPr>
            </w:pPr>
            <w:r w:rsidRPr="00E70693">
              <w:rPr>
                <w:rFonts w:ascii="Arial" w:hAnsi="Arial" w:cs="Arial"/>
                <w:color w:val="000000"/>
                <w:sz w:val="20"/>
                <w:lang w:val="es-PY" w:eastAsia="es-PY"/>
              </w:rPr>
              <w:t>3.882,68</w:t>
            </w:r>
          </w:p>
        </w:tc>
        <w:tc>
          <w:tcPr>
            <w:tcW w:w="1276"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color w:val="000000"/>
                <w:sz w:val="20"/>
                <w:lang w:val="es-PY" w:eastAsia="es-PY"/>
              </w:rPr>
            </w:pPr>
            <w:r w:rsidRPr="00E70693">
              <w:rPr>
                <w:rFonts w:ascii="Arial" w:hAnsi="Arial" w:cs="Arial"/>
                <w:color w:val="000000"/>
                <w:sz w:val="20"/>
                <w:lang w:val="es-PY" w:eastAsia="es-PY"/>
              </w:rPr>
              <w:t>3.871,35</w:t>
            </w:r>
          </w:p>
        </w:tc>
        <w:tc>
          <w:tcPr>
            <w:tcW w:w="1418"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sz w:val="20"/>
                <w:lang w:val="es-PY" w:eastAsia="es-PY"/>
              </w:rPr>
            </w:pPr>
            <w:r w:rsidRPr="00E70693">
              <w:rPr>
                <w:rFonts w:ascii="Arial" w:hAnsi="Arial" w:cs="Arial"/>
                <w:sz w:val="20"/>
                <w:lang w:val="es-PY" w:eastAsia="es-PY"/>
              </w:rPr>
              <w:t>99,71%</w:t>
            </w:r>
          </w:p>
        </w:tc>
      </w:tr>
      <w:tr w:rsidR="00CB1B40" w:rsidRPr="00E70693" w:rsidTr="00DF3FFF">
        <w:tc>
          <w:tcPr>
            <w:tcW w:w="3119"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color w:val="000000"/>
                <w:sz w:val="20"/>
                <w:lang w:val="es-PY" w:eastAsia="es-PY"/>
              </w:rPr>
            </w:pPr>
          </w:p>
        </w:tc>
        <w:tc>
          <w:tcPr>
            <w:tcW w:w="1275"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color w:val="000000"/>
                <w:sz w:val="20"/>
                <w:lang w:val="es-PY" w:eastAsia="es-PY"/>
              </w:rPr>
            </w:pPr>
          </w:p>
        </w:tc>
        <w:tc>
          <w:tcPr>
            <w:tcW w:w="1276"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color w:val="000000"/>
                <w:sz w:val="20"/>
                <w:lang w:val="es-PY" w:eastAsia="es-PY"/>
              </w:rPr>
            </w:pPr>
          </w:p>
        </w:tc>
        <w:tc>
          <w:tcPr>
            <w:tcW w:w="1418"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color w:val="000000"/>
                <w:sz w:val="20"/>
                <w:lang w:val="es-PY" w:eastAsia="es-PY"/>
              </w:rPr>
            </w:pPr>
          </w:p>
        </w:tc>
      </w:tr>
      <w:tr w:rsidR="00CB1B40" w:rsidRPr="00E70693" w:rsidTr="00DF3FFF">
        <w:tc>
          <w:tcPr>
            <w:tcW w:w="3119" w:type="dxa"/>
            <w:tcBorders>
              <w:top w:val="nil"/>
              <w:left w:val="nil"/>
              <w:bottom w:val="nil"/>
              <w:right w:val="nil"/>
            </w:tcBorders>
            <w:shd w:val="clear" w:color="auto" w:fill="auto"/>
            <w:noWrap/>
            <w:vAlign w:val="bottom"/>
          </w:tcPr>
          <w:p w:rsidR="00CB1B40" w:rsidRPr="00E70693" w:rsidRDefault="00CB1B40" w:rsidP="00CB1B40">
            <w:pPr>
              <w:rPr>
                <w:rFonts w:ascii="Arial" w:hAnsi="Arial" w:cs="Arial"/>
                <w:b/>
                <w:bCs/>
                <w:sz w:val="20"/>
                <w:lang w:val="es-PY" w:eastAsia="es-PY"/>
              </w:rPr>
            </w:pPr>
          </w:p>
        </w:tc>
        <w:tc>
          <w:tcPr>
            <w:tcW w:w="1275" w:type="dxa"/>
            <w:tcBorders>
              <w:top w:val="nil"/>
              <w:left w:val="nil"/>
              <w:bottom w:val="nil"/>
              <w:right w:val="nil"/>
            </w:tcBorders>
            <w:shd w:val="clear" w:color="auto" w:fill="auto"/>
            <w:noWrap/>
            <w:vAlign w:val="bottom"/>
          </w:tcPr>
          <w:p w:rsidR="00CB1B40" w:rsidRPr="00E70693" w:rsidRDefault="00CB1B40" w:rsidP="00CB1B40">
            <w:pPr>
              <w:jc w:val="right"/>
              <w:rPr>
                <w:rFonts w:ascii="Arial" w:hAnsi="Arial" w:cs="Arial"/>
                <w:b/>
                <w:bCs/>
                <w:sz w:val="20"/>
                <w:lang w:val="es-PY" w:eastAsia="es-PY"/>
              </w:rPr>
            </w:pPr>
          </w:p>
        </w:tc>
        <w:tc>
          <w:tcPr>
            <w:tcW w:w="1276" w:type="dxa"/>
            <w:tcBorders>
              <w:top w:val="nil"/>
              <w:left w:val="nil"/>
              <w:bottom w:val="nil"/>
              <w:right w:val="nil"/>
            </w:tcBorders>
            <w:shd w:val="clear" w:color="auto" w:fill="auto"/>
            <w:noWrap/>
            <w:vAlign w:val="bottom"/>
          </w:tcPr>
          <w:p w:rsidR="00CB1B40" w:rsidRPr="00E70693" w:rsidRDefault="00CB1B40" w:rsidP="00CB1B40">
            <w:pPr>
              <w:jc w:val="right"/>
              <w:rPr>
                <w:rFonts w:ascii="Arial" w:hAnsi="Arial" w:cs="Arial"/>
                <w:b/>
                <w:bCs/>
                <w:sz w:val="20"/>
                <w:lang w:val="es-PY" w:eastAsia="es-PY"/>
              </w:rPr>
            </w:pPr>
          </w:p>
        </w:tc>
        <w:tc>
          <w:tcPr>
            <w:tcW w:w="1418" w:type="dxa"/>
            <w:tcBorders>
              <w:top w:val="nil"/>
              <w:left w:val="nil"/>
              <w:bottom w:val="nil"/>
              <w:right w:val="nil"/>
            </w:tcBorders>
            <w:shd w:val="clear" w:color="auto" w:fill="auto"/>
            <w:noWrap/>
            <w:vAlign w:val="bottom"/>
          </w:tcPr>
          <w:p w:rsidR="00CB1B40" w:rsidRPr="00E70693" w:rsidRDefault="00CB1B40" w:rsidP="00CB1B40">
            <w:pPr>
              <w:jc w:val="right"/>
              <w:rPr>
                <w:rFonts w:ascii="Arial" w:hAnsi="Arial" w:cs="Arial"/>
                <w:b/>
                <w:bCs/>
                <w:sz w:val="20"/>
                <w:lang w:val="es-PY" w:eastAsia="es-PY"/>
              </w:rPr>
            </w:pPr>
          </w:p>
        </w:tc>
      </w:tr>
      <w:tr w:rsidR="00CB1B40" w:rsidRPr="00E70693" w:rsidTr="00DF3FFF">
        <w:tc>
          <w:tcPr>
            <w:tcW w:w="3119"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b/>
                <w:bCs/>
                <w:sz w:val="20"/>
                <w:lang w:val="es-PY" w:eastAsia="es-PY"/>
              </w:rPr>
            </w:pPr>
            <w:r w:rsidRPr="00E70693">
              <w:rPr>
                <w:rFonts w:ascii="Arial" w:hAnsi="Arial" w:cs="Arial"/>
                <w:b/>
                <w:bCs/>
                <w:sz w:val="20"/>
                <w:lang w:val="es-PY" w:eastAsia="es-PY"/>
              </w:rPr>
              <w:t>Gastos de Capital</w:t>
            </w:r>
          </w:p>
        </w:tc>
        <w:tc>
          <w:tcPr>
            <w:tcW w:w="1275"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b/>
                <w:bCs/>
                <w:sz w:val="20"/>
                <w:lang w:val="es-PY" w:eastAsia="es-PY"/>
              </w:rPr>
            </w:pPr>
            <w:r w:rsidRPr="00E70693">
              <w:rPr>
                <w:rFonts w:ascii="Arial" w:hAnsi="Arial" w:cs="Arial"/>
                <w:b/>
                <w:bCs/>
                <w:sz w:val="20"/>
                <w:lang w:val="es-PY" w:eastAsia="es-PY"/>
              </w:rPr>
              <w:t>3.882,68</w:t>
            </w:r>
          </w:p>
        </w:tc>
        <w:tc>
          <w:tcPr>
            <w:tcW w:w="1276"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b/>
                <w:bCs/>
                <w:sz w:val="20"/>
                <w:lang w:val="es-PY" w:eastAsia="es-PY"/>
              </w:rPr>
            </w:pPr>
            <w:r w:rsidRPr="00E70693">
              <w:rPr>
                <w:rFonts w:ascii="Arial" w:hAnsi="Arial" w:cs="Arial"/>
                <w:b/>
                <w:bCs/>
                <w:sz w:val="20"/>
                <w:lang w:val="es-PY" w:eastAsia="es-PY"/>
              </w:rPr>
              <w:t>3.871,35</w:t>
            </w:r>
          </w:p>
        </w:tc>
        <w:tc>
          <w:tcPr>
            <w:tcW w:w="1418"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b/>
                <w:bCs/>
                <w:sz w:val="20"/>
                <w:lang w:val="es-PY" w:eastAsia="es-PY"/>
              </w:rPr>
            </w:pPr>
            <w:r w:rsidRPr="00E70693">
              <w:rPr>
                <w:rFonts w:ascii="Arial" w:hAnsi="Arial" w:cs="Arial"/>
                <w:b/>
                <w:bCs/>
                <w:sz w:val="20"/>
                <w:lang w:val="es-PY" w:eastAsia="es-PY"/>
              </w:rPr>
              <w:t>99,71%</w:t>
            </w:r>
          </w:p>
        </w:tc>
      </w:tr>
      <w:tr w:rsidR="00CB1B40" w:rsidRPr="00E70693" w:rsidTr="00DF3FFF">
        <w:tc>
          <w:tcPr>
            <w:tcW w:w="3119"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color w:val="000000"/>
                <w:sz w:val="20"/>
                <w:lang w:val="es-PY" w:eastAsia="es-PY"/>
              </w:rPr>
            </w:pPr>
            <w:r w:rsidRPr="00E70693">
              <w:rPr>
                <w:rFonts w:ascii="Arial" w:hAnsi="Arial" w:cs="Arial"/>
                <w:color w:val="000000"/>
                <w:sz w:val="20"/>
                <w:lang w:val="es-PY" w:eastAsia="es-PY"/>
              </w:rPr>
              <w:t>Recursos Nacionales</w:t>
            </w:r>
          </w:p>
        </w:tc>
        <w:tc>
          <w:tcPr>
            <w:tcW w:w="1275"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color w:val="000000"/>
                <w:sz w:val="20"/>
                <w:lang w:val="es-PY" w:eastAsia="es-PY"/>
              </w:rPr>
            </w:pPr>
            <w:r w:rsidRPr="00E70693">
              <w:rPr>
                <w:rFonts w:ascii="Arial" w:hAnsi="Arial" w:cs="Arial"/>
                <w:color w:val="000000"/>
                <w:sz w:val="20"/>
                <w:lang w:val="es-PY" w:eastAsia="es-PY"/>
              </w:rPr>
              <w:t>1.350,45</w:t>
            </w:r>
          </w:p>
        </w:tc>
        <w:tc>
          <w:tcPr>
            <w:tcW w:w="1276"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color w:val="000000"/>
                <w:sz w:val="20"/>
                <w:lang w:val="es-PY" w:eastAsia="es-PY"/>
              </w:rPr>
            </w:pPr>
            <w:r w:rsidRPr="00E70693">
              <w:rPr>
                <w:rFonts w:ascii="Arial" w:hAnsi="Arial" w:cs="Arial"/>
                <w:color w:val="000000"/>
                <w:sz w:val="20"/>
                <w:lang w:val="es-PY" w:eastAsia="es-PY"/>
              </w:rPr>
              <w:t>1.342,59</w:t>
            </w:r>
          </w:p>
        </w:tc>
        <w:tc>
          <w:tcPr>
            <w:tcW w:w="1418"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sz w:val="20"/>
                <w:lang w:val="es-PY" w:eastAsia="es-PY"/>
              </w:rPr>
            </w:pPr>
            <w:r w:rsidRPr="00E70693">
              <w:rPr>
                <w:rFonts w:ascii="Arial" w:hAnsi="Arial" w:cs="Arial"/>
                <w:sz w:val="20"/>
                <w:lang w:val="es-PY" w:eastAsia="es-PY"/>
              </w:rPr>
              <w:t>99,42%</w:t>
            </w:r>
          </w:p>
        </w:tc>
      </w:tr>
      <w:tr w:rsidR="00CB1B40" w:rsidRPr="00E70693" w:rsidTr="00DF3FFF">
        <w:tc>
          <w:tcPr>
            <w:tcW w:w="3119"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color w:val="000000"/>
                <w:sz w:val="20"/>
                <w:lang w:val="es-PY" w:eastAsia="es-PY"/>
              </w:rPr>
            </w:pPr>
            <w:r w:rsidRPr="00E70693">
              <w:rPr>
                <w:rFonts w:ascii="Arial" w:hAnsi="Arial" w:cs="Arial"/>
                <w:color w:val="000000"/>
                <w:sz w:val="20"/>
                <w:lang w:val="es-PY" w:eastAsia="es-PY"/>
              </w:rPr>
              <w:t>Recursos Externos</w:t>
            </w:r>
          </w:p>
        </w:tc>
        <w:tc>
          <w:tcPr>
            <w:tcW w:w="1275"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color w:val="000000"/>
                <w:sz w:val="20"/>
                <w:lang w:val="es-PY" w:eastAsia="es-PY"/>
              </w:rPr>
            </w:pPr>
            <w:r w:rsidRPr="00E70693">
              <w:rPr>
                <w:rFonts w:ascii="Arial" w:hAnsi="Arial" w:cs="Arial"/>
                <w:color w:val="000000"/>
                <w:sz w:val="20"/>
                <w:lang w:val="es-PY" w:eastAsia="es-PY"/>
              </w:rPr>
              <w:t>2.532,23</w:t>
            </w:r>
          </w:p>
        </w:tc>
        <w:tc>
          <w:tcPr>
            <w:tcW w:w="1276"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color w:val="000000"/>
                <w:sz w:val="20"/>
                <w:lang w:val="es-PY" w:eastAsia="es-PY"/>
              </w:rPr>
            </w:pPr>
            <w:r w:rsidRPr="00E70693">
              <w:rPr>
                <w:rFonts w:ascii="Arial" w:hAnsi="Arial" w:cs="Arial"/>
                <w:color w:val="000000"/>
                <w:sz w:val="20"/>
                <w:lang w:val="es-PY" w:eastAsia="es-PY"/>
              </w:rPr>
              <w:t>2.528,76</w:t>
            </w:r>
          </w:p>
        </w:tc>
        <w:tc>
          <w:tcPr>
            <w:tcW w:w="1418"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sz w:val="20"/>
                <w:lang w:val="es-PY" w:eastAsia="es-PY"/>
              </w:rPr>
            </w:pPr>
            <w:r w:rsidRPr="00E70693">
              <w:rPr>
                <w:rFonts w:ascii="Arial" w:hAnsi="Arial" w:cs="Arial"/>
                <w:sz w:val="20"/>
                <w:lang w:val="es-PY" w:eastAsia="es-PY"/>
              </w:rPr>
              <w:t>99,86%</w:t>
            </w:r>
          </w:p>
        </w:tc>
      </w:tr>
      <w:tr w:rsidR="00CB1B40" w:rsidRPr="00E70693" w:rsidTr="00DF3FFF">
        <w:tc>
          <w:tcPr>
            <w:tcW w:w="3119"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color w:val="000000"/>
                <w:sz w:val="20"/>
                <w:lang w:val="es-PY" w:eastAsia="es-PY"/>
              </w:rPr>
            </w:pPr>
          </w:p>
        </w:tc>
        <w:tc>
          <w:tcPr>
            <w:tcW w:w="1275"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color w:val="000000"/>
                <w:sz w:val="20"/>
                <w:lang w:val="es-PY" w:eastAsia="es-PY"/>
              </w:rPr>
            </w:pPr>
          </w:p>
        </w:tc>
        <w:tc>
          <w:tcPr>
            <w:tcW w:w="1276"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color w:val="000000"/>
                <w:sz w:val="20"/>
                <w:lang w:val="es-PY" w:eastAsia="es-PY"/>
              </w:rPr>
            </w:pPr>
          </w:p>
        </w:tc>
        <w:tc>
          <w:tcPr>
            <w:tcW w:w="1418"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color w:val="000000"/>
                <w:sz w:val="20"/>
                <w:lang w:val="es-PY" w:eastAsia="es-PY"/>
              </w:rPr>
            </w:pPr>
          </w:p>
        </w:tc>
      </w:tr>
      <w:tr w:rsidR="00CB1B40" w:rsidRPr="00E70693" w:rsidTr="00DF3FFF">
        <w:tc>
          <w:tcPr>
            <w:tcW w:w="3119" w:type="dxa"/>
            <w:tcBorders>
              <w:top w:val="nil"/>
              <w:left w:val="nil"/>
              <w:bottom w:val="nil"/>
              <w:right w:val="nil"/>
            </w:tcBorders>
            <w:shd w:val="clear" w:color="auto" w:fill="auto"/>
            <w:noWrap/>
            <w:vAlign w:val="bottom"/>
          </w:tcPr>
          <w:p w:rsidR="00CB1B40" w:rsidRPr="00E70693" w:rsidRDefault="00CB1B40" w:rsidP="00CB1B40">
            <w:pPr>
              <w:rPr>
                <w:rFonts w:ascii="Arial" w:hAnsi="Arial" w:cs="Arial"/>
                <w:b/>
                <w:bCs/>
                <w:sz w:val="20"/>
                <w:lang w:val="es-PY" w:eastAsia="es-PY"/>
              </w:rPr>
            </w:pPr>
          </w:p>
        </w:tc>
        <w:tc>
          <w:tcPr>
            <w:tcW w:w="1275" w:type="dxa"/>
            <w:tcBorders>
              <w:top w:val="nil"/>
              <w:left w:val="nil"/>
              <w:bottom w:val="nil"/>
              <w:right w:val="nil"/>
            </w:tcBorders>
            <w:shd w:val="clear" w:color="auto" w:fill="auto"/>
            <w:noWrap/>
            <w:vAlign w:val="bottom"/>
          </w:tcPr>
          <w:p w:rsidR="00CB1B40" w:rsidRPr="00E70693" w:rsidRDefault="00CB1B40" w:rsidP="00CB1B40">
            <w:pPr>
              <w:jc w:val="right"/>
              <w:rPr>
                <w:rFonts w:ascii="Arial" w:hAnsi="Arial" w:cs="Arial"/>
                <w:b/>
                <w:bCs/>
                <w:sz w:val="20"/>
                <w:lang w:val="es-PY" w:eastAsia="es-PY"/>
              </w:rPr>
            </w:pPr>
          </w:p>
        </w:tc>
        <w:tc>
          <w:tcPr>
            <w:tcW w:w="1276" w:type="dxa"/>
            <w:tcBorders>
              <w:top w:val="nil"/>
              <w:left w:val="nil"/>
              <w:bottom w:val="nil"/>
              <w:right w:val="nil"/>
            </w:tcBorders>
            <w:shd w:val="clear" w:color="auto" w:fill="auto"/>
            <w:noWrap/>
            <w:vAlign w:val="bottom"/>
          </w:tcPr>
          <w:p w:rsidR="00CB1B40" w:rsidRPr="00E70693" w:rsidRDefault="00CB1B40" w:rsidP="00CB1B40">
            <w:pPr>
              <w:jc w:val="right"/>
              <w:rPr>
                <w:rFonts w:ascii="Arial" w:hAnsi="Arial" w:cs="Arial"/>
                <w:b/>
                <w:bCs/>
                <w:sz w:val="20"/>
                <w:lang w:val="es-PY" w:eastAsia="es-PY"/>
              </w:rPr>
            </w:pPr>
          </w:p>
        </w:tc>
        <w:tc>
          <w:tcPr>
            <w:tcW w:w="1418" w:type="dxa"/>
            <w:tcBorders>
              <w:top w:val="nil"/>
              <w:left w:val="nil"/>
              <w:bottom w:val="nil"/>
              <w:right w:val="nil"/>
            </w:tcBorders>
            <w:shd w:val="clear" w:color="auto" w:fill="auto"/>
            <w:noWrap/>
            <w:vAlign w:val="bottom"/>
          </w:tcPr>
          <w:p w:rsidR="00CB1B40" w:rsidRPr="00E70693" w:rsidRDefault="00CB1B40" w:rsidP="00CB1B40">
            <w:pPr>
              <w:jc w:val="right"/>
              <w:rPr>
                <w:rFonts w:ascii="Arial" w:hAnsi="Arial" w:cs="Arial"/>
                <w:b/>
                <w:bCs/>
                <w:sz w:val="20"/>
                <w:lang w:val="es-PY" w:eastAsia="es-PY"/>
              </w:rPr>
            </w:pPr>
          </w:p>
        </w:tc>
      </w:tr>
      <w:tr w:rsidR="00CB1B40" w:rsidRPr="00E70693" w:rsidTr="00DF3FFF">
        <w:tc>
          <w:tcPr>
            <w:tcW w:w="3119"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b/>
                <w:bCs/>
                <w:sz w:val="20"/>
                <w:lang w:val="es-PY" w:eastAsia="es-PY"/>
              </w:rPr>
            </w:pPr>
            <w:r w:rsidRPr="00E70693">
              <w:rPr>
                <w:rFonts w:ascii="Arial" w:hAnsi="Arial" w:cs="Arial"/>
                <w:b/>
                <w:bCs/>
                <w:sz w:val="20"/>
                <w:lang w:val="es-PY" w:eastAsia="es-PY"/>
              </w:rPr>
              <w:t>Préstamo</w:t>
            </w:r>
          </w:p>
        </w:tc>
        <w:tc>
          <w:tcPr>
            <w:tcW w:w="1275"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b/>
                <w:bCs/>
                <w:sz w:val="20"/>
                <w:lang w:val="es-PY" w:eastAsia="es-PY"/>
              </w:rPr>
            </w:pPr>
            <w:r w:rsidRPr="00E70693">
              <w:rPr>
                <w:rFonts w:ascii="Arial" w:hAnsi="Arial" w:cs="Arial"/>
                <w:b/>
                <w:bCs/>
                <w:sz w:val="20"/>
                <w:lang w:val="es-PY" w:eastAsia="es-PY"/>
              </w:rPr>
              <w:t>2.174,29</w:t>
            </w:r>
          </w:p>
        </w:tc>
        <w:tc>
          <w:tcPr>
            <w:tcW w:w="1276"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b/>
                <w:bCs/>
                <w:sz w:val="20"/>
                <w:lang w:val="es-PY" w:eastAsia="es-PY"/>
              </w:rPr>
            </w:pPr>
            <w:r w:rsidRPr="00E70693">
              <w:rPr>
                <w:rFonts w:ascii="Arial" w:hAnsi="Arial" w:cs="Arial"/>
                <w:b/>
                <w:bCs/>
                <w:sz w:val="20"/>
                <w:lang w:val="es-PY" w:eastAsia="es-PY"/>
              </w:rPr>
              <w:t>2.170,88</w:t>
            </w:r>
          </w:p>
        </w:tc>
        <w:tc>
          <w:tcPr>
            <w:tcW w:w="1418"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b/>
                <w:bCs/>
                <w:sz w:val="20"/>
                <w:lang w:val="es-PY" w:eastAsia="es-PY"/>
              </w:rPr>
            </w:pPr>
            <w:r w:rsidRPr="00E70693">
              <w:rPr>
                <w:rFonts w:ascii="Arial" w:hAnsi="Arial" w:cs="Arial"/>
                <w:b/>
                <w:bCs/>
                <w:sz w:val="20"/>
                <w:lang w:val="es-PY" w:eastAsia="es-PY"/>
              </w:rPr>
              <w:t>99,84%</w:t>
            </w:r>
          </w:p>
        </w:tc>
      </w:tr>
      <w:tr w:rsidR="00CB1B40" w:rsidRPr="00E70693" w:rsidTr="00DF3FFF">
        <w:tc>
          <w:tcPr>
            <w:tcW w:w="3119"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color w:val="000000"/>
                <w:sz w:val="20"/>
                <w:lang w:val="es-PY" w:eastAsia="es-PY"/>
              </w:rPr>
            </w:pPr>
            <w:r w:rsidRPr="00E70693">
              <w:rPr>
                <w:rFonts w:ascii="Arial" w:hAnsi="Arial" w:cs="Arial"/>
                <w:color w:val="000000"/>
                <w:sz w:val="20"/>
                <w:lang w:val="es-PY" w:eastAsia="es-PY"/>
              </w:rPr>
              <w:t>Banco Mundial</w:t>
            </w:r>
          </w:p>
        </w:tc>
        <w:tc>
          <w:tcPr>
            <w:tcW w:w="1275"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color w:val="000000"/>
                <w:sz w:val="20"/>
                <w:lang w:val="es-PY" w:eastAsia="es-PY"/>
              </w:rPr>
            </w:pPr>
            <w:r w:rsidRPr="00E70693">
              <w:rPr>
                <w:rFonts w:ascii="Arial" w:hAnsi="Arial" w:cs="Arial"/>
                <w:color w:val="000000"/>
                <w:sz w:val="20"/>
                <w:lang w:val="es-PY" w:eastAsia="es-PY"/>
              </w:rPr>
              <w:t>66,93</w:t>
            </w:r>
          </w:p>
        </w:tc>
        <w:tc>
          <w:tcPr>
            <w:tcW w:w="1276"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color w:val="000000"/>
                <w:sz w:val="20"/>
                <w:lang w:val="es-PY" w:eastAsia="es-PY"/>
              </w:rPr>
            </w:pPr>
            <w:r w:rsidRPr="00E70693">
              <w:rPr>
                <w:rFonts w:ascii="Arial" w:hAnsi="Arial" w:cs="Arial"/>
                <w:color w:val="000000"/>
                <w:sz w:val="20"/>
                <w:lang w:val="es-PY" w:eastAsia="es-PY"/>
              </w:rPr>
              <w:t>66,93</w:t>
            </w:r>
          </w:p>
        </w:tc>
        <w:tc>
          <w:tcPr>
            <w:tcW w:w="1418"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sz w:val="20"/>
                <w:lang w:val="es-PY" w:eastAsia="es-PY"/>
              </w:rPr>
            </w:pPr>
            <w:r w:rsidRPr="00E70693">
              <w:rPr>
                <w:rFonts w:ascii="Arial" w:hAnsi="Arial" w:cs="Arial"/>
                <w:sz w:val="20"/>
                <w:lang w:val="es-PY" w:eastAsia="es-PY"/>
              </w:rPr>
              <w:t>100,00%</w:t>
            </w:r>
          </w:p>
        </w:tc>
      </w:tr>
      <w:tr w:rsidR="00CB1B40" w:rsidRPr="00E70693" w:rsidTr="00DF3FFF">
        <w:tc>
          <w:tcPr>
            <w:tcW w:w="3119"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color w:val="000000"/>
                <w:sz w:val="20"/>
                <w:lang w:val="es-PY" w:eastAsia="es-PY"/>
              </w:rPr>
            </w:pPr>
            <w:r w:rsidRPr="00E70693">
              <w:rPr>
                <w:rFonts w:ascii="Arial" w:hAnsi="Arial" w:cs="Arial"/>
                <w:color w:val="000000"/>
                <w:sz w:val="20"/>
                <w:lang w:val="es-PY" w:eastAsia="es-PY"/>
              </w:rPr>
              <w:t>BID</w:t>
            </w:r>
          </w:p>
        </w:tc>
        <w:tc>
          <w:tcPr>
            <w:tcW w:w="1275"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color w:val="000000"/>
                <w:sz w:val="20"/>
                <w:lang w:val="es-PY" w:eastAsia="es-PY"/>
              </w:rPr>
            </w:pPr>
            <w:r w:rsidRPr="00E70693">
              <w:rPr>
                <w:rFonts w:ascii="Arial" w:hAnsi="Arial" w:cs="Arial"/>
                <w:color w:val="000000"/>
                <w:sz w:val="20"/>
                <w:lang w:val="es-PY" w:eastAsia="es-PY"/>
              </w:rPr>
              <w:t>773,07</w:t>
            </w:r>
          </w:p>
        </w:tc>
        <w:tc>
          <w:tcPr>
            <w:tcW w:w="1276"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color w:val="000000"/>
                <w:sz w:val="20"/>
                <w:lang w:val="es-PY" w:eastAsia="es-PY"/>
              </w:rPr>
            </w:pPr>
            <w:r w:rsidRPr="00E70693">
              <w:rPr>
                <w:rFonts w:ascii="Arial" w:hAnsi="Arial" w:cs="Arial"/>
                <w:color w:val="000000"/>
                <w:sz w:val="20"/>
                <w:lang w:val="es-PY" w:eastAsia="es-PY"/>
              </w:rPr>
              <w:t>770,53</w:t>
            </w:r>
          </w:p>
        </w:tc>
        <w:tc>
          <w:tcPr>
            <w:tcW w:w="1418"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sz w:val="20"/>
                <w:lang w:val="es-PY" w:eastAsia="es-PY"/>
              </w:rPr>
            </w:pPr>
            <w:r w:rsidRPr="00E70693">
              <w:rPr>
                <w:rFonts w:ascii="Arial" w:hAnsi="Arial" w:cs="Arial"/>
                <w:sz w:val="20"/>
                <w:lang w:val="es-PY" w:eastAsia="es-PY"/>
              </w:rPr>
              <w:t>99,67%</w:t>
            </w:r>
          </w:p>
        </w:tc>
      </w:tr>
      <w:tr w:rsidR="00CB1B40" w:rsidRPr="00E70693" w:rsidTr="00DF3FFF">
        <w:tc>
          <w:tcPr>
            <w:tcW w:w="3119"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color w:val="000000"/>
                <w:sz w:val="20"/>
                <w:lang w:val="es-PY" w:eastAsia="es-PY"/>
              </w:rPr>
            </w:pPr>
            <w:r w:rsidRPr="00E70693">
              <w:rPr>
                <w:rFonts w:ascii="Arial" w:hAnsi="Arial" w:cs="Arial"/>
                <w:color w:val="000000"/>
                <w:sz w:val="20"/>
                <w:lang w:val="es-PY" w:eastAsia="es-PY"/>
              </w:rPr>
              <w:t>BCIE</w:t>
            </w:r>
          </w:p>
        </w:tc>
        <w:tc>
          <w:tcPr>
            <w:tcW w:w="1275"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color w:val="000000"/>
                <w:sz w:val="20"/>
                <w:lang w:val="es-PY" w:eastAsia="es-PY"/>
              </w:rPr>
            </w:pPr>
            <w:r w:rsidRPr="00E70693">
              <w:rPr>
                <w:rFonts w:ascii="Arial" w:hAnsi="Arial" w:cs="Arial"/>
                <w:color w:val="000000"/>
                <w:sz w:val="20"/>
                <w:lang w:val="es-PY" w:eastAsia="es-PY"/>
              </w:rPr>
              <w:t>1.334,29</w:t>
            </w:r>
          </w:p>
        </w:tc>
        <w:tc>
          <w:tcPr>
            <w:tcW w:w="1276"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color w:val="000000"/>
                <w:sz w:val="20"/>
                <w:lang w:val="es-PY" w:eastAsia="es-PY"/>
              </w:rPr>
            </w:pPr>
            <w:r w:rsidRPr="00E70693">
              <w:rPr>
                <w:rFonts w:ascii="Arial" w:hAnsi="Arial" w:cs="Arial"/>
                <w:color w:val="000000"/>
                <w:sz w:val="20"/>
                <w:lang w:val="es-PY" w:eastAsia="es-PY"/>
              </w:rPr>
              <w:t>1.333,42</w:t>
            </w:r>
          </w:p>
        </w:tc>
        <w:tc>
          <w:tcPr>
            <w:tcW w:w="1418"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sz w:val="20"/>
                <w:lang w:val="es-PY" w:eastAsia="es-PY"/>
              </w:rPr>
            </w:pPr>
            <w:r w:rsidRPr="00E70693">
              <w:rPr>
                <w:rFonts w:ascii="Arial" w:hAnsi="Arial" w:cs="Arial"/>
                <w:sz w:val="20"/>
                <w:lang w:val="es-PY" w:eastAsia="es-PY"/>
              </w:rPr>
              <w:t>99,93%</w:t>
            </w:r>
          </w:p>
        </w:tc>
      </w:tr>
      <w:tr w:rsidR="00CB1B40" w:rsidRPr="00E70693" w:rsidTr="00DF3FFF">
        <w:tc>
          <w:tcPr>
            <w:tcW w:w="3119"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color w:val="000000"/>
                <w:sz w:val="20"/>
                <w:lang w:val="es-PY" w:eastAsia="es-PY"/>
              </w:rPr>
            </w:pPr>
          </w:p>
        </w:tc>
        <w:tc>
          <w:tcPr>
            <w:tcW w:w="1275"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color w:val="000000"/>
                <w:sz w:val="20"/>
                <w:lang w:val="es-PY" w:eastAsia="es-PY"/>
              </w:rPr>
            </w:pPr>
          </w:p>
        </w:tc>
        <w:tc>
          <w:tcPr>
            <w:tcW w:w="1276"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color w:val="000000"/>
                <w:sz w:val="20"/>
                <w:lang w:val="es-PY" w:eastAsia="es-PY"/>
              </w:rPr>
            </w:pPr>
          </w:p>
        </w:tc>
        <w:tc>
          <w:tcPr>
            <w:tcW w:w="1418"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color w:val="000000"/>
                <w:sz w:val="20"/>
                <w:lang w:val="es-PY" w:eastAsia="es-PY"/>
              </w:rPr>
            </w:pPr>
          </w:p>
        </w:tc>
      </w:tr>
      <w:tr w:rsidR="00CB1B40" w:rsidRPr="00E70693" w:rsidTr="00DF3FFF">
        <w:tc>
          <w:tcPr>
            <w:tcW w:w="3119" w:type="dxa"/>
            <w:tcBorders>
              <w:top w:val="nil"/>
              <w:left w:val="nil"/>
              <w:bottom w:val="nil"/>
              <w:right w:val="nil"/>
            </w:tcBorders>
            <w:shd w:val="clear" w:color="auto" w:fill="auto"/>
            <w:noWrap/>
            <w:vAlign w:val="bottom"/>
          </w:tcPr>
          <w:p w:rsidR="00CB1B40" w:rsidRPr="00E70693" w:rsidRDefault="00CB1B40" w:rsidP="00CB1B40">
            <w:pPr>
              <w:rPr>
                <w:rFonts w:ascii="Arial" w:hAnsi="Arial" w:cs="Arial"/>
                <w:b/>
                <w:bCs/>
                <w:sz w:val="20"/>
                <w:lang w:val="es-PY" w:eastAsia="es-PY"/>
              </w:rPr>
            </w:pPr>
          </w:p>
        </w:tc>
        <w:tc>
          <w:tcPr>
            <w:tcW w:w="1275" w:type="dxa"/>
            <w:tcBorders>
              <w:top w:val="nil"/>
              <w:left w:val="nil"/>
              <w:bottom w:val="nil"/>
              <w:right w:val="nil"/>
            </w:tcBorders>
            <w:shd w:val="clear" w:color="auto" w:fill="auto"/>
            <w:noWrap/>
            <w:vAlign w:val="bottom"/>
          </w:tcPr>
          <w:p w:rsidR="00CB1B40" w:rsidRPr="00E70693" w:rsidRDefault="00CB1B40" w:rsidP="00CB1B40">
            <w:pPr>
              <w:jc w:val="right"/>
              <w:rPr>
                <w:rFonts w:ascii="Arial" w:hAnsi="Arial" w:cs="Arial"/>
                <w:b/>
                <w:bCs/>
                <w:sz w:val="20"/>
                <w:lang w:val="es-PY" w:eastAsia="es-PY"/>
              </w:rPr>
            </w:pPr>
          </w:p>
        </w:tc>
        <w:tc>
          <w:tcPr>
            <w:tcW w:w="1276" w:type="dxa"/>
            <w:tcBorders>
              <w:top w:val="nil"/>
              <w:left w:val="nil"/>
              <w:bottom w:val="nil"/>
              <w:right w:val="nil"/>
            </w:tcBorders>
            <w:shd w:val="clear" w:color="auto" w:fill="auto"/>
            <w:noWrap/>
            <w:vAlign w:val="bottom"/>
          </w:tcPr>
          <w:p w:rsidR="00CB1B40" w:rsidRPr="00E70693" w:rsidRDefault="00CB1B40" w:rsidP="00CB1B40">
            <w:pPr>
              <w:jc w:val="right"/>
              <w:rPr>
                <w:rFonts w:ascii="Arial" w:hAnsi="Arial" w:cs="Arial"/>
                <w:b/>
                <w:bCs/>
                <w:sz w:val="20"/>
                <w:lang w:val="es-PY" w:eastAsia="es-PY"/>
              </w:rPr>
            </w:pPr>
          </w:p>
        </w:tc>
        <w:tc>
          <w:tcPr>
            <w:tcW w:w="1418" w:type="dxa"/>
            <w:tcBorders>
              <w:top w:val="nil"/>
              <w:left w:val="nil"/>
              <w:bottom w:val="nil"/>
              <w:right w:val="nil"/>
            </w:tcBorders>
            <w:shd w:val="clear" w:color="auto" w:fill="auto"/>
            <w:noWrap/>
            <w:vAlign w:val="bottom"/>
          </w:tcPr>
          <w:p w:rsidR="00CB1B40" w:rsidRPr="00E70693" w:rsidRDefault="00CB1B40" w:rsidP="00CB1B40">
            <w:pPr>
              <w:jc w:val="right"/>
              <w:rPr>
                <w:rFonts w:ascii="Arial" w:hAnsi="Arial" w:cs="Arial"/>
                <w:b/>
                <w:bCs/>
                <w:sz w:val="20"/>
                <w:lang w:val="es-PY" w:eastAsia="es-PY"/>
              </w:rPr>
            </w:pPr>
          </w:p>
        </w:tc>
      </w:tr>
      <w:tr w:rsidR="00CB1B40" w:rsidRPr="00E70693" w:rsidTr="00DF3FFF">
        <w:tc>
          <w:tcPr>
            <w:tcW w:w="3119"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b/>
                <w:bCs/>
                <w:sz w:val="20"/>
                <w:lang w:val="es-PY" w:eastAsia="es-PY"/>
              </w:rPr>
            </w:pPr>
            <w:r w:rsidRPr="00E70693">
              <w:rPr>
                <w:rFonts w:ascii="Arial" w:hAnsi="Arial" w:cs="Arial"/>
                <w:b/>
                <w:bCs/>
                <w:sz w:val="20"/>
                <w:lang w:val="es-PY" w:eastAsia="es-PY"/>
              </w:rPr>
              <w:t>Donación</w:t>
            </w:r>
          </w:p>
        </w:tc>
        <w:tc>
          <w:tcPr>
            <w:tcW w:w="1275"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b/>
                <w:bCs/>
                <w:sz w:val="20"/>
                <w:lang w:val="es-PY" w:eastAsia="es-PY"/>
              </w:rPr>
            </w:pPr>
            <w:r w:rsidRPr="00E70693">
              <w:rPr>
                <w:rFonts w:ascii="Arial" w:hAnsi="Arial" w:cs="Arial"/>
                <w:b/>
                <w:bCs/>
                <w:sz w:val="20"/>
                <w:lang w:val="es-PY" w:eastAsia="es-PY"/>
              </w:rPr>
              <w:t>357,94</w:t>
            </w:r>
          </w:p>
        </w:tc>
        <w:tc>
          <w:tcPr>
            <w:tcW w:w="1276"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b/>
                <w:bCs/>
                <w:sz w:val="20"/>
                <w:lang w:val="es-PY" w:eastAsia="es-PY"/>
              </w:rPr>
            </w:pPr>
            <w:r w:rsidRPr="00E70693">
              <w:rPr>
                <w:rFonts w:ascii="Arial" w:hAnsi="Arial" w:cs="Arial"/>
                <w:b/>
                <w:bCs/>
                <w:sz w:val="20"/>
                <w:lang w:val="es-PY" w:eastAsia="es-PY"/>
              </w:rPr>
              <w:t>357,88</w:t>
            </w:r>
          </w:p>
        </w:tc>
        <w:tc>
          <w:tcPr>
            <w:tcW w:w="1418"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b/>
                <w:bCs/>
                <w:sz w:val="20"/>
                <w:lang w:val="es-PY" w:eastAsia="es-PY"/>
              </w:rPr>
            </w:pPr>
            <w:r w:rsidRPr="00E70693">
              <w:rPr>
                <w:rFonts w:ascii="Arial" w:hAnsi="Arial" w:cs="Arial"/>
                <w:b/>
                <w:bCs/>
                <w:sz w:val="20"/>
                <w:lang w:val="es-PY" w:eastAsia="es-PY"/>
              </w:rPr>
              <w:t>99,99%</w:t>
            </w:r>
          </w:p>
        </w:tc>
      </w:tr>
      <w:tr w:rsidR="00CB1B40" w:rsidRPr="00E70693" w:rsidTr="00DF3FFF">
        <w:tc>
          <w:tcPr>
            <w:tcW w:w="3119"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color w:val="000000"/>
                <w:sz w:val="20"/>
                <w:lang w:val="es-PY" w:eastAsia="es-PY"/>
              </w:rPr>
            </w:pPr>
            <w:r w:rsidRPr="00E70693">
              <w:rPr>
                <w:rFonts w:ascii="Arial" w:hAnsi="Arial" w:cs="Arial"/>
                <w:color w:val="000000"/>
                <w:sz w:val="20"/>
                <w:lang w:val="es-PY" w:eastAsia="es-PY"/>
              </w:rPr>
              <w:t>Banco Mundial</w:t>
            </w:r>
          </w:p>
        </w:tc>
        <w:tc>
          <w:tcPr>
            <w:tcW w:w="1275"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color w:val="000000"/>
                <w:sz w:val="20"/>
                <w:lang w:val="es-PY" w:eastAsia="es-PY"/>
              </w:rPr>
            </w:pPr>
            <w:r w:rsidRPr="00E70693">
              <w:rPr>
                <w:rFonts w:ascii="Arial" w:hAnsi="Arial" w:cs="Arial"/>
                <w:color w:val="000000"/>
                <w:sz w:val="20"/>
                <w:lang w:val="es-PY" w:eastAsia="es-PY"/>
              </w:rPr>
              <w:t>264,95</w:t>
            </w:r>
          </w:p>
        </w:tc>
        <w:tc>
          <w:tcPr>
            <w:tcW w:w="1276"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color w:val="000000"/>
                <w:sz w:val="20"/>
                <w:lang w:val="es-PY" w:eastAsia="es-PY"/>
              </w:rPr>
            </w:pPr>
            <w:r w:rsidRPr="00E70693">
              <w:rPr>
                <w:rFonts w:ascii="Arial" w:hAnsi="Arial" w:cs="Arial"/>
                <w:color w:val="000000"/>
                <w:sz w:val="20"/>
                <w:lang w:val="es-PY" w:eastAsia="es-PY"/>
              </w:rPr>
              <w:t>264,95</w:t>
            </w:r>
          </w:p>
        </w:tc>
        <w:tc>
          <w:tcPr>
            <w:tcW w:w="1418"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sz w:val="20"/>
                <w:lang w:val="es-PY" w:eastAsia="es-PY"/>
              </w:rPr>
            </w:pPr>
            <w:r w:rsidRPr="00E70693">
              <w:rPr>
                <w:rFonts w:ascii="Arial" w:hAnsi="Arial" w:cs="Arial"/>
                <w:sz w:val="20"/>
                <w:lang w:val="es-PY" w:eastAsia="es-PY"/>
              </w:rPr>
              <w:t>100,00%</w:t>
            </w:r>
          </w:p>
        </w:tc>
      </w:tr>
      <w:tr w:rsidR="00CB1B40" w:rsidRPr="00E70693" w:rsidTr="00DF3FFF">
        <w:tc>
          <w:tcPr>
            <w:tcW w:w="3119"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color w:val="000000"/>
                <w:sz w:val="20"/>
                <w:lang w:val="es-PY" w:eastAsia="es-PY"/>
              </w:rPr>
            </w:pPr>
            <w:r w:rsidRPr="00E70693">
              <w:rPr>
                <w:rFonts w:ascii="Arial" w:hAnsi="Arial" w:cs="Arial"/>
                <w:color w:val="000000"/>
                <w:sz w:val="20"/>
                <w:lang w:val="es-PY" w:eastAsia="es-PY"/>
              </w:rPr>
              <w:t>JAPON</w:t>
            </w:r>
          </w:p>
        </w:tc>
        <w:tc>
          <w:tcPr>
            <w:tcW w:w="1275"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color w:val="000000"/>
                <w:sz w:val="20"/>
                <w:lang w:val="es-PY" w:eastAsia="es-PY"/>
              </w:rPr>
            </w:pPr>
            <w:r w:rsidRPr="00E70693">
              <w:rPr>
                <w:rFonts w:ascii="Arial" w:hAnsi="Arial" w:cs="Arial"/>
                <w:color w:val="000000"/>
                <w:sz w:val="20"/>
                <w:lang w:val="es-PY" w:eastAsia="es-PY"/>
              </w:rPr>
              <w:t>87,74</w:t>
            </w:r>
          </w:p>
        </w:tc>
        <w:tc>
          <w:tcPr>
            <w:tcW w:w="1276"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color w:val="000000"/>
                <w:sz w:val="20"/>
                <w:lang w:val="es-PY" w:eastAsia="es-PY"/>
              </w:rPr>
            </w:pPr>
            <w:r w:rsidRPr="00E70693">
              <w:rPr>
                <w:rFonts w:ascii="Arial" w:hAnsi="Arial" w:cs="Arial"/>
                <w:color w:val="000000"/>
                <w:sz w:val="20"/>
                <w:lang w:val="es-PY" w:eastAsia="es-PY"/>
              </w:rPr>
              <w:t>87,71</w:t>
            </w:r>
          </w:p>
        </w:tc>
        <w:tc>
          <w:tcPr>
            <w:tcW w:w="1418"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sz w:val="20"/>
                <w:lang w:val="es-PY" w:eastAsia="es-PY"/>
              </w:rPr>
            </w:pPr>
            <w:r w:rsidRPr="00E70693">
              <w:rPr>
                <w:rFonts w:ascii="Arial" w:hAnsi="Arial" w:cs="Arial"/>
                <w:sz w:val="20"/>
                <w:lang w:val="es-PY" w:eastAsia="es-PY"/>
              </w:rPr>
              <w:t>99,96%</w:t>
            </w:r>
          </w:p>
        </w:tc>
      </w:tr>
      <w:tr w:rsidR="00CB1B40" w:rsidRPr="00E70693" w:rsidTr="00DF3FFF">
        <w:tc>
          <w:tcPr>
            <w:tcW w:w="3119"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sz w:val="20"/>
                <w:lang w:val="es-PY" w:eastAsia="es-PY"/>
              </w:rPr>
            </w:pPr>
            <w:r w:rsidRPr="00E70693">
              <w:rPr>
                <w:rFonts w:ascii="Arial" w:hAnsi="Arial" w:cs="Arial"/>
                <w:sz w:val="20"/>
                <w:lang w:val="es-PY" w:eastAsia="es-PY"/>
              </w:rPr>
              <w:t xml:space="preserve">Fondos </w:t>
            </w:r>
            <w:r w:rsidR="00467B9F" w:rsidRPr="00E70693">
              <w:rPr>
                <w:rFonts w:ascii="Arial" w:hAnsi="Arial" w:cs="Arial"/>
                <w:sz w:val="20"/>
                <w:lang w:val="es-PY" w:eastAsia="es-PY"/>
              </w:rPr>
              <w:t>Nórdicos</w:t>
            </w:r>
          </w:p>
        </w:tc>
        <w:tc>
          <w:tcPr>
            <w:tcW w:w="1275"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276"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color w:val="000000"/>
                <w:sz w:val="20"/>
                <w:lang w:val="es-PY" w:eastAsia="es-PY"/>
              </w:rPr>
            </w:pPr>
            <w:r w:rsidRPr="00E70693">
              <w:rPr>
                <w:rFonts w:ascii="Arial" w:hAnsi="Arial" w:cs="Arial"/>
                <w:color w:val="000000"/>
                <w:sz w:val="20"/>
                <w:lang w:val="es-PY" w:eastAsia="es-PY"/>
              </w:rPr>
              <w:t>0,00</w:t>
            </w:r>
          </w:p>
        </w:tc>
        <w:tc>
          <w:tcPr>
            <w:tcW w:w="1418"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sz w:val="20"/>
                <w:lang w:val="es-PY" w:eastAsia="es-PY"/>
              </w:rPr>
            </w:pPr>
            <w:r w:rsidRPr="00E70693">
              <w:rPr>
                <w:rFonts w:ascii="Arial" w:hAnsi="Arial" w:cs="Arial"/>
                <w:sz w:val="20"/>
                <w:lang w:val="es-PY" w:eastAsia="es-PY"/>
              </w:rPr>
              <w:t>0,00%</w:t>
            </w:r>
          </w:p>
        </w:tc>
      </w:tr>
      <w:tr w:rsidR="00CB1B40" w:rsidRPr="00E70693" w:rsidTr="00DF3FFF">
        <w:tc>
          <w:tcPr>
            <w:tcW w:w="3119"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sz w:val="20"/>
                <w:lang w:val="es-PY" w:eastAsia="es-PY"/>
              </w:rPr>
            </w:pPr>
            <w:r w:rsidRPr="00E70693">
              <w:rPr>
                <w:rFonts w:ascii="Arial" w:hAnsi="Arial" w:cs="Arial"/>
                <w:sz w:val="20"/>
                <w:lang w:val="es-PY" w:eastAsia="es-PY"/>
              </w:rPr>
              <w:t>BID</w:t>
            </w:r>
          </w:p>
        </w:tc>
        <w:tc>
          <w:tcPr>
            <w:tcW w:w="1275"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color w:val="000000"/>
                <w:sz w:val="20"/>
                <w:lang w:val="es-PY" w:eastAsia="es-PY"/>
              </w:rPr>
            </w:pPr>
            <w:r w:rsidRPr="00E70693">
              <w:rPr>
                <w:rFonts w:ascii="Arial" w:hAnsi="Arial" w:cs="Arial"/>
                <w:color w:val="000000"/>
                <w:sz w:val="20"/>
                <w:lang w:val="es-PY" w:eastAsia="es-PY"/>
              </w:rPr>
              <w:t>5,24</w:t>
            </w:r>
          </w:p>
        </w:tc>
        <w:tc>
          <w:tcPr>
            <w:tcW w:w="1276"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color w:val="000000"/>
                <w:sz w:val="20"/>
                <w:lang w:val="es-PY" w:eastAsia="es-PY"/>
              </w:rPr>
            </w:pPr>
            <w:r w:rsidRPr="00E70693">
              <w:rPr>
                <w:rFonts w:ascii="Arial" w:hAnsi="Arial" w:cs="Arial"/>
                <w:color w:val="000000"/>
                <w:sz w:val="20"/>
                <w:lang w:val="es-PY" w:eastAsia="es-PY"/>
              </w:rPr>
              <w:t>5,23</w:t>
            </w:r>
          </w:p>
        </w:tc>
        <w:tc>
          <w:tcPr>
            <w:tcW w:w="1418" w:type="dxa"/>
            <w:tcBorders>
              <w:top w:val="nil"/>
              <w:left w:val="nil"/>
              <w:bottom w:val="nil"/>
              <w:right w:val="nil"/>
            </w:tcBorders>
            <w:shd w:val="clear" w:color="auto" w:fill="auto"/>
            <w:noWrap/>
            <w:vAlign w:val="bottom"/>
            <w:hideMark/>
          </w:tcPr>
          <w:p w:rsidR="00CB1B40" w:rsidRPr="00E70693" w:rsidRDefault="00CB1B40" w:rsidP="00CB1B40">
            <w:pPr>
              <w:jc w:val="right"/>
              <w:rPr>
                <w:rFonts w:ascii="Arial" w:hAnsi="Arial" w:cs="Arial"/>
                <w:sz w:val="20"/>
                <w:lang w:val="es-PY" w:eastAsia="es-PY"/>
              </w:rPr>
            </w:pPr>
            <w:r w:rsidRPr="00E70693">
              <w:rPr>
                <w:rFonts w:ascii="Arial" w:hAnsi="Arial" w:cs="Arial"/>
                <w:sz w:val="20"/>
                <w:lang w:val="es-PY" w:eastAsia="es-PY"/>
              </w:rPr>
              <w:t>99,70%</w:t>
            </w:r>
          </w:p>
        </w:tc>
      </w:tr>
      <w:tr w:rsidR="00CB1B40" w:rsidRPr="00E70693" w:rsidTr="00DF3FFF">
        <w:tc>
          <w:tcPr>
            <w:tcW w:w="4394" w:type="dxa"/>
            <w:gridSpan w:val="2"/>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b/>
                <w:bCs/>
                <w:color w:val="000000"/>
                <w:sz w:val="16"/>
                <w:szCs w:val="16"/>
                <w:lang w:val="es-PY" w:eastAsia="es-PY"/>
              </w:rPr>
            </w:pPr>
            <w:r w:rsidRPr="00E70693">
              <w:rPr>
                <w:rFonts w:ascii="Arial" w:hAnsi="Arial" w:cs="Arial"/>
                <w:b/>
                <w:bCs/>
                <w:color w:val="000000"/>
                <w:sz w:val="16"/>
                <w:szCs w:val="16"/>
                <w:lang w:val="es-PY" w:eastAsia="es-PY"/>
              </w:rPr>
              <w:t>Fuente: Memoria Institucional del MTI - 2014.</w:t>
            </w:r>
          </w:p>
        </w:tc>
        <w:tc>
          <w:tcPr>
            <w:tcW w:w="1276"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color w:val="000000"/>
                <w:sz w:val="16"/>
                <w:szCs w:val="16"/>
                <w:lang w:val="es-PY" w:eastAsia="es-PY"/>
              </w:rPr>
            </w:pPr>
          </w:p>
        </w:tc>
        <w:tc>
          <w:tcPr>
            <w:tcW w:w="1418" w:type="dxa"/>
            <w:tcBorders>
              <w:top w:val="nil"/>
              <w:left w:val="nil"/>
              <w:bottom w:val="nil"/>
              <w:right w:val="nil"/>
            </w:tcBorders>
            <w:shd w:val="clear" w:color="auto" w:fill="auto"/>
            <w:noWrap/>
            <w:vAlign w:val="bottom"/>
            <w:hideMark/>
          </w:tcPr>
          <w:p w:rsidR="00CB1B40" w:rsidRPr="00E70693" w:rsidRDefault="00CB1B40" w:rsidP="00CB1B40">
            <w:pPr>
              <w:rPr>
                <w:rFonts w:ascii="Arial" w:hAnsi="Arial" w:cs="Arial"/>
                <w:color w:val="000000"/>
                <w:sz w:val="16"/>
                <w:szCs w:val="16"/>
                <w:lang w:val="es-PY" w:eastAsia="es-PY"/>
              </w:rPr>
            </w:pPr>
          </w:p>
        </w:tc>
      </w:tr>
    </w:tbl>
    <w:p w:rsidR="00F16454" w:rsidRPr="00E70693" w:rsidRDefault="00F16454" w:rsidP="00F16454">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rPr>
        <w:t>De igual manera, de acuerdo a los datos de la Memoria Institucional de</w:t>
      </w:r>
      <w:r w:rsidR="00824CA3" w:rsidRPr="00E70693">
        <w:rPr>
          <w:rFonts w:ascii="Arial" w:hAnsi="Arial" w:cs="Arial"/>
        </w:rPr>
        <w:t>l</w:t>
      </w:r>
      <w:r w:rsidRPr="00E70693">
        <w:rPr>
          <w:rFonts w:ascii="Arial" w:hAnsi="Arial" w:cs="Arial"/>
        </w:rPr>
        <w:t xml:space="preserve"> año </w:t>
      </w:r>
      <w:r w:rsidR="00824CA3" w:rsidRPr="00E70693">
        <w:rPr>
          <w:rFonts w:ascii="Arial" w:hAnsi="Arial" w:cs="Arial"/>
        </w:rPr>
        <w:t>2013</w:t>
      </w:r>
      <w:r w:rsidRPr="00E70693">
        <w:rPr>
          <w:rFonts w:ascii="Arial" w:hAnsi="Arial" w:cs="Arial"/>
        </w:rPr>
        <w:t xml:space="preserve">, la ejecución presupuestaria </w:t>
      </w:r>
      <w:r w:rsidR="00824CA3" w:rsidRPr="00E70693">
        <w:rPr>
          <w:rFonts w:ascii="Arial" w:hAnsi="Arial" w:cs="Arial"/>
        </w:rPr>
        <w:t>de</w:t>
      </w:r>
      <w:r w:rsidRPr="00E70693">
        <w:rPr>
          <w:rFonts w:ascii="Arial" w:hAnsi="Arial" w:cs="Arial"/>
        </w:rPr>
        <w:t>l MTI fue</w:t>
      </w:r>
      <w:r w:rsidR="00824CA3" w:rsidRPr="00E70693">
        <w:rPr>
          <w:rFonts w:ascii="Arial" w:hAnsi="Arial" w:cs="Arial"/>
        </w:rPr>
        <w:t xml:space="preserve"> 99,64%</w:t>
      </w:r>
      <w:r w:rsidRPr="00E70693">
        <w:rPr>
          <w:rFonts w:ascii="Arial" w:hAnsi="Arial" w:cs="Arial"/>
        </w:rPr>
        <w:t xml:space="preserve"> </w:t>
      </w:r>
      <w:r w:rsidR="00824CA3" w:rsidRPr="00E70693">
        <w:rPr>
          <w:rFonts w:ascii="Arial" w:hAnsi="Arial" w:cs="Arial"/>
        </w:rPr>
        <w:t xml:space="preserve">de los recursos BID, 99,51% </w:t>
      </w:r>
      <w:r w:rsidR="00E15555" w:rsidRPr="00E70693">
        <w:rPr>
          <w:rFonts w:ascii="Arial" w:hAnsi="Arial" w:cs="Arial"/>
        </w:rPr>
        <w:t>d</w:t>
      </w:r>
      <w:r w:rsidR="00824CA3" w:rsidRPr="00E70693">
        <w:rPr>
          <w:rFonts w:ascii="Arial" w:hAnsi="Arial" w:cs="Arial"/>
        </w:rPr>
        <w:t>el total de Gastos de Capital</w:t>
      </w:r>
      <w:r w:rsidR="00E15555" w:rsidRPr="00E70693">
        <w:rPr>
          <w:rFonts w:ascii="Arial" w:hAnsi="Arial" w:cs="Arial"/>
        </w:rPr>
        <w:t xml:space="preserve"> y</w:t>
      </w:r>
      <w:r w:rsidR="00824CA3" w:rsidRPr="00E70693">
        <w:rPr>
          <w:rFonts w:ascii="Arial" w:hAnsi="Arial" w:cs="Arial"/>
        </w:rPr>
        <w:t xml:space="preserve"> 99,19% </w:t>
      </w:r>
      <w:r w:rsidR="00E15555" w:rsidRPr="00E70693">
        <w:rPr>
          <w:rFonts w:ascii="Arial" w:hAnsi="Arial" w:cs="Arial"/>
        </w:rPr>
        <w:t xml:space="preserve">general del </w:t>
      </w:r>
      <w:r w:rsidR="00824CA3" w:rsidRPr="00E70693">
        <w:rPr>
          <w:rFonts w:ascii="Arial" w:hAnsi="Arial" w:cs="Arial"/>
        </w:rPr>
        <w:t>presupuesto</w:t>
      </w:r>
      <w:r w:rsidRPr="00E70693">
        <w:rPr>
          <w:rFonts w:ascii="Arial" w:hAnsi="Arial" w:cs="Arial"/>
        </w:rPr>
        <w:t>. Esta situación demuestra el compromiso institucional para el cumplimiento de las metas y es indicadora de eficiencia en cuanto a la utilización de los recursos financieros que se le asignan.</w:t>
      </w:r>
    </w:p>
    <w:p w:rsidR="00FA2C9A" w:rsidRPr="00E70693" w:rsidRDefault="00FA2C9A" w:rsidP="00D94F16">
      <w:pPr>
        <w:pStyle w:val="Heading1"/>
        <w:rPr>
          <w:rFonts w:ascii="Arial" w:hAnsi="Arial" w:cs="Arial"/>
        </w:rPr>
      </w:pPr>
      <w:bookmarkStart w:id="23" w:name="_Toc422154438"/>
      <w:r w:rsidRPr="00E70693">
        <w:rPr>
          <w:rFonts w:ascii="Arial" w:hAnsi="Arial" w:cs="Arial"/>
        </w:rPr>
        <w:lastRenderedPageBreak/>
        <w:t>La organización funcional del MTI.</w:t>
      </w:r>
      <w:bookmarkEnd w:id="23"/>
    </w:p>
    <w:p w:rsidR="00467B9F" w:rsidRPr="00E70693" w:rsidRDefault="00467B9F" w:rsidP="00467B9F">
      <w:pPr>
        <w:pStyle w:val="ListParagraph"/>
        <w:numPr>
          <w:ilvl w:val="0"/>
          <w:numId w:val="1"/>
        </w:numPr>
        <w:spacing w:before="240" w:after="0" w:line="240" w:lineRule="auto"/>
        <w:contextualSpacing w:val="0"/>
        <w:jc w:val="both"/>
        <w:rPr>
          <w:rFonts w:ascii="Arial" w:eastAsia="Times New Roman" w:hAnsi="Arial" w:cs="Arial"/>
          <w:vanish/>
          <w:sz w:val="24"/>
          <w:szCs w:val="20"/>
          <w:lang w:eastAsia="en-US"/>
        </w:rPr>
      </w:pPr>
    </w:p>
    <w:p w:rsidR="00FA2C9A" w:rsidRPr="00E70693" w:rsidRDefault="00FA2C9A" w:rsidP="00DF3FFF">
      <w:pPr>
        <w:numPr>
          <w:ilvl w:val="1"/>
          <w:numId w:val="1"/>
        </w:numPr>
        <w:tabs>
          <w:tab w:val="clear" w:pos="360"/>
          <w:tab w:val="num" w:pos="709"/>
        </w:tabs>
        <w:spacing w:before="240"/>
        <w:ind w:left="709" w:hanging="709"/>
        <w:jc w:val="both"/>
        <w:rPr>
          <w:rFonts w:ascii="Arial" w:hAnsi="Arial" w:cs="Arial"/>
          <w:lang w:val="es-PY"/>
        </w:rPr>
      </w:pPr>
      <w:r w:rsidRPr="00E70693">
        <w:rPr>
          <w:rFonts w:ascii="Arial" w:hAnsi="Arial" w:cs="Arial"/>
          <w:lang w:val="es-PY"/>
        </w:rPr>
        <w:t>Seguidamente se describe</w:t>
      </w:r>
      <w:r w:rsidR="001C0024" w:rsidRPr="00E70693">
        <w:rPr>
          <w:rFonts w:ascii="Arial" w:hAnsi="Arial" w:cs="Arial"/>
          <w:lang w:val="es-PY"/>
        </w:rPr>
        <w:t xml:space="preserve"> la </w:t>
      </w:r>
      <w:r w:rsidRPr="00E70693">
        <w:rPr>
          <w:rFonts w:ascii="Arial" w:hAnsi="Arial" w:cs="Arial"/>
        </w:rPr>
        <w:t>organización</w:t>
      </w:r>
      <w:r w:rsidR="001C0024" w:rsidRPr="00E70693">
        <w:rPr>
          <w:rFonts w:ascii="Arial" w:hAnsi="Arial" w:cs="Arial"/>
        </w:rPr>
        <w:t xml:space="preserve"> </w:t>
      </w:r>
      <w:r w:rsidRPr="00E70693">
        <w:rPr>
          <w:rFonts w:ascii="Arial" w:hAnsi="Arial" w:cs="Arial"/>
        </w:rPr>
        <w:t>funcional</w:t>
      </w:r>
      <w:r w:rsidR="00A46B68" w:rsidRPr="00E70693">
        <w:rPr>
          <w:rFonts w:ascii="Arial" w:hAnsi="Arial" w:cs="Arial"/>
        </w:rPr>
        <w:t xml:space="preserve">, en su dinámica gerencial como en sus características orgánicas, </w:t>
      </w:r>
      <w:r w:rsidRPr="00E70693">
        <w:rPr>
          <w:rFonts w:ascii="Arial" w:hAnsi="Arial" w:cs="Arial"/>
        </w:rPr>
        <w:t>para determinar el potencial instalado y estimar su capacidad para ejecutar proyectos</w:t>
      </w:r>
      <w:r w:rsidR="00EF2F27" w:rsidRPr="00E70693">
        <w:rPr>
          <w:rFonts w:ascii="Arial" w:hAnsi="Arial" w:cs="Arial"/>
        </w:rPr>
        <w:t>. Igualmente se identifican aspectos de implementaci</w:t>
      </w:r>
      <w:r w:rsidR="00E15555" w:rsidRPr="00E70693">
        <w:rPr>
          <w:rFonts w:ascii="Arial" w:hAnsi="Arial" w:cs="Arial"/>
        </w:rPr>
        <w:t>ón</w:t>
      </w:r>
      <w:r w:rsidR="00EF2F27" w:rsidRPr="00E70693">
        <w:rPr>
          <w:rFonts w:ascii="Arial" w:hAnsi="Arial" w:cs="Arial"/>
        </w:rPr>
        <w:t xml:space="preserve"> recomendables para potenciar las capacidades y asegurar el cumplimiento de los objetivos del proyecto</w:t>
      </w:r>
      <w:r w:rsidRPr="00E70693">
        <w:rPr>
          <w:rFonts w:ascii="Arial" w:hAnsi="Arial" w:cs="Arial"/>
          <w:lang w:val="es-PY"/>
        </w:rPr>
        <w:t>.</w:t>
      </w:r>
    </w:p>
    <w:p w:rsidR="001C0024" w:rsidRPr="00E70693" w:rsidRDefault="001C0024" w:rsidP="00831F00">
      <w:pPr>
        <w:numPr>
          <w:ilvl w:val="1"/>
          <w:numId w:val="1"/>
        </w:numPr>
        <w:tabs>
          <w:tab w:val="clear" w:pos="360"/>
          <w:tab w:val="num" w:pos="0"/>
        </w:tabs>
        <w:spacing w:before="240"/>
        <w:ind w:left="709" w:hanging="709"/>
        <w:jc w:val="both"/>
        <w:rPr>
          <w:rFonts w:ascii="Arial" w:hAnsi="Arial" w:cs="Arial"/>
          <w:lang w:val="es-PY"/>
        </w:rPr>
      </w:pPr>
      <w:r w:rsidRPr="00E70693">
        <w:rPr>
          <w:rFonts w:ascii="Arial" w:hAnsi="Arial" w:cs="Arial"/>
          <w:b/>
          <w:lang w:val="es-PY"/>
        </w:rPr>
        <w:t xml:space="preserve">Dinámica </w:t>
      </w:r>
      <w:r w:rsidR="00A46B68" w:rsidRPr="00E70693">
        <w:rPr>
          <w:rFonts w:ascii="Arial" w:hAnsi="Arial" w:cs="Arial"/>
          <w:b/>
          <w:lang w:val="es-PY"/>
        </w:rPr>
        <w:t>gerencial</w:t>
      </w:r>
      <w:r w:rsidRPr="00E70693">
        <w:rPr>
          <w:rFonts w:ascii="Arial" w:hAnsi="Arial" w:cs="Arial"/>
          <w:lang w:val="es-PY"/>
        </w:rPr>
        <w:t xml:space="preserve">. El MTI, según la apreciación directa de la actividad que desarrollan sus autoridades y sus funcionarios de alto rango, ha instalado un mecanismo de seguimiento de revisión semanal, reunión general mediante, orientado al cumplimiento tanto de metas físicas como financieras, lo que le ha permitido lograr altos niveles de ejecución presupuestaria y la conclusión de </w:t>
      </w:r>
      <w:r w:rsidR="00395957" w:rsidRPr="00E70693">
        <w:rPr>
          <w:rFonts w:ascii="Arial" w:hAnsi="Arial" w:cs="Arial"/>
          <w:lang w:val="es-PY"/>
        </w:rPr>
        <w:t>la mayoría de su</w:t>
      </w:r>
      <w:r w:rsidRPr="00E70693">
        <w:rPr>
          <w:rFonts w:ascii="Arial" w:hAnsi="Arial" w:cs="Arial"/>
          <w:lang w:val="es-PY"/>
        </w:rPr>
        <w:t xml:space="preserve">s obras en tiempo y </w:t>
      </w:r>
      <w:r w:rsidR="00E15555" w:rsidRPr="00E70693">
        <w:rPr>
          <w:rFonts w:ascii="Arial" w:hAnsi="Arial" w:cs="Arial"/>
          <w:lang w:val="es-PY"/>
        </w:rPr>
        <w:t xml:space="preserve">con </w:t>
      </w:r>
      <w:r w:rsidR="00395957" w:rsidRPr="00E70693">
        <w:rPr>
          <w:rFonts w:ascii="Arial" w:hAnsi="Arial" w:cs="Arial"/>
          <w:lang w:val="es-PY"/>
        </w:rPr>
        <w:t>el costo ajustado a los recursos disponibles</w:t>
      </w:r>
      <w:r w:rsidRPr="00E70693">
        <w:rPr>
          <w:rFonts w:ascii="Arial" w:hAnsi="Arial" w:cs="Arial"/>
          <w:lang w:val="es-PY"/>
        </w:rPr>
        <w:t>.</w:t>
      </w:r>
      <w:r w:rsidR="00BC432C" w:rsidRPr="00E70693">
        <w:rPr>
          <w:rFonts w:ascii="Arial" w:hAnsi="Arial" w:cs="Arial"/>
          <w:lang w:val="es-PY"/>
        </w:rPr>
        <w:t xml:space="preserve"> Cabe hacer mención de que tales reuniones de seguimiento son dirigidas por el Ministro y el Viceministro, lo que implica el más alto grado de compromiso de la Institución con esta modalidad de gestión.</w:t>
      </w:r>
      <w:r w:rsidR="00395957" w:rsidRPr="00E70693">
        <w:rPr>
          <w:rFonts w:ascii="Arial" w:hAnsi="Arial" w:cs="Arial"/>
          <w:lang w:val="es-PY"/>
        </w:rPr>
        <w:t xml:space="preserve"> Además, existe un sistema de reporte periódico al Ministerio de Hacienda y Crédito Público sobre el cumplimiento de las metas citadas. Todo este conjunto de medidas adoptadas por el Gobierno de Nicaragua y que </w:t>
      </w:r>
      <w:r w:rsidR="00BC432C" w:rsidRPr="00E70693">
        <w:rPr>
          <w:rFonts w:ascii="Arial" w:hAnsi="Arial" w:cs="Arial"/>
          <w:lang w:val="es-PY"/>
        </w:rPr>
        <w:t>encuentra</w:t>
      </w:r>
      <w:r w:rsidR="00395957" w:rsidRPr="00E70693">
        <w:rPr>
          <w:rFonts w:ascii="Arial" w:hAnsi="Arial" w:cs="Arial"/>
          <w:lang w:val="es-PY"/>
        </w:rPr>
        <w:t xml:space="preserve"> réplica en el MTI conforma un mecanismo de seguimiento de proyectos que ha contribuido a una mejora notable en la ejecución de los componentes de los contratos de préstamos, al menos en el sector transporte.</w:t>
      </w:r>
    </w:p>
    <w:p w:rsidR="00945BD2" w:rsidRPr="00E70693" w:rsidRDefault="00945BD2" w:rsidP="00831F00">
      <w:pPr>
        <w:numPr>
          <w:ilvl w:val="1"/>
          <w:numId w:val="1"/>
        </w:numPr>
        <w:tabs>
          <w:tab w:val="clear" w:pos="360"/>
          <w:tab w:val="num" w:pos="0"/>
        </w:tabs>
        <w:spacing w:before="240"/>
        <w:ind w:left="709" w:hanging="709"/>
        <w:jc w:val="both"/>
        <w:rPr>
          <w:rFonts w:ascii="Arial" w:hAnsi="Arial" w:cs="Arial"/>
          <w:szCs w:val="24"/>
        </w:rPr>
      </w:pPr>
      <w:r w:rsidRPr="00E70693">
        <w:rPr>
          <w:rFonts w:ascii="Arial" w:hAnsi="Arial" w:cs="Arial"/>
          <w:b/>
          <w:szCs w:val="24"/>
        </w:rPr>
        <w:t>Estructura organizacional</w:t>
      </w:r>
      <w:r w:rsidRPr="00E70693">
        <w:rPr>
          <w:rFonts w:ascii="Arial" w:hAnsi="Arial" w:cs="Arial"/>
          <w:szCs w:val="24"/>
        </w:rPr>
        <w:t>. Definida por funciones, ha potenciado la especialización de las dependencias para actuar en las diferentes fases del ciclo de proyectos. De manera que los funcionarios se enriquecen con la experiencia de participar en una misma especialidad para todos los proyectos con diferentes fuentes de financiamiento.</w:t>
      </w:r>
      <w:r w:rsidR="00956520" w:rsidRPr="00E70693">
        <w:rPr>
          <w:rFonts w:ascii="Arial" w:hAnsi="Arial" w:cs="Arial"/>
          <w:szCs w:val="24"/>
        </w:rPr>
        <w:t xml:space="preserve"> En el caso de la ejecución de obras y componentes con financiamiento del BID, corresponde a la Unidad Coordinadora de </w:t>
      </w:r>
      <w:r w:rsidR="00BC432C" w:rsidRPr="00E70693">
        <w:rPr>
          <w:rFonts w:ascii="Arial" w:hAnsi="Arial" w:cs="Arial"/>
          <w:szCs w:val="24"/>
        </w:rPr>
        <w:t xml:space="preserve">Proyectos - </w:t>
      </w:r>
      <w:r w:rsidR="00956520" w:rsidRPr="00E70693">
        <w:rPr>
          <w:rFonts w:ascii="Arial" w:hAnsi="Arial" w:cs="Arial"/>
          <w:szCs w:val="24"/>
        </w:rPr>
        <w:t>Recursos BID del MTI (UCP</w:t>
      </w:r>
      <w:r w:rsidR="002B7289" w:rsidRPr="00E70693">
        <w:rPr>
          <w:rFonts w:ascii="Arial" w:hAnsi="Arial" w:cs="Arial"/>
          <w:szCs w:val="24"/>
        </w:rPr>
        <w:t>-BID</w:t>
      </w:r>
      <w:r w:rsidR="00956520" w:rsidRPr="00E70693">
        <w:rPr>
          <w:rFonts w:ascii="Arial" w:hAnsi="Arial" w:cs="Arial"/>
          <w:szCs w:val="24"/>
        </w:rPr>
        <w:t>)</w:t>
      </w:r>
      <w:r w:rsidR="00440E0D" w:rsidRPr="00E70693">
        <w:rPr>
          <w:rFonts w:ascii="Arial" w:hAnsi="Arial" w:cs="Arial"/>
          <w:szCs w:val="24"/>
        </w:rPr>
        <w:t xml:space="preserve"> desempeñar el pa</w:t>
      </w:r>
      <w:r w:rsidR="00BC432C" w:rsidRPr="00E70693">
        <w:rPr>
          <w:rFonts w:ascii="Arial" w:hAnsi="Arial" w:cs="Arial"/>
          <w:szCs w:val="24"/>
        </w:rPr>
        <w:t>pel de gerente. A continuación s</w:t>
      </w:r>
      <w:r w:rsidR="00440E0D" w:rsidRPr="00E70693">
        <w:rPr>
          <w:rFonts w:ascii="Arial" w:hAnsi="Arial" w:cs="Arial"/>
          <w:szCs w:val="24"/>
        </w:rPr>
        <w:t xml:space="preserve">e describe el organigrama del MTI con la </w:t>
      </w:r>
      <w:r w:rsidR="001B0603" w:rsidRPr="00E70693">
        <w:rPr>
          <w:rFonts w:ascii="Arial" w:hAnsi="Arial" w:cs="Arial"/>
          <w:szCs w:val="24"/>
        </w:rPr>
        <w:t>ubica</w:t>
      </w:r>
      <w:r w:rsidR="00440E0D" w:rsidRPr="00E70693">
        <w:rPr>
          <w:rFonts w:ascii="Arial" w:hAnsi="Arial" w:cs="Arial"/>
          <w:szCs w:val="24"/>
        </w:rPr>
        <w:t>ción jerárquica de la UCP</w:t>
      </w:r>
      <w:r w:rsidR="002B7289" w:rsidRPr="00E70693">
        <w:rPr>
          <w:rFonts w:ascii="Arial" w:hAnsi="Arial" w:cs="Arial"/>
          <w:szCs w:val="24"/>
        </w:rPr>
        <w:t>-BID</w:t>
      </w:r>
      <w:r w:rsidR="001B0603" w:rsidRPr="00E70693">
        <w:rPr>
          <w:rFonts w:ascii="Arial" w:hAnsi="Arial" w:cs="Arial"/>
          <w:szCs w:val="24"/>
        </w:rPr>
        <w:t xml:space="preserve">, dependiendo directamente de la Dirección General de Vialidad, al mismo nivel que la Dirección de Conservación Vial y de las Unidades Coordinadoras de Proyectos </w:t>
      </w:r>
      <w:r w:rsidR="00E15555" w:rsidRPr="00E70693">
        <w:rPr>
          <w:rFonts w:ascii="Arial" w:hAnsi="Arial" w:cs="Arial"/>
          <w:szCs w:val="24"/>
        </w:rPr>
        <w:t xml:space="preserve">con </w:t>
      </w:r>
      <w:r w:rsidR="001B0603" w:rsidRPr="00E70693">
        <w:rPr>
          <w:rFonts w:ascii="Arial" w:hAnsi="Arial" w:cs="Arial"/>
          <w:szCs w:val="24"/>
        </w:rPr>
        <w:t>otras fuentes de financiamiento</w:t>
      </w:r>
      <w:r w:rsidR="00440E0D" w:rsidRPr="00E70693">
        <w:rPr>
          <w:rFonts w:ascii="Arial" w:hAnsi="Arial" w:cs="Arial"/>
          <w:szCs w:val="24"/>
        </w:rPr>
        <w:t>.</w:t>
      </w:r>
    </w:p>
    <w:p w:rsidR="00945BD2" w:rsidRPr="00E70693" w:rsidRDefault="00945BD2" w:rsidP="00DF3FFF">
      <w:pPr>
        <w:pStyle w:val="ListParagraph"/>
        <w:spacing w:after="0" w:line="240" w:lineRule="auto"/>
        <w:contextualSpacing w:val="0"/>
        <w:rPr>
          <w:rFonts w:ascii="Arial" w:hAnsi="Arial" w:cs="Arial"/>
          <w:szCs w:val="24"/>
          <w:lang w:val="es-ES_tradnl"/>
        </w:rPr>
      </w:pPr>
    </w:p>
    <w:p w:rsidR="00945BD2" w:rsidRPr="00E70693" w:rsidRDefault="00EF2F27" w:rsidP="00EF2F27">
      <w:pPr>
        <w:keepNext/>
        <w:jc w:val="center"/>
        <w:rPr>
          <w:rFonts w:ascii="Arial" w:hAnsi="Arial" w:cs="Arial"/>
          <w:b/>
          <w:lang w:val="es-PY"/>
        </w:rPr>
      </w:pPr>
      <w:r w:rsidRPr="00E70693">
        <w:rPr>
          <w:rFonts w:ascii="Arial" w:hAnsi="Arial" w:cs="Arial"/>
          <w:b/>
          <w:lang w:val="es-PY"/>
        </w:rPr>
        <w:lastRenderedPageBreak/>
        <w:t>Estructura Org</w:t>
      </w:r>
      <w:r w:rsidR="00E50638" w:rsidRPr="00E70693">
        <w:rPr>
          <w:rFonts w:ascii="Arial" w:hAnsi="Arial" w:cs="Arial"/>
          <w:b/>
          <w:lang w:val="es-PY"/>
        </w:rPr>
        <w:t>anizacional y Funcional del MTI</w:t>
      </w:r>
    </w:p>
    <w:p w:rsidR="00EF2F27" w:rsidRPr="00E70693" w:rsidRDefault="00EF2F27" w:rsidP="00EF2F27">
      <w:pPr>
        <w:pStyle w:val="EstiloJustificado1"/>
        <w:jc w:val="center"/>
        <w:rPr>
          <w:rFonts w:ascii="Arial" w:hAnsi="Arial" w:cs="Arial"/>
        </w:rPr>
      </w:pPr>
      <w:r w:rsidRPr="00E70693">
        <w:rPr>
          <w:rFonts w:ascii="Arial" w:hAnsi="Arial" w:cs="Arial"/>
          <w:noProof/>
          <w:lang w:val="en-US" w:eastAsia="en-US"/>
        </w:rPr>
        <w:drawing>
          <wp:inline distT="0" distB="0" distL="0" distR="0" wp14:anchorId="0451E0F1" wp14:editId="542F214A">
            <wp:extent cx="5624143" cy="4093882"/>
            <wp:effectExtent l="0" t="0" r="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5622964" cy="4093024"/>
                    </a:xfrm>
                    <a:prstGeom prst="rect">
                      <a:avLst/>
                    </a:prstGeom>
                    <a:noFill/>
                    <a:ln w="9525">
                      <a:noFill/>
                      <a:miter lim="800000"/>
                      <a:headEnd/>
                      <a:tailEnd/>
                    </a:ln>
                  </pic:spPr>
                </pic:pic>
              </a:graphicData>
            </a:graphic>
          </wp:inline>
        </w:drawing>
      </w:r>
    </w:p>
    <w:p w:rsidR="00E50638" w:rsidRPr="00E70693" w:rsidRDefault="00956520" w:rsidP="00831F00">
      <w:pPr>
        <w:numPr>
          <w:ilvl w:val="1"/>
          <w:numId w:val="1"/>
        </w:numPr>
        <w:tabs>
          <w:tab w:val="clear" w:pos="360"/>
          <w:tab w:val="num" w:pos="0"/>
        </w:tabs>
        <w:spacing w:before="240"/>
        <w:ind w:left="709" w:hanging="709"/>
        <w:jc w:val="both"/>
        <w:rPr>
          <w:rFonts w:ascii="Arial" w:hAnsi="Arial" w:cs="Arial"/>
          <w:szCs w:val="24"/>
        </w:rPr>
      </w:pPr>
      <w:bookmarkStart w:id="24" w:name="_Toc365855692"/>
      <w:bookmarkStart w:id="25" w:name="_Toc366577461"/>
      <w:r w:rsidRPr="00E70693">
        <w:rPr>
          <w:rFonts w:ascii="Arial" w:hAnsi="Arial" w:cs="Arial"/>
          <w:b/>
          <w:szCs w:val="24"/>
        </w:rPr>
        <w:t>F</w:t>
      </w:r>
      <w:r w:rsidR="00EF2F27" w:rsidRPr="00E70693">
        <w:rPr>
          <w:rFonts w:ascii="Arial" w:hAnsi="Arial" w:cs="Arial"/>
          <w:b/>
          <w:szCs w:val="24"/>
        </w:rPr>
        <w:t xml:space="preserve">unciones </w:t>
      </w:r>
      <w:r w:rsidR="00E50638" w:rsidRPr="00E70693">
        <w:rPr>
          <w:rFonts w:ascii="Arial" w:hAnsi="Arial" w:cs="Arial"/>
          <w:b/>
          <w:szCs w:val="24"/>
        </w:rPr>
        <w:t xml:space="preserve">y responsabilidades </w:t>
      </w:r>
      <w:r w:rsidR="00EF2F27" w:rsidRPr="00E70693">
        <w:rPr>
          <w:rFonts w:ascii="Arial" w:hAnsi="Arial" w:cs="Arial"/>
          <w:b/>
          <w:szCs w:val="24"/>
        </w:rPr>
        <w:t>establecidas</w:t>
      </w:r>
      <w:r w:rsidR="00EF2F27" w:rsidRPr="00E70693">
        <w:rPr>
          <w:rFonts w:ascii="Arial" w:hAnsi="Arial" w:cs="Arial"/>
          <w:szCs w:val="24"/>
        </w:rPr>
        <w:t xml:space="preserve">. El MTI cuenta con un Manual Operativo que </w:t>
      </w:r>
      <w:r w:rsidR="008B16E9" w:rsidRPr="00E70693">
        <w:rPr>
          <w:rFonts w:ascii="Arial" w:hAnsi="Arial" w:cs="Arial"/>
          <w:szCs w:val="24"/>
        </w:rPr>
        <w:t>ha aplica</w:t>
      </w:r>
      <w:r w:rsidR="00EF2F27" w:rsidRPr="00E70693">
        <w:rPr>
          <w:rFonts w:ascii="Arial" w:hAnsi="Arial" w:cs="Arial"/>
          <w:szCs w:val="24"/>
        </w:rPr>
        <w:t xml:space="preserve"> en la ejecución del Programa de Apoyo al Sector Transporte</w:t>
      </w:r>
      <w:r w:rsidRPr="00E70693">
        <w:rPr>
          <w:rFonts w:ascii="Arial" w:hAnsi="Arial" w:cs="Arial"/>
          <w:szCs w:val="24"/>
        </w:rPr>
        <w:t xml:space="preserve"> (PAST)</w:t>
      </w:r>
      <w:r w:rsidR="00EF2F27" w:rsidRPr="00E70693">
        <w:rPr>
          <w:rFonts w:ascii="Arial" w:hAnsi="Arial" w:cs="Arial"/>
          <w:szCs w:val="24"/>
        </w:rPr>
        <w:t>, este instrumento compila la práctica y experiencia institucional</w:t>
      </w:r>
      <w:r w:rsidR="00E50638" w:rsidRPr="00E70693">
        <w:rPr>
          <w:rFonts w:ascii="Arial" w:hAnsi="Arial" w:cs="Arial"/>
          <w:szCs w:val="24"/>
        </w:rPr>
        <w:t>, con la</w:t>
      </w:r>
      <w:r w:rsidR="008B16E9" w:rsidRPr="00E70693">
        <w:rPr>
          <w:rFonts w:ascii="Arial" w:hAnsi="Arial" w:cs="Arial"/>
          <w:szCs w:val="24"/>
        </w:rPr>
        <w:t>s</w:t>
      </w:r>
      <w:r w:rsidR="00E50638" w:rsidRPr="00E70693">
        <w:rPr>
          <w:rFonts w:ascii="Arial" w:hAnsi="Arial" w:cs="Arial"/>
          <w:szCs w:val="24"/>
        </w:rPr>
        <w:t xml:space="preserve"> cual</w:t>
      </w:r>
      <w:r w:rsidR="008B16E9" w:rsidRPr="00E70693">
        <w:rPr>
          <w:rFonts w:ascii="Arial" w:hAnsi="Arial" w:cs="Arial"/>
          <w:szCs w:val="24"/>
        </w:rPr>
        <w:t>es</w:t>
      </w:r>
      <w:r w:rsidR="00E50638" w:rsidRPr="00E70693">
        <w:rPr>
          <w:rFonts w:ascii="Arial" w:hAnsi="Arial" w:cs="Arial"/>
          <w:szCs w:val="24"/>
        </w:rPr>
        <w:t xml:space="preserve"> los funcionarios ya están familiarizados,</w:t>
      </w:r>
      <w:r w:rsidR="00EF2F27" w:rsidRPr="00E70693">
        <w:rPr>
          <w:rFonts w:ascii="Arial" w:hAnsi="Arial" w:cs="Arial"/>
          <w:szCs w:val="24"/>
        </w:rPr>
        <w:t xml:space="preserve"> al mismo tiempo </w:t>
      </w:r>
      <w:r w:rsidR="00E50638" w:rsidRPr="00E70693">
        <w:rPr>
          <w:rFonts w:ascii="Arial" w:hAnsi="Arial" w:cs="Arial"/>
          <w:szCs w:val="24"/>
        </w:rPr>
        <w:t>que define con claridad el alcance y responsabilidad de las diferentes dependencias de la Institución. Seguidamente se resumen las principales funciones de las unidades que intervienen en la ejecución de los préstamos.</w:t>
      </w:r>
      <w:r w:rsidR="00440E0D" w:rsidRPr="00E70693">
        <w:rPr>
          <w:rFonts w:ascii="Arial" w:hAnsi="Arial" w:cs="Arial"/>
          <w:szCs w:val="24"/>
        </w:rPr>
        <w:t xml:space="preserve"> Las dependencias que ejecutan tareas medulares en la operación son las que seguidamente se describen.</w:t>
      </w:r>
    </w:p>
    <w:p w:rsidR="00CA454E" w:rsidRPr="00E70693" w:rsidRDefault="00CA454E" w:rsidP="00DF3FFF">
      <w:pPr>
        <w:keepNext/>
        <w:spacing w:before="240"/>
        <w:ind w:left="709"/>
        <w:jc w:val="both"/>
        <w:rPr>
          <w:rFonts w:ascii="Arial" w:hAnsi="Arial" w:cs="Arial"/>
          <w:b/>
          <w:i/>
          <w:lang w:val="es-BO"/>
        </w:rPr>
      </w:pPr>
      <w:bookmarkStart w:id="26" w:name="_Toc365855691"/>
      <w:bookmarkStart w:id="27" w:name="_Toc366577460"/>
      <w:r w:rsidRPr="00E70693">
        <w:rPr>
          <w:rFonts w:ascii="Arial" w:hAnsi="Arial" w:cs="Arial"/>
          <w:b/>
          <w:i/>
          <w:lang w:val="es-BO"/>
        </w:rPr>
        <w:t xml:space="preserve">Dirección General de Vialidad - Unidad Coordinadora de Proyectos </w:t>
      </w:r>
      <w:r w:rsidR="002B7289" w:rsidRPr="00E70693">
        <w:rPr>
          <w:rFonts w:ascii="Arial" w:hAnsi="Arial" w:cs="Arial"/>
          <w:b/>
          <w:i/>
          <w:lang w:val="es-BO"/>
        </w:rPr>
        <w:t xml:space="preserve">Recursos </w:t>
      </w:r>
      <w:r w:rsidRPr="00E70693">
        <w:rPr>
          <w:rFonts w:ascii="Arial" w:hAnsi="Arial" w:cs="Arial"/>
          <w:b/>
          <w:i/>
          <w:lang w:val="es-BO"/>
        </w:rPr>
        <w:t>BID</w:t>
      </w:r>
      <w:r w:rsidR="002B7289" w:rsidRPr="00E70693">
        <w:rPr>
          <w:rFonts w:ascii="Arial" w:hAnsi="Arial" w:cs="Arial"/>
          <w:b/>
          <w:i/>
          <w:lang w:val="es-BO"/>
        </w:rPr>
        <w:t xml:space="preserve"> (</w:t>
      </w:r>
      <w:r w:rsidRPr="00E70693">
        <w:rPr>
          <w:rFonts w:ascii="Arial" w:hAnsi="Arial" w:cs="Arial"/>
          <w:b/>
          <w:i/>
          <w:lang w:val="es-BO"/>
        </w:rPr>
        <w:t>UCP-BID</w:t>
      </w:r>
      <w:bookmarkEnd w:id="26"/>
      <w:bookmarkEnd w:id="27"/>
      <w:r w:rsidR="002B7289" w:rsidRPr="00E70693">
        <w:rPr>
          <w:rFonts w:ascii="Arial" w:hAnsi="Arial" w:cs="Arial"/>
          <w:b/>
          <w:i/>
          <w:lang w:val="es-BO"/>
        </w:rPr>
        <w:t>)</w:t>
      </w:r>
    </w:p>
    <w:p w:rsidR="00CA454E" w:rsidRPr="00E70693" w:rsidRDefault="00CA454E" w:rsidP="00DF3FFF">
      <w:pPr>
        <w:ind w:left="709"/>
        <w:jc w:val="both"/>
        <w:rPr>
          <w:rFonts w:ascii="Arial" w:hAnsi="Arial" w:cs="Arial"/>
          <w:szCs w:val="24"/>
        </w:rPr>
      </w:pPr>
      <w:r w:rsidRPr="00E70693">
        <w:rPr>
          <w:rFonts w:ascii="Arial" w:hAnsi="Arial" w:cs="Arial"/>
          <w:szCs w:val="24"/>
        </w:rPr>
        <w:t xml:space="preserve">La Dirección General de Vialidad (DGV), representada a través de la Unidad Coordinadora de </w:t>
      </w:r>
      <w:r w:rsidR="002B7289" w:rsidRPr="00E70693">
        <w:rPr>
          <w:rFonts w:ascii="Arial" w:hAnsi="Arial" w:cs="Arial"/>
          <w:szCs w:val="24"/>
        </w:rPr>
        <w:t xml:space="preserve">Proyectos - </w:t>
      </w:r>
      <w:r w:rsidRPr="00E70693">
        <w:rPr>
          <w:rFonts w:ascii="Arial" w:hAnsi="Arial" w:cs="Arial"/>
          <w:szCs w:val="24"/>
        </w:rPr>
        <w:t xml:space="preserve">Recursos </w:t>
      </w:r>
      <w:r w:rsidR="002B7289" w:rsidRPr="00E70693">
        <w:rPr>
          <w:rFonts w:ascii="Arial" w:hAnsi="Arial" w:cs="Arial"/>
          <w:szCs w:val="24"/>
        </w:rPr>
        <w:t>BID (UCP-BID)</w:t>
      </w:r>
      <w:r w:rsidRPr="00E70693">
        <w:rPr>
          <w:rFonts w:ascii="Arial" w:hAnsi="Arial" w:cs="Arial"/>
          <w:szCs w:val="24"/>
        </w:rPr>
        <w:t xml:space="preserve">, es la responsable de la coordinación de las actividades de ejecución del proyecto, está encargada de dar soporte a diversos aspectos relacionados con la ejecución, incluyendo la coordinación de actividades con otras dependencias del MTI y otros organismos del Gobierno Nacional involucrados, y </w:t>
      </w:r>
      <w:r w:rsidR="008B16E9" w:rsidRPr="00E70693">
        <w:rPr>
          <w:rFonts w:ascii="Arial" w:hAnsi="Arial" w:cs="Arial"/>
          <w:szCs w:val="24"/>
        </w:rPr>
        <w:t>actúa</w:t>
      </w:r>
      <w:r w:rsidRPr="00E70693">
        <w:rPr>
          <w:rFonts w:ascii="Arial" w:hAnsi="Arial" w:cs="Arial"/>
          <w:szCs w:val="24"/>
        </w:rPr>
        <w:t xml:space="preserve"> como enlace entre el OE y el Banco, siendo responsable por la preparación de informes y el oportuno cumplimiento de las obligaciones incluidas en los Contratos de Préstamo.</w:t>
      </w:r>
    </w:p>
    <w:p w:rsidR="00CA454E" w:rsidRPr="00E70693" w:rsidRDefault="00CA454E" w:rsidP="00831F00">
      <w:pPr>
        <w:spacing w:before="240"/>
        <w:ind w:left="709"/>
        <w:jc w:val="both"/>
        <w:rPr>
          <w:rFonts w:ascii="Arial" w:hAnsi="Arial" w:cs="Arial"/>
          <w:szCs w:val="24"/>
        </w:rPr>
      </w:pPr>
      <w:r w:rsidRPr="00E70693">
        <w:rPr>
          <w:rFonts w:ascii="Arial" w:hAnsi="Arial" w:cs="Arial"/>
          <w:szCs w:val="24"/>
        </w:rPr>
        <w:t xml:space="preserve">La DGV, a través de la UCP-BID, desarrollará las siguientes funciones:     </w:t>
      </w:r>
    </w:p>
    <w:p w:rsidR="00CA454E" w:rsidRPr="00E70693" w:rsidRDefault="00CA454E" w:rsidP="00CA454E">
      <w:pPr>
        <w:numPr>
          <w:ilvl w:val="0"/>
          <w:numId w:val="11"/>
        </w:numPr>
        <w:ind w:left="1276"/>
        <w:jc w:val="both"/>
        <w:rPr>
          <w:rFonts w:ascii="Arial" w:hAnsi="Arial" w:cs="Arial"/>
        </w:rPr>
      </w:pPr>
      <w:r w:rsidRPr="00E70693">
        <w:rPr>
          <w:rFonts w:ascii="Arial" w:hAnsi="Arial" w:cs="Arial"/>
        </w:rPr>
        <w:t xml:space="preserve">Planificar la ejecución del préstamo, formular los planes operativos anuales y plan de adquisiciones; </w:t>
      </w:r>
    </w:p>
    <w:p w:rsidR="00CA454E" w:rsidRPr="00E70693" w:rsidRDefault="00CA454E" w:rsidP="00CA454E">
      <w:pPr>
        <w:numPr>
          <w:ilvl w:val="0"/>
          <w:numId w:val="11"/>
        </w:numPr>
        <w:ind w:left="1276"/>
        <w:jc w:val="both"/>
        <w:rPr>
          <w:rFonts w:ascii="Arial" w:hAnsi="Arial" w:cs="Arial"/>
        </w:rPr>
      </w:pPr>
      <w:r w:rsidRPr="00E70693">
        <w:rPr>
          <w:rFonts w:ascii="Arial" w:hAnsi="Arial" w:cs="Arial"/>
        </w:rPr>
        <w:lastRenderedPageBreak/>
        <w:t xml:space="preserve">Apoyar, en conjunto con las unidades intervinientes, la preparación de los pliegos de licitación para contratación de los servicios de consultoría y de obras, y para la adquisición de bienes; </w:t>
      </w:r>
    </w:p>
    <w:p w:rsidR="00CA454E" w:rsidRPr="00E70693" w:rsidRDefault="00CA454E" w:rsidP="00CA454E">
      <w:pPr>
        <w:numPr>
          <w:ilvl w:val="0"/>
          <w:numId w:val="11"/>
        </w:numPr>
        <w:ind w:left="1276"/>
        <w:jc w:val="both"/>
        <w:rPr>
          <w:rFonts w:ascii="Arial" w:hAnsi="Arial" w:cs="Arial"/>
        </w:rPr>
      </w:pPr>
      <w:r w:rsidRPr="00E70693">
        <w:rPr>
          <w:rFonts w:ascii="Arial" w:hAnsi="Arial" w:cs="Arial"/>
        </w:rPr>
        <w:t xml:space="preserve">Participar de los comités de evaluación y selección de las correspondientes propuestas y apoyar los trámites para la contratación respectiva; </w:t>
      </w:r>
    </w:p>
    <w:p w:rsidR="00CA454E" w:rsidRPr="00E70693" w:rsidRDefault="00CA454E" w:rsidP="00CA454E">
      <w:pPr>
        <w:numPr>
          <w:ilvl w:val="0"/>
          <w:numId w:val="11"/>
        </w:numPr>
        <w:ind w:left="1276"/>
        <w:jc w:val="both"/>
        <w:rPr>
          <w:rFonts w:ascii="Arial" w:hAnsi="Arial" w:cs="Arial"/>
        </w:rPr>
      </w:pPr>
      <w:r w:rsidRPr="00E70693">
        <w:rPr>
          <w:rFonts w:ascii="Arial" w:hAnsi="Arial" w:cs="Arial"/>
        </w:rPr>
        <w:t xml:space="preserve">Realizar el seguimiento, supervisión y control técnico de la ejecución de los estudios y obras del programa; </w:t>
      </w:r>
    </w:p>
    <w:p w:rsidR="00CA454E" w:rsidRPr="00E70693" w:rsidRDefault="00CA454E" w:rsidP="00CA454E">
      <w:pPr>
        <w:numPr>
          <w:ilvl w:val="0"/>
          <w:numId w:val="11"/>
        </w:numPr>
        <w:ind w:left="1276"/>
        <w:jc w:val="both"/>
        <w:rPr>
          <w:rFonts w:ascii="Arial" w:hAnsi="Arial" w:cs="Arial"/>
        </w:rPr>
      </w:pPr>
      <w:r w:rsidRPr="00E70693">
        <w:rPr>
          <w:rFonts w:ascii="Arial" w:hAnsi="Arial" w:cs="Arial"/>
        </w:rPr>
        <w:t xml:space="preserve">Coordinar y apoyar a las unidades intervinientes en la preparación de los trámites pertinentes referentes a los avalúos de los certificados de ejecución de los estudios, fiscalizaciones y obras; </w:t>
      </w:r>
    </w:p>
    <w:p w:rsidR="00CA454E" w:rsidRPr="00E70693" w:rsidRDefault="00CA454E" w:rsidP="00CA454E">
      <w:pPr>
        <w:numPr>
          <w:ilvl w:val="0"/>
          <w:numId w:val="11"/>
        </w:numPr>
        <w:ind w:left="1276"/>
        <w:jc w:val="both"/>
        <w:rPr>
          <w:rFonts w:ascii="Arial" w:hAnsi="Arial" w:cs="Arial"/>
        </w:rPr>
      </w:pPr>
      <w:r w:rsidRPr="00E70693">
        <w:rPr>
          <w:rFonts w:ascii="Arial" w:hAnsi="Arial" w:cs="Arial"/>
        </w:rPr>
        <w:t xml:space="preserve">Proporcionar a la </w:t>
      </w:r>
      <w:r w:rsidR="002B7289" w:rsidRPr="00E70693">
        <w:rPr>
          <w:rFonts w:ascii="Arial" w:hAnsi="Arial" w:cs="Arial"/>
        </w:rPr>
        <w:t>Dirección General de Administración y Finanzas (</w:t>
      </w:r>
      <w:r w:rsidRPr="00E70693">
        <w:rPr>
          <w:rFonts w:ascii="Arial" w:hAnsi="Arial" w:cs="Arial"/>
        </w:rPr>
        <w:t>DGAF</w:t>
      </w:r>
      <w:r w:rsidR="002B7289" w:rsidRPr="00E70693">
        <w:rPr>
          <w:rFonts w:ascii="Arial" w:hAnsi="Arial" w:cs="Arial"/>
        </w:rPr>
        <w:t>)</w:t>
      </w:r>
      <w:r w:rsidRPr="00E70693">
        <w:rPr>
          <w:rFonts w:ascii="Arial" w:hAnsi="Arial" w:cs="Arial"/>
        </w:rPr>
        <w:t xml:space="preserve"> la información requerida para la preparación de los informes de rendición de cuentas y las solicitudes de desembolso;</w:t>
      </w:r>
    </w:p>
    <w:p w:rsidR="00CA454E" w:rsidRPr="00E70693" w:rsidRDefault="00CA454E" w:rsidP="00831F00">
      <w:pPr>
        <w:spacing w:before="240"/>
        <w:ind w:left="709"/>
        <w:jc w:val="both"/>
        <w:rPr>
          <w:rFonts w:ascii="Arial" w:hAnsi="Arial" w:cs="Arial"/>
          <w:szCs w:val="24"/>
        </w:rPr>
      </w:pPr>
      <w:r w:rsidRPr="00E70693">
        <w:rPr>
          <w:rFonts w:ascii="Arial" w:hAnsi="Arial" w:cs="Arial"/>
          <w:szCs w:val="24"/>
        </w:rPr>
        <w:t>Igualmente, será responsable de las siguientes actividades:</w:t>
      </w:r>
    </w:p>
    <w:p w:rsidR="00CA454E" w:rsidRPr="00E70693" w:rsidRDefault="00CA454E" w:rsidP="00CA454E">
      <w:pPr>
        <w:numPr>
          <w:ilvl w:val="0"/>
          <w:numId w:val="11"/>
        </w:numPr>
        <w:ind w:left="1276"/>
        <w:jc w:val="both"/>
        <w:rPr>
          <w:rFonts w:ascii="Arial" w:hAnsi="Arial" w:cs="Arial"/>
        </w:rPr>
      </w:pPr>
      <w:r w:rsidRPr="00E70693">
        <w:rPr>
          <w:rFonts w:ascii="Arial" w:hAnsi="Arial" w:cs="Arial"/>
        </w:rPr>
        <w:t>Seguimiento, monitoreo y evaluación de la ejecución de cada operación y de los resultados que se alcancen, para lo cual deberá implementar adecuados sistemas de información.</w:t>
      </w:r>
    </w:p>
    <w:p w:rsidR="00CA454E" w:rsidRPr="00E70693" w:rsidRDefault="00CA454E" w:rsidP="00CA454E">
      <w:pPr>
        <w:numPr>
          <w:ilvl w:val="0"/>
          <w:numId w:val="11"/>
        </w:numPr>
        <w:ind w:left="1276"/>
        <w:jc w:val="both"/>
        <w:rPr>
          <w:rFonts w:ascii="Arial" w:hAnsi="Arial" w:cs="Arial"/>
        </w:rPr>
      </w:pPr>
      <w:r w:rsidRPr="00E70693">
        <w:rPr>
          <w:rFonts w:ascii="Arial" w:hAnsi="Arial" w:cs="Arial"/>
        </w:rPr>
        <w:t xml:space="preserve">Asistir técnicamente y monitorear los procesos de contratación y ejecución de los proyectos a cargo de las otras unidades técnicas del MTI que participan de la ejecución de los componentes, de acuerdo a las normas y procedimientos que rigen el proyecto. </w:t>
      </w:r>
    </w:p>
    <w:p w:rsidR="00CA454E" w:rsidRPr="00E70693" w:rsidRDefault="00CA454E" w:rsidP="00CA454E">
      <w:pPr>
        <w:numPr>
          <w:ilvl w:val="0"/>
          <w:numId w:val="11"/>
        </w:numPr>
        <w:ind w:left="1276"/>
        <w:jc w:val="both"/>
        <w:rPr>
          <w:rFonts w:ascii="Arial" w:hAnsi="Arial" w:cs="Arial"/>
        </w:rPr>
      </w:pPr>
      <w:r w:rsidRPr="00E70693">
        <w:rPr>
          <w:rFonts w:ascii="Arial" w:hAnsi="Arial" w:cs="Arial"/>
        </w:rPr>
        <w:t>Ejecución de la Administración del Proyecto.</w:t>
      </w:r>
    </w:p>
    <w:p w:rsidR="00CA454E" w:rsidRPr="00E70693" w:rsidRDefault="00CA454E" w:rsidP="00CA454E">
      <w:pPr>
        <w:numPr>
          <w:ilvl w:val="0"/>
          <w:numId w:val="11"/>
        </w:numPr>
        <w:ind w:left="1276"/>
        <w:jc w:val="both"/>
        <w:rPr>
          <w:rFonts w:ascii="Arial" w:hAnsi="Arial" w:cs="Arial"/>
        </w:rPr>
      </w:pPr>
      <w:r w:rsidRPr="00E70693">
        <w:rPr>
          <w:rFonts w:ascii="Arial" w:hAnsi="Arial" w:cs="Arial"/>
        </w:rPr>
        <w:t>Diseñar e implementar manuales, guías, procedimientos y otros mecanismos operativos para el desarrollo de los componentes y actividades del proyecto, en cumplimiento a sus objetivos y estrategia institucionales.</w:t>
      </w:r>
    </w:p>
    <w:p w:rsidR="00CA454E" w:rsidRPr="00E70693" w:rsidRDefault="00CA454E" w:rsidP="00CA454E">
      <w:pPr>
        <w:numPr>
          <w:ilvl w:val="0"/>
          <w:numId w:val="11"/>
        </w:numPr>
        <w:ind w:left="1276"/>
        <w:jc w:val="both"/>
        <w:rPr>
          <w:rFonts w:ascii="Arial" w:hAnsi="Arial" w:cs="Arial"/>
        </w:rPr>
      </w:pPr>
      <w:r w:rsidRPr="00E70693">
        <w:rPr>
          <w:rFonts w:ascii="Arial" w:hAnsi="Arial" w:cs="Arial"/>
        </w:rPr>
        <w:t>Presentación de informes semestrales, de informes financieros consolidados del proyecto y otros informes requeridos.</w:t>
      </w:r>
    </w:p>
    <w:p w:rsidR="00EF2F27" w:rsidRPr="00E70693" w:rsidRDefault="00EF2F27" w:rsidP="00DF3FFF">
      <w:pPr>
        <w:keepNext/>
        <w:spacing w:before="240"/>
        <w:ind w:left="709"/>
        <w:jc w:val="both"/>
        <w:rPr>
          <w:rFonts w:ascii="Arial" w:hAnsi="Arial" w:cs="Arial"/>
          <w:b/>
          <w:i/>
          <w:lang w:val="es-BO"/>
        </w:rPr>
      </w:pPr>
      <w:bookmarkStart w:id="28" w:name="_Toc365855693"/>
      <w:bookmarkEnd w:id="24"/>
      <w:bookmarkEnd w:id="25"/>
      <w:r w:rsidRPr="00E70693">
        <w:rPr>
          <w:rFonts w:ascii="Arial" w:hAnsi="Arial" w:cs="Arial"/>
          <w:b/>
          <w:i/>
          <w:lang w:val="es-BO"/>
        </w:rPr>
        <w:t>Asesoría Legal (AL)</w:t>
      </w:r>
      <w:bookmarkEnd w:id="28"/>
    </w:p>
    <w:p w:rsidR="00EF2F27" w:rsidRPr="00E70693" w:rsidRDefault="00EF2F27" w:rsidP="00E50638">
      <w:pPr>
        <w:numPr>
          <w:ilvl w:val="0"/>
          <w:numId w:val="11"/>
        </w:numPr>
        <w:ind w:left="1276"/>
        <w:jc w:val="both"/>
        <w:rPr>
          <w:rFonts w:ascii="Arial" w:hAnsi="Arial" w:cs="Arial"/>
        </w:rPr>
      </w:pPr>
      <w:r w:rsidRPr="00E70693">
        <w:rPr>
          <w:rFonts w:ascii="Arial" w:hAnsi="Arial" w:cs="Arial"/>
        </w:rPr>
        <w:t>Revisar términos de referencia, documentos de licitación y solicitudes de propuestas vinculados al Plan de Adquisiciones de todos los Contratos de Préstamo.</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Participar como miembro del Comité de Evaluación en los procesos de contrataciones.</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Acordar acciones con la UCP-BID y las demás unidades intervinientes, sobre todos los aspectos relacionados a  la adquisición del Derecho de Vía.</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Revisar y emitir dictamen legal en relación a los convenios de colaboración suscritos con otras instituciones.</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Asesorar al MTI en la administración de todos los contratos vinculados al Plan de Adquisiciones.</w:t>
      </w:r>
    </w:p>
    <w:p w:rsidR="00EF2F27" w:rsidRPr="00E70693" w:rsidRDefault="00EF2F27" w:rsidP="00DF3FFF">
      <w:pPr>
        <w:keepNext/>
        <w:spacing w:before="240"/>
        <w:ind w:left="709"/>
        <w:jc w:val="both"/>
        <w:rPr>
          <w:rFonts w:ascii="Arial" w:hAnsi="Arial" w:cs="Arial"/>
          <w:b/>
          <w:i/>
          <w:lang w:val="es-BO"/>
        </w:rPr>
      </w:pPr>
      <w:bookmarkStart w:id="29" w:name="_Toc365855694"/>
      <w:r w:rsidRPr="00E70693">
        <w:rPr>
          <w:rFonts w:ascii="Arial" w:hAnsi="Arial" w:cs="Arial"/>
          <w:b/>
          <w:i/>
          <w:lang w:val="es-BO"/>
        </w:rPr>
        <w:t>Unidad de Adquisiciones (UA)</w:t>
      </w:r>
      <w:bookmarkEnd w:id="29"/>
    </w:p>
    <w:p w:rsidR="00EF2F27" w:rsidRPr="00E70693" w:rsidRDefault="00EF2F27" w:rsidP="00E50638">
      <w:pPr>
        <w:numPr>
          <w:ilvl w:val="0"/>
          <w:numId w:val="11"/>
        </w:numPr>
        <w:ind w:left="1276"/>
        <w:jc w:val="both"/>
        <w:rPr>
          <w:rFonts w:ascii="Arial" w:hAnsi="Arial" w:cs="Arial"/>
        </w:rPr>
      </w:pPr>
      <w:r w:rsidRPr="00E70693">
        <w:rPr>
          <w:rFonts w:ascii="Arial" w:hAnsi="Arial" w:cs="Arial"/>
        </w:rPr>
        <w:t>Coordinar acciones de procesos de licitación, de bienes, obras y servicios incluidos en el Plan de Adquisiciones del programa.</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lastRenderedPageBreak/>
        <w:t>Realizará la gestión administrativa requerida en constante coordinación con la UCP-BID para las aprobaciones internas necesarias y para realizar, en tiempo y forma, el llamado correspondiente.</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Elaborar los documentos de licitación para la adquisición de bienes, obras y servicios incluidos en el Plan de Adquisiciones del programa.</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Aprobar los documentos de licitación a través del Comité de Evaluación.</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Publicar los anuncios de licitación, aprobados por la UCP-BID.</w:t>
      </w:r>
    </w:p>
    <w:p w:rsidR="00EF2F27" w:rsidRPr="00E70693" w:rsidRDefault="00EF2F27" w:rsidP="00E50638">
      <w:pPr>
        <w:numPr>
          <w:ilvl w:val="0"/>
          <w:numId w:val="11"/>
        </w:numPr>
        <w:ind w:left="1276"/>
        <w:jc w:val="both"/>
        <w:rPr>
          <w:rFonts w:ascii="Arial" w:hAnsi="Arial" w:cs="Arial"/>
        </w:rPr>
      </w:pPr>
      <w:proofErr w:type="spellStart"/>
      <w:r w:rsidRPr="00E70693">
        <w:rPr>
          <w:rFonts w:ascii="Arial" w:hAnsi="Arial" w:cs="Arial"/>
          <w:lang w:val="es-NI"/>
        </w:rPr>
        <w:t>Recepcionar</w:t>
      </w:r>
      <w:proofErr w:type="spellEnd"/>
      <w:r w:rsidRPr="00E70693">
        <w:rPr>
          <w:rFonts w:ascii="Arial" w:hAnsi="Arial" w:cs="Arial"/>
        </w:rPr>
        <w:t>, y en coordinación con las áreas requirentes, responder consultas durante el proceso de licitación.</w:t>
      </w:r>
    </w:p>
    <w:p w:rsidR="00EF2F27" w:rsidRPr="00E70693" w:rsidRDefault="00EF2F27" w:rsidP="00E50638">
      <w:pPr>
        <w:numPr>
          <w:ilvl w:val="0"/>
          <w:numId w:val="11"/>
        </w:numPr>
        <w:ind w:left="1276"/>
        <w:jc w:val="both"/>
        <w:rPr>
          <w:rFonts w:ascii="Arial" w:hAnsi="Arial" w:cs="Arial"/>
        </w:rPr>
      </w:pPr>
      <w:proofErr w:type="spellStart"/>
      <w:r w:rsidRPr="00E70693">
        <w:rPr>
          <w:rFonts w:ascii="Arial" w:hAnsi="Arial" w:cs="Arial"/>
        </w:rPr>
        <w:t>Recepcionar</w:t>
      </w:r>
      <w:proofErr w:type="spellEnd"/>
      <w:r w:rsidRPr="00E70693">
        <w:rPr>
          <w:rFonts w:ascii="Arial" w:hAnsi="Arial" w:cs="Arial"/>
        </w:rPr>
        <w:t xml:space="preserve"> ofertas y/o propuestas presentadas por los oferentes.</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 xml:space="preserve">En los casos que sean necesarios, se constituye un sub-comité técnico, para que una vez </w:t>
      </w:r>
      <w:proofErr w:type="spellStart"/>
      <w:r w:rsidRPr="00E70693">
        <w:rPr>
          <w:rFonts w:ascii="Arial" w:hAnsi="Arial" w:cs="Arial"/>
        </w:rPr>
        <w:t>recepcionada</w:t>
      </w:r>
      <w:proofErr w:type="spellEnd"/>
      <w:r w:rsidRPr="00E70693">
        <w:rPr>
          <w:rFonts w:ascii="Arial" w:hAnsi="Arial" w:cs="Arial"/>
        </w:rPr>
        <w:t xml:space="preserve"> la propuesta se elabore el informe de evaluación correspondiente,  el que se emite a consideración del Comité de Evaluación. Si el Comité lo encuentra conforme, lo avala a través de un acta. </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Solicitar la Resolución Ministerial de adjudicación del contrato o servicio.</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Participar en el proceso de firma del contrato, y remitirlo a la unidad requirente para que esta emita la orden de inicio y/o pago del anticipo, específicamente validando las garantías y documentaciones requeridas en los documentos contractuales.</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Realizará el ingreso y publicación de los procesos en la página del SISCAE</w:t>
      </w:r>
      <w:r w:rsidR="00BE283B" w:rsidRPr="00E70693">
        <w:rPr>
          <w:rStyle w:val="FootnoteReference"/>
          <w:rFonts w:ascii="Arial" w:hAnsi="Arial" w:cs="Arial"/>
        </w:rPr>
        <w:footnoteReference w:id="13"/>
      </w:r>
      <w:r w:rsidRPr="00E70693">
        <w:rPr>
          <w:rFonts w:ascii="Arial" w:hAnsi="Arial" w:cs="Arial"/>
        </w:rPr>
        <w:t xml:space="preserve">. </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Elaborar y mantener actualizada la Base de Datos de los procesos de licitaciones, a través del SEPA.</w:t>
      </w:r>
    </w:p>
    <w:p w:rsidR="00EF2F27" w:rsidRPr="00E70693" w:rsidRDefault="00EF2F27" w:rsidP="00DF3FFF">
      <w:pPr>
        <w:keepNext/>
        <w:spacing w:before="240"/>
        <w:ind w:left="709"/>
        <w:jc w:val="both"/>
        <w:rPr>
          <w:rFonts w:ascii="Arial" w:hAnsi="Arial" w:cs="Arial"/>
          <w:b/>
          <w:i/>
          <w:lang w:val="es-BO"/>
        </w:rPr>
      </w:pPr>
      <w:bookmarkStart w:id="30" w:name="_Toc365855695"/>
      <w:r w:rsidRPr="00E70693">
        <w:rPr>
          <w:rFonts w:ascii="Arial" w:hAnsi="Arial" w:cs="Arial"/>
          <w:b/>
          <w:i/>
          <w:lang w:val="es-BO"/>
        </w:rPr>
        <w:t>Dirección General Administrativa y Financiera (DGAF)</w:t>
      </w:r>
      <w:bookmarkEnd w:id="30"/>
    </w:p>
    <w:p w:rsidR="00EF2F27" w:rsidRPr="00E70693" w:rsidRDefault="00EF2F27" w:rsidP="00E50638">
      <w:pPr>
        <w:numPr>
          <w:ilvl w:val="0"/>
          <w:numId w:val="11"/>
        </w:numPr>
        <w:ind w:left="1276"/>
        <w:jc w:val="both"/>
        <w:rPr>
          <w:rFonts w:ascii="Arial" w:hAnsi="Arial" w:cs="Arial"/>
        </w:rPr>
      </w:pPr>
      <w:r w:rsidRPr="00E70693">
        <w:rPr>
          <w:rFonts w:ascii="Arial" w:hAnsi="Arial" w:cs="Arial"/>
        </w:rPr>
        <w:t>Mantener registros contables y financieros relacionados con las transacciones del Programa</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 xml:space="preserve">Conciliar los registros contables del Programa con los registros principales del MTI. </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Mantener organizado el sistema contable del programa.</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 xml:space="preserve">Identificar las fuentes y gastos elegibles del Programa, de acuerdo al detalle requerido por el Banco y de forma independiente de otros programas manejados por el MTI; </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Recibir, Preparar y presentar solicitudes y justificaciones de desembolsos</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Mantener adecuadamente el archivo de la documentación de apoyo a los desembolsos</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Preparar y presentación, a través de la UCP-BID, los informes semestrales y de estados financieros del Programa y de otros informes requeridos por el Banco.</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Verificar la disponibilidad de recursos de contrapartida del préstamo.</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Administrar los recursos financieros de acuerdo a las normas y procedimientos establecidos para la ejecución del Programa, referidos a las labores de administración (logística, contabilidad y tesorería), rendición de cuentas y de las auditorias financieras, en estrecha coordinación con la DGAF.</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lastRenderedPageBreak/>
        <w:t>La presentación oportuna de las solicitudes de desembolso y justificaciones de gastos elegibles, a través de las unidades correspondientes;</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 xml:space="preserve">Gestionar la apertura y mantener durante todo el período de ejecución del Programa, una cuenta bancaria exclusiva para cada financiamiento externo (“cuenta especial específica”) y separada de otras fuentes para el manejo de los recursos del Banco, y </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El mantenimiento de un adecuado sistema de archivo de la documentación de respaldo de los gastos elegibles para la verificación del Banco y de los auditores externos.</w:t>
      </w:r>
    </w:p>
    <w:p w:rsidR="00EF2F27" w:rsidRPr="00E70693" w:rsidRDefault="00EF2F27" w:rsidP="00DF3FFF">
      <w:pPr>
        <w:keepNext/>
        <w:spacing w:before="240"/>
        <w:ind w:left="709"/>
        <w:jc w:val="both"/>
        <w:rPr>
          <w:rFonts w:ascii="Arial" w:hAnsi="Arial" w:cs="Arial"/>
          <w:b/>
          <w:i/>
          <w:lang w:val="es-BO"/>
        </w:rPr>
      </w:pPr>
      <w:bookmarkStart w:id="31" w:name="_Toc365855696"/>
      <w:r w:rsidRPr="00E70693">
        <w:rPr>
          <w:rFonts w:ascii="Arial" w:hAnsi="Arial" w:cs="Arial"/>
          <w:b/>
          <w:i/>
          <w:lang w:val="es-BO"/>
        </w:rPr>
        <w:t>División General de Planificación (DGP)</w:t>
      </w:r>
      <w:bookmarkEnd w:id="31"/>
    </w:p>
    <w:p w:rsidR="00EF2F27" w:rsidRPr="00E70693" w:rsidRDefault="00EF2F27" w:rsidP="00E50638">
      <w:pPr>
        <w:numPr>
          <w:ilvl w:val="0"/>
          <w:numId w:val="11"/>
        </w:numPr>
        <w:ind w:left="1276"/>
        <w:jc w:val="both"/>
        <w:rPr>
          <w:rFonts w:ascii="Arial" w:hAnsi="Arial" w:cs="Arial"/>
        </w:rPr>
      </w:pPr>
      <w:r w:rsidRPr="00E70693">
        <w:rPr>
          <w:rFonts w:ascii="Arial" w:hAnsi="Arial" w:cs="Arial"/>
        </w:rPr>
        <w:t>Aprobar los estudios, planos y diseños de los proyectos vinculados al programa.</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Aprobar los términos de referencia y especificaciones técnicas para iniciar los procesos de licitación para la adquisición de bienes, obras y servicios incluidos en el Plan de Adquisiciones del programa.</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Aprobar las modificaciones que se realicen al diseño de cada contrato durante la ejecución de la obra.</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Coordinar con la UCP-BID todas las modificaciones o cambios que se realicen durante la ejecución, avalando que dichos cambios están conforme a las normas establecidas.</w:t>
      </w:r>
    </w:p>
    <w:p w:rsidR="00EF2F27" w:rsidRPr="00E70693" w:rsidRDefault="00EF2F27" w:rsidP="00DF3FFF">
      <w:pPr>
        <w:keepNext/>
        <w:spacing w:before="240"/>
        <w:ind w:left="709"/>
        <w:jc w:val="both"/>
        <w:rPr>
          <w:rFonts w:ascii="Arial" w:hAnsi="Arial" w:cs="Arial"/>
          <w:b/>
          <w:i/>
          <w:lang w:val="es-BO"/>
        </w:rPr>
      </w:pPr>
      <w:bookmarkStart w:id="32" w:name="_Toc365855697"/>
      <w:r w:rsidRPr="00E70693">
        <w:rPr>
          <w:rFonts w:ascii="Arial" w:hAnsi="Arial" w:cs="Arial"/>
          <w:b/>
          <w:i/>
          <w:lang w:val="es-BO"/>
        </w:rPr>
        <w:t>Unidad de Gestión Ambiental (UGA)</w:t>
      </w:r>
      <w:bookmarkEnd w:id="32"/>
    </w:p>
    <w:p w:rsidR="00EF2F27" w:rsidRPr="00E70693" w:rsidRDefault="00EF2F27" w:rsidP="00E50638">
      <w:pPr>
        <w:numPr>
          <w:ilvl w:val="0"/>
          <w:numId w:val="11"/>
        </w:numPr>
        <w:ind w:left="1276"/>
        <w:jc w:val="both"/>
        <w:rPr>
          <w:rFonts w:ascii="Arial" w:hAnsi="Arial" w:cs="Arial"/>
        </w:rPr>
      </w:pPr>
      <w:r w:rsidRPr="00E70693">
        <w:rPr>
          <w:rFonts w:ascii="Arial" w:hAnsi="Arial" w:cs="Arial"/>
        </w:rPr>
        <w:t xml:space="preserve">Coordinar acciones con la UCP-BID para la implementación del </w:t>
      </w:r>
      <w:r w:rsidR="002B7289" w:rsidRPr="00E70693">
        <w:rPr>
          <w:rFonts w:ascii="Arial" w:hAnsi="Arial" w:cs="Arial"/>
        </w:rPr>
        <w:t>Plan de Gestión Ambiental y Social del Programa (PGAS)</w:t>
      </w:r>
      <w:r w:rsidRPr="00E70693">
        <w:rPr>
          <w:rFonts w:ascii="Arial" w:hAnsi="Arial" w:cs="Arial"/>
        </w:rPr>
        <w:t xml:space="preserve"> y el seguimiento de los aspectos ambientales relacionados a la ejecución de las obras.</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Elaborar, en forma conjunta con las demás dependencias y unidades intervinientes, los términos de referencia para la ejecución de los aspectos ambientales relacionados al programa.</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Seguimiento de los Informes mensuales de Supervisión.</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 xml:space="preserve">Supervisión y seguimiento de la implementación de los Impactos incluidos en el </w:t>
      </w:r>
      <w:r w:rsidR="002B7289" w:rsidRPr="00E70693">
        <w:rPr>
          <w:rFonts w:ascii="Arial" w:hAnsi="Arial" w:cs="Arial"/>
        </w:rPr>
        <w:t>PGAS</w:t>
      </w:r>
      <w:r w:rsidRPr="00E70693">
        <w:rPr>
          <w:rFonts w:ascii="Arial" w:hAnsi="Arial" w:cs="Arial"/>
        </w:rPr>
        <w:t>.</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Seguimiento y Supervisión de Convenios con Instituciones Beneficiarias.</w:t>
      </w:r>
    </w:p>
    <w:p w:rsidR="00EF2F27" w:rsidRPr="00E70693" w:rsidRDefault="00EF2F27" w:rsidP="00E50638">
      <w:pPr>
        <w:numPr>
          <w:ilvl w:val="0"/>
          <w:numId w:val="11"/>
        </w:numPr>
        <w:ind w:left="1276"/>
        <w:jc w:val="both"/>
        <w:rPr>
          <w:rFonts w:ascii="Arial" w:hAnsi="Arial" w:cs="Arial"/>
        </w:rPr>
      </w:pPr>
      <w:r w:rsidRPr="00E70693">
        <w:rPr>
          <w:rFonts w:ascii="Arial" w:hAnsi="Arial" w:cs="Arial"/>
        </w:rPr>
        <w:t xml:space="preserve">Capacitación al MTI y al FOMAV en </w:t>
      </w:r>
      <w:r w:rsidR="002B7289" w:rsidRPr="00E70693">
        <w:rPr>
          <w:rFonts w:ascii="Arial" w:hAnsi="Arial" w:cs="Arial"/>
        </w:rPr>
        <w:t xml:space="preserve">el </w:t>
      </w:r>
      <w:r w:rsidRPr="00E70693">
        <w:rPr>
          <w:rFonts w:ascii="Arial" w:hAnsi="Arial" w:cs="Arial"/>
        </w:rPr>
        <w:t xml:space="preserve">uso del </w:t>
      </w:r>
      <w:r w:rsidR="002B7289" w:rsidRPr="00E70693">
        <w:rPr>
          <w:rFonts w:ascii="Arial" w:hAnsi="Arial" w:cs="Arial"/>
        </w:rPr>
        <w:t>P</w:t>
      </w:r>
      <w:r w:rsidRPr="00E70693">
        <w:rPr>
          <w:rFonts w:ascii="Arial" w:hAnsi="Arial" w:cs="Arial"/>
        </w:rPr>
        <w:t>GAS.</w:t>
      </w:r>
    </w:p>
    <w:p w:rsidR="00CA454E" w:rsidRPr="00E70693" w:rsidRDefault="00CA454E" w:rsidP="00831F00">
      <w:pPr>
        <w:numPr>
          <w:ilvl w:val="1"/>
          <w:numId w:val="1"/>
        </w:numPr>
        <w:tabs>
          <w:tab w:val="clear" w:pos="360"/>
          <w:tab w:val="num" w:pos="0"/>
        </w:tabs>
        <w:spacing w:before="240"/>
        <w:ind w:left="709" w:hanging="709"/>
        <w:jc w:val="both"/>
        <w:rPr>
          <w:rFonts w:ascii="Arial" w:hAnsi="Arial" w:cs="Arial"/>
          <w:szCs w:val="24"/>
        </w:rPr>
      </w:pPr>
      <w:r w:rsidRPr="00E70693">
        <w:rPr>
          <w:rFonts w:ascii="Arial" w:hAnsi="Arial" w:cs="Arial"/>
          <w:b/>
          <w:szCs w:val="24"/>
        </w:rPr>
        <w:t>Capacidad tecnológica</w:t>
      </w:r>
      <w:r w:rsidRPr="00E70693">
        <w:rPr>
          <w:rFonts w:ascii="Arial" w:hAnsi="Arial" w:cs="Arial"/>
          <w:szCs w:val="24"/>
        </w:rPr>
        <w:t xml:space="preserve">. </w:t>
      </w:r>
      <w:r w:rsidR="00884334" w:rsidRPr="00E70693">
        <w:rPr>
          <w:rFonts w:ascii="Arial" w:hAnsi="Arial" w:cs="Arial"/>
          <w:szCs w:val="24"/>
        </w:rPr>
        <w:t>Existe</w:t>
      </w:r>
      <w:r w:rsidRPr="00E70693">
        <w:rPr>
          <w:rFonts w:ascii="Arial" w:hAnsi="Arial" w:cs="Arial"/>
          <w:szCs w:val="24"/>
        </w:rPr>
        <w:t xml:space="preserve"> una plantilla de ingenieros, tanto en funciones de supervisión de obras como en planeamiento y seguimiento de proyectos, capacitado</w:t>
      </w:r>
      <w:r w:rsidR="00884334" w:rsidRPr="00E70693">
        <w:rPr>
          <w:rFonts w:ascii="Arial" w:hAnsi="Arial" w:cs="Arial"/>
          <w:szCs w:val="24"/>
        </w:rPr>
        <w:t>s</w:t>
      </w:r>
      <w:r w:rsidRPr="00E70693">
        <w:rPr>
          <w:rFonts w:ascii="Arial" w:hAnsi="Arial" w:cs="Arial"/>
          <w:szCs w:val="24"/>
        </w:rPr>
        <w:t xml:space="preserve"> para la ejecución. El MTI ha impulsado la realización de maestrías para los funcionarios de la Institución que ha incrementado </w:t>
      </w:r>
      <w:r w:rsidR="00884334" w:rsidRPr="00E70693">
        <w:rPr>
          <w:rFonts w:ascii="Arial" w:hAnsi="Arial" w:cs="Arial"/>
          <w:szCs w:val="24"/>
        </w:rPr>
        <w:t>de forma relevante</w:t>
      </w:r>
      <w:r w:rsidRPr="00E70693">
        <w:rPr>
          <w:rFonts w:ascii="Arial" w:hAnsi="Arial" w:cs="Arial"/>
          <w:szCs w:val="24"/>
        </w:rPr>
        <w:t xml:space="preserve"> el nivel de conocimiento e idoneidad profesional. También existe personal técnico con muchos años de experiencia en la ejecución de proyectos</w:t>
      </w:r>
      <w:r w:rsidR="001B0603" w:rsidRPr="00E70693">
        <w:rPr>
          <w:rFonts w:ascii="Arial" w:hAnsi="Arial" w:cs="Arial"/>
          <w:szCs w:val="24"/>
        </w:rPr>
        <w:t>,</w:t>
      </w:r>
      <w:r w:rsidRPr="00E70693">
        <w:rPr>
          <w:rFonts w:ascii="Arial" w:hAnsi="Arial" w:cs="Arial"/>
          <w:szCs w:val="24"/>
        </w:rPr>
        <w:t xml:space="preserve"> tanto con financiamiento del BID como de otros fondos. Además se cuenta con las “Especificaciones Técnicas Generales para la Construcción de Caminos, Calles y Puentes (NIC-2000)”, un documento técnico normativo y orientador muy completo que </w:t>
      </w:r>
      <w:r w:rsidR="00884334" w:rsidRPr="00E70693">
        <w:rPr>
          <w:rFonts w:ascii="Arial" w:hAnsi="Arial" w:cs="Arial"/>
          <w:szCs w:val="24"/>
        </w:rPr>
        <w:t>facilita</w:t>
      </w:r>
      <w:r w:rsidRPr="00E70693">
        <w:rPr>
          <w:rFonts w:ascii="Arial" w:hAnsi="Arial" w:cs="Arial"/>
          <w:szCs w:val="24"/>
        </w:rPr>
        <w:t xml:space="preserve"> tanto el diseño como la ejecución de las obras. Cabe agregar también que el MTI ha realizado inversiones, con recursos del BID, para equipar un laboratorio de suelos y asfalto, a fin de realizar la verificación de los diseños y el control de la calidad de ejecución de las obras.</w:t>
      </w:r>
    </w:p>
    <w:p w:rsidR="00D94F16" w:rsidRPr="00E70693" w:rsidRDefault="004B16D5" w:rsidP="00831F00">
      <w:pPr>
        <w:numPr>
          <w:ilvl w:val="1"/>
          <w:numId w:val="1"/>
        </w:numPr>
        <w:tabs>
          <w:tab w:val="clear" w:pos="360"/>
          <w:tab w:val="num" w:pos="0"/>
        </w:tabs>
        <w:spacing w:before="240"/>
        <w:ind w:left="709" w:hanging="709"/>
        <w:jc w:val="both"/>
        <w:rPr>
          <w:rFonts w:ascii="Arial" w:hAnsi="Arial" w:cs="Arial"/>
        </w:rPr>
      </w:pPr>
      <w:r w:rsidRPr="00E70693">
        <w:rPr>
          <w:rFonts w:ascii="Arial" w:hAnsi="Arial" w:cs="Arial"/>
          <w:b/>
        </w:rPr>
        <w:lastRenderedPageBreak/>
        <w:t>Fortalecimiento Institucional</w:t>
      </w:r>
      <w:r w:rsidR="00395957" w:rsidRPr="00E70693">
        <w:rPr>
          <w:rFonts w:ascii="Arial" w:hAnsi="Arial" w:cs="Arial"/>
        </w:rPr>
        <w:t>. Comprende un proceso de mejora continua del potencial humano y</w:t>
      </w:r>
      <w:r w:rsidR="00A46B68" w:rsidRPr="00E70693">
        <w:rPr>
          <w:rFonts w:ascii="Arial" w:hAnsi="Arial" w:cs="Arial"/>
        </w:rPr>
        <w:t xml:space="preserve"> </w:t>
      </w:r>
      <w:r w:rsidR="00395957" w:rsidRPr="00E70693">
        <w:rPr>
          <w:rFonts w:ascii="Arial" w:hAnsi="Arial" w:cs="Arial"/>
        </w:rPr>
        <w:t>técnico de la Institución como de</w:t>
      </w:r>
      <w:r w:rsidR="00CD2B6D" w:rsidRPr="00E70693">
        <w:rPr>
          <w:rFonts w:ascii="Arial" w:hAnsi="Arial" w:cs="Arial"/>
        </w:rPr>
        <w:t xml:space="preserve"> la calidad para ejecutar </w:t>
      </w:r>
      <w:r w:rsidR="00A46B68" w:rsidRPr="00E70693">
        <w:rPr>
          <w:rFonts w:ascii="Arial" w:hAnsi="Arial" w:cs="Arial"/>
        </w:rPr>
        <w:t>los proyectos propiamente. En este sentido es relevante el avance logrado con</w:t>
      </w:r>
      <w:r w:rsidR="00395957" w:rsidRPr="00E70693">
        <w:rPr>
          <w:rFonts w:ascii="Arial" w:hAnsi="Arial" w:cs="Arial"/>
        </w:rPr>
        <w:t xml:space="preserve"> la aplicación de </w:t>
      </w:r>
      <w:r w:rsidRPr="00E70693">
        <w:rPr>
          <w:rFonts w:ascii="Arial" w:hAnsi="Arial" w:cs="Arial"/>
        </w:rPr>
        <w:t xml:space="preserve">los recursos de préstamos del BID del Programa de Apoyo al Sector Transporte I, II y III </w:t>
      </w:r>
      <w:r w:rsidR="00714F17" w:rsidRPr="00E70693">
        <w:rPr>
          <w:rFonts w:ascii="Arial" w:hAnsi="Arial" w:cs="Arial"/>
        </w:rPr>
        <w:t>(PAST). Una descripción más completa del fortalecimiento institucional se describe en</w:t>
      </w:r>
      <w:r w:rsidR="00D94F16" w:rsidRPr="00E70693">
        <w:rPr>
          <w:rFonts w:ascii="Arial" w:hAnsi="Arial" w:cs="Arial"/>
        </w:rPr>
        <w:t xml:space="preserve"> el apartado</w:t>
      </w:r>
      <w:r w:rsidR="00714F17" w:rsidRPr="00E70693">
        <w:rPr>
          <w:rFonts w:ascii="Arial" w:hAnsi="Arial" w:cs="Arial"/>
        </w:rPr>
        <w:t xml:space="preserve"> </w:t>
      </w:r>
      <w:r w:rsidR="00714F17" w:rsidRPr="00E70693">
        <w:rPr>
          <w:rFonts w:ascii="Arial" w:hAnsi="Arial" w:cs="Arial"/>
        </w:rPr>
        <w:fldChar w:fldCharType="begin"/>
      </w:r>
      <w:r w:rsidR="00714F17" w:rsidRPr="00E70693">
        <w:rPr>
          <w:rFonts w:ascii="Arial" w:hAnsi="Arial" w:cs="Arial"/>
        </w:rPr>
        <w:instrText xml:space="preserve"> REF _Ref421693501 \r \h </w:instrText>
      </w:r>
      <w:r w:rsidR="00714F17" w:rsidRPr="00E70693">
        <w:rPr>
          <w:rFonts w:ascii="Arial" w:hAnsi="Arial" w:cs="Arial"/>
        </w:rPr>
      </w:r>
      <w:r w:rsidR="00E70693">
        <w:rPr>
          <w:rFonts w:ascii="Arial" w:hAnsi="Arial" w:cs="Arial"/>
        </w:rPr>
        <w:instrText xml:space="preserve"> \* MERGEFORMAT </w:instrText>
      </w:r>
      <w:r w:rsidR="00714F17" w:rsidRPr="00E70693">
        <w:rPr>
          <w:rFonts w:ascii="Arial" w:hAnsi="Arial" w:cs="Arial"/>
        </w:rPr>
        <w:fldChar w:fldCharType="separate"/>
      </w:r>
      <w:r w:rsidR="00714F17" w:rsidRPr="00E70693">
        <w:rPr>
          <w:rFonts w:ascii="Arial" w:hAnsi="Arial" w:cs="Arial"/>
        </w:rPr>
        <w:t>6</w:t>
      </w:r>
      <w:r w:rsidR="00714F17" w:rsidRPr="00E70693">
        <w:rPr>
          <w:rFonts w:ascii="Arial" w:hAnsi="Arial" w:cs="Arial"/>
        </w:rPr>
        <w:fldChar w:fldCharType="end"/>
      </w:r>
      <w:r w:rsidR="00714F17" w:rsidRPr="00E70693">
        <w:rPr>
          <w:rFonts w:ascii="Arial" w:hAnsi="Arial" w:cs="Arial"/>
        </w:rPr>
        <w:t xml:space="preserve">. </w:t>
      </w:r>
    </w:p>
    <w:p w:rsidR="00A46B68" w:rsidRPr="00E70693" w:rsidRDefault="00A46B68" w:rsidP="00A46B68">
      <w:pPr>
        <w:numPr>
          <w:ilvl w:val="1"/>
          <w:numId w:val="1"/>
        </w:numPr>
        <w:tabs>
          <w:tab w:val="clear" w:pos="360"/>
          <w:tab w:val="num" w:pos="0"/>
        </w:tabs>
        <w:spacing w:before="240"/>
        <w:ind w:left="709" w:hanging="709"/>
        <w:jc w:val="both"/>
        <w:rPr>
          <w:rFonts w:ascii="Arial" w:hAnsi="Arial" w:cs="Arial"/>
          <w:szCs w:val="24"/>
        </w:rPr>
      </w:pPr>
      <w:r w:rsidRPr="00E70693">
        <w:rPr>
          <w:rFonts w:ascii="Arial" w:hAnsi="Arial" w:cs="Arial"/>
          <w:b/>
          <w:szCs w:val="24"/>
        </w:rPr>
        <w:t>Utilización de los sistemas, normas y procedimientos del Banco</w:t>
      </w:r>
      <w:r w:rsidRPr="00E70693">
        <w:rPr>
          <w:rFonts w:ascii="Arial" w:hAnsi="Arial" w:cs="Arial"/>
          <w:szCs w:val="24"/>
        </w:rPr>
        <w:t>. El MTI, y particularmente la UCP</w:t>
      </w:r>
      <w:r w:rsidR="002B7289" w:rsidRPr="00E70693">
        <w:rPr>
          <w:rFonts w:ascii="Arial" w:hAnsi="Arial" w:cs="Arial"/>
          <w:szCs w:val="24"/>
        </w:rPr>
        <w:t>-BID</w:t>
      </w:r>
      <w:r w:rsidRPr="00E70693">
        <w:rPr>
          <w:rFonts w:ascii="Arial" w:hAnsi="Arial" w:cs="Arial"/>
          <w:szCs w:val="24"/>
        </w:rPr>
        <w:t>, ha progresado de manera relevante en el dominio de los sistemas de monitoreo y control del Banco (PEP, POA, PMR y otros), así como en la aplicación correcta de las normas de adquisiciones y las Políticas de adquisiciones que el Banco ha establecido.</w:t>
      </w:r>
      <w:r w:rsidR="00CD2B6D" w:rsidRPr="00E70693">
        <w:rPr>
          <w:rFonts w:ascii="Arial" w:hAnsi="Arial" w:cs="Arial"/>
          <w:szCs w:val="24"/>
        </w:rPr>
        <w:t xml:space="preserve"> Además, el MTI ha participado con entusiasmo de las jornadas de capacitación BID-INDES para el impulso de la gerencia de proyectos por resultados o pm4R, esperándose su continuidad en la profundización de</w:t>
      </w:r>
      <w:r w:rsidR="002B7289" w:rsidRPr="00E70693">
        <w:rPr>
          <w:rFonts w:ascii="Arial" w:hAnsi="Arial" w:cs="Arial"/>
          <w:szCs w:val="24"/>
        </w:rPr>
        <w:t>l conocimiento y la práctica de</w:t>
      </w:r>
      <w:r w:rsidR="00CD2B6D" w:rsidRPr="00E70693">
        <w:rPr>
          <w:rFonts w:ascii="Arial" w:hAnsi="Arial" w:cs="Arial"/>
          <w:szCs w:val="24"/>
        </w:rPr>
        <w:t xml:space="preserve"> esta modalidad de gestión.</w:t>
      </w:r>
    </w:p>
    <w:p w:rsidR="00094695" w:rsidRPr="00E70693" w:rsidRDefault="00E26258" w:rsidP="00831F00">
      <w:pPr>
        <w:numPr>
          <w:ilvl w:val="1"/>
          <w:numId w:val="1"/>
        </w:numPr>
        <w:tabs>
          <w:tab w:val="clear" w:pos="360"/>
          <w:tab w:val="num" w:pos="709"/>
        </w:tabs>
        <w:spacing w:before="240"/>
        <w:ind w:left="709" w:hanging="709"/>
        <w:jc w:val="both"/>
        <w:rPr>
          <w:rFonts w:ascii="Arial" w:hAnsi="Arial" w:cs="Arial"/>
          <w:szCs w:val="24"/>
        </w:rPr>
      </w:pPr>
      <w:r w:rsidRPr="00E70693">
        <w:rPr>
          <w:rFonts w:ascii="Arial" w:hAnsi="Arial" w:cs="Arial"/>
          <w:b/>
        </w:rPr>
        <w:t>Auditores Técnicos</w:t>
      </w:r>
      <w:r w:rsidRPr="00E70693">
        <w:rPr>
          <w:rFonts w:ascii="Arial" w:hAnsi="Arial" w:cs="Arial"/>
        </w:rPr>
        <w:t xml:space="preserve">. En los contratos de préstamo 2427/BL-NI y 2840/BL-NI se estableció el compromiso para el </w:t>
      </w:r>
      <w:r w:rsidRPr="00E70693">
        <w:rPr>
          <w:rFonts w:ascii="Arial" w:hAnsi="Arial" w:cs="Arial"/>
          <w:szCs w:val="24"/>
          <w:lang w:val="es-PY"/>
        </w:rPr>
        <w:t>Prestatario de contratar, juntamente con la contratación de los diseños de los respectivos proyectos, una auditoría técnica que tiene a su cargo la aprobación de dichos diseños, financiada con recursos del Préstamo.</w:t>
      </w:r>
      <w:r w:rsidR="001B35DB" w:rsidRPr="00E70693">
        <w:rPr>
          <w:rFonts w:ascii="Arial" w:hAnsi="Arial" w:cs="Arial"/>
          <w:szCs w:val="24"/>
          <w:lang w:val="es-PY"/>
        </w:rPr>
        <w:t xml:space="preserve"> </w:t>
      </w:r>
      <w:r w:rsidRPr="00E70693">
        <w:rPr>
          <w:rFonts w:ascii="Arial" w:hAnsi="Arial" w:cs="Arial"/>
        </w:rPr>
        <w:t xml:space="preserve">La finalidad de contar con </w:t>
      </w:r>
      <w:r w:rsidR="001B35DB" w:rsidRPr="00E70693">
        <w:rPr>
          <w:rFonts w:ascii="Arial" w:hAnsi="Arial" w:cs="Arial"/>
        </w:rPr>
        <w:t>Auditores Técnicos</w:t>
      </w:r>
      <w:r w:rsidRPr="00E70693">
        <w:rPr>
          <w:rFonts w:ascii="Arial" w:hAnsi="Arial" w:cs="Arial"/>
        </w:rPr>
        <w:t xml:space="preserve"> fue</w:t>
      </w:r>
      <w:r w:rsidR="001B35DB" w:rsidRPr="00E70693">
        <w:rPr>
          <w:rFonts w:ascii="Arial" w:hAnsi="Arial" w:cs="Arial"/>
        </w:rPr>
        <w:t xml:space="preserve"> brindar un apoyo experto a los Organismos Ejecutores</w:t>
      </w:r>
      <w:r w:rsidRPr="00E70693">
        <w:rPr>
          <w:rFonts w:ascii="Arial" w:hAnsi="Arial" w:cs="Arial"/>
        </w:rPr>
        <w:t xml:space="preserve"> </w:t>
      </w:r>
      <w:r w:rsidR="001B35DB" w:rsidRPr="00E70693">
        <w:rPr>
          <w:rFonts w:ascii="Arial" w:hAnsi="Arial" w:cs="Arial"/>
        </w:rPr>
        <w:t xml:space="preserve">para así </w:t>
      </w:r>
      <w:r w:rsidRPr="00E70693">
        <w:rPr>
          <w:rFonts w:ascii="Arial" w:hAnsi="Arial" w:cs="Arial"/>
        </w:rPr>
        <w:t>d</w:t>
      </w:r>
      <w:r w:rsidRPr="00E70693">
        <w:rPr>
          <w:rFonts w:ascii="Arial" w:hAnsi="Arial" w:cs="Arial"/>
          <w:szCs w:val="24"/>
        </w:rPr>
        <w:t xml:space="preserve">isponer de diseños de óptima calidad técnica que minimicen los costos de inversión, manteniendo acotadas las contingencias negativas en el margen de los imprevistos de obra, incluyendo en ellas la corrección de eventuales errores de diseño o deficiencias en la información de base utilizada. Específicamente se pretendió que tales diseños cumplan </w:t>
      </w:r>
      <w:r w:rsidRPr="00E70693">
        <w:rPr>
          <w:rFonts w:ascii="Arial" w:hAnsi="Arial" w:cs="Arial"/>
          <w:szCs w:val="24"/>
          <w:lang w:val="es-NI"/>
        </w:rPr>
        <w:t>con las normas técnicas aplicables y cuenten con presupuestos ajustados a los costos de mercado.</w:t>
      </w:r>
      <w:r w:rsidR="001B35DB" w:rsidRPr="00E70693">
        <w:rPr>
          <w:rFonts w:ascii="Arial" w:hAnsi="Arial" w:cs="Arial"/>
          <w:szCs w:val="24"/>
          <w:lang w:val="es-NI"/>
        </w:rPr>
        <w:t xml:space="preserve"> De las lecciones aprendidas en cuanto al desempeño de los Auditores Técnicos se rescata lo siguiente: i) que </w:t>
      </w:r>
      <w:r w:rsidR="00094695" w:rsidRPr="00E70693">
        <w:rPr>
          <w:rFonts w:ascii="Arial" w:hAnsi="Arial" w:cs="Arial"/>
          <w:szCs w:val="24"/>
          <w:lang w:val="es-NI"/>
        </w:rPr>
        <w:t>la gestión del Auditor Técnico ha contribuido a mejorar</w:t>
      </w:r>
      <w:r w:rsidR="001B35DB" w:rsidRPr="00E70693">
        <w:rPr>
          <w:rFonts w:ascii="Arial" w:hAnsi="Arial" w:cs="Arial"/>
          <w:szCs w:val="24"/>
          <w:lang w:val="es-NI"/>
        </w:rPr>
        <w:t xml:space="preserve"> de forma relevante la calidad técnica de los proyectos y las variaciones de costo durante la construcción se han mantenido </w:t>
      </w:r>
      <w:r w:rsidR="00094695" w:rsidRPr="00E70693">
        <w:rPr>
          <w:rFonts w:ascii="Arial" w:hAnsi="Arial" w:cs="Arial"/>
          <w:szCs w:val="24"/>
          <w:lang w:val="es-NI"/>
        </w:rPr>
        <w:t xml:space="preserve">sin variación o </w:t>
      </w:r>
      <w:r w:rsidR="001B35DB" w:rsidRPr="00E70693">
        <w:rPr>
          <w:rFonts w:ascii="Arial" w:hAnsi="Arial" w:cs="Arial"/>
          <w:szCs w:val="24"/>
          <w:lang w:val="es-NI"/>
        </w:rPr>
        <w:t>controlados</w:t>
      </w:r>
      <w:r w:rsidR="00F04714" w:rsidRPr="00E70693">
        <w:rPr>
          <w:rFonts w:ascii="Arial" w:hAnsi="Arial" w:cs="Arial"/>
          <w:szCs w:val="24"/>
          <w:lang w:val="es-NI"/>
        </w:rPr>
        <w:t xml:space="preserve"> (¶</w:t>
      </w:r>
      <w:r w:rsidR="00F04714" w:rsidRPr="00E70693">
        <w:rPr>
          <w:rFonts w:ascii="Arial" w:hAnsi="Arial" w:cs="Arial"/>
          <w:szCs w:val="24"/>
          <w:lang w:val="es-NI"/>
        </w:rPr>
        <w:fldChar w:fldCharType="begin"/>
      </w:r>
      <w:r w:rsidR="00F04714" w:rsidRPr="00E70693">
        <w:rPr>
          <w:rFonts w:ascii="Arial" w:hAnsi="Arial" w:cs="Arial"/>
          <w:szCs w:val="24"/>
          <w:lang w:val="es-NI"/>
        </w:rPr>
        <w:instrText xml:space="preserve"> REF _Ref394855624 \r \h </w:instrText>
      </w:r>
      <w:r w:rsidR="00F04714" w:rsidRPr="00E70693">
        <w:rPr>
          <w:rFonts w:ascii="Arial" w:hAnsi="Arial" w:cs="Arial"/>
          <w:szCs w:val="24"/>
          <w:lang w:val="es-NI"/>
        </w:rPr>
      </w:r>
      <w:r w:rsidR="00E70693">
        <w:rPr>
          <w:rFonts w:ascii="Arial" w:hAnsi="Arial" w:cs="Arial"/>
          <w:szCs w:val="24"/>
          <w:lang w:val="es-NI"/>
        </w:rPr>
        <w:instrText xml:space="preserve"> \* MERGEFORMAT </w:instrText>
      </w:r>
      <w:r w:rsidR="00F04714" w:rsidRPr="00E70693">
        <w:rPr>
          <w:rFonts w:ascii="Arial" w:hAnsi="Arial" w:cs="Arial"/>
          <w:szCs w:val="24"/>
          <w:lang w:val="es-NI"/>
        </w:rPr>
        <w:fldChar w:fldCharType="separate"/>
      </w:r>
      <w:r w:rsidR="00D94F16" w:rsidRPr="00E70693">
        <w:rPr>
          <w:rFonts w:ascii="Arial" w:hAnsi="Arial" w:cs="Arial"/>
          <w:szCs w:val="24"/>
          <w:lang w:val="es-NI"/>
        </w:rPr>
        <w:t>2.9</w:t>
      </w:r>
      <w:r w:rsidR="00F04714" w:rsidRPr="00E70693">
        <w:rPr>
          <w:rFonts w:ascii="Arial" w:hAnsi="Arial" w:cs="Arial"/>
          <w:szCs w:val="24"/>
          <w:lang w:val="es-NI"/>
        </w:rPr>
        <w:fldChar w:fldCharType="end"/>
      </w:r>
      <w:r w:rsidR="00F04714" w:rsidRPr="00E70693">
        <w:rPr>
          <w:rFonts w:ascii="Arial" w:hAnsi="Arial" w:cs="Arial"/>
          <w:szCs w:val="24"/>
          <w:lang w:val="es-NI"/>
        </w:rPr>
        <w:t xml:space="preserve"> y ¶</w:t>
      </w:r>
      <w:r w:rsidR="00F04714" w:rsidRPr="00E70693">
        <w:rPr>
          <w:rFonts w:ascii="Arial" w:hAnsi="Arial" w:cs="Arial"/>
          <w:szCs w:val="24"/>
          <w:lang w:val="es-NI"/>
        </w:rPr>
        <w:fldChar w:fldCharType="begin"/>
      </w:r>
      <w:r w:rsidR="00F04714" w:rsidRPr="00E70693">
        <w:rPr>
          <w:rFonts w:ascii="Arial" w:hAnsi="Arial" w:cs="Arial"/>
          <w:szCs w:val="24"/>
          <w:lang w:val="es-NI"/>
        </w:rPr>
        <w:instrText xml:space="preserve"> REF _Ref394855639 \r \h </w:instrText>
      </w:r>
      <w:r w:rsidR="00F04714" w:rsidRPr="00E70693">
        <w:rPr>
          <w:rFonts w:ascii="Arial" w:hAnsi="Arial" w:cs="Arial"/>
          <w:szCs w:val="24"/>
          <w:lang w:val="es-NI"/>
        </w:rPr>
      </w:r>
      <w:r w:rsidR="00E70693">
        <w:rPr>
          <w:rFonts w:ascii="Arial" w:hAnsi="Arial" w:cs="Arial"/>
          <w:szCs w:val="24"/>
          <w:lang w:val="es-NI"/>
        </w:rPr>
        <w:instrText xml:space="preserve"> \* MERGEFORMAT </w:instrText>
      </w:r>
      <w:r w:rsidR="00F04714" w:rsidRPr="00E70693">
        <w:rPr>
          <w:rFonts w:ascii="Arial" w:hAnsi="Arial" w:cs="Arial"/>
          <w:szCs w:val="24"/>
          <w:lang w:val="es-NI"/>
        </w:rPr>
        <w:fldChar w:fldCharType="separate"/>
      </w:r>
      <w:r w:rsidR="00D94F16" w:rsidRPr="00E70693">
        <w:rPr>
          <w:rFonts w:ascii="Arial" w:hAnsi="Arial" w:cs="Arial"/>
          <w:szCs w:val="24"/>
          <w:lang w:val="es-NI"/>
        </w:rPr>
        <w:t>2.10</w:t>
      </w:r>
      <w:r w:rsidR="00F04714" w:rsidRPr="00E70693">
        <w:rPr>
          <w:rFonts w:ascii="Arial" w:hAnsi="Arial" w:cs="Arial"/>
          <w:szCs w:val="24"/>
          <w:lang w:val="es-NI"/>
        </w:rPr>
        <w:fldChar w:fldCharType="end"/>
      </w:r>
      <w:r w:rsidR="00F04714" w:rsidRPr="00E70693">
        <w:rPr>
          <w:rFonts w:ascii="Arial" w:hAnsi="Arial" w:cs="Arial"/>
          <w:szCs w:val="24"/>
          <w:lang w:val="es-NI"/>
        </w:rPr>
        <w:t>)</w:t>
      </w:r>
      <w:r w:rsidR="001B35DB" w:rsidRPr="00E70693">
        <w:rPr>
          <w:rFonts w:ascii="Arial" w:hAnsi="Arial" w:cs="Arial"/>
          <w:szCs w:val="24"/>
          <w:lang w:val="es-NI"/>
        </w:rPr>
        <w:t xml:space="preserve">; ii) que </w:t>
      </w:r>
      <w:r w:rsidR="001B35DB" w:rsidRPr="00E70693">
        <w:rPr>
          <w:rFonts w:ascii="Arial" w:hAnsi="Arial" w:cs="Arial"/>
          <w:szCs w:val="24"/>
        </w:rPr>
        <w:t xml:space="preserve">resulta difícil que un solo profesional pueda abarcar, con el grado de detalle que se requiere, toda la labor necesaria para una verificación confiable de todo un diseño de carretera, por lo que </w:t>
      </w:r>
      <w:r w:rsidR="00094695" w:rsidRPr="00E70693">
        <w:rPr>
          <w:rFonts w:ascii="Arial" w:hAnsi="Arial" w:cs="Arial"/>
          <w:szCs w:val="24"/>
        </w:rPr>
        <w:t>su gestión no puede considerarse infalible</w:t>
      </w:r>
      <w:r w:rsidR="001B35DB" w:rsidRPr="00E70693">
        <w:rPr>
          <w:rFonts w:ascii="Arial" w:hAnsi="Arial" w:cs="Arial"/>
          <w:szCs w:val="24"/>
        </w:rPr>
        <w:t>; iii) que el hecho de que el Auditor Técnico apruebe el diseño puede entenderse erróneamente como una transferencia hacia él de la responsabilidad por errores y omisiones no detectadas</w:t>
      </w:r>
      <w:r w:rsidR="00094695" w:rsidRPr="00E70693">
        <w:rPr>
          <w:rFonts w:ascii="Arial" w:hAnsi="Arial" w:cs="Arial"/>
          <w:szCs w:val="24"/>
        </w:rPr>
        <w:t xml:space="preserve">; y iv) que el rol mismo de aprobación de un producto o diseño </w:t>
      </w:r>
      <w:r w:rsidR="00F04714" w:rsidRPr="00E70693">
        <w:rPr>
          <w:rFonts w:ascii="Arial" w:hAnsi="Arial" w:cs="Arial"/>
          <w:szCs w:val="24"/>
        </w:rPr>
        <w:t xml:space="preserve">puede </w:t>
      </w:r>
      <w:r w:rsidR="00094695" w:rsidRPr="00E70693">
        <w:rPr>
          <w:rFonts w:ascii="Arial" w:hAnsi="Arial" w:cs="Arial"/>
          <w:szCs w:val="24"/>
        </w:rPr>
        <w:t>colisiona</w:t>
      </w:r>
      <w:r w:rsidR="00F04714" w:rsidRPr="00E70693">
        <w:rPr>
          <w:rFonts w:ascii="Arial" w:hAnsi="Arial" w:cs="Arial"/>
          <w:szCs w:val="24"/>
        </w:rPr>
        <w:t>r</w:t>
      </w:r>
      <w:r w:rsidR="00094695" w:rsidRPr="00E70693">
        <w:rPr>
          <w:rFonts w:ascii="Arial" w:hAnsi="Arial" w:cs="Arial"/>
          <w:szCs w:val="24"/>
        </w:rPr>
        <w:t xml:space="preserve"> con la atribución que corresponde al Organismo Ejecutor, </w:t>
      </w:r>
      <w:r w:rsidR="00F04714" w:rsidRPr="00E70693">
        <w:rPr>
          <w:rFonts w:ascii="Arial" w:hAnsi="Arial" w:cs="Arial"/>
          <w:szCs w:val="24"/>
        </w:rPr>
        <w:t xml:space="preserve">en este caso funcionalmente </w:t>
      </w:r>
      <w:r w:rsidR="00094695" w:rsidRPr="00E70693">
        <w:rPr>
          <w:rFonts w:ascii="Arial" w:hAnsi="Arial" w:cs="Arial"/>
          <w:szCs w:val="24"/>
        </w:rPr>
        <w:t>especializado en el área técnica.</w:t>
      </w:r>
    </w:p>
    <w:p w:rsidR="001B00BA" w:rsidRPr="00E70693" w:rsidRDefault="00094695" w:rsidP="00831F00">
      <w:pPr>
        <w:numPr>
          <w:ilvl w:val="1"/>
          <w:numId w:val="1"/>
        </w:numPr>
        <w:tabs>
          <w:tab w:val="clear" w:pos="360"/>
          <w:tab w:val="num" w:pos="709"/>
        </w:tabs>
        <w:spacing w:before="240"/>
        <w:ind w:left="705" w:hanging="709"/>
        <w:jc w:val="both"/>
        <w:rPr>
          <w:rFonts w:ascii="Arial" w:hAnsi="Arial" w:cs="Arial"/>
          <w:b/>
        </w:rPr>
      </w:pPr>
      <w:r w:rsidRPr="00E70693">
        <w:rPr>
          <w:rFonts w:ascii="Arial" w:hAnsi="Arial" w:cs="Arial"/>
          <w:b/>
        </w:rPr>
        <w:t xml:space="preserve">Asesores Técnicos. </w:t>
      </w:r>
      <w:r w:rsidR="001B35DB" w:rsidRPr="00E70693">
        <w:rPr>
          <w:rFonts w:ascii="Arial" w:hAnsi="Arial" w:cs="Arial"/>
        </w:rPr>
        <w:t>C</w:t>
      </w:r>
      <w:r w:rsidRPr="00E70693">
        <w:rPr>
          <w:rFonts w:ascii="Arial" w:hAnsi="Arial" w:cs="Arial"/>
        </w:rPr>
        <w:t xml:space="preserve">onsiderando las lecciones aprendidas con la figura del Auditor Técnico así como las mejoras sustanciales logradas, en el contrato de préstamo 2979/BL-NI se incluyó la figura del Asesor Técnico, con un mayor enfoque en brindar asesoramiento experto a los Organismos Ejecutores, sin relevarlos </w:t>
      </w:r>
      <w:r w:rsidR="00EB5F95" w:rsidRPr="00E70693">
        <w:rPr>
          <w:rFonts w:ascii="Arial" w:hAnsi="Arial" w:cs="Arial"/>
        </w:rPr>
        <w:t xml:space="preserve">a éstos </w:t>
      </w:r>
      <w:r w:rsidRPr="00E70693">
        <w:rPr>
          <w:rFonts w:ascii="Arial" w:hAnsi="Arial" w:cs="Arial"/>
        </w:rPr>
        <w:t>de las responsabilidades que por su naturaleza les corresponden.</w:t>
      </w:r>
      <w:r w:rsidR="001B35DB" w:rsidRPr="00E70693">
        <w:rPr>
          <w:rFonts w:ascii="Arial" w:hAnsi="Arial" w:cs="Arial"/>
        </w:rPr>
        <w:t xml:space="preserve"> Así, </w:t>
      </w:r>
      <w:r w:rsidR="00EB5F95" w:rsidRPr="00E70693">
        <w:rPr>
          <w:rFonts w:ascii="Arial" w:hAnsi="Arial" w:cs="Arial"/>
        </w:rPr>
        <w:t xml:space="preserve">en </w:t>
      </w:r>
      <w:r w:rsidR="001B35DB" w:rsidRPr="00E70693">
        <w:rPr>
          <w:rFonts w:ascii="Arial" w:hAnsi="Arial" w:cs="Arial"/>
        </w:rPr>
        <w:t xml:space="preserve">el caso del MTI se </w:t>
      </w:r>
      <w:r w:rsidR="00EB5F95" w:rsidRPr="00E70693">
        <w:rPr>
          <w:rFonts w:ascii="Arial" w:hAnsi="Arial" w:cs="Arial"/>
        </w:rPr>
        <w:t>contrató a</w:t>
      </w:r>
      <w:r w:rsidR="001B35DB" w:rsidRPr="00E70693">
        <w:rPr>
          <w:rFonts w:ascii="Arial" w:hAnsi="Arial" w:cs="Arial"/>
        </w:rPr>
        <w:t xml:space="preserve"> un Asesor Técnico Permanente en lugar de la figura del Auditor, que en sinergia con los demás </w:t>
      </w:r>
      <w:r w:rsidR="001B35DB" w:rsidRPr="00E70693">
        <w:rPr>
          <w:rFonts w:ascii="Arial" w:hAnsi="Arial" w:cs="Arial"/>
        </w:rPr>
        <w:lastRenderedPageBreak/>
        <w:t xml:space="preserve">consultores previstos contratar con el plan de acción de fortalecimiento institucional, genere un clima de confianza y aprendizaje, enfocando la gestión del Organismo Ejecutor hacia la prevención de las situaciones de riesgo y orientada al logro de resultados. Y en el caso del FOMAV, </w:t>
      </w:r>
      <w:r w:rsidR="00EB5F95" w:rsidRPr="00E70693">
        <w:rPr>
          <w:rFonts w:ascii="Arial" w:hAnsi="Arial" w:cs="Arial"/>
        </w:rPr>
        <w:t>se contrató</w:t>
      </w:r>
      <w:r w:rsidR="001B35DB" w:rsidRPr="00E70693">
        <w:rPr>
          <w:rFonts w:ascii="Arial" w:hAnsi="Arial" w:cs="Arial"/>
        </w:rPr>
        <w:t xml:space="preserve"> a un Asesor en Mantenimiento Vial por Resultados, que le permita a la Institución desarrollar de una manera más segura otras modalidades más eficientes para la ejecución del mantenimiento de carreteras.</w:t>
      </w:r>
      <w:r w:rsidR="00BE283B" w:rsidRPr="00E70693">
        <w:rPr>
          <w:rFonts w:ascii="Arial" w:hAnsi="Arial" w:cs="Arial"/>
        </w:rPr>
        <w:t xml:space="preserve"> Siguiendo la misma línea, en el contrato de préstamo 3353/BL-NI también se ha incluido </w:t>
      </w:r>
      <w:r w:rsidR="001B00BA" w:rsidRPr="00E70693">
        <w:rPr>
          <w:rFonts w:ascii="Arial" w:hAnsi="Arial" w:cs="Arial"/>
        </w:rPr>
        <w:t>a</w:t>
      </w:r>
      <w:r w:rsidR="00BE283B" w:rsidRPr="00E70693">
        <w:rPr>
          <w:rFonts w:ascii="Arial" w:hAnsi="Arial" w:cs="Arial"/>
        </w:rPr>
        <w:t>l Asesor Técnico para asesorar al MTI en la estructuración y ejecución de los proyectos</w:t>
      </w:r>
      <w:r w:rsidR="001B00BA" w:rsidRPr="00E70693">
        <w:rPr>
          <w:rFonts w:ascii="Arial" w:hAnsi="Arial" w:cs="Arial"/>
        </w:rPr>
        <w:t xml:space="preserve">, esperándose resultados satisfactorios. </w:t>
      </w:r>
    </w:p>
    <w:p w:rsidR="001B35DB" w:rsidRPr="00E70693" w:rsidRDefault="001B00BA" w:rsidP="00DF3FFF">
      <w:pPr>
        <w:numPr>
          <w:ilvl w:val="1"/>
          <w:numId w:val="1"/>
        </w:numPr>
        <w:tabs>
          <w:tab w:val="clear" w:pos="360"/>
          <w:tab w:val="num" w:pos="709"/>
        </w:tabs>
        <w:spacing w:before="240"/>
        <w:ind w:left="703" w:hanging="709"/>
        <w:jc w:val="both"/>
        <w:rPr>
          <w:rFonts w:ascii="Arial" w:hAnsi="Arial" w:cs="Arial"/>
        </w:rPr>
      </w:pPr>
      <w:r w:rsidRPr="00E70693">
        <w:rPr>
          <w:rFonts w:ascii="Arial" w:hAnsi="Arial" w:cs="Arial"/>
        </w:rPr>
        <w:t xml:space="preserve">En todos los casos de contratación del Asesor Técnico del MTI, el Banco ha </w:t>
      </w:r>
      <w:r w:rsidR="00D2672F" w:rsidRPr="00E70693">
        <w:rPr>
          <w:rFonts w:ascii="Arial" w:hAnsi="Arial" w:cs="Arial"/>
        </w:rPr>
        <w:t>requerido que el consultor posea</w:t>
      </w:r>
      <w:r w:rsidRPr="00E70693">
        <w:rPr>
          <w:rFonts w:ascii="Arial" w:hAnsi="Arial" w:cs="Arial"/>
        </w:rPr>
        <w:t xml:space="preserve"> una formación sólida, liderazgo técnico y experiencia amplia y extensa en la vialidad de Nicaragua.</w:t>
      </w:r>
      <w:r w:rsidRPr="00E70693">
        <w:rPr>
          <w:rFonts w:ascii="Arial" w:hAnsi="Arial" w:cs="Arial"/>
          <w:b/>
        </w:rPr>
        <w:t xml:space="preserve"> </w:t>
      </w:r>
      <w:r w:rsidRPr="00E70693">
        <w:rPr>
          <w:rFonts w:ascii="Arial" w:hAnsi="Arial" w:cs="Arial"/>
        </w:rPr>
        <w:t xml:space="preserve">En el caso del FOMAV, </w:t>
      </w:r>
      <w:r w:rsidR="008803C8" w:rsidRPr="00E70693">
        <w:rPr>
          <w:rFonts w:ascii="Arial" w:hAnsi="Arial" w:cs="Arial"/>
        </w:rPr>
        <w:t>se requirió que el consultor posea</w:t>
      </w:r>
      <w:r w:rsidRPr="00E70693">
        <w:rPr>
          <w:rFonts w:ascii="Arial" w:hAnsi="Arial" w:cs="Arial"/>
        </w:rPr>
        <w:t xml:space="preserve"> experiencia en la modalidad de mantenimiento de carretera por resultados o niveles de servicio.</w:t>
      </w:r>
    </w:p>
    <w:p w:rsidR="00A241F2" w:rsidRPr="00E70693" w:rsidRDefault="00A241F2" w:rsidP="00831F00">
      <w:pPr>
        <w:numPr>
          <w:ilvl w:val="1"/>
          <w:numId w:val="1"/>
        </w:numPr>
        <w:tabs>
          <w:tab w:val="clear" w:pos="360"/>
          <w:tab w:val="num" w:pos="709"/>
        </w:tabs>
        <w:spacing w:before="240"/>
        <w:ind w:left="705" w:hanging="709"/>
        <w:jc w:val="both"/>
        <w:rPr>
          <w:rFonts w:ascii="Arial" w:hAnsi="Arial" w:cs="Arial"/>
        </w:rPr>
      </w:pPr>
      <w:r w:rsidRPr="00E70693">
        <w:rPr>
          <w:rFonts w:ascii="Arial" w:hAnsi="Arial" w:cs="Arial"/>
          <w:b/>
        </w:rPr>
        <w:t xml:space="preserve">Síntesis de la organización funcional. </w:t>
      </w:r>
      <w:r w:rsidRPr="00E70693">
        <w:rPr>
          <w:rFonts w:ascii="Arial" w:hAnsi="Arial" w:cs="Arial"/>
        </w:rPr>
        <w:t xml:space="preserve">El MTI posee una capacidad instalada, en cuanto a recursos humanos y materiales </w:t>
      </w:r>
      <w:r w:rsidR="00386532" w:rsidRPr="00E70693">
        <w:rPr>
          <w:rFonts w:ascii="Arial" w:hAnsi="Arial" w:cs="Arial"/>
        </w:rPr>
        <w:t xml:space="preserve">así como instrumentos de gestión, </w:t>
      </w:r>
      <w:r w:rsidRPr="00E70693">
        <w:rPr>
          <w:rFonts w:ascii="Arial" w:hAnsi="Arial" w:cs="Arial"/>
        </w:rPr>
        <w:t xml:space="preserve">suficiente para encarar los proyectos viales del porte como </w:t>
      </w:r>
      <w:r w:rsidR="001B00BA" w:rsidRPr="00E70693">
        <w:rPr>
          <w:rFonts w:ascii="Arial" w:hAnsi="Arial" w:cs="Arial"/>
        </w:rPr>
        <w:t xml:space="preserve">los </w:t>
      </w:r>
      <w:r w:rsidRPr="00E70693">
        <w:rPr>
          <w:rFonts w:ascii="Arial" w:hAnsi="Arial" w:cs="Arial"/>
        </w:rPr>
        <w:t>comprendido</w:t>
      </w:r>
      <w:r w:rsidR="001B00BA" w:rsidRPr="00E70693">
        <w:rPr>
          <w:rFonts w:ascii="Arial" w:hAnsi="Arial" w:cs="Arial"/>
        </w:rPr>
        <w:t>s</w:t>
      </w:r>
      <w:r w:rsidRPr="00E70693">
        <w:rPr>
          <w:rFonts w:ascii="Arial" w:hAnsi="Arial" w:cs="Arial"/>
        </w:rPr>
        <w:t xml:space="preserve"> en la operación </w:t>
      </w:r>
      <w:r w:rsidR="00FE226D" w:rsidRPr="00E70693">
        <w:rPr>
          <w:rFonts w:ascii="Arial" w:hAnsi="Arial" w:cs="Arial"/>
        </w:rPr>
        <w:t>NI-L1092</w:t>
      </w:r>
      <w:r w:rsidRPr="00E70693">
        <w:rPr>
          <w:rFonts w:ascii="Arial" w:hAnsi="Arial" w:cs="Arial"/>
        </w:rPr>
        <w:t xml:space="preserve">. </w:t>
      </w:r>
      <w:r w:rsidR="00957CA8" w:rsidRPr="00E70693">
        <w:rPr>
          <w:rFonts w:ascii="Arial" w:hAnsi="Arial" w:cs="Arial"/>
        </w:rPr>
        <w:t xml:space="preserve">Esta capacidad no es solo potencial sino que se ha puesto en práctica recientemente demostrando su eficacia en los mismos resultados obtenidos. No obstante, es prudente mantener el esfuerzo en la mejora continua de sus capacidades, a través del plan de fortalecimiento institucional </w:t>
      </w:r>
      <w:r w:rsidR="00386532" w:rsidRPr="00E70693">
        <w:rPr>
          <w:rFonts w:ascii="Arial" w:hAnsi="Arial" w:cs="Arial"/>
        </w:rPr>
        <w:t>en ejecución</w:t>
      </w:r>
      <w:r w:rsidR="00D92993" w:rsidRPr="00E70693">
        <w:rPr>
          <w:rFonts w:ascii="Arial" w:hAnsi="Arial" w:cs="Arial"/>
        </w:rPr>
        <w:t xml:space="preserve"> en el marco del PAST</w:t>
      </w:r>
      <w:r w:rsidR="00957CA8" w:rsidRPr="00E70693">
        <w:rPr>
          <w:rFonts w:ascii="Arial" w:hAnsi="Arial" w:cs="Arial"/>
        </w:rPr>
        <w:t xml:space="preserve">, y </w:t>
      </w:r>
      <w:r w:rsidR="00D92993" w:rsidRPr="00E70693">
        <w:rPr>
          <w:rFonts w:ascii="Arial" w:hAnsi="Arial" w:cs="Arial"/>
        </w:rPr>
        <w:t xml:space="preserve">para operaciones siguientes </w:t>
      </w:r>
      <w:r w:rsidR="00957CA8" w:rsidRPr="00E70693">
        <w:rPr>
          <w:rFonts w:ascii="Arial" w:hAnsi="Arial" w:cs="Arial"/>
        </w:rPr>
        <w:t xml:space="preserve">mantener la figura del Asesor Técnico </w:t>
      </w:r>
      <w:r w:rsidR="00D25C0C" w:rsidRPr="00E70693">
        <w:rPr>
          <w:rFonts w:ascii="Arial" w:hAnsi="Arial" w:cs="Arial"/>
        </w:rPr>
        <w:t xml:space="preserve">permanente </w:t>
      </w:r>
      <w:r w:rsidR="00D92993" w:rsidRPr="00E70693">
        <w:rPr>
          <w:rFonts w:ascii="Arial" w:hAnsi="Arial" w:cs="Arial"/>
        </w:rPr>
        <w:t xml:space="preserve">de manera </w:t>
      </w:r>
      <w:r w:rsidR="00957CA8" w:rsidRPr="00E70693">
        <w:rPr>
          <w:rFonts w:ascii="Arial" w:hAnsi="Arial" w:cs="Arial"/>
        </w:rPr>
        <w:t>a brindar apoyo al MTI en la estructuración de los componentes del proyecto, la revisi</w:t>
      </w:r>
      <w:r w:rsidR="00D25C0C" w:rsidRPr="00E70693">
        <w:rPr>
          <w:rFonts w:ascii="Arial" w:hAnsi="Arial" w:cs="Arial"/>
        </w:rPr>
        <w:t>ón de los diseños así como el asesoramiento experto durante todo el proceso de licitación, administración de contratos y recepción de las obras.</w:t>
      </w:r>
    </w:p>
    <w:p w:rsidR="00D2672F" w:rsidRPr="00E70693" w:rsidRDefault="00D2672F" w:rsidP="00D94F16">
      <w:pPr>
        <w:pStyle w:val="Heading1"/>
        <w:rPr>
          <w:rFonts w:ascii="Arial" w:hAnsi="Arial" w:cs="Arial"/>
        </w:rPr>
      </w:pPr>
      <w:bookmarkStart w:id="33" w:name="_Ref421693501"/>
      <w:bookmarkStart w:id="34" w:name="_Toc422154439"/>
      <w:r w:rsidRPr="00E70693">
        <w:rPr>
          <w:rFonts w:ascii="Arial" w:hAnsi="Arial" w:cs="Arial"/>
        </w:rPr>
        <w:t>Fortalecimiento Institucional</w:t>
      </w:r>
      <w:r w:rsidR="00AD2460" w:rsidRPr="00E70693">
        <w:rPr>
          <w:rFonts w:ascii="Arial" w:hAnsi="Arial" w:cs="Arial"/>
        </w:rPr>
        <w:t>.</w:t>
      </w:r>
      <w:bookmarkEnd w:id="33"/>
      <w:bookmarkEnd w:id="34"/>
    </w:p>
    <w:p w:rsidR="00D94F16" w:rsidRPr="00E70693" w:rsidRDefault="00D94F16" w:rsidP="00DF3FFF">
      <w:pPr>
        <w:pStyle w:val="ListParagraph"/>
        <w:numPr>
          <w:ilvl w:val="1"/>
          <w:numId w:val="18"/>
        </w:numPr>
        <w:spacing w:before="240" w:after="0" w:line="240" w:lineRule="auto"/>
        <w:ind w:left="709" w:hanging="709"/>
        <w:contextualSpacing w:val="0"/>
        <w:jc w:val="both"/>
        <w:rPr>
          <w:rFonts w:ascii="Arial" w:hAnsi="Arial" w:cs="Arial"/>
          <w:szCs w:val="24"/>
        </w:rPr>
      </w:pPr>
      <w:r w:rsidRPr="00E70693">
        <w:rPr>
          <w:rFonts w:ascii="Arial" w:hAnsi="Arial" w:cs="Arial"/>
          <w:b/>
          <w:sz w:val="24"/>
          <w:szCs w:val="24"/>
        </w:rPr>
        <w:t>Alcance</w:t>
      </w:r>
      <w:r w:rsidR="00AD2460" w:rsidRPr="00E70693">
        <w:rPr>
          <w:rFonts w:ascii="Arial" w:hAnsi="Arial" w:cs="Arial"/>
          <w:sz w:val="24"/>
          <w:szCs w:val="24"/>
        </w:rPr>
        <w:t xml:space="preserve">. </w:t>
      </w:r>
      <w:r w:rsidRPr="00E70693">
        <w:rPr>
          <w:rFonts w:ascii="Arial" w:hAnsi="Arial" w:cs="Arial"/>
          <w:sz w:val="24"/>
          <w:szCs w:val="24"/>
        </w:rPr>
        <w:t xml:space="preserve">Descrito como </w:t>
      </w:r>
      <w:r w:rsidR="00AD2460" w:rsidRPr="00E70693">
        <w:rPr>
          <w:rFonts w:ascii="Arial" w:hAnsi="Arial" w:cs="Arial"/>
          <w:sz w:val="24"/>
          <w:szCs w:val="24"/>
        </w:rPr>
        <w:t>un proceso de mejora continua del potencial humano y técnico de la Institución</w:t>
      </w:r>
      <w:r w:rsidRPr="00E70693">
        <w:rPr>
          <w:rFonts w:ascii="Arial" w:hAnsi="Arial" w:cs="Arial"/>
          <w:sz w:val="24"/>
          <w:szCs w:val="24"/>
        </w:rPr>
        <w:t>, constituyó un componente del</w:t>
      </w:r>
      <w:r w:rsidRPr="00E70693">
        <w:rPr>
          <w:rFonts w:ascii="Arial" w:eastAsia="Times New Roman" w:hAnsi="Arial" w:cs="Arial"/>
          <w:sz w:val="24"/>
          <w:szCs w:val="24"/>
          <w:lang w:val="es-ES_tradnl" w:eastAsia="en-US"/>
        </w:rPr>
        <w:t xml:space="preserve"> </w:t>
      </w:r>
      <w:r w:rsidRPr="00E70693">
        <w:rPr>
          <w:rFonts w:ascii="Arial" w:hAnsi="Arial" w:cs="Arial"/>
          <w:sz w:val="24"/>
          <w:szCs w:val="24"/>
          <w:lang w:val="es-ES_tradnl"/>
        </w:rPr>
        <w:t>Programa de Apoyo al Sector Transporte I, II y III (PAST)</w:t>
      </w:r>
      <w:r w:rsidR="00AD2460" w:rsidRPr="00E70693">
        <w:rPr>
          <w:rFonts w:ascii="Arial" w:hAnsi="Arial" w:cs="Arial"/>
          <w:sz w:val="24"/>
          <w:szCs w:val="24"/>
        </w:rPr>
        <w:t xml:space="preserve">, realizándose diversas actividades enfocadas a dos líneas de actuación: la primera relacionada a la capacidad de la Institución para cumplir su objetivo superior de incrementar y mantener el patrimonio vial de Nicaragua, y la segunda en cuanto a la eficiencia para ejecutar una cartera de proyectos cada vez mayor y con mejores niveles de calidad. </w:t>
      </w:r>
    </w:p>
    <w:p w:rsidR="00D22658" w:rsidRPr="00E70693" w:rsidRDefault="00D94F16" w:rsidP="00DF3FFF">
      <w:pPr>
        <w:pStyle w:val="ListParagraph"/>
        <w:numPr>
          <w:ilvl w:val="1"/>
          <w:numId w:val="18"/>
        </w:numPr>
        <w:spacing w:before="240" w:after="0" w:line="240" w:lineRule="auto"/>
        <w:ind w:left="709" w:hanging="709"/>
        <w:contextualSpacing w:val="0"/>
        <w:jc w:val="both"/>
        <w:rPr>
          <w:rFonts w:ascii="Arial" w:hAnsi="Arial" w:cs="Arial"/>
          <w:szCs w:val="24"/>
        </w:rPr>
      </w:pPr>
      <w:r w:rsidRPr="00E70693">
        <w:rPr>
          <w:rFonts w:ascii="Arial" w:hAnsi="Arial" w:cs="Arial"/>
          <w:b/>
          <w:sz w:val="24"/>
          <w:szCs w:val="24"/>
        </w:rPr>
        <w:t>Una mayor eficacia institucional</w:t>
      </w:r>
      <w:r w:rsidRPr="00E70693">
        <w:rPr>
          <w:rFonts w:ascii="Arial" w:hAnsi="Arial" w:cs="Arial"/>
          <w:sz w:val="24"/>
          <w:szCs w:val="24"/>
        </w:rPr>
        <w:t xml:space="preserve">. </w:t>
      </w:r>
      <w:r w:rsidR="00AD2460" w:rsidRPr="00E70693">
        <w:rPr>
          <w:rFonts w:ascii="Arial" w:hAnsi="Arial" w:cs="Arial"/>
          <w:sz w:val="24"/>
          <w:szCs w:val="24"/>
        </w:rPr>
        <w:t xml:space="preserve">Consistente con la primera línea se ha llevado a adelante lo siguiente: i) Actualización de la estrategia de control de pesos y dimensiones y modernización y construcción de al menos 6 estaciones de pesaje; ii) Actualización de la estrategia de seguridad vial y proyectos de intervención en puntos críticos de la red vial nacional; iii) Estudios de la vulnerabilidad de la red vial ante los efectos del cambio climático y ejecución de proyectos adaptación en tramos críticos de esta red. </w:t>
      </w:r>
    </w:p>
    <w:p w:rsidR="00A543A1" w:rsidRPr="00E70693" w:rsidRDefault="00130B0C" w:rsidP="00DF3FFF">
      <w:pPr>
        <w:pStyle w:val="ListParagraph"/>
        <w:numPr>
          <w:ilvl w:val="1"/>
          <w:numId w:val="18"/>
        </w:numPr>
        <w:spacing w:before="240" w:after="0" w:line="240" w:lineRule="auto"/>
        <w:ind w:left="709" w:hanging="709"/>
        <w:contextualSpacing w:val="0"/>
        <w:jc w:val="both"/>
        <w:rPr>
          <w:rFonts w:ascii="Arial" w:hAnsi="Arial" w:cs="Arial"/>
          <w:szCs w:val="24"/>
        </w:rPr>
      </w:pPr>
      <w:r w:rsidRPr="00E70693">
        <w:rPr>
          <w:rFonts w:ascii="Arial" w:hAnsi="Arial" w:cs="Arial"/>
          <w:b/>
          <w:sz w:val="24"/>
          <w:szCs w:val="24"/>
        </w:rPr>
        <w:lastRenderedPageBreak/>
        <w:t>Una m</w:t>
      </w:r>
      <w:r w:rsidR="00D22658" w:rsidRPr="00E70693">
        <w:rPr>
          <w:rFonts w:ascii="Arial" w:hAnsi="Arial" w:cs="Arial"/>
          <w:b/>
          <w:sz w:val="24"/>
          <w:szCs w:val="24"/>
        </w:rPr>
        <w:t>ayor eficiencia</w:t>
      </w:r>
      <w:r w:rsidRPr="00E70693">
        <w:rPr>
          <w:rFonts w:ascii="Arial" w:hAnsi="Arial" w:cs="Arial"/>
          <w:b/>
          <w:sz w:val="24"/>
          <w:szCs w:val="24"/>
        </w:rPr>
        <w:t xml:space="preserve"> del personal técnico</w:t>
      </w:r>
      <w:r w:rsidR="00D22658" w:rsidRPr="00E70693">
        <w:rPr>
          <w:rFonts w:ascii="Arial" w:hAnsi="Arial" w:cs="Arial"/>
          <w:sz w:val="24"/>
          <w:szCs w:val="24"/>
        </w:rPr>
        <w:t xml:space="preserve">. </w:t>
      </w:r>
      <w:r w:rsidR="00AD2460" w:rsidRPr="00E70693">
        <w:rPr>
          <w:rFonts w:ascii="Arial" w:hAnsi="Arial" w:cs="Arial"/>
          <w:sz w:val="24"/>
          <w:szCs w:val="24"/>
        </w:rPr>
        <w:t>En cuanto a la segunda línea de actuación se citan las principales: i) Adquisición de equipos informáticos, software y escáneres; ii) Adquisición de vehículos y equipos de campo (GPS, cámaras); iii) Consultoría para apoyo a la Unidad de Adquisiciones; iv) Contratación de consultores especialistas en ingeniería vial; v) Actualización de manuales de organización del FOMAV; vi) Fortalecimiento de la Unidad de Costos del MTI; vii) Sistematización de la administración de contratos en la UCP-BID; y viii) Actualización de las herramientas de monitoreo y control de las operaciones BID en la UCP-BID.</w:t>
      </w:r>
      <w:r w:rsidR="00D22658" w:rsidRPr="00E70693">
        <w:rPr>
          <w:rFonts w:ascii="Arial" w:hAnsi="Arial" w:cs="Arial"/>
          <w:sz w:val="24"/>
          <w:szCs w:val="24"/>
        </w:rPr>
        <w:t xml:space="preserve"> </w:t>
      </w:r>
    </w:p>
    <w:p w:rsidR="00A543A1" w:rsidRPr="00E70693" w:rsidRDefault="00A543A1" w:rsidP="00A543A1">
      <w:pPr>
        <w:pStyle w:val="ListParagraph"/>
        <w:numPr>
          <w:ilvl w:val="1"/>
          <w:numId w:val="18"/>
        </w:numPr>
        <w:spacing w:before="240" w:after="0" w:line="240" w:lineRule="auto"/>
        <w:ind w:left="709" w:hanging="709"/>
        <w:contextualSpacing w:val="0"/>
        <w:jc w:val="both"/>
        <w:rPr>
          <w:rFonts w:ascii="Arial" w:hAnsi="Arial" w:cs="Arial"/>
          <w:szCs w:val="24"/>
        </w:rPr>
      </w:pPr>
      <w:r w:rsidRPr="00E70693">
        <w:rPr>
          <w:rFonts w:ascii="Arial" w:hAnsi="Arial" w:cs="Arial"/>
          <w:sz w:val="24"/>
          <w:szCs w:val="24"/>
        </w:rPr>
        <w:t>Se puntualiza el fortalecimiento de la capacidad técnica del</w:t>
      </w:r>
      <w:r w:rsidR="00130B0C" w:rsidRPr="00E70693">
        <w:rPr>
          <w:rFonts w:ascii="Arial" w:hAnsi="Arial" w:cs="Arial"/>
          <w:sz w:val="24"/>
          <w:szCs w:val="24"/>
        </w:rPr>
        <w:t xml:space="preserve"> personal técnico del</w:t>
      </w:r>
      <w:r w:rsidRPr="00E70693">
        <w:rPr>
          <w:rFonts w:ascii="Arial" w:hAnsi="Arial" w:cs="Arial"/>
          <w:sz w:val="24"/>
          <w:szCs w:val="24"/>
        </w:rPr>
        <w:t xml:space="preserve"> MTI mediante la contratación de especialistas en ingeniería vial. Esta intervención impactará de forma directa al capacitar al personal de Pre-inversión de la División General de Planificación e </w:t>
      </w:r>
      <w:r w:rsidR="004B32E1" w:rsidRPr="00E70693">
        <w:rPr>
          <w:rFonts w:ascii="Arial" w:hAnsi="Arial" w:cs="Arial"/>
          <w:sz w:val="24"/>
          <w:szCs w:val="24"/>
        </w:rPr>
        <w:t xml:space="preserve">a </w:t>
      </w:r>
      <w:r w:rsidRPr="00E70693">
        <w:rPr>
          <w:rFonts w:ascii="Arial" w:hAnsi="Arial" w:cs="Arial"/>
          <w:sz w:val="24"/>
          <w:szCs w:val="24"/>
        </w:rPr>
        <w:t>ingenieros de la Dirección General de Vialidad del MTI en trabajos de campo, laboratorio y gabinete. Se espera que esta intervención contribuya a obtenerse diseños de óptima calidad técnica que racionalicen los costos de inversión, manteniendo acotadas las contingencias negativas en el margen de imprevistos tolerables de obra, incluyendo en éstas la corrección de eventuales errores de diseño o deficiencias en la información de base utilizada. Se ha contemplado la inclusión de los especialistas siguientes</w:t>
      </w:r>
      <w:r w:rsidR="00824239" w:rsidRPr="00E70693">
        <w:rPr>
          <w:rFonts w:ascii="Arial" w:hAnsi="Arial" w:cs="Arial"/>
          <w:sz w:val="24"/>
          <w:szCs w:val="24"/>
        </w:rPr>
        <w:t xml:space="preserve"> y sus funcionales principales</w:t>
      </w:r>
      <w:r w:rsidRPr="00E70693">
        <w:rPr>
          <w:rFonts w:ascii="Arial" w:hAnsi="Arial" w:cs="Arial"/>
          <w:sz w:val="24"/>
          <w:szCs w:val="24"/>
        </w:rPr>
        <w:t>:</w:t>
      </w:r>
    </w:p>
    <w:p w:rsidR="00A543A1" w:rsidRPr="00E70693" w:rsidRDefault="00A543A1" w:rsidP="00A543A1">
      <w:pPr>
        <w:pStyle w:val="TITULO2"/>
        <w:keepNext w:val="0"/>
        <w:numPr>
          <w:ilvl w:val="0"/>
          <w:numId w:val="23"/>
        </w:numPr>
        <w:spacing w:after="0"/>
        <w:jc w:val="both"/>
        <w:rPr>
          <w:rFonts w:ascii="Arial" w:hAnsi="Arial" w:cs="Arial"/>
          <w:b w:val="0"/>
        </w:rPr>
      </w:pPr>
      <w:bookmarkStart w:id="35" w:name="_Toc413940023"/>
      <w:bookmarkStart w:id="36" w:name="_Toc416781420"/>
      <w:bookmarkStart w:id="37" w:name="_Toc413921687"/>
      <w:r w:rsidRPr="00E70693">
        <w:rPr>
          <w:rFonts w:ascii="Arial" w:hAnsi="Arial" w:cs="Arial"/>
        </w:rPr>
        <w:t>Especialista en Diseño Geométrico</w:t>
      </w:r>
      <w:r w:rsidRPr="00E70693">
        <w:rPr>
          <w:rFonts w:ascii="Arial" w:hAnsi="Arial" w:cs="Arial"/>
          <w:b w:val="0"/>
        </w:rPr>
        <w:t xml:space="preserve">. </w:t>
      </w:r>
      <w:r w:rsidR="00824239" w:rsidRPr="00E70693">
        <w:rPr>
          <w:rFonts w:ascii="Arial" w:hAnsi="Arial" w:cs="Arial"/>
          <w:b w:val="0"/>
        </w:rPr>
        <w:t xml:space="preserve">Capacitar </w:t>
      </w:r>
      <w:r w:rsidR="00824239" w:rsidRPr="00E70693">
        <w:rPr>
          <w:rFonts w:ascii="Arial" w:hAnsi="Arial" w:cs="Arial"/>
          <w:b w:val="0"/>
          <w:lang w:val="es-ES_tradnl"/>
        </w:rPr>
        <w:t>en diseño geométrico de carreteras, intersecciones a nivel y a desnivel, mediante el uso de Civil3D y SIECA 2011 y AASHTO 2004, y/o bibliografía propuesta por el consultor</w:t>
      </w:r>
      <w:r w:rsidRPr="00E70693">
        <w:rPr>
          <w:rFonts w:ascii="Arial" w:hAnsi="Arial" w:cs="Arial"/>
          <w:b w:val="0"/>
        </w:rPr>
        <w:t>.</w:t>
      </w:r>
    </w:p>
    <w:p w:rsidR="00D22658" w:rsidRPr="00E70693" w:rsidRDefault="00D22658" w:rsidP="00A543A1">
      <w:pPr>
        <w:pStyle w:val="TITULO2"/>
        <w:keepNext w:val="0"/>
        <w:numPr>
          <w:ilvl w:val="0"/>
          <w:numId w:val="23"/>
        </w:numPr>
        <w:spacing w:after="0"/>
        <w:jc w:val="both"/>
        <w:rPr>
          <w:rFonts w:ascii="Arial" w:hAnsi="Arial" w:cs="Arial"/>
          <w:b w:val="0"/>
        </w:rPr>
      </w:pPr>
      <w:r w:rsidRPr="00E70693">
        <w:rPr>
          <w:rFonts w:ascii="Arial" w:hAnsi="Arial" w:cs="Arial"/>
        </w:rPr>
        <w:t>Especialista de Geotecnia</w:t>
      </w:r>
      <w:r w:rsidR="00824239" w:rsidRPr="00E70693">
        <w:rPr>
          <w:rFonts w:ascii="Arial" w:hAnsi="Arial" w:cs="Arial"/>
          <w:b w:val="0"/>
        </w:rPr>
        <w:t xml:space="preserve">. Capacitar para implementar </w:t>
      </w:r>
      <w:r w:rsidRPr="00E70693">
        <w:rPr>
          <w:rFonts w:ascii="Arial" w:hAnsi="Arial" w:cs="Arial"/>
          <w:b w:val="0"/>
        </w:rPr>
        <w:t>buenas prácticas en los trabajos de campo, laboratorio y gabinete</w:t>
      </w:r>
      <w:r w:rsidR="00824239" w:rsidRPr="00E70693">
        <w:rPr>
          <w:rFonts w:ascii="Arial" w:hAnsi="Arial" w:cs="Arial"/>
          <w:b w:val="0"/>
        </w:rPr>
        <w:t>, conforme a las normas ASTM y AASHTO para geotecnia</w:t>
      </w:r>
      <w:r w:rsidRPr="00E70693">
        <w:rPr>
          <w:rFonts w:ascii="Arial" w:hAnsi="Arial" w:cs="Arial"/>
          <w:b w:val="0"/>
        </w:rPr>
        <w:t>.</w:t>
      </w:r>
      <w:bookmarkEnd w:id="35"/>
      <w:bookmarkEnd w:id="36"/>
    </w:p>
    <w:p w:rsidR="00824239" w:rsidRPr="00E70693" w:rsidRDefault="00824239" w:rsidP="00824239">
      <w:pPr>
        <w:pStyle w:val="TITULO2"/>
        <w:keepNext w:val="0"/>
        <w:numPr>
          <w:ilvl w:val="0"/>
          <w:numId w:val="23"/>
        </w:numPr>
        <w:spacing w:after="0"/>
        <w:jc w:val="both"/>
        <w:rPr>
          <w:rFonts w:ascii="Arial" w:hAnsi="Arial" w:cs="Arial"/>
          <w:b w:val="0"/>
        </w:rPr>
      </w:pPr>
      <w:bookmarkStart w:id="38" w:name="_Toc416708728"/>
      <w:bookmarkStart w:id="39" w:name="_Toc416709062"/>
      <w:bookmarkStart w:id="40" w:name="_Toc417310531"/>
      <w:bookmarkStart w:id="41" w:name="_Toc417310896"/>
      <w:bookmarkEnd w:id="37"/>
      <w:r w:rsidRPr="00E70693">
        <w:rPr>
          <w:rFonts w:ascii="Arial" w:hAnsi="Arial" w:cs="Arial"/>
        </w:rPr>
        <w:t>Especialista de Hidrotecnia</w:t>
      </w:r>
      <w:r w:rsidRPr="00E70693">
        <w:rPr>
          <w:rFonts w:ascii="Arial" w:hAnsi="Arial" w:cs="Arial"/>
          <w:b w:val="0"/>
        </w:rPr>
        <w:t xml:space="preserve">. Capacitar para la realización o revisión de estudios de hidrología y en la elaboración o revisión el diseño de drenaje mayor (puentes) y menor, de forma a que estas actividades se ejecuten de una manera más eficiente y con la calidad requerida. Entre los softwares a aplicarse se </w:t>
      </w:r>
      <w:proofErr w:type="spellStart"/>
      <w:r w:rsidRPr="00E70693">
        <w:rPr>
          <w:rFonts w:ascii="Arial" w:hAnsi="Arial" w:cs="Arial"/>
          <w:b w:val="0"/>
        </w:rPr>
        <w:t>inlcuyen</w:t>
      </w:r>
      <w:proofErr w:type="spellEnd"/>
      <w:r w:rsidRPr="00E70693">
        <w:rPr>
          <w:rFonts w:ascii="Arial" w:hAnsi="Arial" w:cs="Arial"/>
          <w:b w:val="0"/>
        </w:rPr>
        <w:t xml:space="preserve">: </w:t>
      </w:r>
      <w:proofErr w:type="spellStart"/>
      <w:r w:rsidRPr="00E70693">
        <w:rPr>
          <w:rFonts w:ascii="Arial" w:hAnsi="Arial" w:cs="Arial"/>
          <w:b w:val="0"/>
        </w:rPr>
        <w:t>Arc</w:t>
      </w:r>
      <w:proofErr w:type="spellEnd"/>
      <w:r w:rsidRPr="00E70693">
        <w:rPr>
          <w:rFonts w:ascii="Arial" w:hAnsi="Arial" w:cs="Arial"/>
          <w:b w:val="0"/>
        </w:rPr>
        <w:t xml:space="preserve">-Gis, </w:t>
      </w:r>
      <w:proofErr w:type="spellStart"/>
      <w:r w:rsidRPr="00E70693">
        <w:rPr>
          <w:rFonts w:ascii="Arial" w:hAnsi="Arial" w:cs="Arial"/>
          <w:b w:val="0"/>
        </w:rPr>
        <w:t>GeoHec</w:t>
      </w:r>
      <w:proofErr w:type="spellEnd"/>
      <w:r w:rsidRPr="00E70693">
        <w:rPr>
          <w:rFonts w:ascii="Arial" w:hAnsi="Arial" w:cs="Arial"/>
          <w:b w:val="0"/>
        </w:rPr>
        <w:t xml:space="preserve">-Ras, HMS, HEC RAS, Hy-8, </w:t>
      </w:r>
      <w:proofErr w:type="spellStart"/>
      <w:r w:rsidRPr="00E70693">
        <w:rPr>
          <w:rFonts w:ascii="Arial" w:hAnsi="Arial" w:cs="Arial"/>
          <w:b w:val="0"/>
        </w:rPr>
        <w:t>Culver</w:t>
      </w:r>
      <w:proofErr w:type="spellEnd"/>
      <w:r w:rsidRPr="00E70693">
        <w:rPr>
          <w:rFonts w:ascii="Arial" w:hAnsi="Arial" w:cs="Arial"/>
          <w:b w:val="0"/>
        </w:rPr>
        <w:t xml:space="preserve"> Master, </w:t>
      </w:r>
      <w:proofErr w:type="spellStart"/>
      <w:r w:rsidRPr="00E70693">
        <w:rPr>
          <w:rFonts w:ascii="Arial" w:hAnsi="Arial" w:cs="Arial"/>
          <w:b w:val="0"/>
        </w:rPr>
        <w:t>Flow</w:t>
      </w:r>
      <w:proofErr w:type="spellEnd"/>
      <w:r w:rsidRPr="00E70693">
        <w:rPr>
          <w:rFonts w:ascii="Arial" w:hAnsi="Arial" w:cs="Arial"/>
          <w:b w:val="0"/>
        </w:rPr>
        <w:t xml:space="preserve"> Master, archivos de cálculo Excel con macros y otros recomendados por el consultor.</w:t>
      </w:r>
    </w:p>
    <w:p w:rsidR="00D22658" w:rsidRPr="00E70693" w:rsidRDefault="00D22658" w:rsidP="00A543A1">
      <w:pPr>
        <w:pStyle w:val="TITULO2"/>
        <w:keepNext w:val="0"/>
        <w:numPr>
          <w:ilvl w:val="0"/>
          <w:numId w:val="23"/>
        </w:numPr>
        <w:spacing w:after="0"/>
        <w:jc w:val="both"/>
        <w:rPr>
          <w:rFonts w:ascii="Arial" w:hAnsi="Arial" w:cs="Arial"/>
          <w:b w:val="0"/>
        </w:rPr>
      </w:pPr>
      <w:r w:rsidRPr="00E70693">
        <w:rPr>
          <w:rFonts w:ascii="Arial" w:hAnsi="Arial" w:cs="Arial"/>
        </w:rPr>
        <w:t xml:space="preserve">Especialista </w:t>
      </w:r>
      <w:r w:rsidR="004B32E1" w:rsidRPr="00E70693">
        <w:rPr>
          <w:rFonts w:ascii="Arial" w:hAnsi="Arial" w:cs="Arial"/>
        </w:rPr>
        <w:t>en</w:t>
      </w:r>
      <w:r w:rsidRPr="00E70693">
        <w:rPr>
          <w:rFonts w:ascii="Arial" w:hAnsi="Arial" w:cs="Arial"/>
        </w:rPr>
        <w:t xml:space="preserve"> Pavimento</w:t>
      </w:r>
      <w:r w:rsidR="004B32E1" w:rsidRPr="00E70693">
        <w:rPr>
          <w:rFonts w:ascii="Arial" w:hAnsi="Arial" w:cs="Arial"/>
        </w:rPr>
        <w:t>s</w:t>
      </w:r>
      <w:r w:rsidR="004B32E1" w:rsidRPr="00E70693">
        <w:rPr>
          <w:rFonts w:ascii="Arial" w:hAnsi="Arial" w:cs="Arial"/>
          <w:b w:val="0"/>
        </w:rPr>
        <w:t>.</w:t>
      </w:r>
      <w:r w:rsidRPr="00E70693">
        <w:rPr>
          <w:rFonts w:ascii="Arial" w:hAnsi="Arial" w:cs="Arial"/>
          <w:b w:val="0"/>
        </w:rPr>
        <w:t xml:space="preserve"> </w:t>
      </w:r>
      <w:r w:rsidR="00743502" w:rsidRPr="00E70693">
        <w:rPr>
          <w:rFonts w:ascii="Arial" w:hAnsi="Arial" w:cs="Arial"/>
          <w:b w:val="0"/>
          <w:lang w:val="es-ES_tradnl"/>
        </w:rPr>
        <w:t xml:space="preserve">Capacitar para la realización o revisión de diseño de pavimentos rígidos, semirrígidos y flexibles, así como tratamiento superficial </w:t>
      </w:r>
      <w:r w:rsidR="00130B0C" w:rsidRPr="00E70693">
        <w:rPr>
          <w:rFonts w:ascii="Arial" w:hAnsi="Arial" w:cs="Arial"/>
          <w:b w:val="0"/>
          <w:lang w:val="es-ES_tradnl"/>
        </w:rPr>
        <w:t xml:space="preserve">simple y </w:t>
      </w:r>
      <w:r w:rsidR="00743502" w:rsidRPr="00E70693">
        <w:rPr>
          <w:rFonts w:ascii="Arial" w:hAnsi="Arial" w:cs="Arial"/>
          <w:b w:val="0"/>
          <w:lang w:val="es-ES_tradnl"/>
        </w:rPr>
        <w:t>doble</w:t>
      </w:r>
      <w:r w:rsidRPr="00E70693">
        <w:rPr>
          <w:rFonts w:ascii="Arial" w:hAnsi="Arial" w:cs="Arial"/>
          <w:b w:val="0"/>
        </w:rPr>
        <w:t>.</w:t>
      </w:r>
      <w:bookmarkEnd w:id="38"/>
      <w:bookmarkEnd w:id="39"/>
      <w:bookmarkEnd w:id="40"/>
      <w:bookmarkEnd w:id="41"/>
      <w:r w:rsidR="00130B0C" w:rsidRPr="00E70693">
        <w:rPr>
          <w:rFonts w:ascii="Arial" w:hAnsi="Arial" w:cs="Arial"/>
          <w:b w:val="0"/>
        </w:rPr>
        <w:t xml:space="preserve"> Las metodologías a aplicarse incluyen: </w:t>
      </w:r>
      <w:r w:rsidR="00130B0C" w:rsidRPr="00E70693">
        <w:rPr>
          <w:rFonts w:ascii="Arial" w:hAnsi="Arial" w:cs="Arial"/>
          <w:b w:val="0"/>
          <w:i/>
          <w:lang w:val="es-ES_tradnl"/>
        </w:rPr>
        <w:t>Pavimentos flexibles</w:t>
      </w:r>
      <w:r w:rsidR="00130B0C" w:rsidRPr="00E70693">
        <w:rPr>
          <w:rFonts w:ascii="Arial" w:hAnsi="Arial" w:cs="Arial"/>
          <w:b w:val="0"/>
          <w:lang w:val="es-ES_tradnl"/>
        </w:rPr>
        <w:t xml:space="preserve">: AASHTO 93; Mecánico- Empírico (ME-PDG); Método de Diseño Español MOPU-Secciones de Pavimento; e Instituto del Asfalto. </w:t>
      </w:r>
      <w:r w:rsidR="00130B0C" w:rsidRPr="00E70693">
        <w:rPr>
          <w:rFonts w:ascii="Arial" w:hAnsi="Arial" w:cs="Arial"/>
          <w:b w:val="0"/>
          <w:i/>
          <w:lang w:val="es-ES_tradnl"/>
        </w:rPr>
        <w:t>Pavimentos rígidos</w:t>
      </w:r>
      <w:r w:rsidR="00130B0C" w:rsidRPr="00E70693">
        <w:rPr>
          <w:rFonts w:ascii="Arial" w:hAnsi="Arial" w:cs="Arial"/>
          <w:b w:val="0"/>
          <w:lang w:val="es-ES_tradnl"/>
        </w:rPr>
        <w:t xml:space="preserve">: AASHTO 98; Mecánico- Empírico (ME-PDG);  PCA;  Método de Diseño Español MOPU-Secciones de Pavimento; Losas Cortas. </w:t>
      </w:r>
      <w:r w:rsidR="00130B0C" w:rsidRPr="00E70693">
        <w:rPr>
          <w:rFonts w:ascii="Arial" w:hAnsi="Arial" w:cs="Arial"/>
          <w:b w:val="0"/>
          <w:i/>
          <w:lang w:val="es-ES_tradnl"/>
        </w:rPr>
        <w:t>Pavimento semirrígido</w:t>
      </w:r>
      <w:r w:rsidR="00130B0C" w:rsidRPr="00E70693">
        <w:rPr>
          <w:rFonts w:ascii="Arial" w:hAnsi="Arial" w:cs="Arial"/>
          <w:b w:val="0"/>
          <w:lang w:val="es-ES_tradnl"/>
        </w:rPr>
        <w:t xml:space="preserve">: Método Argentino; AASHTO 93; BRITANICO. </w:t>
      </w:r>
      <w:r w:rsidR="00130B0C" w:rsidRPr="00E70693">
        <w:rPr>
          <w:rFonts w:ascii="Arial" w:hAnsi="Arial" w:cs="Arial"/>
          <w:b w:val="0"/>
          <w:i/>
          <w:lang w:val="es-ES_tradnl"/>
        </w:rPr>
        <w:t>Tratamiento superficial simple y doble</w:t>
      </w:r>
      <w:r w:rsidR="00130B0C" w:rsidRPr="00E70693">
        <w:rPr>
          <w:rFonts w:ascii="Arial" w:hAnsi="Arial" w:cs="Arial"/>
          <w:b w:val="0"/>
          <w:lang w:val="es-ES_tradnl"/>
        </w:rPr>
        <w:t>: AASHTO 93.</w:t>
      </w:r>
    </w:p>
    <w:p w:rsidR="00FA2C9A" w:rsidRPr="00E70693" w:rsidRDefault="00FA2C9A" w:rsidP="00D94F16">
      <w:pPr>
        <w:pStyle w:val="Heading1"/>
        <w:rPr>
          <w:rFonts w:ascii="Arial" w:hAnsi="Arial" w:cs="Arial"/>
        </w:rPr>
      </w:pPr>
      <w:bookmarkStart w:id="42" w:name="_Toc422154440"/>
      <w:r w:rsidRPr="00E70693">
        <w:rPr>
          <w:rFonts w:ascii="Arial" w:hAnsi="Arial" w:cs="Arial"/>
        </w:rPr>
        <w:lastRenderedPageBreak/>
        <w:t>La gestión del Banco.</w:t>
      </w:r>
      <w:bookmarkEnd w:id="42"/>
    </w:p>
    <w:p w:rsidR="00D94F16" w:rsidRPr="00E70693" w:rsidRDefault="00D94F16" w:rsidP="00D94F16">
      <w:pPr>
        <w:pStyle w:val="ListParagraph"/>
        <w:numPr>
          <w:ilvl w:val="0"/>
          <w:numId w:val="1"/>
        </w:numPr>
        <w:spacing w:before="240" w:after="0" w:line="240" w:lineRule="auto"/>
        <w:contextualSpacing w:val="0"/>
        <w:jc w:val="both"/>
        <w:rPr>
          <w:rFonts w:ascii="Arial" w:eastAsia="Times New Roman" w:hAnsi="Arial" w:cs="Arial"/>
          <w:b/>
          <w:vanish/>
          <w:sz w:val="24"/>
          <w:szCs w:val="24"/>
          <w:lang w:eastAsia="en-US"/>
        </w:rPr>
      </w:pPr>
    </w:p>
    <w:p w:rsidR="00D94F16" w:rsidRPr="00E70693" w:rsidRDefault="00D94F16" w:rsidP="00D94F16">
      <w:pPr>
        <w:pStyle w:val="ListParagraph"/>
        <w:numPr>
          <w:ilvl w:val="0"/>
          <w:numId w:val="1"/>
        </w:numPr>
        <w:spacing w:before="240" w:after="0" w:line="240" w:lineRule="auto"/>
        <w:contextualSpacing w:val="0"/>
        <w:jc w:val="both"/>
        <w:rPr>
          <w:rFonts w:ascii="Arial" w:eastAsia="Times New Roman" w:hAnsi="Arial" w:cs="Arial"/>
          <w:b/>
          <w:vanish/>
          <w:sz w:val="24"/>
          <w:szCs w:val="24"/>
          <w:lang w:eastAsia="en-US"/>
        </w:rPr>
      </w:pPr>
    </w:p>
    <w:p w:rsidR="00EB1DC0" w:rsidRPr="00E70693" w:rsidRDefault="00FA2C9A" w:rsidP="00D94F16">
      <w:pPr>
        <w:numPr>
          <w:ilvl w:val="1"/>
          <w:numId w:val="1"/>
        </w:numPr>
        <w:tabs>
          <w:tab w:val="clear" w:pos="360"/>
        </w:tabs>
        <w:spacing w:before="240"/>
        <w:ind w:left="709" w:hanging="709"/>
        <w:jc w:val="both"/>
        <w:rPr>
          <w:rFonts w:ascii="Arial" w:hAnsi="Arial" w:cs="Arial"/>
          <w:szCs w:val="24"/>
          <w:lang w:val="es-PY"/>
        </w:rPr>
      </w:pPr>
      <w:r w:rsidRPr="00E70693">
        <w:rPr>
          <w:rFonts w:ascii="Arial" w:hAnsi="Arial" w:cs="Arial"/>
          <w:b/>
          <w:szCs w:val="24"/>
          <w:lang w:val="es-PY"/>
        </w:rPr>
        <w:t>La modalidad de intervención</w:t>
      </w:r>
      <w:r w:rsidRPr="00E70693">
        <w:rPr>
          <w:rFonts w:ascii="Arial" w:hAnsi="Arial" w:cs="Arial"/>
          <w:szCs w:val="24"/>
          <w:lang w:val="es-PY"/>
        </w:rPr>
        <w:t xml:space="preserve">. </w:t>
      </w:r>
      <w:r w:rsidR="00D92993" w:rsidRPr="00E70693">
        <w:rPr>
          <w:rFonts w:ascii="Arial" w:hAnsi="Arial" w:cs="Arial"/>
          <w:szCs w:val="24"/>
          <w:lang w:val="es-PY"/>
        </w:rPr>
        <w:t>En la representación de Nicaragua se apunta a una interacción oportuna y eficiente con los Ejecutores, mediante el seguimiento pro-activo de las actividades y el cumplimiento de los compromisos asumidos en los contratos de préstamo, alentando el entendimiento útil entre los funcionarios de éstos y el Equipo del Banco. En esta línea, e</w:t>
      </w:r>
      <w:r w:rsidRPr="00E70693">
        <w:rPr>
          <w:rFonts w:ascii="Arial" w:hAnsi="Arial" w:cs="Arial"/>
          <w:szCs w:val="24"/>
          <w:lang w:val="es-PY"/>
        </w:rPr>
        <w:t xml:space="preserve">l Especialista de Transporte, conjuntamente con </w:t>
      </w:r>
      <w:r w:rsidR="00EB5F95" w:rsidRPr="00E70693">
        <w:rPr>
          <w:rFonts w:ascii="Arial" w:hAnsi="Arial" w:cs="Arial"/>
          <w:szCs w:val="24"/>
          <w:lang w:val="es-PY"/>
        </w:rPr>
        <w:t>el</w:t>
      </w:r>
      <w:r w:rsidRPr="00E70693">
        <w:rPr>
          <w:rFonts w:ascii="Arial" w:hAnsi="Arial" w:cs="Arial"/>
          <w:szCs w:val="24"/>
          <w:lang w:val="es-PY"/>
        </w:rPr>
        <w:t xml:space="preserve"> Analista de Operaciones</w:t>
      </w:r>
      <w:r w:rsidR="00EB5F95" w:rsidRPr="00E70693">
        <w:rPr>
          <w:rFonts w:ascii="Arial" w:hAnsi="Arial" w:cs="Arial"/>
          <w:szCs w:val="24"/>
          <w:lang w:val="es-PY"/>
        </w:rPr>
        <w:t xml:space="preserve"> y un consultor contratado por el Banco</w:t>
      </w:r>
      <w:r w:rsidR="000C2116" w:rsidRPr="00E70693">
        <w:rPr>
          <w:rFonts w:ascii="Arial" w:hAnsi="Arial" w:cs="Arial"/>
          <w:szCs w:val="24"/>
          <w:lang w:val="es-PY"/>
        </w:rPr>
        <w:t xml:space="preserve"> para el apoyo a las operaciones del sector</w:t>
      </w:r>
      <w:r w:rsidR="00EB5F95" w:rsidRPr="00E70693">
        <w:rPr>
          <w:rFonts w:ascii="Arial" w:hAnsi="Arial" w:cs="Arial"/>
          <w:szCs w:val="24"/>
          <w:lang w:val="es-PY"/>
        </w:rPr>
        <w:t>,</w:t>
      </w:r>
      <w:r w:rsidR="00EB1DC0" w:rsidRPr="00E70693">
        <w:rPr>
          <w:rFonts w:ascii="Arial" w:hAnsi="Arial" w:cs="Arial"/>
          <w:szCs w:val="24"/>
          <w:lang w:val="es-PY"/>
        </w:rPr>
        <w:t xml:space="preserve"> además del equipo fiduciario, conforma un equipo técnico de trabajo que articula una modalidad de operación asistida a los Organismos Ejecutores. El consultor contratado por el Banco desempeña el rol de</w:t>
      </w:r>
      <w:r w:rsidRPr="00E70693">
        <w:rPr>
          <w:rFonts w:ascii="Arial" w:hAnsi="Arial" w:cs="Arial"/>
          <w:szCs w:val="24"/>
          <w:lang w:val="es-PY"/>
        </w:rPr>
        <w:t xml:space="preserve"> Facilitador Técnico</w:t>
      </w:r>
      <w:r w:rsidR="00EB1DC0" w:rsidRPr="00E70693">
        <w:rPr>
          <w:rFonts w:ascii="Arial" w:hAnsi="Arial" w:cs="Arial"/>
          <w:szCs w:val="24"/>
          <w:lang w:val="es-PY"/>
        </w:rPr>
        <w:t xml:space="preserve"> dentro de la misma UCP-BID del MTI y de la Dirección Técnica del FOMAV, apoyando a estas dependencias para el cumplimiento de los objetivos establecidos en los programas de préstamo del Banco</w:t>
      </w:r>
      <w:r w:rsidR="00325547" w:rsidRPr="00E70693">
        <w:rPr>
          <w:rFonts w:ascii="Arial" w:hAnsi="Arial" w:cs="Arial"/>
          <w:szCs w:val="24"/>
          <w:lang w:val="es-PY"/>
        </w:rPr>
        <w:t>. Otros consultores expertos contratados también intervienen de manera oportuna para apoyar al Ejecutor en la superación de temas críticos, ya sean de índole técnica o de gestión</w:t>
      </w:r>
      <w:r w:rsidR="00EB1DC0" w:rsidRPr="00E70693">
        <w:rPr>
          <w:rFonts w:ascii="Arial" w:hAnsi="Arial" w:cs="Arial"/>
          <w:szCs w:val="24"/>
          <w:lang w:val="es-PY"/>
        </w:rPr>
        <w:t xml:space="preserve">. De esta manera el Equipo del Banco interviene con recursos mínimos pero de forma coordinada y eficaz, </w:t>
      </w:r>
      <w:r w:rsidR="000C2116" w:rsidRPr="00E70693">
        <w:rPr>
          <w:rFonts w:ascii="Arial" w:hAnsi="Arial" w:cs="Arial"/>
          <w:szCs w:val="24"/>
          <w:lang w:val="es-PY"/>
        </w:rPr>
        <w:t>atendiendo los</w:t>
      </w:r>
      <w:r w:rsidR="00EB1DC0" w:rsidRPr="00E70693">
        <w:rPr>
          <w:rFonts w:ascii="Arial" w:hAnsi="Arial" w:cs="Arial"/>
          <w:szCs w:val="24"/>
          <w:lang w:val="es-PY"/>
        </w:rPr>
        <w:t xml:space="preserve"> siguientes principios</w:t>
      </w:r>
      <w:r w:rsidR="00831F00" w:rsidRPr="00E70693">
        <w:rPr>
          <w:rFonts w:ascii="Arial" w:hAnsi="Arial" w:cs="Arial"/>
          <w:szCs w:val="24"/>
          <w:lang w:val="es-PY"/>
        </w:rPr>
        <w:t xml:space="preserve"> y características</w:t>
      </w:r>
      <w:r w:rsidR="00EB1DC0" w:rsidRPr="00E70693">
        <w:rPr>
          <w:rFonts w:ascii="Arial" w:hAnsi="Arial" w:cs="Arial"/>
          <w:szCs w:val="24"/>
          <w:lang w:val="es-PY"/>
        </w:rPr>
        <w:t>: i) apoyo institucional centrado en el fortalecimiento de las capacidades de</w:t>
      </w:r>
      <w:r w:rsidR="00831F00" w:rsidRPr="00E70693">
        <w:rPr>
          <w:rFonts w:ascii="Arial" w:hAnsi="Arial" w:cs="Arial"/>
          <w:szCs w:val="24"/>
          <w:lang w:val="es-PY"/>
        </w:rPr>
        <w:t>l</w:t>
      </w:r>
      <w:r w:rsidR="00EB1DC0" w:rsidRPr="00E70693">
        <w:rPr>
          <w:rFonts w:ascii="Arial" w:hAnsi="Arial" w:cs="Arial"/>
          <w:szCs w:val="24"/>
          <w:lang w:val="es-PY"/>
        </w:rPr>
        <w:t xml:space="preserve"> OE y en la orientación hacia resultados; ii) la responsabilidad de la ejecución y la autonomía en las decisiones se mantienen en el ámbito exclusivo del OE; iii) se apuesta al involucramiento para la solución de los problemas antes que el cuestionamiento pasivo; iv) se logra una actitud pro-activa a partir de la generación de un clima de confianza, se busca la eficiencia en la gestión basada en una relación transparente y honesta del OE con el Banco</w:t>
      </w:r>
      <w:r w:rsidR="00831F00" w:rsidRPr="00E70693">
        <w:rPr>
          <w:rFonts w:ascii="Arial" w:hAnsi="Arial" w:cs="Arial"/>
          <w:szCs w:val="24"/>
          <w:lang w:val="es-PY"/>
        </w:rPr>
        <w:t>; y</w:t>
      </w:r>
      <w:r w:rsidR="00EB1DC0" w:rsidRPr="00E70693">
        <w:rPr>
          <w:rFonts w:ascii="Arial" w:hAnsi="Arial" w:cs="Arial"/>
          <w:szCs w:val="24"/>
          <w:lang w:val="es-PY"/>
        </w:rPr>
        <w:t xml:space="preserve"> v) </w:t>
      </w:r>
      <w:r w:rsidR="00831F00" w:rsidRPr="00E70693">
        <w:rPr>
          <w:rFonts w:ascii="Arial" w:hAnsi="Arial" w:cs="Arial"/>
          <w:szCs w:val="24"/>
          <w:lang w:val="es-PY"/>
        </w:rPr>
        <w:t>e</w:t>
      </w:r>
      <w:r w:rsidR="00EB1DC0" w:rsidRPr="00E70693">
        <w:rPr>
          <w:rFonts w:ascii="Arial" w:hAnsi="Arial" w:cs="Arial"/>
          <w:szCs w:val="24"/>
          <w:lang w:val="es-PY"/>
        </w:rPr>
        <w:t>l esquema es de mayor aceptación en tanto no supone una intromisión ni desplazamiento de responsabilidades institucionales</w:t>
      </w:r>
      <w:r w:rsidR="000C2116" w:rsidRPr="00E70693">
        <w:rPr>
          <w:rFonts w:ascii="Arial" w:hAnsi="Arial" w:cs="Arial"/>
          <w:szCs w:val="24"/>
          <w:lang w:val="es-PY"/>
        </w:rPr>
        <w:t xml:space="preserve"> del OE</w:t>
      </w:r>
      <w:r w:rsidR="00831F00" w:rsidRPr="00E70693">
        <w:rPr>
          <w:rFonts w:ascii="Arial" w:hAnsi="Arial" w:cs="Arial"/>
          <w:szCs w:val="24"/>
          <w:lang w:val="es-PY"/>
        </w:rPr>
        <w:t>.</w:t>
      </w:r>
    </w:p>
    <w:p w:rsidR="00FA2C9A" w:rsidRPr="00E70693" w:rsidRDefault="000C2116" w:rsidP="00D94F16">
      <w:pPr>
        <w:pStyle w:val="Heading1"/>
        <w:rPr>
          <w:rFonts w:ascii="Arial" w:hAnsi="Arial" w:cs="Arial"/>
        </w:rPr>
      </w:pPr>
      <w:bookmarkStart w:id="43" w:name="_Toc422154441"/>
      <w:r w:rsidRPr="00E70693">
        <w:rPr>
          <w:rFonts w:ascii="Arial" w:hAnsi="Arial" w:cs="Arial"/>
        </w:rPr>
        <w:t>Consideraciones finales</w:t>
      </w:r>
      <w:r w:rsidR="00FA2C9A" w:rsidRPr="00E70693">
        <w:rPr>
          <w:rFonts w:ascii="Arial" w:hAnsi="Arial" w:cs="Arial"/>
        </w:rPr>
        <w:t>.</w:t>
      </w:r>
      <w:bookmarkEnd w:id="43"/>
    </w:p>
    <w:p w:rsidR="00467B9F" w:rsidRPr="00E70693" w:rsidRDefault="00467B9F" w:rsidP="00467B9F">
      <w:pPr>
        <w:pStyle w:val="ListParagraph"/>
        <w:numPr>
          <w:ilvl w:val="0"/>
          <w:numId w:val="1"/>
        </w:numPr>
        <w:spacing w:before="240" w:after="0" w:line="240" w:lineRule="auto"/>
        <w:contextualSpacing w:val="0"/>
        <w:jc w:val="both"/>
        <w:rPr>
          <w:rFonts w:ascii="Arial" w:eastAsia="Times New Roman" w:hAnsi="Arial" w:cs="Arial"/>
          <w:b/>
          <w:vanish/>
          <w:sz w:val="24"/>
          <w:szCs w:val="20"/>
          <w:lang w:val="es-ES_tradnl" w:eastAsia="en-US"/>
        </w:rPr>
      </w:pPr>
    </w:p>
    <w:p w:rsidR="00CC253C" w:rsidRPr="00E70693" w:rsidRDefault="00FA2C9A" w:rsidP="00DF3FFF">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b/>
        </w:rPr>
        <w:t>Conclusiones sobre la capacidad institucional del MTI</w:t>
      </w:r>
      <w:r w:rsidRPr="00E70693">
        <w:rPr>
          <w:rFonts w:ascii="Arial" w:hAnsi="Arial" w:cs="Arial"/>
        </w:rPr>
        <w:t xml:space="preserve">. A partir de la observación del historial reciente del </w:t>
      </w:r>
      <w:r w:rsidR="00221408" w:rsidRPr="00E70693">
        <w:rPr>
          <w:rFonts w:ascii="Arial" w:hAnsi="Arial" w:cs="Arial"/>
        </w:rPr>
        <w:t>MTI</w:t>
      </w:r>
      <w:r w:rsidRPr="00E70693">
        <w:rPr>
          <w:rFonts w:ascii="Arial" w:hAnsi="Arial" w:cs="Arial"/>
        </w:rPr>
        <w:t xml:space="preserve"> en la ejecución de proyectos financiados por el BID, </w:t>
      </w:r>
      <w:r w:rsidR="00221408" w:rsidRPr="00E70693">
        <w:rPr>
          <w:rFonts w:ascii="Arial" w:hAnsi="Arial" w:cs="Arial"/>
        </w:rPr>
        <w:t xml:space="preserve">así como otros aspectos que hacen a su gestión y del análisis de su </w:t>
      </w:r>
      <w:r w:rsidR="00A241F2" w:rsidRPr="00E70693">
        <w:rPr>
          <w:rFonts w:ascii="Arial" w:hAnsi="Arial" w:cs="Arial"/>
        </w:rPr>
        <w:t>organización funcional</w:t>
      </w:r>
      <w:r w:rsidR="00221408" w:rsidRPr="00E70693">
        <w:rPr>
          <w:rFonts w:ascii="Arial" w:hAnsi="Arial" w:cs="Arial"/>
        </w:rPr>
        <w:t xml:space="preserve"> </w:t>
      </w:r>
      <w:r w:rsidRPr="00E70693">
        <w:rPr>
          <w:rFonts w:ascii="Arial" w:hAnsi="Arial" w:cs="Arial"/>
        </w:rPr>
        <w:t xml:space="preserve">se </w:t>
      </w:r>
      <w:r w:rsidR="00221408" w:rsidRPr="00E70693">
        <w:rPr>
          <w:rFonts w:ascii="Arial" w:hAnsi="Arial" w:cs="Arial"/>
        </w:rPr>
        <w:t>indica</w:t>
      </w:r>
      <w:r w:rsidR="00CC253C" w:rsidRPr="00E70693">
        <w:rPr>
          <w:rFonts w:ascii="Arial" w:hAnsi="Arial" w:cs="Arial"/>
        </w:rPr>
        <w:t xml:space="preserve"> lo siguiente: </w:t>
      </w:r>
    </w:p>
    <w:p w:rsidR="00541AD4" w:rsidRPr="00E70693" w:rsidRDefault="001B4EAC" w:rsidP="00E01870">
      <w:pPr>
        <w:pStyle w:val="ListParagraph"/>
        <w:numPr>
          <w:ilvl w:val="0"/>
          <w:numId w:val="14"/>
        </w:numPr>
        <w:spacing w:before="240" w:after="0" w:line="240" w:lineRule="auto"/>
        <w:ind w:left="1066" w:hanging="357"/>
        <w:contextualSpacing w:val="0"/>
        <w:jc w:val="both"/>
        <w:rPr>
          <w:rFonts w:ascii="Arial" w:hAnsi="Arial" w:cs="Arial"/>
          <w:sz w:val="24"/>
          <w:szCs w:val="24"/>
        </w:rPr>
      </w:pPr>
      <w:r w:rsidRPr="00E70693">
        <w:rPr>
          <w:rFonts w:ascii="Arial" w:hAnsi="Arial" w:cs="Arial"/>
          <w:sz w:val="24"/>
          <w:szCs w:val="24"/>
        </w:rPr>
        <w:t>El MTI</w:t>
      </w:r>
      <w:r w:rsidR="00CC253C" w:rsidRPr="00E70693">
        <w:rPr>
          <w:rFonts w:ascii="Arial" w:hAnsi="Arial" w:cs="Arial"/>
          <w:sz w:val="24"/>
          <w:szCs w:val="24"/>
        </w:rPr>
        <w:t xml:space="preserve"> ha demostrado</w:t>
      </w:r>
      <w:r w:rsidR="00E01870" w:rsidRPr="00E70693">
        <w:rPr>
          <w:rFonts w:ascii="Arial" w:hAnsi="Arial" w:cs="Arial"/>
          <w:sz w:val="24"/>
          <w:szCs w:val="24"/>
        </w:rPr>
        <w:t xml:space="preserve"> </w:t>
      </w:r>
      <w:r w:rsidR="00CC253C" w:rsidRPr="00E70693">
        <w:rPr>
          <w:rFonts w:ascii="Arial" w:hAnsi="Arial" w:cs="Arial"/>
          <w:sz w:val="24"/>
          <w:szCs w:val="24"/>
        </w:rPr>
        <w:t xml:space="preserve">poseer </w:t>
      </w:r>
      <w:r w:rsidR="00E01870" w:rsidRPr="00E70693">
        <w:rPr>
          <w:rFonts w:ascii="Arial" w:hAnsi="Arial" w:cs="Arial"/>
          <w:sz w:val="24"/>
          <w:szCs w:val="24"/>
        </w:rPr>
        <w:t xml:space="preserve">capacidad </w:t>
      </w:r>
      <w:r w:rsidR="00CC253C" w:rsidRPr="00E70693">
        <w:rPr>
          <w:rFonts w:ascii="Arial" w:hAnsi="Arial" w:cs="Arial"/>
          <w:sz w:val="24"/>
          <w:szCs w:val="24"/>
        </w:rPr>
        <w:t>para ejecutar y culminar las</w:t>
      </w:r>
      <w:r w:rsidRPr="00E70693">
        <w:rPr>
          <w:rFonts w:ascii="Arial" w:hAnsi="Arial" w:cs="Arial"/>
          <w:sz w:val="24"/>
          <w:szCs w:val="24"/>
        </w:rPr>
        <w:t xml:space="preserve"> obras de manera satisfactoria, lo que puede apreciarse en la revisión de su historial  reciente ejecutando proyecto</w:t>
      </w:r>
      <w:r w:rsidR="00711E67" w:rsidRPr="00E70693">
        <w:rPr>
          <w:rFonts w:ascii="Arial" w:hAnsi="Arial" w:cs="Arial"/>
          <w:sz w:val="24"/>
          <w:szCs w:val="24"/>
        </w:rPr>
        <w:t>s</w:t>
      </w:r>
      <w:r w:rsidRPr="00E70693">
        <w:rPr>
          <w:rFonts w:ascii="Arial" w:hAnsi="Arial" w:cs="Arial"/>
          <w:sz w:val="24"/>
          <w:szCs w:val="24"/>
        </w:rPr>
        <w:t xml:space="preserve"> financiados por el BID. </w:t>
      </w:r>
      <w:r w:rsidR="00CC253C" w:rsidRPr="00E70693">
        <w:rPr>
          <w:rFonts w:ascii="Arial" w:hAnsi="Arial" w:cs="Arial"/>
          <w:sz w:val="24"/>
          <w:szCs w:val="24"/>
        </w:rPr>
        <w:t>En efecto, durante el 2012 el MTI pudo dar conclusión a al menos cinco contratos de obra y licitó, adjudicó y dio inicio a otras tres nuevas; además se alcanzaron las metas de desembolso del Banco. En el año 2013 logró licitar y adjudicar dos obras importantes del 2840/BL-NI y en el 2014 ya ha</w:t>
      </w:r>
      <w:r w:rsidRPr="00E70693">
        <w:rPr>
          <w:rFonts w:ascii="Arial" w:hAnsi="Arial" w:cs="Arial"/>
          <w:sz w:val="24"/>
          <w:szCs w:val="24"/>
        </w:rPr>
        <w:t>n</w:t>
      </w:r>
      <w:r w:rsidR="00CC253C" w:rsidRPr="00E70693">
        <w:rPr>
          <w:rFonts w:ascii="Arial" w:hAnsi="Arial" w:cs="Arial"/>
          <w:sz w:val="24"/>
          <w:szCs w:val="24"/>
        </w:rPr>
        <w:t xml:space="preserve"> finalizado todas las obras iniciadas en el 2012.</w:t>
      </w:r>
      <w:r w:rsidR="00711E67" w:rsidRPr="00E70693">
        <w:rPr>
          <w:rFonts w:ascii="Arial" w:hAnsi="Arial" w:cs="Arial"/>
          <w:sz w:val="24"/>
          <w:szCs w:val="24"/>
        </w:rPr>
        <w:t xml:space="preserve"> Durante el presente año 2015 el MTI ya está concluyendo todas las obras del 2840/BL-NI y dando inicio a las principales del 2979/BL-NI, esperándose iniciar además el proyecto único pero de gran porte que comprende el 3353/BL-NI.</w:t>
      </w:r>
    </w:p>
    <w:p w:rsidR="00E01870" w:rsidRPr="00E70693" w:rsidRDefault="00E01870" w:rsidP="00E01870">
      <w:pPr>
        <w:pStyle w:val="ListParagraph"/>
        <w:numPr>
          <w:ilvl w:val="0"/>
          <w:numId w:val="14"/>
        </w:numPr>
        <w:spacing w:before="240" w:after="0" w:line="240" w:lineRule="auto"/>
        <w:ind w:left="1066" w:hanging="357"/>
        <w:contextualSpacing w:val="0"/>
        <w:jc w:val="both"/>
        <w:rPr>
          <w:rFonts w:ascii="Arial" w:hAnsi="Arial" w:cs="Arial"/>
          <w:sz w:val="24"/>
          <w:szCs w:val="24"/>
        </w:rPr>
      </w:pPr>
      <w:r w:rsidRPr="00E70693">
        <w:rPr>
          <w:rFonts w:ascii="Arial" w:hAnsi="Arial" w:cs="Arial"/>
          <w:sz w:val="24"/>
          <w:szCs w:val="24"/>
        </w:rPr>
        <w:lastRenderedPageBreak/>
        <w:t xml:space="preserve">El MTI posee experiencia </w:t>
      </w:r>
      <w:r w:rsidR="00711E67" w:rsidRPr="00E70693">
        <w:rPr>
          <w:rFonts w:ascii="Arial" w:hAnsi="Arial" w:cs="Arial"/>
          <w:sz w:val="24"/>
          <w:szCs w:val="24"/>
        </w:rPr>
        <w:t xml:space="preserve">amplia y reciente </w:t>
      </w:r>
      <w:r w:rsidRPr="00E70693">
        <w:rPr>
          <w:rFonts w:ascii="Arial" w:hAnsi="Arial" w:cs="Arial"/>
          <w:sz w:val="24"/>
          <w:szCs w:val="24"/>
        </w:rPr>
        <w:t>en la ejecución de proyectos viales en la costa atlántica de Nicaragua</w:t>
      </w:r>
      <w:r w:rsidR="00711E67" w:rsidRPr="00E70693">
        <w:rPr>
          <w:rFonts w:ascii="Arial" w:hAnsi="Arial" w:cs="Arial"/>
          <w:sz w:val="24"/>
          <w:szCs w:val="24"/>
        </w:rPr>
        <w:t xml:space="preserve"> y en el departamento de Jinotega</w:t>
      </w:r>
      <w:r w:rsidRPr="00E70693">
        <w:rPr>
          <w:rFonts w:ascii="Arial" w:hAnsi="Arial" w:cs="Arial"/>
          <w:sz w:val="24"/>
          <w:szCs w:val="24"/>
        </w:rPr>
        <w:t>, incluso en la</w:t>
      </w:r>
      <w:r w:rsidR="00711E67" w:rsidRPr="00E70693">
        <w:rPr>
          <w:rFonts w:ascii="Arial" w:hAnsi="Arial" w:cs="Arial"/>
          <w:sz w:val="24"/>
          <w:szCs w:val="24"/>
        </w:rPr>
        <w:t>s</w:t>
      </w:r>
      <w:r w:rsidRPr="00E70693">
        <w:rPr>
          <w:rFonts w:ascii="Arial" w:hAnsi="Arial" w:cs="Arial"/>
          <w:sz w:val="24"/>
          <w:szCs w:val="24"/>
        </w:rPr>
        <w:t xml:space="preserve"> zon</w:t>
      </w:r>
      <w:r w:rsidR="00A241F2" w:rsidRPr="00E70693">
        <w:rPr>
          <w:rFonts w:ascii="Arial" w:hAnsi="Arial" w:cs="Arial"/>
          <w:sz w:val="24"/>
          <w:szCs w:val="24"/>
        </w:rPr>
        <w:t>a</w:t>
      </w:r>
      <w:r w:rsidR="00711E67" w:rsidRPr="00E70693">
        <w:rPr>
          <w:rFonts w:ascii="Arial" w:hAnsi="Arial" w:cs="Arial"/>
          <w:sz w:val="24"/>
          <w:szCs w:val="24"/>
        </w:rPr>
        <w:t>s</w:t>
      </w:r>
      <w:r w:rsidR="00A241F2" w:rsidRPr="00E70693">
        <w:rPr>
          <w:rFonts w:ascii="Arial" w:hAnsi="Arial" w:cs="Arial"/>
          <w:sz w:val="24"/>
          <w:szCs w:val="24"/>
        </w:rPr>
        <w:t xml:space="preserve"> de</w:t>
      </w:r>
      <w:r w:rsidR="00711E67" w:rsidRPr="00E70693">
        <w:rPr>
          <w:rFonts w:ascii="Arial" w:hAnsi="Arial" w:cs="Arial"/>
          <w:sz w:val="24"/>
          <w:szCs w:val="24"/>
        </w:rPr>
        <w:t xml:space="preserve"> </w:t>
      </w:r>
      <w:r w:rsidR="00A241F2" w:rsidRPr="00E70693">
        <w:rPr>
          <w:rFonts w:ascii="Arial" w:hAnsi="Arial" w:cs="Arial"/>
          <w:sz w:val="24"/>
          <w:szCs w:val="24"/>
        </w:rPr>
        <w:t>l</w:t>
      </w:r>
      <w:r w:rsidR="00711E67" w:rsidRPr="00E70693">
        <w:rPr>
          <w:rFonts w:ascii="Arial" w:hAnsi="Arial" w:cs="Arial"/>
          <w:sz w:val="24"/>
          <w:szCs w:val="24"/>
        </w:rPr>
        <w:t>os</w:t>
      </w:r>
      <w:r w:rsidR="00A241F2" w:rsidRPr="00E70693">
        <w:rPr>
          <w:rFonts w:ascii="Arial" w:hAnsi="Arial" w:cs="Arial"/>
          <w:sz w:val="24"/>
          <w:szCs w:val="24"/>
        </w:rPr>
        <w:t xml:space="preserve"> proyecto</w:t>
      </w:r>
      <w:r w:rsidR="00711E67" w:rsidRPr="00E70693">
        <w:rPr>
          <w:rFonts w:ascii="Arial" w:hAnsi="Arial" w:cs="Arial"/>
          <w:sz w:val="24"/>
          <w:szCs w:val="24"/>
        </w:rPr>
        <w:t>s</w:t>
      </w:r>
      <w:r w:rsidR="00A241F2" w:rsidRPr="00E70693">
        <w:rPr>
          <w:rFonts w:ascii="Arial" w:hAnsi="Arial" w:cs="Arial"/>
          <w:sz w:val="24"/>
          <w:szCs w:val="24"/>
        </w:rPr>
        <w:t xml:space="preserve"> de la operación </w:t>
      </w:r>
      <w:r w:rsidR="00FE226D" w:rsidRPr="00E70693">
        <w:rPr>
          <w:rFonts w:ascii="Arial" w:hAnsi="Arial" w:cs="Arial"/>
          <w:sz w:val="24"/>
          <w:szCs w:val="24"/>
        </w:rPr>
        <w:t>NI-L1092</w:t>
      </w:r>
      <w:r w:rsidR="00A241F2" w:rsidRPr="00E70693">
        <w:rPr>
          <w:rFonts w:ascii="Arial" w:hAnsi="Arial" w:cs="Arial"/>
          <w:sz w:val="24"/>
          <w:szCs w:val="24"/>
        </w:rPr>
        <w:t xml:space="preserve">. Siendo que las intervenciones </w:t>
      </w:r>
      <w:r w:rsidR="001B4EAC" w:rsidRPr="00E70693">
        <w:rPr>
          <w:rFonts w:ascii="Arial" w:hAnsi="Arial" w:cs="Arial"/>
          <w:sz w:val="24"/>
          <w:szCs w:val="24"/>
        </w:rPr>
        <w:t>realizadas recientemente involucraron</w:t>
      </w:r>
      <w:r w:rsidR="00A241F2" w:rsidRPr="00E70693">
        <w:rPr>
          <w:rFonts w:ascii="Arial" w:hAnsi="Arial" w:cs="Arial"/>
          <w:sz w:val="24"/>
          <w:szCs w:val="24"/>
          <w:lang w:val="es-ES_tradnl"/>
        </w:rPr>
        <w:t xml:space="preserve"> a los funcionarios de la Institución de forma directa, es razonable esperar que el MTI esté familiarizado con las condiciones del terreno y del clima, así como de los costos de las obras, capitalizándose esta experiencia como capacidad adecuada para asegurar buenos resultados en las obras viales que encare en dicha</w:t>
      </w:r>
      <w:r w:rsidR="00711E67" w:rsidRPr="00E70693">
        <w:rPr>
          <w:rFonts w:ascii="Arial" w:hAnsi="Arial" w:cs="Arial"/>
          <w:sz w:val="24"/>
          <w:szCs w:val="24"/>
          <w:lang w:val="es-ES_tradnl"/>
        </w:rPr>
        <w:t>s</w:t>
      </w:r>
      <w:r w:rsidR="00A241F2" w:rsidRPr="00E70693">
        <w:rPr>
          <w:rFonts w:ascii="Arial" w:hAnsi="Arial" w:cs="Arial"/>
          <w:sz w:val="24"/>
          <w:szCs w:val="24"/>
          <w:lang w:val="es-ES_tradnl"/>
        </w:rPr>
        <w:t xml:space="preserve"> </w:t>
      </w:r>
      <w:r w:rsidR="00711E67" w:rsidRPr="00E70693">
        <w:rPr>
          <w:rFonts w:ascii="Arial" w:hAnsi="Arial" w:cs="Arial"/>
          <w:sz w:val="24"/>
          <w:szCs w:val="24"/>
          <w:lang w:val="es-ES_tradnl"/>
        </w:rPr>
        <w:t>regiones</w:t>
      </w:r>
      <w:r w:rsidR="00A241F2" w:rsidRPr="00E70693">
        <w:rPr>
          <w:rFonts w:ascii="Arial" w:hAnsi="Arial" w:cs="Arial"/>
          <w:sz w:val="24"/>
          <w:szCs w:val="24"/>
          <w:lang w:val="es-ES_tradnl"/>
        </w:rPr>
        <w:t>.</w:t>
      </w:r>
    </w:p>
    <w:p w:rsidR="00F04714" w:rsidRPr="00E70693" w:rsidRDefault="00F04714" w:rsidP="00F04714">
      <w:pPr>
        <w:pStyle w:val="ListParagraph"/>
        <w:numPr>
          <w:ilvl w:val="0"/>
          <w:numId w:val="14"/>
        </w:numPr>
        <w:spacing w:before="240" w:after="0" w:line="240" w:lineRule="auto"/>
        <w:ind w:left="1066" w:hanging="357"/>
        <w:contextualSpacing w:val="0"/>
        <w:jc w:val="both"/>
        <w:rPr>
          <w:rFonts w:ascii="Arial" w:hAnsi="Arial" w:cs="Arial"/>
          <w:sz w:val="24"/>
          <w:szCs w:val="24"/>
        </w:rPr>
      </w:pPr>
      <w:r w:rsidRPr="00E70693">
        <w:rPr>
          <w:rFonts w:ascii="Arial" w:hAnsi="Arial" w:cs="Arial"/>
          <w:sz w:val="24"/>
          <w:szCs w:val="24"/>
        </w:rPr>
        <w:t xml:space="preserve">El MTI se caracteriza por un alto grado de ejecución del presupuesto. En la memoria institucional correspondiente al año </w:t>
      </w:r>
      <w:r w:rsidR="00711E67" w:rsidRPr="00E70693">
        <w:rPr>
          <w:rFonts w:ascii="Arial" w:hAnsi="Arial" w:cs="Arial"/>
          <w:sz w:val="24"/>
          <w:szCs w:val="24"/>
        </w:rPr>
        <w:t xml:space="preserve">2014 </w:t>
      </w:r>
      <w:r w:rsidRPr="00E70693">
        <w:rPr>
          <w:rFonts w:ascii="Arial" w:hAnsi="Arial" w:cs="Arial"/>
          <w:sz w:val="24"/>
          <w:szCs w:val="24"/>
          <w:lang w:val="es-ES_tradnl"/>
        </w:rPr>
        <w:t>se observa un 99,</w:t>
      </w:r>
      <w:r w:rsidR="00711E67" w:rsidRPr="00E70693">
        <w:rPr>
          <w:rFonts w:ascii="Arial" w:hAnsi="Arial" w:cs="Arial"/>
          <w:sz w:val="24"/>
          <w:szCs w:val="24"/>
          <w:lang w:val="es-ES_tradnl"/>
        </w:rPr>
        <w:t>67</w:t>
      </w:r>
      <w:r w:rsidRPr="00E70693">
        <w:rPr>
          <w:rFonts w:ascii="Arial" w:hAnsi="Arial" w:cs="Arial"/>
          <w:sz w:val="24"/>
          <w:szCs w:val="24"/>
          <w:lang w:val="es-ES_tradnl"/>
        </w:rPr>
        <w:t>% en la ejecución con recursos del BID</w:t>
      </w:r>
      <w:r w:rsidR="0042194E" w:rsidRPr="00E70693">
        <w:rPr>
          <w:rFonts w:ascii="Arial" w:hAnsi="Arial" w:cs="Arial"/>
          <w:sz w:val="24"/>
          <w:szCs w:val="24"/>
          <w:lang w:val="es-ES_tradnl"/>
        </w:rPr>
        <w:t>, un 99,71% en la ejecución de Gastos de Capital</w:t>
      </w:r>
      <w:r w:rsidRPr="00E70693">
        <w:rPr>
          <w:rFonts w:ascii="Arial" w:hAnsi="Arial" w:cs="Arial"/>
          <w:sz w:val="24"/>
          <w:szCs w:val="24"/>
          <w:lang w:val="es-ES_tradnl"/>
        </w:rPr>
        <w:t xml:space="preserve"> y un 99,</w:t>
      </w:r>
      <w:r w:rsidR="006A1E8F" w:rsidRPr="00E70693">
        <w:rPr>
          <w:rFonts w:ascii="Arial" w:hAnsi="Arial" w:cs="Arial"/>
          <w:sz w:val="24"/>
          <w:szCs w:val="24"/>
          <w:lang w:val="es-ES_tradnl"/>
        </w:rPr>
        <w:t>72</w:t>
      </w:r>
      <w:r w:rsidRPr="00E70693">
        <w:rPr>
          <w:rFonts w:ascii="Arial" w:hAnsi="Arial" w:cs="Arial"/>
          <w:sz w:val="24"/>
          <w:szCs w:val="24"/>
          <w:lang w:val="es-ES_tradnl"/>
        </w:rPr>
        <w:t>% en la ejecución general del presupuesto. Situación que demuestra el compromiso institucional para el cumplimiento de las metas y es indicadora de eficiencia en cuanto a la utilización de los recursos financieros que se le asignan.</w:t>
      </w:r>
    </w:p>
    <w:p w:rsidR="00CC253C" w:rsidRPr="00E70693" w:rsidRDefault="00386532" w:rsidP="00E01870">
      <w:pPr>
        <w:pStyle w:val="ListParagraph"/>
        <w:numPr>
          <w:ilvl w:val="0"/>
          <w:numId w:val="14"/>
        </w:numPr>
        <w:spacing w:before="240" w:after="0" w:line="240" w:lineRule="auto"/>
        <w:ind w:left="1066" w:hanging="357"/>
        <w:contextualSpacing w:val="0"/>
        <w:jc w:val="both"/>
        <w:rPr>
          <w:rFonts w:ascii="Arial" w:hAnsi="Arial" w:cs="Arial"/>
          <w:sz w:val="24"/>
          <w:szCs w:val="24"/>
        </w:rPr>
      </w:pPr>
      <w:r w:rsidRPr="00E70693">
        <w:rPr>
          <w:rFonts w:ascii="Arial" w:hAnsi="Arial" w:cs="Arial"/>
          <w:sz w:val="24"/>
          <w:szCs w:val="24"/>
        </w:rPr>
        <w:t xml:space="preserve">El MTI </w:t>
      </w:r>
      <w:r w:rsidRPr="00E70693">
        <w:rPr>
          <w:rFonts w:ascii="Arial" w:hAnsi="Arial" w:cs="Arial"/>
          <w:sz w:val="24"/>
          <w:szCs w:val="24"/>
          <w:lang w:val="es-ES_tradnl"/>
        </w:rPr>
        <w:t xml:space="preserve">posee una capacidad instalada, en cuanto a recursos humanos y materiales así como instrumentos de gestión, suficiente para encarar los proyectos viales del porte como </w:t>
      </w:r>
      <w:r w:rsidR="0042194E" w:rsidRPr="00E70693">
        <w:rPr>
          <w:rFonts w:ascii="Arial" w:hAnsi="Arial" w:cs="Arial"/>
          <w:sz w:val="24"/>
          <w:szCs w:val="24"/>
          <w:lang w:val="es-ES_tradnl"/>
        </w:rPr>
        <w:t xml:space="preserve">los </w:t>
      </w:r>
      <w:r w:rsidRPr="00E70693">
        <w:rPr>
          <w:rFonts w:ascii="Arial" w:hAnsi="Arial" w:cs="Arial"/>
          <w:sz w:val="24"/>
          <w:szCs w:val="24"/>
          <w:lang w:val="es-ES_tradnl"/>
        </w:rPr>
        <w:t>comprendido</w:t>
      </w:r>
      <w:r w:rsidR="0042194E" w:rsidRPr="00E70693">
        <w:rPr>
          <w:rFonts w:ascii="Arial" w:hAnsi="Arial" w:cs="Arial"/>
          <w:sz w:val="24"/>
          <w:szCs w:val="24"/>
          <w:lang w:val="es-ES_tradnl"/>
        </w:rPr>
        <w:t>s</w:t>
      </w:r>
      <w:r w:rsidRPr="00E70693">
        <w:rPr>
          <w:rFonts w:ascii="Arial" w:hAnsi="Arial" w:cs="Arial"/>
          <w:sz w:val="24"/>
          <w:szCs w:val="24"/>
          <w:lang w:val="es-ES_tradnl"/>
        </w:rPr>
        <w:t xml:space="preserve"> en la operación </w:t>
      </w:r>
      <w:r w:rsidR="00FE226D" w:rsidRPr="00E70693">
        <w:rPr>
          <w:rFonts w:ascii="Arial" w:hAnsi="Arial" w:cs="Arial"/>
          <w:sz w:val="24"/>
          <w:szCs w:val="24"/>
          <w:lang w:val="es-ES_tradnl"/>
        </w:rPr>
        <w:t>NI-L1092</w:t>
      </w:r>
      <w:r w:rsidRPr="00E70693">
        <w:rPr>
          <w:rFonts w:ascii="Arial" w:hAnsi="Arial" w:cs="Arial"/>
          <w:sz w:val="24"/>
          <w:szCs w:val="24"/>
          <w:lang w:val="es-ES_tradnl"/>
        </w:rPr>
        <w:t>. Esta capacidad no es solo potencial sino que se ha puesto en práctica recientemente demostrando su eficacia en los resultados obtenidos</w:t>
      </w:r>
      <w:r w:rsidRPr="00E70693">
        <w:rPr>
          <w:rFonts w:ascii="Arial" w:hAnsi="Arial" w:cs="Arial"/>
          <w:sz w:val="24"/>
          <w:szCs w:val="24"/>
        </w:rPr>
        <w:t>.</w:t>
      </w:r>
      <w:r w:rsidR="00CC253C" w:rsidRPr="00E70693">
        <w:rPr>
          <w:rFonts w:ascii="Arial" w:hAnsi="Arial" w:cs="Arial"/>
          <w:sz w:val="24"/>
          <w:szCs w:val="24"/>
        </w:rPr>
        <w:t xml:space="preserve"> </w:t>
      </w:r>
    </w:p>
    <w:p w:rsidR="000C2116" w:rsidRPr="00E70693" w:rsidRDefault="000C2116" w:rsidP="00FA2C9A">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b/>
        </w:rPr>
        <w:t>Síntesis del análisis y aspectos de implementación</w:t>
      </w:r>
      <w:r w:rsidR="00FA2C9A" w:rsidRPr="00E70693">
        <w:rPr>
          <w:rFonts w:ascii="Arial" w:hAnsi="Arial" w:cs="Arial"/>
          <w:b/>
        </w:rPr>
        <w:t>.</w:t>
      </w:r>
      <w:r w:rsidR="00FA2C9A" w:rsidRPr="00E70693">
        <w:rPr>
          <w:rFonts w:ascii="Arial" w:hAnsi="Arial" w:cs="Arial"/>
        </w:rPr>
        <w:t xml:space="preserve"> </w:t>
      </w:r>
      <w:r w:rsidR="00537BE6" w:rsidRPr="00E70693">
        <w:rPr>
          <w:rFonts w:ascii="Arial" w:hAnsi="Arial" w:cs="Arial"/>
        </w:rPr>
        <w:t>D</w:t>
      </w:r>
      <w:r w:rsidR="005C57A8" w:rsidRPr="00E70693">
        <w:rPr>
          <w:rFonts w:ascii="Arial" w:hAnsi="Arial" w:cs="Arial"/>
        </w:rPr>
        <w:t>e la apreciación del desempeño reciente del Ejecutor</w:t>
      </w:r>
      <w:r w:rsidR="00537BE6" w:rsidRPr="00E70693">
        <w:rPr>
          <w:rFonts w:ascii="Arial" w:hAnsi="Arial" w:cs="Arial"/>
        </w:rPr>
        <w:t xml:space="preserve"> y del análisis realizado, puede decirse que l</w:t>
      </w:r>
      <w:r w:rsidRPr="00E70693">
        <w:rPr>
          <w:rFonts w:ascii="Arial" w:hAnsi="Arial" w:cs="Arial"/>
        </w:rPr>
        <w:t>a capacidad</w:t>
      </w:r>
      <w:r w:rsidR="005C57A8" w:rsidRPr="00E70693">
        <w:rPr>
          <w:rFonts w:ascii="Arial" w:hAnsi="Arial" w:cs="Arial"/>
        </w:rPr>
        <w:t xml:space="preserve"> </w:t>
      </w:r>
      <w:r w:rsidRPr="00E70693">
        <w:rPr>
          <w:rFonts w:ascii="Arial" w:hAnsi="Arial" w:cs="Arial"/>
        </w:rPr>
        <w:t>de ejecución</w:t>
      </w:r>
      <w:r w:rsidR="005C57A8" w:rsidRPr="00E70693">
        <w:rPr>
          <w:rFonts w:ascii="Arial" w:hAnsi="Arial" w:cs="Arial"/>
        </w:rPr>
        <w:t xml:space="preserve"> mejorada</w:t>
      </w:r>
      <w:r w:rsidRPr="00E70693">
        <w:rPr>
          <w:rFonts w:ascii="Arial" w:hAnsi="Arial" w:cs="Arial"/>
        </w:rPr>
        <w:t xml:space="preserve"> del MTI, en el marco de su relación con la Representación de Nicaragua, se sustenta </w:t>
      </w:r>
      <w:r w:rsidR="005C57A8" w:rsidRPr="00E70693">
        <w:rPr>
          <w:rFonts w:ascii="Arial" w:hAnsi="Arial" w:cs="Arial"/>
        </w:rPr>
        <w:t>en</w:t>
      </w:r>
      <w:r w:rsidRPr="00E70693">
        <w:rPr>
          <w:rFonts w:ascii="Arial" w:hAnsi="Arial" w:cs="Arial"/>
        </w:rPr>
        <w:t xml:space="preserve"> tres elementos fundamentales:</w:t>
      </w:r>
    </w:p>
    <w:p w:rsidR="000A791A" w:rsidRPr="00E70693" w:rsidRDefault="000C2116" w:rsidP="000A791A">
      <w:pPr>
        <w:pStyle w:val="ListParagraph"/>
        <w:numPr>
          <w:ilvl w:val="0"/>
          <w:numId w:val="17"/>
        </w:numPr>
        <w:spacing w:before="240" w:after="0" w:line="240" w:lineRule="auto"/>
        <w:ind w:left="1066" w:hanging="357"/>
        <w:contextualSpacing w:val="0"/>
        <w:jc w:val="both"/>
        <w:rPr>
          <w:rFonts w:ascii="Arial" w:hAnsi="Arial" w:cs="Arial"/>
        </w:rPr>
      </w:pPr>
      <w:r w:rsidRPr="00E70693">
        <w:rPr>
          <w:rFonts w:ascii="Arial" w:eastAsia="Times New Roman" w:hAnsi="Arial" w:cs="Arial"/>
          <w:sz w:val="24"/>
          <w:szCs w:val="20"/>
          <w:lang w:val="es-ES_tradnl" w:eastAsia="en-US"/>
        </w:rPr>
        <w:t xml:space="preserve">Una mejora continua </w:t>
      </w:r>
      <w:r w:rsidR="000A791A" w:rsidRPr="00E70693">
        <w:rPr>
          <w:rFonts w:ascii="Arial" w:eastAsia="Times New Roman" w:hAnsi="Arial" w:cs="Arial"/>
          <w:sz w:val="24"/>
          <w:szCs w:val="20"/>
          <w:lang w:val="es-ES_tradnl" w:eastAsia="en-US"/>
        </w:rPr>
        <w:t xml:space="preserve">de las capacidades </w:t>
      </w:r>
      <w:r w:rsidRPr="00E70693">
        <w:rPr>
          <w:rFonts w:ascii="Arial" w:eastAsia="Times New Roman" w:hAnsi="Arial" w:cs="Arial"/>
          <w:sz w:val="24"/>
          <w:szCs w:val="20"/>
          <w:lang w:val="es-ES_tradnl" w:eastAsia="en-US"/>
        </w:rPr>
        <w:t>del MTI</w:t>
      </w:r>
      <w:r w:rsidR="000A791A" w:rsidRPr="00E70693">
        <w:rPr>
          <w:rFonts w:ascii="Arial" w:eastAsia="Times New Roman" w:hAnsi="Arial" w:cs="Arial"/>
          <w:sz w:val="24"/>
          <w:szCs w:val="20"/>
          <w:lang w:val="es-ES_tradnl" w:eastAsia="en-US"/>
        </w:rPr>
        <w:t xml:space="preserve">, </w:t>
      </w:r>
      <w:r w:rsidRPr="00E70693">
        <w:rPr>
          <w:rFonts w:ascii="Arial" w:eastAsia="Times New Roman" w:hAnsi="Arial" w:cs="Arial"/>
          <w:sz w:val="24"/>
          <w:szCs w:val="20"/>
          <w:lang w:val="es-ES_tradnl" w:eastAsia="en-US"/>
        </w:rPr>
        <w:t xml:space="preserve">a través del plan de fortalecimiento institucional del PAST I, II y III, </w:t>
      </w:r>
      <w:r w:rsidR="000A791A" w:rsidRPr="00E70693">
        <w:rPr>
          <w:rFonts w:ascii="Arial" w:eastAsia="Times New Roman" w:hAnsi="Arial" w:cs="Arial"/>
          <w:sz w:val="24"/>
          <w:szCs w:val="20"/>
          <w:lang w:val="es-ES_tradnl" w:eastAsia="en-US"/>
        </w:rPr>
        <w:t xml:space="preserve">y puesta en práctica en la misma ejecución de proyectos del Programa, </w:t>
      </w:r>
      <w:r w:rsidR="00A76371" w:rsidRPr="00E70693">
        <w:rPr>
          <w:rFonts w:ascii="Arial" w:eastAsia="Times New Roman" w:hAnsi="Arial" w:cs="Arial"/>
          <w:sz w:val="24"/>
          <w:szCs w:val="20"/>
          <w:lang w:val="es-ES_tradnl" w:eastAsia="en-US"/>
        </w:rPr>
        <w:t>haciendo realidad</w:t>
      </w:r>
      <w:r w:rsidR="000A791A" w:rsidRPr="00E70693">
        <w:rPr>
          <w:rFonts w:ascii="Arial" w:eastAsia="Times New Roman" w:hAnsi="Arial" w:cs="Arial"/>
          <w:sz w:val="24"/>
          <w:szCs w:val="20"/>
          <w:lang w:val="es-ES_tradnl" w:eastAsia="en-US"/>
        </w:rPr>
        <w:t xml:space="preserve"> la idea de que </w:t>
      </w:r>
      <w:r w:rsidR="00A76371" w:rsidRPr="00E70693">
        <w:rPr>
          <w:rFonts w:ascii="Arial" w:eastAsia="Times New Roman" w:hAnsi="Arial" w:cs="Arial"/>
          <w:sz w:val="24"/>
          <w:szCs w:val="20"/>
          <w:lang w:val="es-ES_tradnl" w:eastAsia="en-US"/>
        </w:rPr>
        <w:t>una</w:t>
      </w:r>
      <w:r w:rsidR="000A791A" w:rsidRPr="00E70693">
        <w:rPr>
          <w:rFonts w:ascii="Arial" w:eastAsia="Times New Roman" w:hAnsi="Arial" w:cs="Arial"/>
          <w:sz w:val="24"/>
          <w:szCs w:val="20"/>
          <w:lang w:val="es-ES_tradnl" w:eastAsia="en-US"/>
        </w:rPr>
        <w:t xml:space="preserve"> experiencia </w:t>
      </w:r>
      <w:r w:rsidR="00A76371" w:rsidRPr="00E70693">
        <w:rPr>
          <w:rFonts w:ascii="Arial" w:eastAsia="Times New Roman" w:hAnsi="Arial" w:cs="Arial"/>
          <w:sz w:val="24"/>
          <w:szCs w:val="20"/>
          <w:lang w:val="es-ES_tradnl" w:eastAsia="en-US"/>
        </w:rPr>
        <w:t>exitosa</w:t>
      </w:r>
      <w:r w:rsidR="000A791A" w:rsidRPr="00E70693">
        <w:rPr>
          <w:rFonts w:ascii="Arial" w:eastAsia="Times New Roman" w:hAnsi="Arial" w:cs="Arial"/>
          <w:sz w:val="24"/>
          <w:szCs w:val="20"/>
          <w:lang w:val="es-ES_tradnl" w:eastAsia="en-US"/>
        </w:rPr>
        <w:t xml:space="preserve"> es la base </w:t>
      </w:r>
      <w:r w:rsidR="005C57A8" w:rsidRPr="00E70693">
        <w:rPr>
          <w:rFonts w:ascii="Arial" w:eastAsia="Times New Roman" w:hAnsi="Arial" w:cs="Arial"/>
          <w:sz w:val="24"/>
          <w:szCs w:val="20"/>
          <w:lang w:val="es-ES_tradnl" w:eastAsia="en-US"/>
        </w:rPr>
        <w:t xml:space="preserve">para un aprendizaje </w:t>
      </w:r>
      <w:r w:rsidR="000A791A" w:rsidRPr="00E70693">
        <w:rPr>
          <w:rFonts w:ascii="Arial" w:eastAsia="Times New Roman" w:hAnsi="Arial" w:cs="Arial"/>
          <w:sz w:val="24"/>
          <w:szCs w:val="20"/>
          <w:lang w:val="es-ES_tradnl" w:eastAsia="en-US"/>
        </w:rPr>
        <w:t>sólido</w:t>
      </w:r>
      <w:r w:rsidR="005C57A8" w:rsidRPr="00E70693">
        <w:rPr>
          <w:rFonts w:ascii="Arial" w:eastAsia="Times New Roman" w:hAnsi="Arial" w:cs="Arial"/>
          <w:sz w:val="24"/>
          <w:szCs w:val="20"/>
          <w:lang w:val="es-ES_tradnl" w:eastAsia="en-US"/>
        </w:rPr>
        <w:t xml:space="preserve"> y significativo</w:t>
      </w:r>
      <w:r w:rsidR="000A791A" w:rsidRPr="00E70693">
        <w:rPr>
          <w:rFonts w:ascii="Arial" w:eastAsia="Times New Roman" w:hAnsi="Arial" w:cs="Arial"/>
          <w:sz w:val="24"/>
          <w:szCs w:val="20"/>
          <w:lang w:val="es-ES_tradnl" w:eastAsia="en-US"/>
        </w:rPr>
        <w:t>.</w:t>
      </w:r>
    </w:p>
    <w:p w:rsidR="000A791A" w:rsidRPr="00E70693" w:rsidRDefault="000A791A" w:rsidP="000A791A">
      <w:pPr>
        <w:pStyle w:val="ListParagraph"/>
        <w:numPr>
          <w:ilvl w:val="0"/>
          <w:numId w:val="17"/>
        </w:numPr>
        <w:spacing w:before="240" w:after="0" w:line="240" w:lineRule="auto"/>
        <w:ind w:left="1066" w:hanging="357"/>
        <w:contextualSpacing w:val="0"/>
        <w:jc w:val="both"/>
        <w:rPr>
          <w:rFonts w:ascii="Arial" w:hAnsi="Arial" w:cs="Arial"/>
        </w:rPr>
      </w:pPr>
      <w:r w:rsidRPr="00E70693">
        <w:rPr>
          <w:rFonts w:ascii="Arial" w:eastAsia="Times New Roman" w:hAnsi="Arial" w:cs="Arial"/>
          <w:sz w:val="24"/>
          <w:szCs w:val="20"/>
          <w:lang w:eastAsia="en-US"/>
        </w:rPr>
        <w:t>El esquema de ejecución del Banco, mediante la aplicación de los diversos instrumentos de monitoreo y control de actividades (PEP, POA, monitoreo y evaluación, PMR, gestión de riesgos y otros), in</w:t>
      </w:r>
      <w:r w:rsidR="00537BE6" w:rsidRPr="00E70693">
        <w:rPr>
          <w:rFonts w:ascii="Arial" w:eastAsia="Times New Roman" w:hAnsi="Arial" w:cs="Arial"/>
          <w:sz w:val="24"/>
          <w:szCs w:val="20"/>
          <w:lang w:eastAsia="en-US"/>
        </w:rPr>
        <w:t xml:space="preserve">duce en el Organismo Ejecutor un </w:t>
      </w:r>
      <w:r w:rsidRPr="00E70693">
        <w:rPr>
          <w:rFonts w:ascii="Arial" w:eastAsia="Times New Roman" w:hAnsi="Arial" w:cs="Arial"/>
          <w:sz w:val="24"/>
          <w:szCs w:val="20"/>
          <w:lang w:eastAsia="en-US"/>
        </w:rPr>
        <w:t xml:space="preserve"> fortalecimiento de sus capacidades de gestión, volviéndolo más perspicaz y </w:t>
      </w:r>
      <w:r w:rsidR="00537BE6" w:rsidRPr="00E70693">
        <w:rPr>
          <w:rFonts w:ascii="Arial" w:eastAsia="Times New Roman" w:hAnsi="Arial" w:cs="Arial"/>
          <w:sz w:val="24"/>
          <w:szCs w:val="20"/>
          <w:lang w:eastAsia="en-US"/>
        </w:rPr>
        <w:t xml:space="preserve">pro-activo, </w:t>
      </w:r>
      <w:r w:rsidR="00A76371" w:rsidRPr="00E70693">
        <w:rPr>
          <w:rFonts w:ascii="Arial" w:eastAsia="Times New Roman" w:hAnsi="Arial" w:cs="Arial"/>
          <w:sz w:val="24"/>
          <w:szCs w:val="20"/>
          <w:lang w:eastAsia="en-US"/>
        </w:rPr>
        <w:t>comprometido con e</w:t>
      </w:r>
      <w:r w:rsidR="00537BE6" w:rsidRPr="00E70693">
        <w:rPr>
          <w:rFonts w:ascii="Arial" w:eastAsia="Times New Roman" w:hAnsi="Arial" w:cs="Arial"/>
          <w:sz w:val="24"/>
          <w:szCs w:val="20"/>
          <w:lang w:eastAsia="en-US"/>
        </w:rPr>
        <w:t>l logro de los resultados</w:t>
      </w:r>
      <w:r w:rsidRPr="00E70693">
        <w:rPr>
          <w:rFonts w:ascii="Arial" w:eastAsia="Times New Roman" w:hAnsi="Arial" w:cs="Arial"/>
          <w:sz w:val="24"/>
          <w:szCs w:val="20"/>
          <w:lang w:val="es-ES_tradnl" w:eastAsia="en-US"/>
        </w:rPr>
        <w:t>.</w:t>
      </w:r>
    </w:p>
    <w:p w:rsidR="00325547" w:rsidRPr="00E70693" w:rsidRDefault="00537BE6" w:rsidP="000A791A">
      <w:pPr>
        <w:pStyle w:val="ListParagraph"/>
        <w:numPr>
          <w:ilvl w:val="0"/>
          <w:numId w:val="17"/>
        </w:numPr>
        <w:spacing w:before="240" w:after="0" w:line="240" w:lineRule="auto"/>
        <w:ind w:left="1066" w:hanging="357"/>
        <w:contextualSpacing w:val="0"/>
        <w:jc w:val="both"/>
        <w:rPr>
          <w:rFonts w:ascii="Arial" w:hAnsi="Arial" w:cs="Arial"/>
        </w:rPr>
      </w:pPr>
      <w:r w:rsidRPr="00E70693">
        <w:rPr>
          <w:rFonts w:ascii="Arial" w:eastAsia="Times New Roman" w:hAnsi="Arial" w:cs="Arial"/>
          <w:sz w:val="24"/>
          <w:szCs w:val="20"/>
          <w:lang w:val="es-ES_tradnl" w:eastAsia="en-US"/>
        </w:rPr>
        <w:t xml:space="preserve">La interacción entre el Ejecutor y el Banco, a través del Equipo del Banco y los consultores específicos contratados, que </w:t>
      </w:r>
      <w:r w:rsidR="005C57A8" w:rsidRPr="00E70693">
        <w:rPr>
          <w:rFonts w:ascii="Arial" w:eastAsia="Times New Roman" w:hAnsi="Arial" w:cs="Arial"/>
          <w:sz w:val="24"/>
          <w:szCs w:val="20"/>
          <w:lang w:val="es-ES_tradnl" w:eastAsia="en-US"/>
        </w:rPr>
        <w:t xml:space="preserve">con una experiencia pertinente en </w:t>
      </w:r>
      <w:r w:rsidR="00325547" w:rsidRPr="00E70693">
        <w:rPr>
          <w:rFonts w:ascii="Arial" w:eastAsia="Times New Roman" w:hAnsi="Arial" w:cs="Arial"/>
          <w:sz w:val="24"/>
          <w:szCs w:val="20"/>
          <w:lang w:val="es-ES_tradnl" w:eastAsia="en-US"/>
        </w:rPr>
        <w:t>temas técnicos o de gestión,</w:t>
      </w:r>
      <w:r w:rsidR="005C57A8" w:rsidRPr="00E70693">
        <w:rPr>
          <w:rFonts w:ascii="Arial" w:eastAsia="Times New Roman" w:hAnsi="Arial" w:cs="Arial"/>
          <w:sz w:val="24"/>
          <w:szCs w:val="20"/>
          <w:lang w:val="es-ES_tradnl" w:eastAsia="en-US"/>
        </w:rPr>
        <w:t xml:space="preserve"> </w:t>
      </w:r>
      <w:r w:rsidRPr="00E70693">
        <w:rPr>
          <w:rFonts w:ascii="Arial" w:eastAsia="Times New Roman" w:hAnsi="Arial" w:cs="Arial"/>
          <w:sz w:val="24"/>
          <w:szCs w:val="20"/>
          <w:lang w:val="es-ES_tradnl" w:eastAsia="en-US"/>
        </w:rPr>
        <w:t xml:space="preserve">intervienen </w:t>
      </w:r>
      <w:r w:rsidR="005C57A8" w:rsidRPr="00E70693">
        <w:rPr>
          <w:rFonts w:ascii="Arial" w:eastAsia="Times New Roman" w:hAnsi="Arial" w:cs="Arial"/>
          <w:sz w:val="24"/>
          <w:szCs w:val="20"/>
          <w:lang w:val="es-ES_tradnl" w:eastAsia="en-US"/>
        </w:rPr>
        <w:t xml:space="preserve">oportunamente </w:t>
      </w:r>
      <w:r w:rsidRPr="00E70693">
        <w:rPr>
          <w:rFonts w:ascii="Arial" w:eastAsia="Times New Roman" w:hAnsi="Arial" w:cs="Arial"/>
          <w:sz w:val="24"/>
          <w:szCs w:val="20"/>
          <w:lang w:val="es-ES_tradnl" w:eastAsia="en-US"/>
        </w:rPr>
        <w:t xml:space="preserve">para facilitar </w:t>
      </w:r>
      <w:r w:rsidR="005C57A8" w:rsidRPr="00E70693">
        <w:rPr>
          <w:rFonts w:ascii="Arial" w:eastAsia="Times New Roman" w:hAnsi="Arial" w:cs="Arial"/>
          <w:sz w:val="24"/>
          <w:szCs w:val="20"/>
          <w:lang w:val="es-ES_tradnl" w:eastAsia="en-US"/>
        </w:rPr>
        <w:t xml:space="preserve">el logro de tareas claves, </w:t>
      </w:r>
      <w:r w:rsidR="00325547" w:rsidRPr="00E70693">
        <w:rPr>
          <w:rFonts w:ascii="Arial" w:eastAsia="Times New Roman" w:hAnsi="Arial" w:cs="Arial"/>
          <w:sz w:val="24"/>
          <w:szCs w:val="20"/>
          <w:lang w:val="es-ES_tradnl" w:eastAsia="en-US"/>
        </w:rPr>
        <w:t xml:space="preserve">evitándose el menoscabo del círculo virtuoso de la ejecución. </w:t>
      </w:r>
    </w:p>
    <w:p w:rsidR="00FA2C9A" w:rsidRPr="00E70693" w:rsidRDefault="00353FCC" w:rsidP="00FA2C9A">
      <w:pPr>
        <w:numPr>
          <w:ilvl w:val="1"/>
          <w:numId w:val="1"/>
        </w:numPr>
        <w:tabs>
          <w:tab w:val="clear" w:pos="360"/>
          <w:tab w:val="num" w:pos="709"/>
        </w:tabs>
        <w:spacing w:before="240"/>
        <w:ind w:left="709" w:hanging="709"/>
        <w:jc w:val="both"/>
        <w:rPr>
          <w:rFonts w:ascii="Arial" w:hAnsi="Arial" w:cs="Arial"/>
        </w:rPr>
      </w:pPr>
      <w:r w:rsidRPr="00E70693">
        <w:rPr>
          <w:rFonts w:ascii="Arial" w:hAnsi="Arial" w:cs="Arial"/>
          <w:szCs w:val="24"/>
          <w:lang w:val="es-PY"/>
        </w:rPr>
        <w:lastRenderedPageBreak/>
        <w:t>En coherencia con la capacidad que posee el MTI para ejecutar proyectos con recursos BID,</w:t>
      </w:r>
      <w:r w:rsidR="00F04714" w:rsidRPr="00E70693">
        <w:rPr>
          <w:rFonts w:ascii="Arial" w:hAnsi="Arial" w:cs="Arial"/>
          <w:szCs w:val="24"/>
        </w:rPr>
        <w:t xml:space="preserve"> fin de asegurar </w:t>
      </w:r>
      <w:r w:rsidRPr="00E70693">
        <w:rPr>
          <w:rFonts w:ascii="Arial" w:hAnsi="Arial" w:cs="Arial"/>
          <w:szCs w:val="24"/>
        </w:rPr>
        <w:t>un buen</w:t>
      </w:r>
      <w:r w:rsidR="00F04714" w:rsidRPr="00E70693">
        <w:rPr>
          <w:rFonts w:ascii="Arial" w:hAnsi="Arial" w:cs="Arial"/>
          <w:szCs w:val="24"/>
        </w:rPr>
        <w:t xml:space="preserve"> desempeño como organismo ejecutor de</w:t>
      </w:r>
      <w:r w:rsidR="00D74655" w:rsidRPr="00E70693">
        <w:rPr>
          <w:rFonts w:ascii="Arial" w:hAnsi="Arial" w:cs="Arial"/>
          <w:szCs w:val="24"/>
        </w:rPr>
        <w:t xml:space="preserve"> </w:t>
      </w:r>
      <w:r w:rsidR="00F04714" w:rsidRPr="00E70693">
        <w:rPr>
          <w:rFonts w:ascii="Arial" w:hAnsi="Arial" w:cs="Arial"/>
          <w:szCs w:val="24"/>
        </w:rPr>
        <w:t>l</w:t>
      </w:r>
      <w:r w:rsidR="00D74655" w:rsidRPr="00E70693">
        <w:rPr>
          <w:rFonts w:ascii="Arial" w:hAnsi="Arial" w:cs="Arial"/>
          <w:szCs w:val="24"/>
        </w:rPr>
        <w:t>os</w:t>
      </w:r>
      <w:r w:rsidR="00F04714" w:rsidRPr="00E70693">
        <w:rPr>
          <w:rFonts w:ascii="Arial" w:hAnsi="Arial" w:cs="Arial"/>
          <w:szCs w:val="24"/>
        </w:rPr>
        <w:t xml:space="preserve"> proyecto</w:t>
      </w:r>
      <w:r w:rsidR="00D74655" w:rsidRPr="00E70693">
        <w:rPr>
          <w:rFonts w:ascii="Arial" w:hAnsi="Arial" w:cs="Arial"/>
          <w:szCs w:val="24"/>
        </w:rPr>
        <w:t>s</w:t>
      </w:r>
      <w:r w:rsidR="00F04714" w:rsidRPr="00E70693">
        <w:rPr>
          <w:rFonts w:ascii="Arial" w:hAnsi="Arial" w:cs="Arial"/>
          <w:szCs w:val="24"/>
        </w:rPr>
        <w:t xml:space="preserve"> </w:t>
      </w:r>
      <w:r w:rsidRPr="00E70693">
        <w:rPr>
          <w:rFonts w:ascii="Arial" w:hAnsi="Arial" w:cs="Arial"/>
          <w:szCs w:val="24"/>
        </w:rPr>
        <w:t>comprendido</w:t>
      </w:r>
      <w:r w:rsidR="00D74655" w:rsidRPr="00E70693">
        <w:rPr>
          <w:rFonts w:ascii="Arial" w:hAnsi="Arial" w:cs="Arial"/>
          <w:szCs w:val="24"/>
        </w:rPr>
        <w:t>s</w:t>
      </w:r>
      <w:r w:rsidRPr="00E70693">
        <w:rPr>
          <w:rFonts w:ascii="Arial" w:hAnsi="Arial" w:cs="Arial"/>
          <w:szCs w:val="24"/>
        </w:rPr>
        <w:t xml:space="preserve"> en la operación </w:t>
      </w:r>
      <w:r w:rsidR="00FE226D" w:rsidRPr="00E70693">
        <w:rPr>
          <w:rFonts w:ascii="Arial" w:hAnsi="Arial" w:cs="Arial"/>
          <w:szCs w:val="24"/>
        </w:rPr>
        <w:t>NI-L1092</w:t>
      </w:r>
      <w:r w:rsidRPr="00E70693">
        <w:rPr>
          <w:rFonts w:ascii="Arial" w:hAnsi="Arial" w:cs="Arial"/>
          <w:szCs w:val="24"/>
        </w:rPr>
        <w:t>, se</w:t>
      </w:r>
      <w:r w:rsidR="00F04714" w:rsidRPr="00E70693">
        <w:rPr>
          <w:rFonts w:ascii="Arial" w:hAnsi="Arial" w:cs="Arial"/>
          <w:szCs w:val="24"/>
        </w:rPr>
        <w:t xml:space="preserve"> recomienda </w:t>
      </w:r>
      <w:r w:rsidR="00325547" w:rsidRPr="00E70693">
        <w:rPr>
          <w:rFonts w:ascii="Arial" w:hAnsi="Arial" w:cs="Arial"/>
          <w:szCs w:val="24"/>
        </w:rPr>
        <w:t>considerar los siguientes aspectos de implementación</w:t>
      </w:r>
      <w:r w:rsidR="00FA2C9A" w:rsidRPr="00E70693">
        <w:rPr>
          <w:rFonts w:ascii="Arial" w:hAnsi="Arial" w:cs="Arial"/>
        </w:rPr>
        <w:t>.</w:t>
      </w:r>
    </w:p>
    <w:p w:rsidR="00F04714" w:rsidRPr="00E70693" w:rsidRDefault="00F04714" w:rsidP="00F04714">
      <w:pPr>
        <w:pStyle w:val="ListParagraph"/>
        <w:numPr>
          <w:ilvl w:val="0"/>
          <w:numId w:val="15"/>
        </w:numPr>
        <w:spacing w:before="240" w:after="0" w:line="240" w:lineRule="auto"/>
        <w:contextualSpacing w:val="0"/>
        <w:jc w:val="both"/>
        <w:rPr>
          <w:rFonts w:ascii="Arial" w:hAnsi="Arial" w:cs="Arial"/>
          <w:sz w:val="24"/>
          <w:szCs w:val="24"/>
        </w:rPr>
      </w:pPr>
      <w:r w:rsidRPr="00E70693">
        <w:rPr>
          <w:rFonts w:ascii="Arial" w:hAnsi="Arial" w:cs="Arial"/>
          <w:sz w:val="24"/>
          <w:szCs w:val="24"/>
        </w:rPr>
        <w:t>Mantener vigente</w:t>
      </w:r>
      <w:r w:rsidR="001B4EAC" w:rsidRPr="00E70693">
        <w:rPr>
          <w:rFonts w:ascii="Arial" w:hAnsi="Arial" w:cs="Arial"/>
          <w:sz w:val="24"/>
          <w:szCs w:val="24"/>
        </w:rPr>
        <w:t xml:space="preserve"> para la operación </w:t>
      </w:r>
      <w:r w:rsidR="00FE226D" w:rsidRPr="00E70693">
        <w:rPr>
          <w:rFonts w:ascii="Arial" w:hAnsi="Arial" w:cs="Arial"/>
          <w:sz w:val="24"/>
          <w:szCs w:val="24"/>
        </w:rPr>
        <w:t>NI-L1092</w:t>
      </w:r>
      <w:r w:rsidRPr="00E70693">
        <w:rPr>
          <w:rFonts w:ascii="Arial" w:hAnsi="Arial" w:cs="Arial"/>
          <w:sz w:val="24"/>
          <w:szCs w:val="24"/>
        </w:rPr>
        <w:t xml:space="preserve"> el plan de fortalecimiento institucional comprendido en el Programa de Apoyo al Sector Transporte, incluyendo los aspectos funcionales establecidos en el Manual Operativo de dicho programa</w:t>
      </w:r>
      <w:r w:rsidRPr="00E70693">
        <w:rPr>
          <w:rFonts w:ascii="Arial" w:hAnsi="Arial" w:cs="Arial"/>
          <w:sz w:val="24"/>
          <w:szCs w:val="24"/>
          <w:lang w:val="es-ES_tradnl"/>
        </w:rPr>
        <w:t>.</w:t>
      </w:r>
    </w:p>
    <w:p w:rsidR="00F04714" w:rsidRPr="00E70693" w:rsidRDefault="001B4EAC" w:rsidP="00F04714">
      <w:pPr>
        <w:pStyle w:val="ListParagraph"/>
        <w:numPr>
          <w:ilvl w:val="0"/>
          <w:numId w:val="15"/>
        </w:numPr>
        <w:spacing w:before="240" w:after="0" w:line="240" w:lineRule="auto"/>
        <w:contextualSpacing w:val="0"/>
        <w:jc w:val="both"/>
        <w:rPr>
          <w:rFonts w:ascii="Arial" w:hAnsi="Arial" w:cs="Arial"/>
          <w:sz w:val="24"/>
          <w:szCs w:val="24"/>
        </w:rPr>
      </w:pPr>
      <w:r w:rsidRPr="00E70693">
        <w:rPr>
          <w:rFonts w:ascii="Arial" w:hAnsi="Arial" w:cs="Arial"/>
          <w:sz w:val="24"/>
          <w:szCs w:val="24"/>
          <w:lang w:val="es-ES_tradnl"/>
        </w:rPr>
        <w:t xml:space="preserve">Implementar en la operación </w:t>
      </w:r>
      <w:r w:rsidR="00FE226D" w:rsidRPr="00E70693">
        <w:rPr>
          <w:rFonts w:ascii="Arial" w:hAnsi="Arial" w:cs="Arial"/>
          <w:sz w:val="24"/>
          <w:szCs w:val="24"/>
          <w:lang w:val="es-ES_tradnl"/>
        </w:rPr>
        <w:t>NI-L1092</w:t>
      </w:r>
      <w:r w:rsidR="00F04714" w:rsidRPr="00E70693">
        <w:rPr>
          <w:rFonts w:ascii="Arial" w:hAnsi="Arial" w:cs="Arial"/>
          <w:sz w:val="24"/>
          <w:szCs w:val="24"/>
          <w:lang w:val="es-ES_tradnl"/>
        </w:rPr>
        <w:t xml:space="preserve"> la figura del Asesor Técnico permanente</w:t>
      </w:r>
      <w:r w:rsidRPr="00E70693">
        <w:rPr>
          <w:rFonts w:ascii="Arial" w:hAnsi="Arial" w:cs="Arial"/>
          <w:sz w:val="24"/>
          <w:szCs w:val="24"/>
          <w:lang w:val="es-ES_tradnl"/>
        </w:rPr>
        <w:t>,</w:t>
      </w:r>
      <w:r w:rsidR="00F04714" w:rsidRPr="00E70693">
        <w:rPr>
          <w:rFonts w:ascii="Arial" w:hAnsi="Arial" w:cs="Arial"/>
          <w:sz w:val="24"/>
          <w:szCs w:val="24"/>
          <w:lang w:val="es-ES_tradnl"/>
        </w:rPr>
        <w:t xml:space="preserve"> para brindar apoyo al MTI en la estructuración de los componentes </w:t>
      </w:r>
      <w:r w:rsidR="00AA6D06" w:rsidRPr="00E70693">
        <w:rPr>
          <w:rFonts w:ascii="Arial" w:hAnsi="Arial" w:cs="Arial"/>
          <w:sz w:val="24"/>
          <w:szCs w:val="24"/>
          <w:lang w:val="es-ES_tradnl"/>
        </w:rPr>
        <w:t>de</w:t>
      </w:r>
      <w:r w:rsidR="00D74655" w:rsidRPr="00E70693">
        <w:rPr>
          <w:rFonts w:ascii="Arial" w:hAnsi="Arial" w:cs="Arial"/>
          <w:sz w:val="24"/>
          <w:szCs w:val="24"/>
          <w:lang w:val="es-ES_tradnl"/>
        </w:rPr>
        <w:t xml:space="preserve"> </w:t>
      </w:r>
      <w:r w:rsidR="00AA6D06" w:rsidRPr="00E70693">
        <w:rPr>
          <w:rFonts w:ascii="Arial" w:hAnsi="Arial" w:cs="Arial"/>
          <w:sz w:val="24"/>
          <w:szCs w:val="24"/>
          <w:lang w:val="es-ES_tradnl"/>
        </w:rPr>
        <w:t>l</w:t>
      </w:r>
      <w:r w:rsidR="00D74655" w:rsidRPr="00E70693">
        <w:rPr>
          <w:rFonts w:ascii="Arial" w:hAnsi="Arial" w:cs="Arial"/>
          <w:sz w:val="24"/>
          <w:szCs w:val="24"/>
          <w:lang w:val="es-ES_tradnl"/>
        </w:rPr>
        <w:t>os</w:t>
      </w:r>
      <w:r w:rsidR="00AA6D06" w:rsidRPr="00E70693">
        <w:rPr>
          <w:rFonts w:ascii="Arial" w:hAnsi="Arial" w:cs="Arial"/>
          <w:sz w:val="24"/>
          <w:szCs w:val="24"/>
          <w:lang w:val="es-ES_tradnl"/>
        </w:rPr>
        <w:t xml:space="preserve"> proyecto</w:t>
      </w:r>
      <w:r w:rsidR="00D74655" w:rsidRPr="00E70693">
        <w:rPr>
          <w:rFonts w:ascii="Arial" w:hAnsi="Arial" w:cs="Arial"/>
          <w:sz w:val="24"/>
          <w:szCs w:val="24"/>
          <w:lang w:val="es-ES_tradnl"/>
        </w:rPr>
        <w:t>s</w:t>
      </w:r>
      <w:r w:rsidR="00AA6D06" w:rsidRPr="00E70693">
        <w:rPr>
          <w:rFonts w:ascii="Arial" w:hAnsi="Arial" w:cs="Arial"/>
          <w:sz w:val="24"/>
          <w:szCs w:val="24"/>
          <w:lang w:val="es-ES_tradnl"/>
        </w:rPr>
        <w:t xml:space="preserve"> y en </w:t>
      </w:r>
      <w:r w:rsidR="00F04714" w:rsidRPr="00E70693">
        <w:rPr>
          <w:rFonts w:ascii="Arial" w:hAnsi="Arial" w:cs="Arial"/>
          <w:sz w:val="24"/>
          <w:szCs w:val="24"/>
          <w:lang w:val="es-ES_tradnl"/>
        </w:rPr>
        <w:t>la revisión de los diseños</w:t>
      </w:r>
      <w:r w:rsidRPr="00E70693">
        <w:rPr>
          <w:rFonts w:ascii="Arial" w:hAnsi="Arial" w:cs="Arial"/>
          <w:sz w:val="24"/>
          <w:szCs w:val="24"/>
          <w:lang w:val="es-ES_tradnl"/>
        </w:rPr>
        <w:t>,</w:t>
      </w:r>
      <w:r w:rsidR="00F04714" w:rsidRPr="00E70693">
        <w:rPr>
          <w:rFonts w:ascii="Arial" w:hAnsi="Arial" w:cs="Arial"/>
          <w:sz w:val="24"/>
          <w:szCs w:val="24"/>
          <w:lang w:val="es-ES_tradnl"/>
        </w:rPr>
        <w:t xml:space="preserve"> así c</w:t>
      </w:r>
      <w:r w:rsidR="00AA6D06" w:rsidRPr="00E70693">
        <w:rPr>
          <w:rFonts w:ascii="Arial" w:hAnsi="Arial" w:cs="Arial"/>
          <w:sz w:val="24"/>
          <w:szCs w:val="24"/>
          <w:lang w:val="es-ES_tradnl"/>
        </w:rPr>
        <w:t>omo su</w:t>
      </w:r>
      <w:r w:rsidR="00F04714" w:rsidRPr="00E70693">
        <w:rPr>
          <w:rFonts w:ascii="Arial" w:hAnsi="Arial" w:cs="Arial"/>
          <w:sz w:val="24"/>
          <w:szCs w:val="24"/>
          <w:lang w:val="es-ES_tradnl"/>
        </w:rPr>
        <w:t xml:space="preserve"> asesoramiento experto durante todo el proceso de licitación, administración de contratos y recepción de las obras</w:t>
      </w:r>
      <w:r w:rsidR="00AA6D06" w:rsidRPr="00E70693">
        <w:rPr>
          <w:rFonts w:ascii="Arial" w:hAnsi="Arial" w:cs="Arial"/>
          <w:sz w:val="24"/>
          <w:szCs w:val="24"/>
          <w:lang w:val="es-ES_tradnl"/>
        </w:rPr>
        <w:t>.</w:t>
      </w:r>
    </w:p>
    <w:p w:rsidR="00AA6D06" w:rsidRPr="00E70693" w:rsidRDefault="00AA6D06" w:rsidP="00AA6D06">
      <w:pPr>
        <w:spacing w:before="240"/>
        <w:ind w:left="709"/>
        <w:jc w:val="center"/>
        <w:rPr>
          <w:rFonts w:ascii="Arial" w:hAnsi="Arial" w:cs="Arial"/>
          <w:b/>
        </w:rPr>
      </w:pPr>
      <w:r w:rsidRPr="00E70693">
        <w:rPr>
          <w:rFonts w:ascii="Arial" w:hAnsi="Arial" w:cs="Arial"/>
          <w:b/>
        </w:rPr>
        <w:t>……………………………………</w:t>
      </w:r>
    </w:p>
    <w:p w:rsidR="00C62B11" w:rsidRPr="00E70693" w:rsidRDefault="00C62B11" w:rsidP="00AA6D06">
      <w:pPr>
        <w:spacing w:before="240"/>
        <w:ind w:left="709"/>
        <w:jc w:val="center"/>
        <w:rPr>
          <w:rFonts w:ascii="Arial" w:hAnsi="Arial" w:cs="Arial"/>
          <w:b/>
        </w:rPr>
        <w:sectPr w:rsidR="00C62B11" w:rsidRPr="00E70693">
          <w:pgSz w:w="11906" w:h="16838"/>
          <w:pgMar w:top="1440" w:right="1440" w:bottom="1440" w:left="1440" w:header="720" w:footer="720" w:gutter="0"/>
          <w:cols w:space="720"/>
          <w:docGrid w:linePitch="360"/>
        </w:sectPr>
      </w:pPr>
    </w:p>
    <w:p w:rsidR="00D2672F" w:rsidRPr="00E70693" w:rsidRDefault="00D2672F" w:rsidP="00AA6D06">
      <w:pPr>
        <w:spacing w:before="240"/>
        <w:ind w:left="709"/>
        <w:jc w:val="center"/>
        <w:rPr>
          <w:rFonts w:ascii="Arial" w:hAnsi="Arial" w:cs="Arial"/>
          <w:b/>
        </w:rPr>
      </w:pPr>
    </w:p>
    <w:p w:rsidR="000F759B" w:rsidRPr="00E70693" w:rsidRDefault="000F759B" w:rsidP="00AA6D06">
      <w:pPr>
        <w:spacing w:before="240"/>
        <w:ind w:left="709"/>
        <w:jc w:val="center"/>
        <w:rPr>
          <w:rFonts w:ascii="Arial" w:hAnsi="Arial" w:cs="Arial"/>
          <w:b/>
          <w:sz w:val="28"/>
          <w:szCs w:val="28"/>
        </w:rPr>
      </w:pPr>
    </w:p>
    <w:p w:rsidR="000F759B" w:rsidRPr="00E70693" w:rsidRDefault="000F759B" w:rsidP="00AA6D06">
      <w:pPr>
        <w:spacing w:before="240"/>
        <w:ind w:left="709"/>
        <w:jc w:val="center"/>
        <w:rPr>
          <w:rFonts w:ascii="Arial" w:hAnsi="Arial" w:cs="Arial"/>
          <w:b/>
          <w:sz w:val="28"/>
          <w:szCs w:val="28"/>
        </w:rPr>
      </w:pPr>
    </w:p>
    <w:p w:rsidR="000F759B" w:rsidRPr="00E70693" w:rsidRDefault="000F759B" w:rsidP="00AA6D06">
      <w:pPr>
        <w:spacing w:before="240"/>
        <w:ind w:left="709"/>
        <w:jc w:val="center"/>
        <w:rPr>
          <w:rFonts w:ascii="Arial" w:hAnsi="Arial" w:cs="Arial"/>
          <w:b/>
          <w:sz w:val="28"/>
          <w:szCs w:val="28"/>
        </w:rPr>
      </w:pPr>
    </w:p>
    <w:p w:rsidR="000F759B" w:rsidRPr="00E70693" w:rsidRDefault="000F759B" w:rsidP="00AA6D06">
      <w:pPr>
        <w:spacing w:before="240"/>
        <w:ind w:left="709"/>
        <w:jc w:val="center"/>
        <w:rPr>
          <w:rFonts w:ascii="Arial" w:hAnsi="Arial" w:cs="Arial"/>
          <w:b/>
          <w:sz w:val="28"/>
          <w:szCs w:val="28"/>
        </w:rPr>
      </w:pPr>
    </w:p>
    <w:p w:rsidR="000F759B" w:rsidRPr="00E70693" w:rsidRDefault="000F759B" w:rsidP="00AA6D06">
      <w:pPr>
        <w:spacing w:before="240"/>
        <w:ind w:left="709"/>
        <w:jc w:val="center"/>
        <w:rPr>
          <w:rFonts w:ascii="Arial" w:hAnsi="Arial" w:cs="Arial"/>
          <w:b/>
          <w:sz w:val="28"/>
          <w:szCs w:val="28"/>
        </w:rPr>
      </w:pPr>
    </w:p>
    <w:p w:rsidR="000F759B" w:rsidRPr="00E70693" w:rsidRDefault="000F759B" w:rsidP="00AA6D06">
      <w:pPr>
        <w:spacing w:before="240"/>
        <w:ind w:left="709"/>
        <w:jc w:val="center"/>
        <w:rPr>
          <w:rFonts w:ascii="Arial" w:hAnsi="Arial" w:cs="Arial"/>
          <w:b/>
          <w:sz w:val="28"/>
          <w:szCs w:val="28"/>
        </w:rPr>
      </w:pPr>
    </w:p>
    <w:bookmarkStart w:id="44" w:name="_Toc422154442"/>
    <w:p w:rsidR="000F759B" w:rsidRPr="00E70693" w:rsidRDefault="006223FB" w:rsidP="006223FB">
      <w:pPr>
        <w:pStyle w:val="Heading1"/>
        <w:numPr>
          <w:ilvl w:val="0"/>
          <w:numId w:val="0"/>
        </w:numPr>
        <w:ind w:left="720"/>
        <w:jc w:val="center"/>
        <w:rPr>
          <w:rFonts w:ascii="Arial" w:hAnsi="Arial" w:cs="Arial"/>
        </w:rPr>
        <w:sectPr w:rsidR="000F759B" w:rsidRPr="00E70693">
          <w:pgSz w:w="11906" w:h="16838"/>
          <w:pgMar w:top="1440" w:right="1440" w:bottom="1440" w:left="1440" w:header="720" w:footer="720" w:gutter="0"/>
          <w:cols w:space="720"/>
          <w:docGrid w:linePitch="360"/>
        </w:sectPr>
      </w:pPr>
      <w:r>
        <w:rPr>
          <w:rFonts w:ascii="Arial" w:hAnsi="Arial" w:cs="Arial"/>
        </w:rPr>
        <w:fldChar w:fldCharType="begin"/>
      </w:r>
      <w:r>
        <w:rPr>
          <w:rFonts w:ascii="Arial" w:hAnsi="Arial" w:cs="Arial"/>
        </w:rPr>
        <w:instrText xml:space="preserve"> HYPERLINK "PCDOCS://IDBDOCS/39716746/R" </w:instrText>
      </w:r>
      <w:r>
        <w:rPr>
          <w:rFonts w:ascii="Arial" w:hAnsi="Arial" w:cs="Arial"/>
        </w:rPr>
      </w:r>
      <w:r>
        <w:rPr>
          <w:rFonts w:ascii="Arial" w:hAnsi="Arial" w:cs="Arial"/>
        </w:rPr>
        <w:fldChar w:fldCharType="separate"/>
      </w:r>
      <w:r w:rsidR="000F759B" w:rsidRPr="006223FB">
        <w:rPr>
          <w:rStyle w:val="Hyperlink"/>
          <w:rFonts w:ascii="Arial" w:hAnsi="Arial" w:cs="Arial"/>
        </w:rPr>
        <w:t>Anexo: Análisis y Exper</w:t>
      </w:r>
      <w:r w:rsidR="000F759B" w:rsidRPr="006223FB">
        <w:rPr>
          <w:rStyle w:val="Hyperlink"/>
          <w:rFonts w:ascii="Arial" w:hAnsi="Arial" w:cs="Arial"/>
        </w:rPr>
        <w:t>i</w:t>
      </w:r>
      <w:r w:rsidR="000F759B" w:rsidRPr="006223FB">
        <w:rPr>
          <w:rStyle w:val="Hyperlink"/>
          <w:rFonts w:ascii="Arial" w:hAnsi="Arial" w:cs="Arial"/>
        </w:rPr>
        <w:t>encia en Diseño</w:t>
      </w:r>
      <w:r w:rsidRPr="006223FB">
        <w:rPr>
          <w:rStyle w:val="Hyperlink"/>
          <w:rFonts w:ascii="Arial" w:hAnsi="Arial" w:cs="Arial"/>
        </w:rPr>
        <w:t>-</w:t>
      </w:r>
      <w:r w:rsidR="000F759B" w:rsidRPr="006223FB">
        <w:rPr>
          <w:rStyle w:val="Hyperlink"/>
          <w:rFonts w:ascii="Arial" w:hAnsi="Arial" w:cs="Arial"/>
        </w:rPr>
        <w:t xml:space="preserve">Construcción del </w:t>
      </w:r>
      <w:r w:rsidRPr="006223FB">
        <w:rPr>
          <w:rStyle w:val="Hyperlink"/>
          <w:rFonts w:ascii="Arial" w:hAnsi="Arial" w:cs="Arial"/>
        </w:rPr>
        <w:t>MTI</w:t>
      </w:r>
      <w:bookmarkEnd w:id="44"/>
      <w:r>
        <w:rPr>
          <w:rFonts w:ascii="Arial" w:hAnsi="Arial" w:cs="Arial"/>
        </w:rPr>
        <w:fldChar w:fldCharType="end"/>
      </w:r>
    </w:p>
    <w:p w:rsidR="00D2672F" w:rsidRPr="00E70693" w:rsidRDefault="00D2672F" w:rsidP="000F759B">
      <w:pPr>
        <w:spacing w:before="240"/>
        <w:jc w:val="center"/>
        <w:rPr>
          <w:rFonts w:ascii="Arial" w:hAnsi="Arial" w:cs="Arial"/>
          <w:b/>
        </w:rPr>
      </w:pPr>
    </w:p>
    <w:p w:rsidR="000F759B" w:rsidRPr="00E70693" w:rsidRDefault="000F759B" w:rsidP="000F759B">
      <w:pPr>
        <w:spacing w:before="240"/>
        <w:jc w:val="center"/>
        <w:rPr>
          <w:rFonts w:ascii="Arial" w:hAnsi="Arial" w:cs="Arial"/>
          <w:b/>
        </w:rPr>
      </w:pPr>
    </w:p>
    <w:p w:rsidR="000F759B" w:rsidRPr="00E70693" w:rsidRDefault="000F759B" w:rsidP="000F759B">
      <w:pPr>
        <w:spacing w:before="240"/>
        <w:jc w:val="center"/>
        <w:rPr>
          <w:rFonts w:ascii="Arial" w:hAnsi="Arial" w:cs="Arial"/>
          <w:b/>
        </w:rPr>
      </w:pPr>
    </w:p>
    <w:p w:rsidR="000F759B" w:rsidRPr="00E70693" w:rsidRDefault="000F759B" w:rsidP="000F759B">
      <w:pPr>
        <w:spacing w:before="240"/>
        <w:jc w:val="center"/>
        <w:rPr>
          <w:rFonts w:ascii="Arial" w:hAnsi="Arial" w:cs="Arial"/>
          <w:b/>
        </w:rPr>
      </w:pPr>
    </w:p>
    <w:p w:rsidR="000F759B" w:rsidRPr="00E70693" w:rsidRDefault="000F759B" w:rsidP="000F759B">
      <w:pPr>
        <w:spacing w:before="240"/>
        <w:jc w:val="center"/>
        <w:rPr>
          <w:rFonts w:ascii="Arial" w:hAnsi="Arial" w:cs="Arial"/>
          <w:b/>
        </w:rPr>
      </w:pPr>
    </w:p>
    <w:p w:rsidR="000F759B" w:rsidRPr="00E70693" w:rsidRDefault="000F759B" w:rsidP="000F759B">
      <w:pPr>
        <w:spacing w:before="240"/>
        <w:jc w:val="center"/>
        <w:rPr>
          <w:rFonts w:ascii="Arial" w:hAnsi="Arial" w:cs="Arial"/>
          <w:b/>
        </w:rPr>
      </w:pPr>
    </w:p>
    <w:p w:rsidR="000F759B" w:rsidRPr="00E70693" w:rsidRDefault="000F759B" w:rsidP="000F759B">
      <w:pPr>
        <w:spacing w:before="240"/>
        <w:jc w:val="center"/>
        <w:rPr>
          <w:rFonts w:ascii="Arial" w:hAnsi="Arial" w:cs="Arial"/>
          <w:b/>
        </w:rPr>
      </w:pPr>
    </w:p>
    <w:p w:rsidR="000F759B" w:rsidRPr="00E70693" w:rsidRDefault="000F759B" w:rsidP="00AA6D06">
      <w:pPr>
        <w:spacing w:before="240"/>
        <w:ind w:left="709"/>
        <w:jc w:val="center"/>
        <w:rPr>
          <w:rFonts w:ascii="Arial" w:hAnsi="Arial" w:cs="Arial"/>
          <w:b/>
        </w:rPr>
      </w:pPr>
    </w:p>
    <w:sectPr w:rsidR="000F759B" w:rsidRPr="00E7069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C6" w:rsidRDefault="00F10EC6" w:rsidP="004D0B85">
      <w:r>
        <w:separator/>
      </w:r>
    </w:p>
  </w:endnote>
  <w:endnote w:type="continuationSeparator" w:id="0">
    <w:p w:rsidR="00F10EC6" w:rsidRDefault="00F10EC6" w:rsidP="004D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925973"/>
      <w:docPartObj>
        <w:docPartGallery w:val="Page Numbers (Bottom of Page)"/>
        <w:docPartUnique/>
      </w:docPartObj>
    </w:sdtPr>
    <w:sdtEndPr/>
    <w:sdtContent>
      <w:p w:rsidR="00714F17" w:rsidRDefault="00714F17">
        <w:pPr>
          <w:pStyle w:val="Footer"/>
          <w:jc w:val="right"/>
        </w:pPr>
        <w:r>
          <w:fldChar w:fldCharType="begin"/>
        </w:r>
        <w:r>
          <w:instrText>PAGE   \* MERGEFORMAT</w:instrText>
        </w:r>
        <w:r>
          <w:fldChar w:fldCharType="separate"/>
        </w:r>
        <w:r w:rsidR="007C5160" w:rsidRPr="007C5160">
          <w:rPr>
            <w:noProof/>
            <w:lang w:val="es-ES"/>
          </w:rPr>
          <w:t>1</w:t>
        </w:r>
        <w:r>
          <w:fldChar w:fldCharType="end"/>
        </w:r>
      </w:p>
    </w:sdtContent>
  </w:sdt>
  <w:p w:rsidR="00714F17" w:rsidRDefault="00714F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342421"/>
      <w:docPartObj>
        <w:docPartGallery w:val="Page Numbers (Bottom of Page)"/>
        <w:docPartUnique/>
      </w:docPartObj>
    </w:sdtPr>
    <w:sdtEndPr/>
    <w:sdtContent>
      <w:p w:rsidR="00714F17" w:rsidRDefault="00714F17">
        <w:pPr>
          <w:pStyle w:val="Footer"/>
          <w:jc w:val="right"/>
        </w:pPr>
        <w:r>
          <w:fldChar w:fldCharType="begin"/>
        </w:r>
        <w:r>
          <w:instrText>PAGE   \* MERGEFORMAT</w:instrText>
        </w:r>
        <w:r>
          <w:fldChar w:fldCharType="separate"/>
        </w:r>
        <w:r w:rsidRPr="005E2984">
          <w:rPr>
            <w:noProof/>
            <w:lang w:val="es-ES"/>
          </w:rPr>
          <w:t>1</w:t>
        </w:r>
        <w:r>
          <w:fldChar w:fldCharType="end"/>
        </w:r>
      </w:p>
    </w:sdtContent>
  </w:sdt>
  <w:p w:rsidR="00714F17" w:rsidRDefault="00714F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17" w:rsidRDefault="00714F17">
    <w:pPr>
      <w:pStyle w:val="Footer"/>
      <w:jc w:val="center"/>
    </w:pPr>
  </w:p>
  <w:p w:rsidR="00714F17" w:rsidRDefault="00714F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986449"/>
      <w:docPartObj>
        <w:docPartGallery w:val="Page Numbers (Bottom of Page)"/>
        <w:docPartUnique/>
      </w:docPartObj>
    </w:sdtPr>
    <w:sdtEndPr/>
    <w:sdtContent>
      <w:p w:rsidR="00714F17" w:rsidRDefault="00714F17">
        <w:pPr>
          <w:pStyle w:val="Footer"/>
          <w:jc w:val="center"/>
        </w:pPr>
        <w:r>
          <w:fldChar w:fldCharType="begin"/>
        </w:r>
        <w:r>
          <w:instrText>PAGE   \* MERGEFORMAT</w:instrText>
        </w:r>
        <w:r>
          <w:fldChar w:fldCharType="separate"/>
        </w:r>
        <w:r w:rsidR="00E70693" w:rsidRPr="00E70693">
          <w:rPr>
            <w:noProof/>
            <w:lang w:val="es-ES"/>
          </w:rPr>
          <w:t>1</w:t>
        </w:r>
        <w:r>
          <w:fldChar w:fldCharType="end"/>
        </w:r>
      </w:p>
    </w:sdtContent>
  </w:sdt>
  <w:p w:rsidR="00714F17" w:rsidRDefault="00714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C6" w:rsidRDefault="00F10EC6" w:rsidP="004D0B85">
      <w:r>
        <w:separator/>
      </w:r>
    </w:p>
  </w:footnote>
  <w:footnote w:type="continuationSeparator" w:id="0">
    <w:p w:rsidR="00F10EC6" w:rsidRDefault="00F10EC6" w:rsidP="004D0B85">
      <w:r>
        <w:continuationSeparator/>
      </w:r>
    </w:p>
  </w:footnote>
  <w:footnote w:id="1">
    <w:p w:rsidR="00714F17" w:rsidRPr="00DF3FFF" w:rsidRDefault="00714F17" w:rsidP="00714F17">
      <w:pPr>
        <w:pStyle w:val="FootnoteText"/>
        <w:ind w:left="142" w:hanging="142"/>
        <w:jc w:val="both"/>
        <w:rPr>
          <w:sz w:val="18"/>
          <w:szCs w:val="18"/>
          <w:lang w:val="es-PY"/>
        </w:rPr>
      </w:pPr>
      <w:r w:rsidRPr="00DF3FFF">
        <w:rPr>
          <w:rStyle w:val="FootnoteReference"/>
          <w:sz w:val="18"/>
          <w:szCs w:val="18"/>
        </w:rPr>
        <w:footnoteRef/>
      </w:r>
      <w:r w:rsidRPr="00DF3FFF">
        <w:rPr>
          <w:sz w:val="18"/>
          <w:szCs w:val="18"/>
        </w:rPr>
        <w:t xml:space="preserve"> </w:t>
      </w:r>
      <w:r w:rsidRPr="00DF3FFF">
        <w:rPr>
          <w:sz w:val="18"/>
          <w:szCs w:val="18"/>
          <w:lang w:val="es-PY"/>
        </w:rPr>
        <w:t xml:space="preserve"> </w:t>
      </w:r>
      <w:r w:rsidRPr="00DF3FFF">
        <w:rPr>
          <w:sz w:val="18"/>
          <w:szCs w:val="18"/>
        </w:rPr>
        <w:t>La Ley No. 854 Ley de reforma parcial a la Constitución Política de la Republica de Nicaragua, publicada en el diario oficial La Gaceta, en su edición número 26, del 10 de febrero 2014, en su Artículo Cuadragésimo Séptimo sobre la  Modificaciones generales, dice: En los artículos: 11, 49, 89, 90, 121, 175, 181 y 197, y en los nombres del Capítulo VI del Título IV y del Capítulo II del Título IX de la Constitución Política de la República de Nicaragua, </w:t>
      </w:r>
      <w:r w:rsidRPr="00DF3FFF">
        <w:rPr>
          <w:b/>
          <w:bCs/>
          <w:sz w:val="18"/>
          <w:szCs w:val="18"/>
        </w:rPr>
        <w:t>donde se lee "Costa Atlántica", debe leerse "Costa Caribe"</w:t>
      </w:r>
      <w:r w:rsidRPr="00DF3FFF">
        <w:rPr>
          <w:sz w:val="18"/>
          <w:szCs w:val="18"/>
        </w:rPr>
        <w:t>. Toda </w:t>
      </w:r>
      <w:r w:rsidRPr="00DF3FFF">
        <w:rPr>
          <w:b/>
          <w:bCs/>
          <w:sz w:val="18"/>
          <w:szCs w:val="18"/>
        </w:rPr>
        <w:t>referencia a "Costa Atlántica"</w:t>
      </w:r>
      <w:r w:rsidRPr="00DF3FFF">
        <w:rPr>
          <w:sz w:val="18"/>
          <w:szCs w:val="18"/>
        </w:rPr>
        <w:t> en la Legislación, deberá leerse como "Costa Caribe".</w:t>
      </w:r>
    </w:p>
  </w:footnote>
  <w:footnote w:id="2">
    <w:p w:rsidR="00714F17" w:rsidRPr="001B0603" w:rsidRDefault="00714F17" w:rsidP="00DF3FFF">
      <w:pPr>
        <w:pStyle w:val="FootnoteText"/>
        <w:ind w:left="142" w:hanging="142"/>
        <w:jc w:val="both"/>
        <w:rPr>
          <w:sz w:val="18"/>
          <w:szCs w:val="18"/>
        </w:rPr>
      </w:pPr>
      <w:r w:rsidRPr="001B0603">
        <w:rPr>
          <w:rStyle w:val="FootnoteReference"/>
          <w:sz w:val="18"/>
          <w:szCs w:val="18"/>
        </w:rPr>
        <w:footnoteRef/>
      </w:r>
      <w:r w:rsidRPr="001B0603">
        <w:rPr>
          <w:sz w:val="18"/>
          <w:szCs w:val="18"/>
        </w:rPr>
        <w:t xml:space="preserve"> </w:t>
      </w:r>
      <w:r>
        <w:rPr>
          <w:sz w:val="18"/>
          <w:szCs w:val="18"/>
        </w:rPr>
        <w:tab/>
      </w:r>
      <w:r w:rsidRPr="001B0603">
        <w:rPr>
          <w:sz w:val="18"/>
          <w:szCs w:val="18"/>
        </w:rPr>
        <w:t>En algunos proyectos se incluye la estructura de costo de la ejecución del contrato de obra, que fueron pagados en moneda local; para su conversión a dólares americanos se utilizó la tasa de cambio promedio entre la fecha de inicio y la fecha de conclusión.</w:t>
      </w:r>
    </w:p>
  </w:footnote>
  <w:footnote w:id="3">
    <w:p w:rsidR="00714F17" w:rsidRPr="001B0603" w:rsidRDefault="00714F17" w:rsidP="001B0603">
      <w:pPr>
        <w:pStyle w:val="FootnoteText"/>
        <w:ind w:left="142" w:hanging="142"/>
        <w:rPr>
          <w:sz w:val="18"/>
          <w:szCs w:val="18"/>
        </w:rPr>
      </w:pPr>
      <w:r w:rsidRPr="001B0603">
        <w:rPr>
          <w:rStyle w:val="FootnoteReference"/>
          <w:sz w:val="18"/>
          <w:szCs w:val="18"/>
        </w:rPr>
        <w:footnoteRef/>
      </w:r>
      <w:r w:rsidRPr="001B0603">
        <w:rPr>
          <w:sz w:val="18"/>
          <w:szCs w:val="18"/>
        </w:rPr>
        <w:t xml:space="preserve"> El auditor técnico es una figura incorporada en dicho préstamo para acompañar a los organismos ejecutores en la revisión de diseños y ejecución de las obras dando aval a etapas críticas de los  procesos. </w:t>
      </w:r>
    </w:p>
  </w:footnote>
  <w:footnote w:id="4">
    <w:p w:rsidR="000F759B" w:rsidRPr="000F759B" w:rsidRDefault="000F759B" w:rsidP="000F759B">
      <w:pPr>
        <w:pStyle w:val="FootnoteText"/>
        <w:ind w:left="142" w:hanging="142"/>
        <w:rPr>
          <w:sz w:val="18"/>
          <w:szCs w:val="18"/>
          <w:lang w:val="es-PY"/>
        </w:rPr>
      </w:pPr>
      <w:r w:rsidRPr="000F759B">
        <w:rPr>
          <w:rStyle w:val="FootnoteReference"/>
          <w:sz w:val="18"/>
          <w:szCs w:val="18"/>
        </w:rPr>
        <w:footnoteRef/>
      </w:r>
      <w:r w:rsidRPr="000F759B">
        <w:rPr>
          <w:sz w:val="18"/>
          <w:szCs w:val="18"/>
        </w:rPr>
        <w:t xml:space="preserve"> </w:t>
      </w:r>
      <w:r>
        <w:rPr>
          <w:sz w:val="18"/>
          <w:szCs w:val="18"/>
        </w:rPr>
        <w:tab/>
      </w:r>
      <w:r w:rsidRPr="000F759B">
        <w:rPr>
          <w:sz w:val="18"/>
          <w:szCs w:val="18"/>
          <w:lang w:val="es-PY"/>
        </w:rPr>
        <w:t xml:space="preserve">En el Anexo a este documento se incluye un </w:t>
      </w:r>
      <w:r w:rsidRPr="000F759B">
        <w:rPr>
          <w:i/>
          <w:sz w:val="18"/>
          <w:szCs w:val="18"/>
          <w:lang w:val="es-PY"/>
        </w:rPr>
        <w:t xml:space="preserve">Análisis y Experiencia </w:t>
      </w:r>
      <w:r>
        <w:rPr>
          <w:i/>
          <w:sz w:val="18"/>
          <w:szCs w:val="18"/>
          <w:lang w:val="es-PY"/>
        </w:rPr>
        <w:t xml:space="preserve">en </w:t>
      </w:r>
      <w:r w:rsidRPr="000F759B">
        <w:rPr>
          <w:i/>
          <w:sz w:val="18"/>
          <w:szCs w:val="18"/>
          <w:lang w:val="es-PY"/>
        </w:rPr>
        <w:t xml:space="preserve">Diseño &amp; Construcción </w:t>
      </w:r>
      <w:r>
        <w:rPr>
          <w:i/>
          <w:sz w:val="18"/>
          <w:szCs w:val="18"/>
          <w:lang w:val="es-PY"/>
        </w:rPr>
        <w:t>d</w:t>
      </w:r>
      <w:r w:rsidRPr="000F759B">
        <w:rPr>
          <w:i/>
          <w:sz w:val="18"/>
          <w:szCs w:val="18"/>
          <w:lang w:val="es-PY"/>
        </w:rPr>
        <w:t>el Sector Transporte en Nicaragua</w:t>
      </w:r>
      <w:r w:rsidRPr="000F759B">
        <w:rPr>
          <w:sz w:val="18"/>
          <w:szCs w:val="18"/>
          <w:lang w:val="es-PY"/>
        </w:rPr>
        <w:t>.</w:t>
      </w:r>
    </w:p>
  </w:footnote>
  <w:footnote w:id="5">
    <w:p w:rsidR="00714F17" w:rsidRPr="00DF3FFF" w:rsidRDefault="00714F17" w:rsidP="00DF3FFF">
      <w:pPr>
        <w:pStyle w:val="FootnoteText"/>
        <w:ind w:left="142" w:hanging="142"/>
        <w:rPr>
          <w:sz w:val="18"/>
          <w:szCs w:val="18"/>
          <w:lang w:val="es-PY"/>
        </w:rPr>
      </w:pPr>
      <w:r w:rsidRPr="00DF3FFF">
        <w:rPr>
          <w:rStyle w:val="FootnoteReference"/>
          <w:sz w:val="18"/>
          <w:szCs w:val="18"/>
        </w:rPr>
        <w:footnoteRef/>
      </w:r>
      <w:r w:rsidRPr="00DF3FFF">
        <w:rPr>
          <w:sz w:val="18"/>
          <w:szCs w:val="18"/>
        </w:rPr>
        <w:t xml:space="preserve"> </w:t>
      </w:r>
      <w:r>
        <w:rPr>
          <w:sz w:val="18"/>
          <w:szCs w:val="18"/>
        </w:rPr>
        <w:tab/>
      </w:r>
      <w:r w:rsidRPr="00DF3FFF">
        <w:rPr>
          <w:sz w:val="18"/>
          <w:szCs w:val="18"/>
        </w:rPr>
        <w:t>LPI N° 005-2014</w:t>
      </w:r>
      <w:r w:rsidRPr="00DF3FFF">
        <w:rPr>
          <w:sz w:val="18"/>
          <w:szCs w:val="18"/>
          <w:lang w:val="es-PY"/>
        </w:rPr>
        <w:t xml:space="preserve"> “</w:t>
      </w:r>
      <w:r w:rsidRPr="00DF3FFF">
        <w:rPr>
          <w:sz w:val="18"/>
          <w:szCs w:val="18"/>
        </w:rPr>
        <w:t>Mejoramiento de la carretera Rio Blanco-</w:t>
      </w:r>
      <w:proofErr w:type="spellStart"/>
      <w:r w:rsidRPr="00DF3FFF">
        <w:rPr>
          <w:sz w:val="18"/>
          <w:szCs w:val="18"/>
        </w:rPr>
        <w:t>Mulukuku</w:t>
      </w:r>
      <w:proofErr w:type="spellEnd"/>
      <w:r w:rsidRPr="00DF3FFF">
        <w:rPr>
          <w:sz w:val="18"/>
          <w:szCs w:val="18"/>
        </w:rPr>
        <w:t xml:space="preserve">” </w:t>
      </w:r>
      <w:proofErr w:type="spellStart"/>
      <w:r w:rsidRPr="00DF3FFF">
        <w:rPr>
          <w:sz w:val="18"/>
          <w:szCs w:val="18"/>
        </w:rPr>
        <w:t>Est</w:t>
      </w:r>
      <w:proofErr w:type="spellEnd"/>
      <w:r w:rsidRPr="00DF3FFF">
        <w:rPr>
          <w:sz w:val="18"/>
          <w:szCs w:val="18"/>
        </w:rPr>
        <w:t>. 203+250 a 257+223 (39 Km),</w:t>
      </w:r>
      <w:r w:rsidRPr="00DF3FFF">
        <w:rPr>
          <w:i/>
          <w:sz w:val="18"/>
          <w:szCs w:val="18"/>
        </w:rPr>
        <w:t xml:space="preserve"> </w:t>
      </w:r>
      <w:r w:rsidRPr="00DF3FFF">
        <w:rPr>
          <w:sz w:val="18"/>
          <w:szCs w:val="18"/>
        </w:rPr>
        <w:t>Contrato de Préstamo BCIE No. 2121.</w:t>
      </w:r>
    </w:p>
  </w:footnote>
  <w:footnote w:id="6">
    <w:p w:rsidR="00714F17" w:rsidRPr="00DF3FFF" w:rsidRDefault="00714F17" w:rsidP="00DF3FFF">
      <w:pPr>
        <w:pStyle w:val="FootnoteText"/>
        <w:ind w:left="142" w:hanging="142"/>
        <w:rPr>
          <w:sz w:val="18"/>
          <w:szCs w:val="18"/>
        </w:rPr>
      </w:pPr>
      <w:r w:rsidRPr="00DF3FFF">
        <w:rPr>
          <w:rStyle w:val="FootnoteReference"/>
          <w:sz w:val="18"/>
          <w:szCs w:val="18"/>
        </w:rPr>
        <w:footnoteRef/>
      </w:r>
      <w:r w:rsidRPr="00DF3FFF">
        <w:rPr>
          <w:sz w:val="18"/>
          <w:szCs w:val="18"/>
        </w:rPr>
        <w:t xml:space="preserve"> </w:t>
      </w:r>
      <w:r>
        <w:rPr>
          <w:sz w:val="18"/>
          <w:szCs w:val="18"/>
        </w:rPr>
        <w:tab/>
      </w:r>
      <w:r w:rsidRPr="00DF3FFF">
        <w:rPr>
          <w:sz w:val="18"/>
          <w:szCs w:val="18"/>
        </w:rPr>
        <w:t xml:space="preserve">Diseño de Ingeniería del Camino Naciones Unidas-Bluefields, tramo 1: ICC Consultores y tramo 2: TEC y </w:t>
      </w:r>
      <w:proofErr w:type="spellStart"/>
      <w:r w:rsidRPr="00DF3FFF">
        <w:rPr>
          <w:sz w:val="18"/>
          <w:szCs w:val="18"/>
        </w:rPr>
        <w:t>Cía</w:t>
      </w:r>
      <w:proofErr w:type="spellEnd"/>
      <w:r w:rsidRPr="00DF3FFF">
        <w:rPr>
          <w:sz w:val="18"/>
          <w:szCs w:val="18"/>
        </w:rPr>
        <w:t>, Fondos de Contravalor del Gobierno del Japón (2012)</w:t>
      </w:r>
      <w:r>
        <w:rPr>
          <w:sz w:val="18"/>
          <w:szCs w:val="18"/>
        </w:rPr>
        <w:t>.</w:t>
      </w:r>
    </w:p>
  </w:footnote>
  <w:footnote w:id="7">
    <w:p w:rsidR="00714F17" w:rsidRPr="000500BE" w:rsidRDefault="00714F17" w:rsidP="000500BE">
      <w:pPr>
        <w:pStyle w:val="FootnoteText"/>
        <w:ind w:left="142" w:hanging="142"/>
        <w:jc w:val="both"/>
        <w:rPr>
          <w:sz w:val="18"/>
          <w:szCs w:val="18"/>
          <w:lang w:val="es-PY"/>
        </w:rPr>
      </w:pPr>
      <w:r w:rsidRPr="000500BE">
        <w:rPr>
          <w:rStyle w:val="FootnoteReference"/>
          <w:sz w:val="18"/>
          <w:szCs w:val="18"/>
        </w:rPr>
        <w:footnoteRef/>
      </w:r>
      <w:r w:rsidRPr="000500BE">
        <w:rPr>
          <w:sz w:val="18"/>
          <w:szCs w:val="18"/>
        </w:rPr>
        <w:t xml:space="preserve"> </w:t>
      </w:r>
      <w:r>
        <w:rPr>
          <w:sz w:val="18"/>
          <w:szCs w:val="18"/>
        </w:rPr>
        <w:tab/>
      </w:r>
      <w:r w:rsidRPr="000500BE">
        <w:rPr>
          <w:sz w:val="18"/>
          <w:szCs w:val="18"/>
        </w:rPr>
        <w:t xml:space="preserve">Fuente: </w:t>
      </w:r>
      <w:r w:rsidRPr="000500BE">
        <w:rPr>
          <w:sz w:val="18"/>
          <w:szCs w:val="18"/>
          <w:lang w:val="es-PY"/>
        </w:rPr>
        <w:t>Documento de Solicitud de Financiamiento para la Estabilización de Zonas Inestables en el Corredor de Transporte Río Blanco</w:t>
      </w:r>
      <w:r>
        <w:rPr>
          <w:sz w:val="18"/>
          <w:szCs w:val="18"/>
          <w:lang w:val="es-PY"/>
        </w:rPr>
        <w:t>-</w:t>
      </w:r>
      <w:proofErr w:type="spellStart"/>
      <w:r w:rsidRPr="000500BE">
        <w:rPr>
          <w:sz w:val="18"/>
          <w:szCs w:val="18"/>
          <w:lang w:val="es-PY"/>
        </w:rPr>
        <w:t>Siuna</w:t>
      </w:r>
      <w:proofErr w:type="spellEnd"/>
      <w:r>
        <w:rPr>
          <w:sz w:val="18"/>
          <w:szCs w:val="18"/>
          <w:lang w:val="es-PY"/>
        </w:rPr>
        <w:t>-</w:t>
      </w:r>
      <w:r w:rsidRPr="000500BE">
        <w:rPr>
          <w:sz w:val="18"/>
          <w:szCs w:val="18"/>
          <w:lang w:val="es-PY"/>
        </w:rPr>
        <w:t>Puerto Cabezas. 2225/BL-NI. MTI, junio-2012.</w:t>
      </w:r>
    </w:p>
  </w:footnote>
  <w:footnote w:id="8">
    <w:p w:rsidR="00714F17" w:rsidRPr="000500BE" w:rsidRDefault="00714F17" w:rsidP="000500BE">
      <w:pPr>
        <w:pStyle w:val="FootnoteText"/>
        <w:ind w:left="142" w:hanging="142"/>
        <w:jc w:val="both"/>
        <w:rPr>
          <w:sz w:val="18"/>
          <w:szCs w:val="18"/>
          <w:lang w:val="es-PY"/>
        </w:rPr>
      </w:pPr>
      <w:r w:rsidRPr="000500BE">
        <w:rPr>
          <w:rStyle w:val="FootnoteReference"/>
          <w:sz w:val="18"/>
          <w:szCs w:val="18"/>
        </w:rPr>
        <w:footnoteRef/>
      </w:r>
      <w:r w:rsidRPr="000500BE">
        <w:rPr>
          <w:sz w:val="18"/>
          <w:szCs w:val="18"/>
        </w:rPr>
        <w:t xml:space="preserve"> </w:t>
      </w:r>
      <w:r>
        <w:rPr>
          <w:sz w:val="18"/>
          <w:szCs w:val="18"/>
        </w:rPr>
        <w:tab/>
      </w:r>
      <w:r w:rsidRPr="000500BE">
        <w:rPr>
          <w:sz w:val="18"/>
          <w:szCs w:val="18"/>
        </w:rPr>
        <w:t xml:space="preserve">Fuente: SEPA Nicaragua Banco Mundial, CR 5028-NI </w:t>
      </w:r>
      <w:r>
        <w:rPr>
          <w:sz w:val="18"/>
          <w:szCs w:val="18"/>
        </w:rPr>
        <w:t>y</w:t>
      </w:r>
      <w:r w:rsidRPr="000500BE">
        <w:rPr>
          <w:sz w:val="18"/>
          <w:szCs w:val="18"/>
        </w:rPr>
        <w:t xml:space="preserve"> H7440-NI-NI Proyecto de Mejoramiento de Infraestructura Vial Rural.</w:t>
      </w:r>
      <w:r>
        <w:rPr>
          <w:sz w:val="18"/>
          <w:szCs w:val="18"/>
        </w:rPr>
        <w:t xml:space="preserve"> Proyecto: “</w:t>
      </w:r>
      <w:r w:rsidRPr="00B407FB">
        <w:rPr>
          <w:sz w:val="18"/>
          <w:szCs w:val="18"/>
        </w:rPr>
        <w:t>Construcción del Camino Rio Blanco-</w:t>
      </w:r>
      <w:proofErr w:type="spellStart"/>
      <w:r w:rsidRPr="00B407FB">
        <w:rPr>
          <w:sz w:val="18"/>
          <w:szCs w:val="18"/>
        </w:rPr>
        <w:t>Mulukuk</w:t>
      </w:r>
      <w:r>
        <w:rPr>
          <w:sz w:val="18"/>
          <w:szCs w:val="18"/>
        </w:rPr>
        <w:t>ú</w:t>
      </w:r>
      <w:proofErr w:type="spellEnd"/>
      <w:r w:rsidRPr="00B407FB">
        <w:rPr>
          <w:sz w:val="18"/>
          <w:szCs w:val="18"/>
        </w:rPr>
        <w:t xml:space="preserve"> con Concreto Hidráulico</w:t>
      </w:r>
      <w:r>
        <w:rPr>
          <w:sz w:val="18"/>
          <w:szCs w:val="18"/>
        </w:rPr>
        <w:t>” (Contratado US$ 3.307.</w:t>
      </w:r>
      <w:r w:rsidRPr="00DF3FFF">
        <w:rPr>
          <w:sz w:val="18"/>
          <w:szCs w:val="18"/>
        </w:rPr>
        <w:t>525</w:t>
      </w:r>
      <w:r>
        <w:rPr>
          <w:sz w:val="18"/>
          <w:szCs w:val="18"/>
        </w:rPr>
        <w:t>).</w:t>
      </w:r>
    </w:p>
  </w:footnote>
  <w:footnote w:id="9">
    <w:p w:rsidR="00714F17" w:rsidRPr="000500BE" w:rsidRDefault="00714F17" w:rsidP="000500BE">
      <w:pPr>
        <w:pStyle w:val="FootnoteText"/>
        <w:ind w:left="142" w:hanging="142"/>
        <w:jc w:val="both"/>
        <w:rPr>
          <w:sz w:val="18"/>
          <w:szCs w:val="18"/>
          <w:lang w:val="es-PY"/>
        </w:rPr>
      </w:pPr>
      <w:r w:rsidRPr="000500BE">
        <w:rPr>
          <w:rStyle w:val="FootnoteReference"/>
          <w:sz w:val="18"/>
          <w:szCs w:val="18"/>
        </w:rPr>
        <w:footnoteRef/>
      </w:r>
      <w:r w:rsidRPr="000500BE">
        <w:rPr>
          <w:sz w:val="18"/>
          <w:szCs w:val="18"/>
          <w:lang w:val="es-PY"/>
        </w:rPr>
        <w:t xml:space="preserve"> </w:t>
      </w:r>
      <w:r>
        <w:rPr>
          <w:sz w:val="18"/>
          <w:szCs w:val="18"/>
          <w:lang w:val="es-PY"/>
        </w:rPr>
        <w:tab/>
      </w:r>
      <w:r w:rsidRPr="000500BE">
        <w:rPr>
          <w:sz w:val="18"/>
          <w:szCs w:val="18"/>
        </w:rPr>
        <w:t xml:space="preserve">Estudios realizados citados por el MTI: (i) Estudio de Alineamiento de la Vía Nueva Guinea-Bluefields, </w:t>
      </w:r>
      <w:proofErr w:type="spellStart"/>
      <w:r w:rsidRPr="000500BE">
        <w:rPr>
          <w:sz w:val="18"/>
          <w:szCs w:val="18"/>
        </w:rPr>
        <w:t>Ayestas</w:t>
      </w:r>
      <w:proofErr w:type="spellEnd"/>
      <w:r w:rsidRPr="000500BE">
        <w:rPr>
          <w:sz w:val="18"/>
          <w:szCs w:val="18"/>
        </w:rPr>
        <w:t xml:space="preserve"> Ingenieros Consultores (1992); (ii) Estudio de Factibilidad Nueva Guinea-Bluefields, </w:t>
      </w:r>
      <w:proofErr w:type="spellStart"/>
      <w:r w:rsidRPr="000500BE">
        <w:rPr>
          <w:sz w:val="18"/>
          <w:szCs w:val="18"/>
        </w:rPr>
        <w:t>Roughton</w:t>
      </w:r>
      <w:proofErr w:type="spellEnd"/>
      <w:r w:rsidRPr="000500BE">
        <w:rPr>
          <w:sz w:val="18"/>
          <w:szCs w:val="18"/>
        </w:rPr>
        <w:t xml:space="preserve"> </w:t>
      </w:r>
      <w:proofErr w:type="spellStart"/>
      <w:r w:rsidRPr="000500BE">
        <w:rPr>
          <w:sz w:val="18"/>
          <w:szCs w:val="18"/>
        </w:rPr>
        <w:t>Intl</w:t>
      </w:r>
      <w:proofErr w:type="spellEnd"/>
      <w:r w:rsidRPr="000500BE">
        <w:rPr>
          <w:sz w:val="18"/>
          <w:szCs w:val="18"/>
        </w:rPr>
        <w:t xml:space="preserve">. DANIDA (2005); (iii) Evaluación Ambiental y Social Regional, Cabal SA-Carl </w:t>
      </w:r>
      <w:proofErr w:type="spellStart"/>
      <w:r w:rsidRPr="000500BE">
        <w:rPr>
          <w:sz w:val="18"/>
          <w:szCs w:val="18"/>
        </w:rPr>
        <w:t>Bro</w:t>
      </w:r>
      <w:proofErr w:type="spellEnd"/>
      <w:r w:rsidRPr="000500BE">
        <w:rPr>
          <w:sz w:val="18"/>
          <w:szCs w:val="18"/>
        </w:rPr>
        <w:t xml:space="preserve">. Banco Mundial (2005); (iv) Estudio de Factibilidad y Diseño del Adoquinado del Camino Nueva Guinea-Naciones Unidas, Banco Mundial (2006); y (v) Diseño de Ingeniería del Camino Naciones Unidas-Bluefields, tramo 1: ICC Consultores y tramo 2: TEC y </w:t>
      </w:r>
      <w:proofErr w:type="spellStart"/>
      <w:r w:rsidRPr="000500BE">
        <w:rPr>
          <w:sz w:val="18"/>
          <w:szCs w:val="18"/>
        </w:rPr>
        <w:t>Cía</w:t>
      </w:r>
      <w:proofErr w:type="spellEnd"/>
      <w:r w:rsidRPr="000500BE">
        <w:rPr>
          <w:sz w:val="18"/>
          <w:szCs w:val="18"/>
        </w:rPr>
        <w:t xml:space="preserve">, Fondos de Contravalor del Gobierno del Japón (2012). </w:t>
      </w:r>
    </w:p>
  </w:footnote>
  <w:footnote w:id="10">
    <w:p w:rsidR="00714F17" w:rsidRPr="000500BE" w:rsidRDefault="00714F17" w:rsidP="000500BE">
      <w:pPr>
        <w:pStyle w:val="FootnoteText"/>
        <w:ind w:left="142" w:hanging="142"/>
        <w:jc w:val="both"/>
        <w:rPr>
          <w:sz w:val="18"/>
          <w:szCs w:val="18"/>
          <w:lang w:val="es-PY"/>
        </w:rPr>
      </w:pPr>
      <w:r w:rsidRPr="000500BE">
        <w:rPr>
          <w:rStyle w:val="FootnoteReference"/>
          <w:sz w:val="18"/>
          <w:szCs w:val="18"/>
        </w:rPr>
        <w:footnoteRef/>
      </w:r>
      <w:r w:rsidRPr="000500BE">
        <w:rPr>
          <w:sz w:val="18"/>
          <w:szCs w:val="18"/>
          <w:lang w:val="es-PY"/>
        </w:rPr>
        <w:t xml:space="preserve"> Fuente: Presentación del Proyecto “Mejoramiento del Camino Rural Naciones Unidas-Bluefields (74,2 km)”, MTI, 30 de abril de 2014.</w:t>
      </w:r>
    </w:p>
  </w:footnote>
  <w:footnote w:id="11">
    <w:p w:rsidR="00714F17" w:rsidRPr="000500BE" w:rsidRDefault="00714F17" w:rsidP="000500BE">
      <w:pPr>
        <w:pStyle w:val="FootnoteText"/>
        <w:ind w:left="142" w:hanging="142"/>
        <w:jc w:val="both"/>
        <w:rPr>
          <w:sz w:val="18"/>
          <w:szCs w:val="18"/>
          <w:lang w:val="es-PY"/>
        </w:rPr>
      </w:pPr>
      <w:r w:rsidRPr="000500BE">
        <w:rPr>
          <w:rStyle w:val="FootnoteReference"/>
          <w:sz w:val="18"/>
          <w:szCs w:val="18"/>
        </w:rPr>
        <w:footnoteRef/>
      </w:r>
      <w:r w:rsidRPr="000500BE">
        <w:rPr>
          <w:sz w:val="18"/>
          <w:szCs w:val="18"/>
        </w:rPr>
        <w:t xml:space="preserve"> Fuente: SEPA Nicaragua Banco Mundial, Contrato de Préstamo N° 4736-NI.</w:t>
      </w:r>
    </w:p>
  </w:footnote>
  <w:footnote w:id="12">
    <w:p w:rsidR="00714F17" w:rsidRPr="00DF3FFF" w:rsidRDefault="00714F17" w:rsidP="00DF3FFF">
      <w:pPr>
        <w:pStyle w:val="FootnoteText"/>
        <w:ind w:left="142" w:hanging="142"/>
        <w:rPr>
          <w:sz w:val="18"/>
          <w:szCs w:val="18"/>
          <w:lang w:val="es-PY"/>
        </w:rPr>
      </w:pPr>
      <w:r w:rsidRPr="00DF3FFF">
        <w:rPr>
          <w:rStyle w:val="FootnoteReference"/>
          <w:sz w:val="18"/>
          <w:szCs w:val="18"/>
        </w:rPr>
        <w:footnoteRef/>
      </w:r>
      <w:r w:rsidRPr="00DF3FFF">
        <w:rPr>
          <w:sz w:val="18"/>
          <w:szCs w:val="18"/>
        </w:rPr>
        <w:t xml:space="preserve"> </w:t>
      </w:r>
      <w:r w:rsidRPr="00DF3FFF">
        <w:rPr>
          <w:sz w:val="18"/>
          <w:szCs w:val="18"/>
          <w:lang w:val="es-PY"/>
        </w:rPr>
        <w:t xml:space="preserve">Fuente: SEPA </w:t>
      </w:r>
      <w:r w:rsidRPr="00B407FB">
        <w:rPr>
          <w:sz w:val="18"/>
          <w:szCs w:val="18"/>
        </w:rPr>
        <w:t>Nicaragua Banco Mundial, Contrato de Préstamo N° H983-0-NI CR 5533-NI</w:t>
      </w:r>
      <w:r>
        <w:rPr>
          <w:sz w:val="18"/>
          <w:szCs w:val="18"/>
        </w:rPr>
        <w:t xml:space="preserve"> </w:t>
      </w:r>
      <w:r w:rsidRPr="00B407FB">
        <w:rPr>
          <w:sz w:val="18"/>
          <w:szCs w:val="18"/>
        </w:rPr>
        <w:t>Financiamiento Adicional para el Proyecto de Mejoramiento de Infraestructura Vial Rural</w:t>
      </w:r>
      <w:r>
        <w:rPr>
          <w:sz w:val="18"/>
          <w:szCs w:val="18"/>
        </w:rPr>
        <w:t>. Proyecto: “</w:t>
      </w:r>
      <w:r w:rsidRPr="00DF3FFF">
        <w:rPr>
          <w:sz w:val="18"/>
          <w:szCs w:val="18"/>
        </w:rPr>
        <w:t>Mejoramiento del Camino Bluefields - San Francisco (26.5 Km)</w:t>
      </w:r>
      <w:r>
        <w:rPr>
          <w:sz w:val="18"/>
          <w:szCs w:val="18"/>
        </w:rPr>
        <w:t xml:space="preserve">” (Estimado US$ </w:t>
      </w:r>
      <w:r w:rsidRPr="00B407FB">
        <w:rPr>
          <w:sz w:val="18"/>
          <w:szCs w:val="18"/>
        </w:rPr>
        <w:t>26</w:t>
      </w:r>
      <w:r>
        <w:rPr>
          <w:sz w:val="18"/>
          <w:szCs w:val="18"/>
        </w:rPr>
        <w:t>.</w:t>
      </w:r>
      <w:r w:rsidRPr="00B407FB">
        <w:rPr>
          <w:sz w:val="18"/>
          <w:szCs w:val="18"/>
        </w:rPr>
        <w:t>500</w:t>
      </w:r>
      <w:r>
        <w:rPr>
          <w:sz w:val="18"/>
          <w:szCs w:val="18"/>
        </w:rPr>
        <w:t>.</w:t>
      </w:r>
      <w:r w:rsidRPr="00B407FB">
        <w:rPr>
          <w:sz w:val="18"/>
          <w:szCs w:val="18"/>
        </w:rPr>
        <w:t>000</w:t>
      </w:r>
      <w:r>
        <w:rPr>
          <w:sz w:val="18"/>
          <w:szCs w:val="18"/>
        </w:rPr>
        <w:t>).</w:t>
      </w:r>
    </w:p>
  </w:footnote>
  <w:footnote w:id="13">
    <w:p w:rsidR="00714F17" w:rsidRPr="00DF3FFF" w:rsidRDefault="00714F17" w:rsidP="00714F17">
      <w:pPr>
        <w:pStyle w:val="FootnoteText"/>
        <w:ind w:left="142" w:hanging="142"/>
        <w:rPr>
          <w:sz w:val="18"/>
          <w:szCs w:val="18"/>
          <w:lang w:val="es-PY"/>
        </w:rPr>
      </w:pPr>
      <w:r w:rsidRPr="00DF3FFF">
        <w:rPr>
          <w:rStyle w:val="FootnoteReference"/>
          <w:sz w:val="18"/>
          <w:szCs w:val="18"/>
        </w:rPr>
        <w:footnoteRef/>
      </w:r>
      <w:r w:rsidRPr="00DF3FFF">
        <w:rPr>
          <w:sz w:val="18"/>
          <w:szCs w:val="18"/>
        </w:rPr>
        <w:t xml:space="preserve"> </w:t>
      </w:r>
      <w:r w:rsidRPr="00DF3FFF">
        <w:rPr>
          <w:sz w:val="18"/>
          <w:szCs w:val="18"/>
          <w:lang w:val="es-PY"/>
        </w:rPr>
        <w:t xml:space="preserve">SISCAE: </w:t>
      </w:r>
      <w:r w:rsidRPr="00DF3FFF">
        <w:rPr>
          <w:sz w:val="18"/>
          <w:szCs w:val="18"/>
        </w:rPr>
        <w:t xml:space="preserve">Sistema de Contrataciones Administrativas Electrónicas. </w:t>
      </w:r>
      <w:hyperlink r:id="rId1" w:history="1">
        <w:r w:rsidRPr="00DF3FFF">
          <w:rPr>
            <w:rStyle w:val="Hyperlink"/>
            <w:sz w:val="18"/>
            <w:szCs w:val="18"/>
          </w:rPr>
          <w:t>http://www.nicaraguacompra.gob.ni/</w:t>
        </w:r>
      </w:hyperlink>
      <w:r w:rsidRPr="00DF3FFF">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17" w:rsidRPr="00276C91" w:rsidRDefault="00714F17" w:rsidP="000701AD">
    <w:pPr>
      <w:pStyle w:val="Header"/>
      <w:jc w:val="cent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17" w:rsidRPr="00276C91" w:rsidRDefault="00714F17" w:rsidP="000701AD">
    <w:pPr>
      <w:pStyle w:val="Header"/>
      <w:jc w:val="center"/>
      <w:rPr>
        <w:szCs w:val="24"/>
      </w:rPr>
    </w:pPr>
    <w:r w:rsidRPr="00276C91">
      <w:rPr>
        <w:szCs w:val="24"/>
      </w:rPr>
      <w:fldChar w:fldCharType="begin"/>
    </w:r>
    <w:r w:rsidRPr="00276C91">
      <w:rPr>
        <w:szCs w:val="24"/>
      </w:rPr>
      <w:instrText xml:space="preserve"> PAGE </w:instrText>
    </w:r>
    <w:r w:rsidRPr="00276C91">
      <w:rPr>
        <w:szCs w:val="24"/>
      </w:rPr>
      <w:fldChar w:fldCharType="separate"/>
    </w:r>
    <w:r w:rsidR="00211E9D">
      <w:rPr>
        <w:noProof/>
        <w:szCs w:val="24"/>
      </w:rPr>
      <w:t>3</w:t>
    </w:r>
    <w:r w:rsidRPr="00276C91">
      <w:rPr>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17" w:rsidRDefault="00714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F8E"/>
    <w:multiLevelType w:val="hybridMultilevel"/>
    <w:tmpl w:val="D4E0548A"/>
    <w:lvl w:ilvl="0" w:tplc="4A0075A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103C34"/>
    <w:multiLevelType w:val="multilevel"/>
    <w:tmpl w:val="44F86BBE"/>
    <w:lvl w:ilvl="0">
      <w:start w:val="1"/>
      <w:numFmt w:val="decimal"/>
      <w:pStyle w:val="Heading1"/>
      <w:lvlText w:val="%1."/>
      <w:lvlJc w:val="left"/>
      <w:pPr>
        <w:ind w:left="720" w:hanging="360"/>
      </w:pPr>
      <w:rPr>
        <w:rFonts w:ascii="Times New Roman" w:hAnsi="Times New Roman" w:cs="Times New Roman" w:hint="default"/>
        <w:b/>
      </w:rPr>
    </w:lvl>
    <w:lvl w:ilvl="1">
      <w:start w:val="1"/>
      <w:numFmt w:val="decimal"/>
      <w:isLgl/>
      <w:lvlText w:val="%1.%2"/>
      <w:lvlJc w:val="left"/>
      <w:pPr>
        <w:ind w:left="1065" w:hanging="705"/>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C07B9F"/>
    <w:multiLevelType w:val="multilevel"/>
    <w:tmpl w:val="E0687900"/>
    <w:lvl w:ilvl="0">
      <w:start w:val="1"/>
      <w:numFmt w:val="decimal"/>
      <w:lvlText w:val="%1."/>
      <w:lvlJc w:val="left"/>
      <w:pPr>
        <w:tabs>
          <w:tab w:val="num" w:pos="705"/>
        </w:tabs>
        <w:ind w:left="705" w:hanging="705"/>
      </w:pPr>
      <w:rPr>
        <w:rFonts w:hint="default"/>
        <w:sz w:val="24"/>
        <w:szCs w:val="24"/>
      </w:rPr>
    </w:lvl>
    <w:lvl w:ilvl="1">
      <w:start w:val="1"/>
      <w:numFmt w:val="decimal"/>
      <w:isLg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8A35AB3"/>
    <w:multiLevelType w:val="hybridMultilevel"/>
    <w:tmpl w:val="2536F19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nsid w:val="1F88681D"/>
    <w:multiLevelType w:val="hybridMultilevel"/>
    <w:tmpl w:val="712E4F96"/>
    <w:lvl w:ilvl="0" w:tplc="EEA4894A">
      <w:start w:val="1"/>
      <w:numFmt w:val="bullet"/>
      <w:lvlText w:val="-"/>
      <w:lvlJc w:val="left"/>
      <w:pPr>
        <w:ind w:left="1069" w:hanging="360"/>
      </w:pPr>
      <w:rPr>
        <w:rFonts w:ascii="Times New Roman" w:eastAsia="Times New Roman" w:hAnsi="Times New Roman" w:cs="Times New Roman" w:hint="default"/>
        <w:b/>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5">
    <w:nsid w:val="26A12D95"/>
    <w:multiLevelType w:val="hybridMultilevel"/>
    <w:tmpl w:val="4A9CAF2C"/>
    <w:lvl w:ilvl="0" w:tplc="6B783302">
      <w:start w:val="1"/>
      <w:numFmt w:val="low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6">
    <w:nsid w:val="272502BB"/>
    <w:multiLevelType w:val="hybridMultilevel"/>
    <w:tmpl w:val="4A9CAF2C"/>
    <w:lvl w:ilvl="0" w:tplc="6B783302">
      <w:start w:val="1"/>
      <w:numFmt w:val="low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7">
    <w:nsid w:val="295B4E1C"/>
    <w:multiLevelType w:val="hybridMultilevel"/>
    <w:tmpl w:val="BAE69E8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8">
    <w:nsid w:val="31B94F4D"/>
    <w:multiLevelType w:val="hybridMultilevel"/>
    <w:tmpl w:val="4A9CAF2C"/>
    <w:lvl w:ilvl="0" w:tplc="6B783302">
      <w:start w:val="1"/>
      <w:numFmt w:val="low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9">
    <w:nsid w:val="3C2A66FC"/>
    <w:multiLevelType w:val="hybridMultilevel"/>
    <w:tmpl w:val="4DECB830"/>
    <w:lvl w:ilvl="0" w:tplc="4C0A0001">
      <w:start w:val="1"/>
      <w:numFmt w:val="bullet"/>
      <w:lvlText w:val=""/>
      <w:lvlJc w:val="left"/>
      <w:pPr>
        <w:ind w:left="1068" w:hanging="360"/>
      </w:pPr>
      <w:rPr>
        <w:rFonts w:ascii="Symbol" w:hAnsi="Symbol" w:hint="default"/>
      </w:rPr>
    </w:lvl>
    <w:lvl w:ilvl="1" w:tplc="4C0A0003" w:tentative="1">
      <w:start w:val="1"/>
      <w:numFmt w:val="bullet"/>
      <w:lvlText w:val="o"/>
      <w:lvlJc w:val="left"/>
      <w:pPr>
        <w:ind w:left="1788" w:hanging="360"/>
      </w:pPr>
      <w:rPr>
        <w:rFonts w:ascii="Courier New" w:hAnsi="Courier New" w:cs="Courier New" w:hint="default"/>
      </w:rPr>
    </w:lvl>
    <w:lvl w:ilvl="2" w:tplc="4C0A0005" w:tentative="1">
      <w:start w:val="1"/>
      <w:numFmt w:val="bullet"/>
      <w:lvlText w:val=""/>
      <w:lvlJc w:val="left"/>
      <w:pPr>
        <w:ind w:left="2508" w:hanging="360"/>
      </w:pPr>
      <w:rPr>
        <w:rFonts w:ascii="Wingdings" w:hAnsi="Wingdings" w:hint="default"/>
      </w:rPr>
    </w:lvl>
    <w:lvl w:ilvl="3" w:tplc="4C0A0001" w:tentative="1">
      <w:start w:val="1"/>
      <w:numFmt w:val="bullet"/>
      <w:lvlText w:val=""/>
      <w:lvlJc w:val="left"/>
      <w:pPr>
        <w:ind w:left="3228" w:hanging="360"/>
      </w:pPr>
      <w:rPr>
        <w:rFonts w:ascii="Symbol" w:hAnsi="Symbol" w:hint="default"/>
      </w:rPr>
    </w:lvl>
    <w:lvl w:ilvl="4" w:tplc="4C0A0003" w:tentative="1">
      <w:start w:val="1"/>
      <w:numFmt w:val="bullet"/>
      <w:lvlText w:val="o"/>
      <w:lvlJc w:val="left"/>
      <w:pPr>
        <w:ind w:left="3948" w:hanging="360"/>
      </w:pPr>
      <w:rPr>
        <w:rFonts w:ascii="Courier New" w:hAnsi="Courier New" w:cs="Courier New" w:hint="default"/>
      </w:rPr>
    </w:lvl>
    <w:lvl w:ilvl="5" w:tplc="4C0A0005" w:tentative="1">
      <w:start w:val="1"/>
      <w:numFmt w:val="bullet"/>
      <w:lvlText w:val=""/>
      <w:lvlJc w:val="left"/>
      <w:pPr>
        <w:ind w:left="4668" w:hanging="360"/>
      </w:pPr>
      <w:rPr>
        <w:rFonts w:ascii="Wingdings" w:hAnsi="Wingdings" w:hint="default"/>
      </w:rPr>
    </w:lvl>
    <w:lvl w:ilvl="6" w:tplc="4C0A0001" w:tentative="1">
      <w:start w:val="1"/>
      <w:numFmt w:val="bullet"/>
      <w:lvlText w:val=""/>
      <w:lvlJc w:val="left"/>
      <w:pPr>
        <w:ind w:left="5388" w:hanging="360"/>
      </w:pPr>
      <w:rPr>
        <w:rFonts w:ascii="Symbol" w:hAnsi="Symbol" w:hint="default"/>
      </w:rPr>
    </w:lvl>
    <w:lvl w:ilvl="7" w:tplc="4C0A0003" w:tentative="1">
      <w:start w:val="1"/>
      <w:numFmt w:val="bullet"/>
      <w:lvlText w:val="o"/>
      <w:lvlJc w:val="left"/>
      <w:pPr>
        <w:ind w:left="6108" w:hanging="360"/>
      </w:pPr>
      <w:rPr>
        <w:rFonts w:ascii="Courier New" w:hAnsi="Courier New" w:cs="Courier New" w:hint="default"/>
      </w:rPr>
    </w:lvl>
    <w:lvl w:ilvl="8" w:tplc="4C0A0005" w:tentative="1">
      <w:start w:val="1"/>
      <w:numFmt w:val="bullet"/>
      <w:lvlText w:val=""/>
      <w:lvlJc w:val="left"/>
      <w:pPr>
        <w:ind w:left="6828" w:hanging="360"/>
      </w:pPr>
      <w:rPr>
        <w:rFonts w:ascii="Wingdings" w:hAnsi="Wingdings" w:hint="default"/>
      </w:rPr>
    </w:lvl>
  </w:abstractNum>
  <w:abstractNum w:abstractNumId="10">
    <w:nsid w:val="42DE0704"/>
    <w:multiLevelType w:val="hybridMultilevel"/>
    <w:tmpl w:val="BDDC1B76"/>
    <w:lvl w:ilvl="0" w:tplc="CFF0DB2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611D07"/>
    <w:multiLevelType w:val="hybridMultilevel"/>
    <w:tmpl w:val="5C603986"/>
    <w:lvl w:ilvl="0" w:tplc="8DCE93FA">
      <w:start w:val="1"/>
      <w:numFmt w:val="lowerLetter"/>
      <w:lvlText w:val="%1)"/>
      <w:lvlJc w:val="left"/>
      <w:pPr>
        <w:ind w:left="1069" w:hanging="360"/>
      </w:pPr>
      <w:rPr>
        <w:rFonts w:hint="default"/>
      </w:rPr>
    </w:lvl>
    <w:lvl w:ilvl="1" w:tplc="3C0A0019" w:tentative="1">
      <w:start w:val="1"/>
      <w:numFmt w:val="lowerLetter"/>
      <w:lvlText w:val="%2."/>
      <w:lvlJc w:val="left"/>
      <w:pPr>
        <w:ind w:left="1789" w:hanging="360"/>
      </w:pPr>
    </w:lvl>
    <w:lvl w:ilvl="2" w:tplc="3C0A001B" w:tentative="1">
      <w:start w:val="1"/>
      <w:numFmt w:val="lowerRoman"/>
      <w:lvlText w:val="%3."/>
      <w:lvlJc w:val="right"/>
      <w:pPr>
        <w:ind w:left="2509" w:hanging="180"/>
      </w:pPr>
    </w:lvl>
    <w:lvl w:ilvl="3" w:tplc="3C0A000F" w:tentative="1">
      <w:start w:val="1"/>
      <w:numFmt w:val="decimal"/>
      <w:lvlText w:val="%4."/>
      <w:lvlJc w:val="left"/>
      <w:pPr>
        <w:ind w:left="3229" w:hanging="360"/>
      </w:pPr>
    </w:lvl>
    <w:lvl w:ilvl="4" w:tplc="3C0A0019" w:tentative="1">
      <w:start w:val="1"/>
      <w:numFmt w:val="lowerLetter"/>
      <w:lvlText w:val="%5."/>
      <w:lvlJc w:val="left"/>
      <w:pPr>
        <w:ind w:left="3949" w:hanging="360"/>
      </w:pPr>
    </w:lvl>
    <w:lvl w:ilvl="5" w:tplc="3C0A001B" w:tentative="1">
      <w:start w:val="1"/>
      <w:numFmt w:val="lowerRoman"/>
      <w:lvlText w:val="%6."/>
      <w:lvlJc w:val="right"/>
      <w:pPr>
        <w:ind w:left="4669" w:hanging="180"/>
      </w:pPr>
    </w:lvl>
    <w:lvl w:ilvl="6" w:tplc="3C0A000F" w:tentative="1">
      <w:start w:val="1"/>
      <w:numFmt w:val="decimal"/>
      <w:lvlText w:val="%7."/>
      <w:lvlJc w:val="left"/>
      <w:pPr>
        <w:ind w:left="5389" w:hanging="360"/>
      </w:pPr>
    </w:lvl>
    <w:lvl w:ilvl="7" w:tplc="3C0A0019" w:tentative="1">
      <w:start w:val="1"/>
      <w:numFmt w:val="lowerLetter"/>
      <w:lvlText w:val="%8."/>
      <w:lvlJc w:val="left"/>
      <w:pPr>
        <w:ind w:left="6109" w:hanging="360"/>
      </w:pPr>
    </w:lvl>
    <w:lvl w:ilvl="8" w:tplc="3C0A001B" w:tentative="1">
      <w:start w:val="1"/>
      <w:numFmt w:val="lowerRoman"/>
      <w:lvlText w:val="%9."/>
      <w:lvlJc w:val="right"/>
      <w:pPr>
        <w:ind w:left="6829" w:hanging="180"/>
      </w:pPr>
    </w:lvl>
  </w:abstractNum>
  <w:abstractNum w:abstractNumId="12">
    <w:nsid w:val="48E77E6F"/>
    <w:multiLevelType w:val="hybridMultilevel"/>
    <w:tmpl w:val="79308544"/>
    <w:lvl w:ilvl="0" w:tplc="DD5C9B0A">
      <w:start w:val="1"/>
      <w:numFmt w:val="lowerLetter"/>
      <w:lvlText w:val="%1)"/>
      <w:lvlJc w:val="left"/>
      <w:pPr>
        <w:ind w:left="1069" w:hanging="360"/>
      </w:pPr>
      <w:rPr>
        <w:rFonts w:hint="default"/>
      </w:rPr>
    </w:lvl>
    <w:lvl w:ilvl="1" w:tplc="3C0A0019" w:tentative="1">
      <w:start w:val="1"/>
      <w:numFmt w:val="lowerLetter"/>
      <w:lvlText w:val="%2."/>
      <w:lvlJc w:val="left"/>
      <w:pPr>
        <w:ind w:left="1789" w:hanging="360"/>
      </w:pPr>
    </w:lvl>
    <w:lvl w:ilvl="2" w:tplc="3C0A001B" w:tentative="1">
      <w:start w:val="1"/>
      <w:numFmt w:val="lowerRoman"/>
      <w:lvlText w:val="%3."/>
      <w:lvlJc w:val="right"/>
      <w:pPr>
        <w:ind w:left="2509" w:hanging="180"/>
      </w:pPr>
    </w:lvl>
    <w:lvl w:ilvl="3" w:tplc="3C0A000F" w:tentative="1">
      <w:start w:val="1"/>
      <w:numFmt w:val="decimal"/>
      <w:lvlText w:val="%4."/>
      <w:lvlJc w:val="left"/>
      <w:pPr>
        <w:ind w:left="3229" w:hanging="360"/>
      </w:pPr>
    </w:lvl>
    <w:lvl w:ilvl="4" w:tplc="3C0A0019" w:tentative="1">
      <w:start w:val="1"/>
      <w:numFmt w:val="lowerLetter"/>
      <w:lvlText w:val="%5."/>
      <w:lvlJc w:val="left"/>
      <w:pPr>
        <w:ind w:left="3949" w:hanging="360"/>
      </w:pPr>
    </w:lvl>
    <w:lvl w:ilvl="5" w:tplc="3C0A001B" w:tentative="1">
      <w:start w:val="1"/>
      <w:numFmt w:val="lowerRoman"/>
      <w:lvlText w:val="%6."/>
      <w:lvlJc w:val="right"/>
      <w:pPr>
        <w:ind w:left="4669" w:hanging="180"/>
      </w:pPr>
    </w:lvl>
    <w:lvl w:ilvl="6" w:tplc="3C0A000F" w:tentative="1">
      <w:start w:val="1"/>
      <w:numFmt w:val="decimal"/>
      <w:lvlText w:val="%7."/>
      <w:lvlJc w:val="left"/>
      <w:pPr>
        <w:ind w:left="5389" w:hanging="360"/>
      </w:pPr>
    </w:lvl>
    <w:lvl w:ilvl="7" w:tplc="3C0A0019" w:tentative="1">
      <w:start w:val="1"/>
      <w:numFmt w:val="lowerLetter"/>
      <w:lvlText w:val="%8."/>
      <w:lvlJc w:val="left"/>
      <w:pPr>
        <w:ind w:left="6109" w:hanging="360"/>
      </w:pPr>
    </w:lvl>
    <w:lvl w:ilvl="8" w:tplc="3C0A001B" w:tentative="1">
      <w:start w:val="1"/>
      <w:numFmt w:val="lowerRoman"/>
      <w:lvlText w:val="%9."/>
      <w:lvlJc w:val="right"/>
      <w:pPr>
        <w:ind w:left="6829" w:hanging="180"/>
      </w:pPr>
    </w:lvl>
  </w:abstractNum>
  <w:abstractNum w:abstractNumId="13">
    <w:nsid w:val="52346589"/>
    <w:multiLevelType w:val="hybridMultilevel"/>
    <w:tmpl w:val="1E502340"/>
    <w:lvl w:ilvl="0" w:tplc="9A5899E6">
      <w:start w:val="1"/>
      <w:numFmt w:val="lowerLetter"/>
      <w:lvlText w:val="%1)"/>
      <w:lvlJc w:val="left"/>
      <w:pPr>
        <w:ind w:left="1069" w:hanging="360"/>
      </w:pPr>
      <w:rPr>
        <w:rFonts w:hint="default"/>
        <w:b w:val="0"/>
      </w:rPr>
    </w:lvl>
    <w:lvl w:ilvl="1" w:tplc="3C0A0019" w:tentative="1">
      <w:start w:val="1"/>
      <w:numFmt w:val="lowerLetter"/>
      <w:lvlText w:val="%2."/>
      <w:lvlJc w:val="left"/>
      <w:pPr>
        <w:ind w:left="1789" w:hanging="360"/>
      </w:pPr>
    </w:lvl>
    <w:lvl w:ilvl="2" w:tplc="3C0A001B" w:tentative="1">
      <w:start w:val="1"/>
      <w:numFmt w:val="lowerRoman"/>
      <w:lvlText w:val="%3."/>
      <w:lvlJc w:val="right"/>
      <w:pPr>
        <w:ind w:left="2509" w:hanging="180"/>
      </w:pPr>
    </w:lvl>
    <w:lvl w:ilvl="3" w:tplc="3C0A000F" w:tentative="1">
      <w:start w:val="1"/>
      <w:numFmt w:val="decimal"/>
      <w:lvlText w:val="%4."/>
      <w:lvlJc w:val="left"/>
      <w:pPr>
        <w:ind w:left="3229" w:hanging="360"/>
      </w:pPr>
    </w:lvl>
    <w:lvl w:ilvl="4" w:tplc="3C0A0019" w:tentative="1">
      <w:start w:val="1"/>
      <w:numFmt w:val="lowerLetter"/>
      <w:lvlText w:val="%5."/>
      <w:lvlJc w:val="left"/>
      <w:pPr>
        <w:ind w:left="3949" w:hanging="360"/>
      </w:pPr>
    </w:lvl>
    <w:lvl w:ilvl="5" w:tplc="3C0A001B" w:tentative="1">
      <w:start w:val="1"/>
      <w:numFmt w:val="lowerRoman"/>
      <w:lvlText w:val="%6."/>
      <w:lvlJc w:val="right"/>
      <w:pPr>
        <w:ind w:left="4669" w:hanging="180"/>
      </w:pPr>
    </w:lvl>
    <w:lvl w:ilvl="6" w:tplc="3C0A000F" w:tentative="1">
      <w:start w:val="1"/>
      <w:numFmt w:val="decimal"/>
      <w:lvlText w:val="%7."/>
      <w:lvlJc w:val="left"/>
      <w:pPr>
        <w:ind w:left="5389" w:hanging="360"/>
      </w:pPr>
    </w:lvl>
    <w:lvl w:ilvl="7" w:tplc="3C0A0019" w:tentative="1">
      <w:start w:val="1"/>
      <w:numFmt w:val="lowerLetter"/>
      <w:lvlText w:val="%8."/>
      <w:lvlJc w:val="left"/>
      <w:pPr>
        <w:ind w:left="6109" w:hanging="360"/>
      </w:pPr>
    </w:lvl>
    <w:lvl w:ilvl="8" w:tplc="3C0A001B" w:tentative="1">
      <w:start w:val="1"/>
      <w:numFmt w:val="lowerRoman"/>
      <w:lvlText w:val="%9."/>
      <w:lvlJc w:val="right"/>
      <w:pPr>
        <w:ind w:left="6829" w:hanging="180"/>
      </w:pPr>
    </w:lvl>
  </w:abstractNum>
  <w:abstractNum w:abstractNumId="14">
    <w:nsid w:val="597646D4"/>
    <w:multiLevelType w:val="hybridMultilevel"/>
    <w:tmpl w:val="0C902B7A"/>
    <w:lvl w:ilvl="0" w:tplc="4A0075AE">
      <w:start w:val="1"/>
      <w:numFmt w:val="bullet"/>
      <w:lvlText w:val=""/>
      <w:lvlJc w:val="left"/>
      <w:pPr>
        <w:ind w:left="720" w:hanging="360"/>
      </w:pPr>
      <w:rPr>
        <w:rFonts w:ascii="Symbol" w:hAnsi="Symbol" w:hint="default"/>
      </w:rPr>
    </w:lvl>
    <w:lvl w:ilvl="1" w:tplc="080A0003">
      <w:start w:val="1"/>
      <w:numFmt w:val="lowerLetter"/>
      <w:lvlText w:val="%2)"/>
      <w:lvlJc w:val="left"/>
      <w:pPr>
        <w:ind w:left="1785" w:hanging="705"/>
      </w:pPr>
      <w:rPr>
        <w:rFonts w:hint="default"/>
      </w:r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5">
    <w:nsid w:val="5E0F1EA8"/>
    <w:multiLevelType w:val="hybridMultilevel"/>
    <w:tmpl w:val="F89C2AD4"/>
    <w:lvl w:ilvl="0" w:tplc="15081E48">
      <w:start w:val="1"/>
      <w:numFmt w:val="lowerLetter"/>
      <w:lvlText w:val="%1)"/>
      <w:lvlJc w:val="left"/>
      <w:pPr>
        <w:ind w:left="1069" w:hanging="360"/>
      </w:pPr>
      <w:rPr>
        <w:rFonts w:hint="default"/>
      </w:rPr>
    </w:lvl>
    <w:lvl w:ilvl="1" w:tplc="3C0A0019" w:tentative="1">
      <w:start w:val="1"/>
      <w:numFmt w:val="lowerLetter"/>
      <w:lvlText w:val="%2."/>
      <w:lvlJc w:val="left"/>
      <w:pPr>
        <w:ind w:left="1789" w:hanging="360"/>
      </w:pPr>
    </w:lvl>
    <w:lvl w:ilvl="2" w:tplc="3C0A001B" w:tentative="1">
      <w:start w:val="1"/>
      <w:numFmt w:val="lowerRoman"/>
      <w:lvlText w:val="%3."/>
      <w:lvlJc w:val="right"/>
      <w:pPr>
        <w:ind w:left="2509" w:hanging="180"/>
      </w:pPr>
    </w:lvl>
    <w:lvl w:ilvl="3" w:tplc="3C0A000F" w:tentative="1">
      <w:start w:val="1"/>
      <w:numFmt w:val="decimal"/>
      <w:lvlText w:val="%4."/>
      <w:lvlJc w:val="left"/>
      <w:pPr>
        <w:ind w:left="3229" w:hanging="360"/>
      </w:pPr>
    </w:lvl>
    <w:lvl w:ilvl="4" w:tplc="3C0A0019" w:tentative="1">
      <w:start w:val="1"/>
      <w:numFmt w:val="lowerLetter"/>
      <w:lvlText w:val="%5."/>
      <w:lvlJc w:val="left"/>
      <w:pPr>
        <w:ind w:left="3949" w:hanging="360"/>
      </w:pPr>
    </w:lvl>
    <w:lvl w:ilvl="5" w:tplc="3C0A001B" w:tentative="1">
      <w:start w:val="1"/>
      <w:numFmt w:val="lowerRoman"/>
      <w:lvlText w:val="%6."/>
      <w:lvlJc w:val="right"/>
      <w:pPr>
        <w:ind w:left="4669" w:hanging="180"/>
      </w:pPr>
    </w:lvl>
    <w:lvl w:ilvl="6" w:tplc="3C0A000F" w:tentative="1">
      <w:start w:val="1"/>
      <w:numFmt w:val="decimal"/>
      <w:lvlText w:val="%7."/>
      <w:lvlJc w:val="left"/>
      <w:pPr>
        <w:ind w:left="5389" w:hanging="360"/>
      </w:pPr>
    </w:lvl>
    <w:lvl w:ilvl="7" w:tplc="3C0A0019" w:tentative="1">
      <w:start w:val="1"/>
      <w:numFmt w:val="lowerLetter"/>
      <w:lvlText w:val="%8."/>
      <w:lvlJc w:val="left"/>
      <w:pPr>
        <w:ind w:left="6109" w:hanging="360"/>
      </w:pPr>
    </w:lvl>
    <w:lvl w:ilvl="8" w:tplc="3C0A001B" w:tentative="1">
      <w:start w:val="1"/>
      <w:numFmt w:val="lowerRoman"/>
      <w:lvlText w:val="%9."/>
      <w:lvlJc w:val="right"/>
      <w:pPr>
        <w:ind w:left="6829" w:hanging="180"/>
      </w:pPr>
    </w:lvl>
  </w:abstractNum>
  <w:abstractNum w:abstractNumId="16">
    <w:nsid w:val="6CBE0625"/>
    <w:multiLevelType w:val="hybridMultilevel"/>
    <w:tmpl w:val="79308544"/>
    <w:lvl w:ilvl="0" w:tplc="DD5C9B0A">
      <w:start w:val="1"/>
      <w:numFmt w:val="lowerLetter"/>
      <w:lvlText w:val="%1)"/>
      <w:lvlJc w:val="left"/>
      <w:pPr>
        <w:ind w:left="1069" w:hanging="360"/>
      </w:pPr>
      <w:rPr>
        <w:rFonts w:hint="default"/>
      </w:rPr>
    </w:lvl>
    <w:lvl w:ilvl="1" w:tplc="3C0A0019" w:tentative="1">
      <w:start w:val="1"/>
      <w:numFmt w:val="lowerLetter"/>
      <w:lvlText w:val="%2."/>
      <w:lvlJc w:val="left"/>
      <w:pPr>
        <w:ind w:left="1789" w:hanging="360"/>
      </w:pPr>
    </w:lvl>
    <w:lvl w:ilvl="2" w:tplc="3C0A001B" w:tentative="1">
      <w:start w:val="1"/>
      <w:numFmt w:val="lowerRoman"/>
      <w:lvlText w:val="%3."/>
      <w:lvlJc w:val="right"/>
      <w:pPr>
        <w:ind w:left="2509" w:hanging="180"/>
      </w:pPr>
    </w:lvl>
    <w:lvl w:ilvl="3" w:tplc="3C0A000F" w:tentative="1">
      <w:start w:val="1"/>
      <w:numFmt w:val="decimal"/>
      <w:lvlText w:val="%4."/>
      <w:lvlJc w:val="left"/>
      <w:pPr>
        <w:ind w:left="3229" w:hanging="360"/>
      </w:pPr>
    </w:lvl>
    <w:lvl w:ilvl="4" w:tplc="3C0A0019" w:tentative="1">
      <w:start w:val="1"/>
      <w:numFmt w:val="lowerLetter"/>
      <w:lvlText w:val="%5."/>
      <w:lvlJc w:val="left"/>
      <w:pPr>
        <w:ind w:left="3949" w:hanging="360"/>
      </w:pPr>
    </w:lvl>
    <w:lvl w:ilvl="5" w:tplc="3C0A001B" w:tentative="1">
      <w:start w:val="1"/>
      <w:numFmt w:val="lowerRoman"/>
      <w:lvlText w:val="%6."/>
      <w:lvlJc w:val="right"/>
      <w:pPr>
        <w:ind w:left="4669" w:hanging="180"/>
      </w:pPr>
    </w:lvl>
    <w:lvl w:ilvl="6" w:tplc="3C0A000F" w:tentative="1">
      <w:start w:val="1"/>
      <w:numFmt w:val="decimal"/>
      <w:lvlText w:val="%7."/>
      <w:lvlJc w:val="left"/>
      <w:pPr>
        <w:ind w:left="5389" w:hanging="360"/>
      </w:pPr>
    </w:lvl>
    <w:lvl w:ilvl="7" w:tplc="3C0A0019" w:tentative="1">
      <w:start w:val="1"/>
      <w:numFmt w:val="lowerLetter"/>
      <w:lvlText w:val="%8."/>
      <w:lvlJc w:val="left"/>
      <w:pPr>
        <w:ind w:left="6109" w:hanging="360"/>
      </w:pPr>
    </w:lvl>
    <w:lvl w:ilvl="8" w:tplc="3C0A001B" w:tentative="1">
      <w:start w:val="1"/>
      <w:numFmt w:val="lowerRoman"/>
      <w:lvlText w:val="%9."/>
      <w:lvlJc w:val="right"/>
      <w:pPr>
        <w:ind w:left="6829" w:hanging="180"/>
      </w:pPr>
    </w:lvl>
  </w:abstractNum>
  <w:abstractNum w:abstractNumId="17">
    <w:nsid w:val="6D7D1936"/>
    <w:multiLevelType w:val="hybridMultilevel"/>
    <w:tmpl w:val="9F306956"/>
    <w:lvl w:ilvl="0" w:tplc="080A0013">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E8B0B90"/>
    <w:multiLevelType w:val="multilevel"/>
    <w:tmpl w:val="234ECA84"/>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727F31E8"/>
    <w:multiLevelType w:val="hybridMultilevel"/>
    <w:tmpl w:val="9DD807C6"/>
    <w:lvl w:ilvl="0" w:tplc="8206B4AC">
      <w:start w:val="1"/>
      <w:numFmt w:val="lowerLetter"/>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8"/>
  </w:num>
  <w:num w:numId="5">
    <w:abstractNumId w:val="11"/>
  </w:num>
  <w:num w:numId="6">
    <w:abstractNumId w:val="5"/>
  </w:num>
  <w:num w:numId="7">
    <w:abstractNumId w:val="18"/>
  </w:num>
  <w:num w:numId="8">
    <w:abstractNumId w:val="14"/>
  </w:num>
  <w:num w:numId="9">
    <w:abstractNumId w:val="10"/>
  </w:num>
  <w:num w:numId="10">
    <w:abstractNumId w:val="0"/>
  </w:num>
  <w:num w:numId="11">
    <w:abstractNumId w:val="17"/>
  </w:num>
  <w:num w:numId="12">
    <w:abstractNumId w:val="15"/>
  </w:num>
  <w:num w:numId="13">
    <w:abstractNumId w:val="19"/>
  </w:num>
  <w:num w:numId="14">
    <w:abstractNumId w:val="12"/>
  </w:num>
  <w:num w:numId="15">
    <w:abstractNumId w:val="16"/>
  </w:num>
  <w:num w:numId="16">
    <w:abstractNumId w:val="13"/>
  </w:num>
  <w:num w:numId="17">
    <w:abstractNumId w:val="4"/>
  </w:num>
  <w:num w:numId="18">
    <w:abstractNumId w:val="1"/>
  </w:num>
  <w:num w:numId="19">
    <w:abstractNumId w:val="1"/>
  </w:num>
  <w:num w:numId="20">
    <w:abstractNumId w:val="1"/>
  </w:num>
  <w:num w:numId="21">
    <w:abstractNumId w:val="1"/>
  </w:num>
  <w:num w:numId="22">
    <w:abstractNumId w:val="1"/>
  </w:num>
  <w:num w:numId="23">
    <w:abstractNumId w:val="9"/>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40"/>
    <w:rsid w:val="00005570"/>
    <w:rsid w:val="000500BE"/>
    <w:rsid w:val="0005759E"/>
    <w:rsid w:val="0006043F"/>
    <w:rsid w:val="000701AD"/>
    <w:rsid w:val="00075078"/>
    <w:rsid w:val="00076426"/>
    <w:rsid w:val="00090D65"/>
    <w:rsid w:val="00094695"/>
    <w:rsid w:val="00096D31"/>
    <w:rsid w:val="000A791A"/>
    <w:rsid w:val="000C2116"/>
    <w:rsid w:val="000C2558"/>
    <w:rsid w:val="000D2F86"/>
    <w:rsid w:val="000E7A70"/>
    <w:rsid w:val="000F759B"/>
    <w:rsid w:val="00107602"/>
    <w:rsid w:val="00130B0C"/>
    <w:rsid w:val="00156748"/>
    <w:rsid w:val="00157CF8"/>
    <w:rsid w:val="00172BF0"/>
    <w:rsid w:val="001939B4"/>
    <w:rsid w:val="001A1A17"/>
    <w:rsid w:val="001A2D4D"/>
    <w:rsid w:val="001B00BA"/>
    <w:rsid w:val="001B0603"/>
    <w:rsid w:val="001B35DB"/>
    <w:rsid w:val="001B4EAC"/>
    <w:rsid w:val="001C0024"/>
    <w:rsid w:val="001F49B7"/>
    <w:rsid w:val="00206317"/>
    <w:rsid w:val="002068D0"/>
    <w:rsid w:val="00211E9D"/>
    <w:rsid w:val="00221408"/>
    <w:rsid w:val="00234814"/>
    <w:rsid w:val="002436A9"/>
    <w:rsid w:val="00264B48"/>
    <w:rsid w:val="00265FB2"/>
    <w:rsid w:val="00273F57"/>
    <w:rsid w:val="00281A2D"/>
    <w:rsid w:val="00282835"/>
    <w:rsid w:val="00294AFF"/>
    <w:rsid w:val="002B1EDC"/>
    <w:rsid w:val="002B5AA2"/>
    <w:rsid w:val="002B7289"/>
    <w:rsid w:val="002E5A0F"/>
    <w:rsid w:val="002F6882"/>
    <w:rsid w:val="00324468"/>
    <w:rsid w:val="00325547"/>
    <w:rsid w:val="003322EC"/>
    <w:rsid w:val="003329D1"/>
    <w:rsid w:val="00347C49"/>
    <w:rsid w:val="00353FCC"/>
    <w:rsid w:val="00365FCF"/>
    <w:rsid w:val="00386532"/>
    <w:rsid w:val="00395957"/>
    <w:rsid w:val="003B0BA2"/>
    <w:rsid w:val="003C1999"/>
    <w:rsid w:val="003C28FC"/>
    <w:rsid w:val="003C7601"/>
    <w:rsid w:val="003D38AD"/>
    <w:rsid w:val="003F0E09"/>
    <w:rsid w:val="004068FA"/>
    <w:rsid w:val="00414FB9"/>
    <w:rsid w:val="0042194E"/>
    <w:rsid w:val="00423CEE"/>
    <w:rsid w:val="0043484D"/>
    <w:rsid w:val="00440A8D"/>
    <w:rsid w:val="00440E0D"/>
    <w:rsid w:val="004464A2"/>
    <w:rsid w:val="00450C46"/>
    <w:rsid w:val="00467B9F"/>
    <w:rsid w:val="004915CC"/>
    <w:rsid w:val="004A70DA"/>
    <w:rsid w:val="004B16D5"/>
    <w:rsid w:val="004B2521"/>
    <w:rsid w:val="004B32E1"/>
    <w:rsid w:val="004B32E7"/>
    <w:rsid w:val="004B6C6F"/>
    <w:rsid w:val="004C5A4B"/>
    <w:rsid w:val="004D0B85"/>
    <w:rsid w:val="004F732C"/>
    <w:rsid w:val="00502210"/>
    <w:rsid w:val="00506BE5"/>
    <w:rsid w:val="0051639A"/>
    <w:rsid w:val="00533B9F"/>
    <w:rsid w:val="00537BE6"/>
    <w:rsid w:val="00541AD4"/>
    <w:rsid w:val="0054364A"/>
    <w:rsid w:val="0054538C"/>
    <w:rsid w:val="0054696D"/>
    <w:rsid w:val="00553B7D"/>
    <w:rsid w:val="00571DC4"/>
    <w:rsid w:val="005908B2"/>
    <w:rsid w:val="005A763A"/>
    <w:rsid w:val="005B302B"/>
    <w:rsid w:val="005B3D70"/>
    <w:rsid w:val="005B70B2"/>
    <w:rsid w:val="005C57A8"/>
    <w:rsid w:val="005F6CF8"/>
    <w:rsid w:val="00604BB6"/>
    <w:rsid w:val="00610984"/>
    <w:rsid w:val="006223FB"/>
    <w:rsid w:val="006300C4"/>
    <w:rsid w:val="00635755"/>
    <w:rsid w:val="00654D17"/>
    <w:rsid w:val="00667077"/>
    <w:rsid w:val="0067186A"/>
    <w:rsid w:val="00682273"/>
    <w:rsid w:val="0069712C"/>
    <w:rsid w:val="006A1E8F"/>
    <w:rsid w:val="006B1A29"/>
    <w:rsid w:val="006B3026"/>
    <w:rsid w:val="006D2DF3"/>
    <w:rsid w:val="006F7850"/>
    <w:rsid w:val="00711E67"/>
    <w:rsid w:val="00714F17"/>
    <w:rsid w:val="00721A18"/>
    <w:rsid w:val="00725A80"/>
    <w:rsid w:val="00743502"/>
    <w:rsid w:val="007645A8"/>
    <w:rsid w:val="007672D8"/>
    <w:rsid w:val="007835A3"/>
    <w:rsid w:val="00784A10"/>
    <w:rsid w:val="0079600F"/>
    <w:rsid w:val="007975E1"/>
    <w:rsid w:val="007A2AD4"/>
    <w:rsid w:val="007B53D2"/>
    <w:rsid w:val="007C0321"/>
    <w:rsid w:val="007C5160"/>
    <w:rsid w:val="007C5654"/>
    <w:rsid w:val="007D30D5"/>
    <w:rsid w:val="007D7D0D"/>
    <w:rsid w:val="007E0EB1"/>
    <w:rsid w:val="00824239"/>
    <w:rsid w:val="00824CA3"/>
    <w:rsid w:val="00831F00"/>
    <w:rsid w:val="00842ED2"/>
    <w:rsid w:val="00861899"/>
    <w:rsid w:val="008803C8"/>
    <w:rsid w:val="00881498"/>
    <w:rsid w:val="00882300"/>
    <w:rsid w:val="00884334"/>
    <w:rsid w:val="008859DE"/>
    <w:rsid w:val="008A6442"/>
    <w:rsid w:val="008B018B"/>
    <w:rsid w:val="008B08AE"/>
    <w:rsid w:val="008B16E9"/>
    <w:rsid w:val="008D0E84"/>
    <w:rsid w:val="008D24C9"/>
    <w:rsid w:val="008D74B5"/>
    <w:rsid w:val="00926725"/>
    <w:rsid w:val="00937781"/>
    <w:rsid w:val="0094020D"/>
    <w:rsid w:val="00945BD2"/>
    <w:rsid w:val="00956520"/>
    <w:rsid w:val="00957CA8"/>
    <w:rsid w:val="00986849"/>
    <w:rsid w:val="009A1F0B"/>
    <w:rsid w:val="009C59C3"/>
    <w:rsid w:val="009D46EE"/>
    <w:rsid w:val="009E1C95"/>
    <w:rsid w:val="009F23C4"/>
    <w:rsid w:val="009F350A"/>
    <w:rsid w:val="00A241F2"/>
    <w:rsid w:val="00A255E0"/>
    <w:rsid w:val="00A3599C"/>
    <w:rsid w:val="00A376BA"/>
    <w:rsid w:val="00A46B68"/>
    <w:rsid w:val="00A543A1"/>
    <w:rsid w:val="00A64D13"/>
    <w:rsid w:val="00A76371"/>
    <w:rsid w:val="00AA6D06"/>
    <w:rsid w:val="00AB523D"/>
    <w:rsid w:val="00AD2460"/>
    <w:rsid w:val="00AD485D"/>
    <w:rsid w:val="00B27F41"/>
    <w:rsid w:val="00B3554C"/>
    <w:rsid w:val="00B407FB"/>
    <w:rsid w:val="00B4612D"/>
    <w:rsid w:val="00B50790"/>
    <w:rsid w:val="00B51E2D"/>
    <w:rsid w:val="00B669E7"/>
    <w:rsid w:val="00B9153C"/>
    <w:rsid w:val="00BB328B"/>
    <w:rsid w:val="00BC0F78"/>
    <w:rsid w:val="00BC432C"/>
    <w:rsid w:val="00BE283B"/>
    <w:rsid w:val="00C23378"/>
    <w:rsid w:val="00C262A3"/>
    <w:rsid w:val="00C27B82"/>
    <w:rsid w:val="00C432A6"/>
    <w:rsid w:val="00C514B9"/>
    <w:rsid w:val="00C62B11"/>
    <w:rsid w:val="00CA454E"/>
    <w:rsid w:val="00CA4833"/>
    <w:rsid w:val="00CA78BC"/>
    <w:rsid w:val="00CB1B40"/>
    <w:rsid w:val="00CC0264"/>
    <w:rsid w:val="00CC253C"/>
    <w:rsid w:val="00CC257A"/>
    <w:rsid w:val="00CC538A"/>
    <w:rsid w:val="00CC64C8"/>
    <w:rsid w:val="00CD2B6D"/>
    <w:rsid w:val="00CD66EC"/>
    <w:rsid w:val="00CD7043"/>
    <w:rsid w:val="00CE3181"/>
    <w:rsid w:val="00CE54EB"/>
    <w:rsid w:val="00CE7746"/>
    <w:rsid w:val="00D02240"/>
    <w:rsid w:val="00D14C9D"/>
    <w:rsid w:val="00D22658"/>
    <w:rsid w:val="00D25C0C"/>
    <w:rsid w:val="00D2672F"/>
    <w:rsid w:val="00D64321"/>
    <w:rsid w:val="00D74655"/>
    <w:rsid w:val="00D86A03"/>
    <w:rsid w:val="00D92993"/>
    <w:rsid w:val="00D94F16"/>
    <w:rsid w:val="00D94F2F"/>
    <w:rsid w:val="00DB3FCF"/>
    <w:rsid w:val="00DB6012"/>
    <w:rsid w:val="00DC6926"/>
    <w:rsid w:val="00DE5046"/>
    <w:rsid w:val="00DE5B52"/>
    <w:rsid w:val="00DF18AC"/>
    <w:rsid w:val="00DF3FFF"/>
    <w:rsid w:val="00E01870"/>
    <w:rsid w:val="00E15555"/>
    <w:rsid w:val="00E165A0"/>
    <w:rsid w:val="00E22C34"/>
    <w:rsid w:val="00E23711"/>
    <w:rsid w:val="00E26258"/>
    <w:rsid w:val="00E33969"/>
    <w:rsid w:val="00E50638"/>
    <w:rsid w:val="00E50E12"/>
    <w:rsid w:val="00E522FD"/>
    <w:rsid w:val="00E54B3A"/>
    <w:rsid w:val="00E70693"/>
    <w:rsid w:val="00E91CA0"/>
    <w:rsid w:val="00EB1DC0"/>
    <w:rsid w:val="00EB5F95"/>
    <w:rsid w:val="00EB74E8"/>
    <w:rsid w:val="00EC09DE"/>
    <w:rsid w:val="00EC5FA1"/>
    <w:rsid w:val="00ED7210"/>
    <w:rsid w:val="00EE7810"/>
    <w:rsid w:val="00EE79E8"/>
    <w:rsid w:val="00EF2F27"/>
    <w:rsid w:val="00EF34FF"/>
    <w:rsid w:val="00EF6EFD"/>
    <w:rsid w:val="00F04714"/>
    <w:rsid w:val="00F10EC6"/>
    <w:rsid w:val="00F13526"/>
    <w:rsid w:val="00F16454"/>
    <w:rsid w:val="00F21075"/>
    <w:rsid w:val="00F34BA0"/>
    <w:rsid w:val="00F50ABA"/>
    <w:rsid w:val="00F859D1"/>
    <w:rsid w:val="00FA1E33"/>
    <w:rsid w:val="00FA2C9A"/>
    <w:rsid w:val="00FA46B3"/>
    <w:rsid w:val="00FA5EA2"/>
    <w:rsid w:val="00FC4C69"/>
    <w:rsid w:val="00FD3D43"/>
    <w:rsid w:val="00FE226D"/>
    <w:rsid w:val="00FE56AE"/>
    <w:rsid w:val="00FE62D5"/>
    <w:rsid w:val="00FF0DAB"/>
    <w:rsid w:val="00FF211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9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94F16"/>
    <w:pPr>
      <w:keepNext/>
      <w:keepLines/>
      <w:numPr>
        <w:numId w:val="18"/>
      </w:numPr>
      <w:spacing w:before="360" w:after="120"/>
      <w:outlineLvl w:val="0"/>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2C9A"/>
    <w:pPr>
      <w:tabs>
        <w:tab w:val="left" w:pos="3060"/>
      </w:tabs>
      <w:jc w:val="center"/>
    </w:pPr>
  </w:style>
  <w:style w:type="character" w:customStyle="1" w:styleId="BodyTextChar">
    <w:name w:val="Body Text Char"/>
    <w:basedOn w:val="DefaultParagraphFont"/>
    <w:link w:val="BodyText"/>
    <w:rsid w:val="00FA2C9A"/>
    <w:rPr>
      <w:rFonts w:ascii="Times New Roman" w:eastAsia="Times New Roman" w:hAnsi="Times New Roman" w:cs="Times New Roman"/>
      <w:sz w:val="24"/>
      <w:szCs w:val="20"/>
    </w:rPr>
  </w:style>
  <w:style w:type="paragraph" w:customStyle="1" w:styleId="Chapter">
    <w:name w:val="Chapter"/>
    <w:basedOn w:val="Normal"/>
    <w:next w:val="Normal"/>
    <w:rsid w:val="00FA2C9A"/>
    <w:pPr>
      <w:tabs>
        <w:tab w:val="left" w:pos="1440"/>
      </w:tabs>
      <w:spacing w:before="240" w:after="240"/>
      <w:jc w:val="center"/>
    </w:pPr>
    <w:rPr>
      <w:b/>
      <w:smallCaps/>
      <w:lang w:val="es-ES"/>
    </w:rPr>
  </w:style>
  <w:style w:type="paragraph" w:styleId="Footer">
    <w:name w:val="footer"/>
    <w:basedOn w:val="Normal"/>
    <w:link w:val="FooterChar"/>
    <w:uiPriority w:val="99"/>
    <w:rsid w:val="00FA2C9A"/>
    <w:pPr>
      <w:tabs>
        <w:tab w:val="center" w:pos="4320"/>
        <w:tab w:val="right" w:pos="8640"/>
      </w:tabs>
    </w:pPr>
  </w:style>
  <w:style w:type="character" w:customStyle="1" w:styleId="FooterChar">
    <w:name w:val="Footer Char"/>
    <w:basedOn w:val="DefaultParagraphFont"/>
    <w:link w:val="Footer"/>
    <w:uiPriority w:val="99"/>
    <w:rsid w:val="00FA2C9A"/>
    <w:rPr>
      <w:rFonts w:ascii="Times New Roman" w:eastAsia="Times New Roman" w:hAnsi="Times New Roman" w:cs="Times New Roman"/>
      <w:sz w:val="24"/>
      <w:szCs w:val="20"/>
    </w:rPr>
  </w:style>
  <w:style w:type="paragraph" w:styleId="Header">
    <w:name w:val="header"/>
    <w:basedOn w:val="Normal"/>
    <w:link w:val="HeaderChar"/>
    <w:uiPriority w:val="99"/>
    <w:rsid w:val="00FA2C9A"/>
    <w:pPr>
      <w:tabs>
        <w:tab w:val="center" w:pos="4320"/>
        <w:tab w:val="right" w:pos="8640"/>
      </w:tabs>
    </w:pPr>
  </w:style>
  <w:style w:type="character" w:customStyle="1" w:styleId="HeaderChar">
    <w:name w:val="Header Char"/>
    <w:basedOn w:val="DefaultParagraphFont"/>
    <w:link w:val="Header"/>
    <w:uiPriority w:val="99"/>
    <w:rsid w:val="00FA2C9A"/>
    <w:rPr>
      <w:rFonts w:ascii="Times New Roman" w:eastAsia="Times New Roman" w:hAnsi="Times New Roman" w:cs="Times New Roman"/>
      <w:sz w:val="24"/>
      <w:szCs w:val="20"/>
    </w:rPr>
  </w:style>
  <w:style w:type="paragraph" w:customStyle="1" w:styleId="Newpage">
    <w:name w:val="Newpage"/>
    <w:basedOn w:val="Chapter"/>
    <w:rsid w:val="00FA2C9A"/>
    <w:pPr>
      <w:tabs>
        <w:tab w:val="clear" w:pos="1440"/>
        <w:tab w:val="left" w:pos="3060"/>
      </w:tabs>
      <w:spacing w:after="0"/>
    </w:pPr>
  </w:style>
  <w:style w:type="table" w:styleId="TableGrid">
    <w:name w:val="Table Grid"/>
    <w:basedOn w:val="TableNormal"/>
    <w:uiPriority w:val="59"/>
    <w:rsid w:val="00FA2C9A"/>
    <w:pPr>
      <w:spacing w:after="0" w:line="240" w:lineRule="auto"/>
    </w:pPr>
    <w:rPr>
      <w:rFonts w:ascii="Arial" w:eastAsia="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FA2C9A"/>
    <w:pPr>
      <w:spacing w:after="200" w:line="276" w:lineRule="auto"/>
      <w:ind w:left="720"/>
      <w:contextualSpacing/>
    </w:pPr>
    <w:rPr>
      <w:rFonts w:asciiTheme="minorHAnsi" w:eastAsiaTheme="minorEastAsia" w:hAnsiTheme="minorHAnsi" w:cstheme="minorBidi"/>
      <w:sz w:val="22"/>
      <w:szCs w:val="22"/>
      <w:lang w:val="es-PY" w:eastAsia="es-PY"/>
    </w:rPr>
  </w:style>
  <w:style w:type="paragraph" w:styleId="NoSpacing">
    <w:name w:val="No Spacing"/>
    <w:qFormat/>
    <w:rsid w:val="00FA2C9A"/>
    <w:pPr>
      <w:spacing w:after="0" w:line="240" w:lineRule="auto"/>
    </w:pPr>
    <w:rPr>
      <w:rFonts w:ascii="Calibri" w:eastAsia="Calibri" w:hAnsi="Calibri" w:cs="Calibri"/>
      <w:lang w:val="es-NI"/>
    </w:rPr>
  </w:style>
  <w:style w:type="character" w:customStyle="1" w:styleId="ListParagraphChar">
    <w:name w:val="List Paragraph Char"/>
    <w:link w:val="ListParagraph"/>
    <w:uiPriority w:val="34"/>
    <w:rsid w:val="00FA2C9A"/>
    <w:rPr>
      <w:rFonts w:eastAsiaTheme="minorEastAsia"/>
      <w:lang w:val="es-PY" w:eastAsia="es-PY"/>
    </w:rPr>
  </w:style>
  <w:style w:type="paragraph" w:styleId="FootnoteText">
    <w:name w:val="footnote text"/>
    <w:aliases w:val="fn,Texto de rodapé,nota_rodapé,nota de rodapé Car Car,nota de rodapé Car Car Car Car Car Car Car Car Car Car Car,footnote,nota de rodapé,FOOTNOTES,single space,footnote text,Footnote Text Char Char,Footnote text Char Char,Footnote text"/>
    <w:basedOn w:val="Normal"/>
    <w:link w:val="FootnoteTextChar"/>
    <w:uiPriority w:val="99"/>
    <w:unhideWhenUsed/>
    <w:rsid w:val="004D0B85"/>
    <w:rPr>
      <w:sz w:val="20"/>
    </w:rPr>
  </w:style>
  <w:style w:type="character" w:customStyle="1" w:styleId="FootnoteTextChar">
    <w:name w:val="Footnote Text Char"/>
    <w:aliases w:val="fn Char,Texto de rodapé Char,nota_rodapé Char,nota de rodapé Car Car Char,nota de rodapé Car Car Car Car Car Car Car Car Car Car Car Char,footnote Char,nota de rodapé Char,FOOTNOTES Char,single space Char,footnote text Char"/>
    <w:basedOn w:val="DefaultParagraphFont"/>
    <w:link w:val="FootnoteText"/>
    <w:uiPriority w:val="99"/>
    <w:rsid w:val="004D0B8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D0B85"/>
    <w:rPr>
      <w:vertAlign w:val="superscript"/>
    </w:rPr>
  </w:style>
  <w:style w:type="character" w:styleId="CommentReference">
    <w:name w:val="annotation reference"/>
    <w:basedOn w:val="DefaultParagraphFont"/>
    <w:uiPriority w:val="99"/>
    <w:semiHidden/>
    <w:unhideWhenUsed/>
    <w:rsid w:val="00107602"/>
    <w:rPr>
      <w:sz w:val="16"/>
      <w:szCs w:val="16"/>
    </w:rPr>
  </w:style>
  <w:style w:type="paragraph" w:styleId="CommentText">
    <w:name w:val="annotation text"/>
    <w:basedOn w:val="Normal"/>
    <w:link w:val="CommentTextChar"/>
    <w:uiPriority w:val="99"/>
    <w:semiHidden/>
    <w:unhideWhenUsed/>
    <w:rsid w:val="00107602"/>
    <w:rPr>
      <w:sz w:val="20"/>
    </w:rPr>
  </w:style>
  <w:style w:type="character" w:customStyle="1" w:styleId="CommentTextChar">
    <w:name w:val="Comment Text Char"/>
    <w:basedOn w:val="DefaultParagraphFont"/>
    <w:link w:val="CommentText"/>
    <w:uiPriority w:val="99"/>
    <w:semiHidden/>
    <w:rsid w:val="001076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7602"/>
    <w:rPr>
      <w:b/>
      <w:bCs/>
    </w:rPr>
  </w:style>
  <w:style w:type="character" w:customStyle="1" w:styleId="CommentSubjectChar">
    <w:name w:val="Comment Subject Char"/>
    <w:basedOn w:val="CommentTextChar"/>
    <w:link w:val="CommentSubject"/>
    <w:uiPriority w:val="99"/>
    <w:semiHidden/>
    <w:rsid w:val="0010760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7602"/>
    <w:rPr>
      <w:rFonts w:ascii="Tahoma" w:hAnsi="Tahoma" w:cs="Tahoma"/>
      <w:sz w:val="16"/>
      <w:szCs w:val="16"/>
    </w:rPr>
  </w:style>
  <w:style w:type="character" w:customStyle="1" w:styleId="BalloonTextChar">
    <w:name w:val="Balloon Text Char"/>
    <w:basedOn w:val="DefaultParagraphFont"/>
    <w:link w:val="BalloonText"/>
    <w:uiPriority w:val="99"/>
    <w:semiHidden/>
    <w:rsid w:val="00107602"/>
    <w:rPr>
      <w:rFonts w:ascii="Tahoma" w:eastAsia="Times New Roman" w:hAnsi="Tahoma" w:cs="Tahoma"/>
      <w:sz w:val="16"/>
      <w:szCs w:val="16"/>
    </w:rPr>
  </w:style>
  <w:style w:type="paragraph" w:customStyle="1" w:styleId="Paragraph">
    <w:name w:val="Paragraph"/>
    <w:aliases w:val="paragraph,p,PARAGRAPH,PG,pa,at"/>
    <w:basedOn w:val="BodyTextIndent"/>
    <w:link w:val="ParagraphChar"/>
    <w:uiPriority w:val="99"/>
    <w:rsid w:val="000E7A70"/>
    <w:pPr>
      <w:tabs>
        <w:tab w:val="num" w:pos="720"/>
      </w:tabs>
      <w:spacing w:before="120"/>
      <w:ind w:left="720" w:hanging="720"/>
      <w:jc w:val="both"/>
      <w:outlineLvl w:val="1"/>
    </w:pPr>
    <w:rPr>
      <w:lang w:val="es-ES"/>
    </w:rPr>
  </w:style>
  <w:style w:type="character" w:customStyle="1" w:styleId="ParagraphChar">
    <w:name w:val="Paragraph Char"/>
    <w:link w:val="Paragraph"/>
    <w:uiPriority w:val="99"/>
    <w:rsid w:val="000E7A70"/>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0E7A70"/>
    <w:pPr>
      <w:spacing w:after="120"/>
      <w:ind w:left="283"/>
    </w:pPr>
  </w:style>
  <w:style w:type="character" w:customStyle="1" w:styleId="BodyTextIndentChar">
    <w:name w:val="Body Text Indent Char"/>
    <w:basedOn w:val="DefaultParagraphFont"/>
    <w:link w:val="BodyTextIndent"/>
    <w:uiPriority w:val="99"/>
    <w:semiHidden/>
    <w:rsid w:val="000E7A70"/>
    <w:rPr>
      <w:rFonts w:ascii="Times New Roman" w:eastAsia="Times New Roman" w:hAnsi="Times New Roman" w:cs="Times New Roman"/>
      <w:sz w:val="24"/>
      <w:szCs w:val="20"/>
    </w:rPr>
  </w:style>
  <w:style w:type="paragraph" w:styleId="Caption">
    <w:name w:val="caption"/>
    <w:basedOn w:val="Normal"/>
    <w:next w:val="Normal"/>
    <w:autoRedefine/>
    <w:qFormat/>
    <w:rsid w:val="00EF2F27"/>
    <w:pPr>
      <w:jc w:val="center"/>
    </w:pPr>
    <w:rPr>
      <w:rFonts w:ascii="Calibri" w:hAnsi="Calibri"/>
      <w:b/>
      <w:bCs/>
      <w:lang w:val="es-ES" w:eastAsia="es-CL"/>
    </w:rPr>
  </w:style>
  <w:style w:type="paragraph" w:customStyle="1" w:styleId="EstiloJustificado1">
    <w:name w:val="Estilo Justificado1"/>
    <w:basedOn w:val="Normal"/>
    <w:autoRedefine/>
    <w:rsid w:val="00EF2F27"/>
    <w:pPr>
      <w:jc w:val="both"/>
    </w:pPr>
    <w:rPr>
      <w:rFonts w:ascii="Calibri" w:hAnsi="Calibri"/>
      <w:szCs w:val="24"/>
      <w:lang w:val="es-ES" w:eastAsia="es-ES"/>
    </w:rPr>
  </w:style>
  <w:style w:type="paragraph" w:styleId="BodyText2">
    <w:name w:val="Body Text 2"/>
    <w:basedOn w:val="Normal"/>
    <w:link w:val="BodyText2Char"/>
    <w:uiPriority w:val="99"/>
    <w:semiHidden/>
    <w:unhideWhenUsed/>
    <w:rsid w:val="00EF2F27"/>
    <w:pPr>
      <w:spacing w:after="120" w:line="480" w:lineRule="auto"/>
    </w:pPr>
  </w:style>
  <w:style w:type="character" w:customStyle="1" w:styleId="BodyText2Char">
    <w:name w:val="Body Text 2 Char"/>
    <w:basedOn w:val="DefaultParagraphFont"/>
    <w:link w:val="BodyText2"/>
    <w:uiPriority w:val="99"/>
    <w:semiHidden/>
    <w:rsid w:val="00EF2F2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E283B"/>
    <w:rPr>
      <w:color w:val="0000FF" w:themeColor="hyperlink"/>
      <w:u w:val="single"/>
    </w:rPr>
  </w:style>
  <w:style w:type="character" w:customStyle="1" w:styleId="Heading1Char">
    <w:name w:val="Heading 1 Char"/>
    <w:basedOn w:val="DefaultParagraphFont"/>
    <w:link w:val="Heading1"/>
    <w:uiPriority w:val="9"/>
    <w:rsid w:val="00D94F16"/>
    <w:rPr>
      <w:rFonts w:ascii="Times New Roman" w:eastAsiaTheme="majorEastAsia" w:hAnsi="Times New Roman" w:cs="Times New Roman"/>
      <w:b/>
      <w:bCs/>
      <w:sz w:val="24"/>
      <w:szCs w:val="24"/>
    </w:rPr>
  </w:style>
  <w:style w:type="paragraph" w:styleId="TOCHeading">
    <w:name w:val="TOC Heading"/>
    <w:basedOn w:val="Heading1"/>
    <w:next w:val="Normal"/>
    <w:uiPriority w:val="39"/>
    <w:unhideWhenUsed/>
    <w:qFormat/>
    <w:rsid w:val="00784A10"/>
    <w:pPr>
      <w:numPr>
        <w:numId w:val="0"/>
      </w:numPr>
      <w:spacing w:before="480" w:after="0" w:line="276" w:lineRule="auto"/>
      <w:outlineLvl w:val="9"/>
    </w:pPr>
    <w:rPr>
      <w:rFonts w:asciiTheme="majorHAnsi" w:hAnsiTheme="majorHAnsi" w:cstheme="majorBidi"/>
      <w:color w:val="365F91" w:themeColor="accent1" w:themeShade="BF"/>
      <w:sz w:val="28"/>
      <w:szCs w:val="28"/>
      <w:lang w:val="es-PY" w:eastAsia="es-PY"/>
    </w:rPr>
  </w:style>
  <w:style w:type="paragraph" w:styleId="TOC1">
    <w:name w:val="toc 1"/>
    <w:basedOn w:val="Normal"/>
    <w:next w:val="Normal"/>
    <w:autoRedefine/>
    <w:uiPriority w:val="39"/>
    <w:unhideWhenUsed/>
    <w:rsid w:val="00784A10"/>
    <w:pPr>
      <w:spacing w:after="100"/>
    </w:pPr>
  </w:style>
  <w:style w:type="paragraph" w:styleId="Revision">
    <w:name w:val="Revision"/>
    <w:hidden/>
    <w:uiPriority w:val="99"/>
    <w:semiHidden/>
    <w:rsid w:val="00D2672F"/>
    <w:pPr>
      <w:spacing w:after="0" w:line="240" w:lineRule="auto"/>
    </w:pPr>
    <w:rPr>
      <w:rFonts w:ascii="Times New Roman" w:eastAsia="Times New Roman" w:hAnsi="Times New Roman" w:cs="Times New Roman"/>
      <w:sz w:val="24"/>
      <w:szCs w:val="20"/>
    </w:rPr>
  </w:style>
  <w:style w:type="paragraph" w:customStyle="1" w:styleId="TITULO2">
    <w:name w:val="TITULO 2"/>
    <w:basedOn w:val="ListParagraph"/>
    <w:qFormat/>
    <w:rsid w:val="00D22658"/>
    <w:pPr>
      <w:keepNext/>
      <w:spacing w:before="120" w:after="120" w:line="240" w:lineRule="auto"/>
      <w:ind w:left="0"/>
      <w:contextualSpacing w:val="0"/>
    </w:pPr>
    <w:rPr>
      <w:rFonts w:ascii="Times New Roman" w:eastAsia="Times New Roman" w:hAnsi="Times New Roman" w:cs="Times New Roman"/>
      <w:b/>
      <w:sz w:val="24"/>
      <w:szCs w:val="24"/>
      <w:lang w:val="es-CO" w:eastAsia="en-US"/>
    </w:rPr>
  </w:style>
  <w:style w:type="character" w:styleId="FollowedHyperlink">
    <w:name w:val="FollowedHyperlink"/>
    <w:basedOn w:val="DefaultParagraphFont"/>
    <w:uiPriority w:val="99"/>
    <w:semiHidden/>
    <w:unhideWhenUsed/>
    <w:rsid w:val="006223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9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94F16"/>
    <w:pPr>
      <w:keepNext/>
      <w:keepLines/>
      <w:numPr>
        <w:numId w:val="18"/>
      </w:numPr>
      <w:spacing w:before="360" w:after="120"/>
      <w:outlineLvl w:val="0"/>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2C9A"/>
    <w:pPr>
      <w:tabs>
        <w:tab w:val="left" w:pos="3060"/>
      </w:tabs>
      <w:jc w:val="center"/>
    </w:pPr>
  </w:style>
  <w:style w:type="character" w:customStyle="1" w:styleId="BodyTextChar">
    <w:name w:val="Body Text Char"/>
    <w:basedOn w:val="DefaultParagraphFont"/>
    <w:link w:val="BodyText"/>
    <w:rsid w:val="00FA2C9A"/>
    <w:rPr>
      <w:rFonts w:ascii="Times New Roman" w:eastAsia="Times New Roman" w:hAnsi="Times New Roman" w:cs="Times New Roman"/>
      <w:sz w:val="24"/>
      <w:szCs w:val="20"/>
    </w:rPr>
  </w:style>
  <w:style w:type="paragraph" w:customStyle="1" w:styleId="Chapter">
    <w:name w:val="Chapter"/>
    <w:basedOn w:val="Normal"/>
    <w:next w:val="Normal"/>
    <w:rsid w:val="00FA2C9A"/>
    <w:pPr>
      <w:tabs>
        <w:tab w:val="left" w:pos="1440"/>
      </w:tabs>
      <w:spacing w:before="240" w:after="240"/>
      <w:jc w:val="center"/>
    </w:pPr>
    <w:rPr>
      <w:b/>
      <w:smallCaps/>
      <w:lang w:val="es-ES"/>
    </w:rPr>
  </w:style>
  <w:style w:type="paragraph" w:styleId="Footer">
    <w:name w:val="footer"/>
    <w:basedOn w:val="Normal"/>
    <w:link w:val="FooterChar"/>
    <w:uiPriority w:val="99"/>
    <w:rsid w:val="00FA2C9A"/>
    <w:pPr>
      <w:tabs>
        <w:tab w:val="center" w:pos="4320"/>
        <w:tab w:val="right" w:pos="8640"/>
      </w:tabs>
    </w:pPr>
  </w:style>
  <w:style w:type="character" w:customStyle="1" w:styleId="FooterChar">
    <w:name w:val="Footer Char"/>
    <w:basedOn w:val="DefaultParagraphFont"/>
    <w:link w:val="Footer"/>
    <w:uiPriority w:val="99"/>
    <w:rsid w:val="00FA2C9A"/>
    <w:rPr>
      <w:rFonts w:ascii="Times New Roman" w:eastAsia="Times New Roman" w:hAnsi="Times New Roman" w:cs="Times New Roman"/>
      <w:sz w:val="24"/>
      <w:szCs w:val="20"/>
    </w:rPr>
  </w:style>
  <w:style w:type="paragraph" w:styleId="Header">
    <w:name w:val="header"/>
    <w:basedOn w:val="Normal"/>
    <w:link w:val="HeaderChar"/>
    <w:uiPriority w:val="99"/>
    <w:rsid w:val="00FA2C9A"/>
    <w:pPr>
      <w:tabs>
        <w:tab w:val="center" w:pos="4320"/>
        <w:tab w:val="right" w:pos="8640"/>
      </w:tabs>
    </w:pPr>
  </w:style>
  <w:style w:type="character" w:customStyle="1" w:styleId="HeaderChar">
    <w:name w:val="Header Char"/>
    <w:basedOn w:val="DefaultParagraphFont"/>
    <w:link w:val="Header"/>
    <w:uiPriority w:val="99"/>
    <w:rsid w:val="00FA2C9A"/>
    <w:rPr>
      <w:rFonts w:ascii="Times New Roman" w:eastAsia="Times New Roman" w:hAnsi="Times New Roman" w:cs="Times New Roman"/>
      <w:sz w:val="24"/>
      <w:szCs w:val="20"/>
    </w:rPr>
  </w:style>
  <w:style w:type="paragraph" w:customStyle="1" w:styleId="Newpage">
    <w:name w:val="Newpage"/>
    <w:basedOn w:val="Chapter"/>
    <w:rsid w:val="00FA2C9A"/>
    <w:pPr>
      <w:tabs>
        <w:tab w:val="clear" w:pos="1440"/>
        <w:tab w:val="left" w:pos="3060"/>
      </w:tabs>
      <w:spacing w:after="0"/>
    </w:pPr>
  </w:style>
  <w:style w:type="table" w:styleId="TableGrid">
    <w:name w:val="Table Grid"/>
    <w:basedOn w:val="TableNormal"/>
    <w:uiPriority w:val="59"/>
    <w:rsid w:val="00FA2C9A"/>
    <w:pPr>
      <w:spacing w:after="0" w:line="240" w:lineRule="auto"/>
    </w:pPr>
    <w:rPr>
      <w:rFonts w:ascii="Arial" w:eastAsia="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FA2C9A"/>
    <w:pPr>
      <w:spacing w:after="200" w:line="276" w:lineRule="auto"/>
      <w:ind w:left="720"/>
      <w:contextualSpacing/>
    </w:pPr>
    <w:rPr>
      <w:rFonts w:asciiTheme="minorHAnsi" w:eastAsiaTheme="minorEastAsia" w:hAnsiTheme="minorHAnsi" w:cstheme="minorBidi"/>
      <w:sz w:val="22"/>
      <w:szCs w:val="22"/>
      <w:lang w:val="es-PY" w:eastAsia="es-PY"/>
    </w:rPr>
  </w:style>
  <w:style w:type="paragraph" w:styleId="NoSpacing">
    <w:name w:val="No Spacing"/>
    <w:qFormat/>
    <w:rsid w:val="00FA2C9A"/>
    <w:pPr>
      <w:spacing w:after="0" w:line="240" w:lineRule="auto"/>
    </w:pPr>
    <w:rPr>
      <w:rFonts w:ascii="Calibri" w:eastAsia="Calibri" w:hAnsi="Calibri" w:cs="Calibri"/>
      <w:lang w:val="es-NI"/>
    </w:rPr>
  </w:style>
  <w:style w:type="character" w:customStyle="1" w:styleId="ListParagraphChar">
    <w:name w:val="List Paragraph Char"/>
    <w:link w:val="ListParagraph"/>
    <w:uiPriority w:val="34"/>
    <w:rsid w:val="00FA2C9A"/>
    <w:rPr>
      <w:rFonts w:eastAsiaTheme="minorEastAsia"/>
      <w:lang w:val="es-PY" w:eastAsia="es-PY"/>
    </w:rPr>
  </w:style>
  <w:style w:type="paragraph" w:styleId="FootnoteText">
    <w:name w:val="footnote text"/>
    <w:aliases w:val="fn,Texto de rodapé,nota_rodapé,nota de rodapé Car Car,nota de rodapé Car Car Car Car Car Car Car Car Car Car Car,footnote,nota de rodapé,FOOTNOTES,single space,footnote text,Footnote Text Char Char,Footnote text Char Char,Footnote text"/>
    <w:basedOn w:val="Normal"/>
    <w:link w:val="FootnoteTextChar"/>
    <w:uiPriority w:val="99"/>
    <w:unhideWhenUsed/>
    <w:rsid w:val="004D0B85"/>
    <w:rPr>
      <w:sz w:val="20"/>
    </w:rPr>
  </w:style>
  <w:style w:type="character" w:customStyle="1" w:styleId="FootnoteTextChar">
    <w:name w:val="Footnote Text Char"/>
    <w:aliases w:val="fn Char,Texto de rodapé Char,nota_rodapé Char,nota de rodapé Car Car Char,nota de rodapé Car Car Car Car Car Car Car Car Car Car Car Char,footnote Char,nota de rodapé Char,FOOTNOTES Char,single space Char,footnote text Char"/>
    <w:basedOn w:val="DefaultParagraphFont"/>
    <w:link w:val="FootnoteText"/>
    <w:uiPriority w:val="99"/>
    <w:rsid w:val="004D0B8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D0B85"/>
    <w:rPr>
      <w:vertAlign w:val="superscript"/>
    </w:rPr>
  </w:style>
  <w:style w:type="character" w:styleId="CommentReference">
    <w:name w:val="annotation reference"/>
    <w:basedOn w:val="DefaultParagraphFont"/>
    <w:uiPriority w:val="99"/>
    <w:semiHidden/>
    <w:unhideWhenUsed/>
    <w:rsid w:val="00107602"/>
    <w:rPr>
      <w:sz w:val="16"/>
      <w:szCs w:val="16"/>
    </w:rPr>
  </w:style>
  <w:style w:type="paragraph" w:styleId="CommentText">
    <w:name w:val="annotation text"/>
    <w:basedOn w:val="Normal"/>
    <w:link w:val="CommentTextChar"/>
    <w:uiPriority w:val="99"/>
    <w:semiHidden/>
    <w:unhideWhenUsed/>
    <w:rsid w:val="00107602"/>
    <w:rPr>
      <w:sz w:val="20"/>
    </w:rPr>
  </w:style>
  <w:style w:type="character" w:customStyle="1" w:styleId="CommentTextChar">
    <w:name w:val="Comment Text Char"/>
    <w:basedOn w:val="DefaultParagraphFont"/>
    <w:link w:val="CommentText"/>
    <w:uiPriority w:val="99"/>
    <w:semiHidden/>
    <w:rsid w:val="001076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7602"/>
    <w:rPr>
      <w:b/>
      <w:bCs/>
    </w:rPr>
  </w:style>
  <w:style w:type="character" w:customStyle="1" w:styleId="CommentSubjectChar">
    <w:name w:val="Comment Subject Char"/>
    <w:basedOn w:val="CommentTextChar"/>
    <w:link w:val="CommentSubject"/>
    <w:uiPriority w:val="99"/>
    <w:semiHidden/>
    <w:rsid w:val="0010760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7602"/>
    <w:rPr>
      <w:rFonts w:ascii="Tahoma" w:hAnsi="Tahoma" w:cs="Tahoma"/>
      <w:sz w:val="16"/>
      <w:szCs w:val="16"/>
    </w:rPr>
  </w:style>
  <w:style w:type="character" w:customStyle="1" w:styleId="BalloonTextChar">
    <w:name w:val="Balloon Text Char"/>
    <w:basedOn w:val="DefaultParagraphFont"/>
    <w:link w:val="BalloonText"/>
    <w:uiPriority w:val="99"/>
    <w:semiHidden/>
    <w:rsid w:val="00107602"/>
    <w:rPr>
      <w:rFonts w:ascii="Tahoma" w:eastAsia="Times New Roman" w:hAnsi="Tahoma" w:cs="Tahoma"/>
      <w:sz w:val="16"/>
      <w:szCs w:val="16"/>
    </w:rPr>
  </w:style>
  <w:style w:type="paragraph" w:customStyle="1" w:styleId="Paragraph">
    <w:name w:val="Paragraph"/>
    <w:aliases w:val="paragraph,p,PARAGRAPH,PG,pa,at"/>
    <w:basedOn w:val="BodyTextIndent"/>
    <w:link w:val="ParagraphChar"/>
    <w:uiPriority w:val="99"/>
    <w:rsid w:val="000E7A70"/>
    <w:pPr>
      <w:tabs>
        <w:tab w:val="num" w:pos="720"/>
      </w:tabs>
      <w:spacing w:before="120"/>
      <w:ind w:left="720" w:hanging="720"/>
      <w:jc w:val="both"/>
      <w:outlineLvl w:val="1"/>
    </w:pPr>
    <w:rPr>
      <w:lang w:val="es-ES"/>
    </w:rPr>
  </w:style>
  <w:style w:type="character" w:customStyle="1" w:styleId="ParagraphChar">
    <w:name w:val="Paragraph Char"/>
    <w:link w:val="Paragraph"/>
    <w:uiPriority w:val="99"/>
    <w:rsid w:val="000E7A70"/>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0E7A70"/>
    <w:pPr>
      <w:spacing w:after="120"/>
      <w:ind w:left="283"/>
    </w:pPr>
  </w:style>
  <w:style w:type="character" w:customStyle="1" w:styleId="BodyTextIndentChar">
    <w:name w:val="Body Text Indent Char"/>
    <w:basedOn w:val="DefaultParagraphFont"/>
    <w:link w:val="BodyTextIndent"/>
    <w:uiPriority w:val="99"/>
    <w:semiHidden/>
    <w:rsid w:val="000E7A70"/>
    <w:rPr>
      <w:rFonts w:ascii="Times New Roman" w:eastAsia="Times New Roman" w:hAnsi="Times New Roman" w:cs="Times New Roman"/>
      <w:sz w:val="24"/>
      <w:szCs w:val="20"/>
    </w:rPr>
  </w:style>
  <w:style w:type="paragraph" w:styleId="Caption">
    <w:name w:val="caption"/>
    <w:basedOn w:val="Normal"/>
    <w:next w:val="Normal"/>
    <w:autoRedefine/>
    <w:qFormat/>
    <w:rsid w:val="00EF2F27"/>
    <w:pPr>
      <w:jc w:val="center"/>
    </w:pPr>
    <w:rPr>
      <w:rFonts w:ascii="Calibri" w:hAnsi="Calibri"/>
      <w:b/>
      <w:bCs/>
      <w:lang w:val="es-ES" w:eastAsia="es-CL"/>
    </w:rPr>
  </w:style>
  <w:style w:type="paragraph" w:customStyle="1" w:styleId="EstiloJustificado1">
    <w:name w:val="Estilo Justificado1"/>
    <w:basedOn w:val="Normal"/>
    <w:autoRedefine/>
    <w:rsid w:val="00EF2F27"/>
    <w:pPr>
      <w:jc w:val="both"/>
    </w:pPr>
    <w:rPr>
      <w:rFonts w:ascii="Calibri" w:hAnsi="Calibri"/>
      <w:szCs w:val="24"/>
      <w:lang w:val="es-ES" w:eastAsia="es-ES"/>
    </w:rPr>
  </w:style>
  <w:style w:type="paragraph" w:styleId="BodyText2">
    <w:name w:val="Body Text 2"/>
    <w:basedOn w:val="Normal"/>
    <w:link w:val="BodyText2Char"/>
    <w:uiPriority w:val="99"/>
    <w:semiHidden/>
    <w:unhideWhenUsed/>
    <w:rsid w:val="00EF2F27"/>
    <w:pPr>
      <w:spacing w:after="120" w:line="480" w:lineRule="auto"/>
    </w:pPr>
  </w:style>
  <w:style w:type="character" w:customStyle="1" w:styleId="BodyText2Char">
    <w:name w:val="Body Text 2 Char"/>
    <w:basedOn w:val="DefaultParagraphFont"/>
    <w:link w:val="BodyText2"/>
    <w:uiPriority w:val="99"/>
    <w:semiHidden/>
    <w:rsid w:val="00EF2F2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E283B"/>
    <w:rPr>
      <w:color w:val="0000FF" w:themeColor="hyperlink"/>
      <w:u w:val="single"/>
    </w:rPr>
  </w:style>
  <w:style w:type="character" w:customStyle="1" w:styleId="Heading1Char">
    <w:name w:val="Heading 1 Char"/>
    <w:basedOn w:val="DefaultParagraphFont"/>
    <w:link w:val="Heading1"/>
    <w:uiPriority w:val="9"/>
    <w:rsid w:val="00D94F16"/>
    <w:rPr>
      <w:rFonts w:ascii="Times New Roman" w:eastAsiaTheme="majorEastAsia" w:hAnsi="Times New Roman" w:cs="Times New Roman"/>
      <w:b/>
      <w:bCs/>
      <w:sz w:val="24"/>
      <w:szCs w:val="24"/>
    </w:rPr>
  </w:style>
  <w:style w:type="paragraph" w:styleId="TOCHeading">
    <w:name w:val="TOC Heading"/>
    <w:basedOn w:val="Heading1"/>
    <w:next w:val="Normal"/>
    <w:uiPriority w:val="39"/>
    <w:unhideWhenUsed/>
    <w:qFormat/>
    <w:rsid w:val="00784A10"/>
    <w:pPr>
      <w:numPr>
        <w:numId w:val="0"/>
      </w:numPr>
      <w:spacing w:before="480" w:after="0" w:line="276" w:lineRule="auto"/>
      <w:outlineLvl w:val="9"/>
    </w:pPr>
    <w:rPr>
      <w:rFonts w:asciiTheme="majorHAnsi" w:hAnsiTheme="majorHAnsi" w:cstheme="majorBidi"/>
      <w:color w:val="365F91" w:themeColor="accent1" w:themeShade="BF"/>
      <w:sz w:val="28"/>
      <w:szCs w:val="28"/>
      <w:lang w:val="es-PY" w:eastAsia="es-PY"/>
    </w:rPr>
  </w:style>
  <w:style w:type="paragraph" w:styleId="TOC1">
    <w:name w:val="toc 1"/>
    <w:basedOn w:val="Normal"/>
    <w:next w:val="Normal"/>
    <w:autoRedefine/>
    <w:uiPriority w:val="39"/>
    <w:unhideWhenUsed/>
    <w:rsid w:val="00784A10"/>
    <w:pPr>
      <w:spacing w:after="100"/>
    </w:pPr>
  </w:style>
  <w:style w:type="paragraph" w:styleId="Revision">
    <w:name w:val="Revision"/>
    <w:hidden/>
    <w:uiPriority w:val="99"/>
    <w:semiHidden/>
    <w:rsid w:val="00D2672F"/>
    <w:pPr>
      <w:spacing w:after="0" w:line="240" w:lineRule="auto"/>
    </w:pPr>
    <w:rPr>
      <w:rFonts w:ascii="Times New Roman" w:eastAsia="Times New Roman" w:hAnsi="Times New Roman" w:cs="Times New Roman"/>
      <w:sz w:val="24"/>
      <w:szCs w:val="20"/>
    </w:rPr>
  </w:style>
  <w:style w:type="paragraph" w:customStyle="1" w:styleId="TITULO2">
    <w:name w:val="TITULO 2"/>
    <w:basedOn w:val="ListParagraph"/>
    <w:qFormat/>
    <w:rsid w:val="00D22658"/>
    <w:pPr>
      <w:keepNext/>
      <w:spacing w:before="120" w:after="120" w:line="240" w:lineRule="auto"/>
      <w:ind w:left="0"/>
      <w:contextualSpacing w:val="0"/>
    </w:pPr>
    <w:rPr>
      <w:rFonts w:ascii="Times New Roman" w:eastAsia="Times New Roman" w:hAnsi="Times New Roman" w:cs="Times New Roman"/>
      <w:b/>
      <w:sz w:val="24"/>
      <w:szCs w:val="24"/>
      <w:lang w:val="es-CO" w:eastAsia="en-US"/>
    </w:rPr>
  </w:style>
  <w:style w:type="character" w:styleId="FollowedHyperlink">
    <w:name w:val="FollowedHyperlink"/>
    <w:basedOn w:val="DefaultParagraphFont"/>
    <w:uiPriority w:val="99"/>
    <w:semiHidden/>
    <w:unhideWhenUsed/>
    <w:rsid w:val="006223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2037">
      <w:bodyDiv w:val="1"/>
      <w:marLeft w:val="0"/>
      <w:marRight w:val="0"/>
      <w:marTop w:val="0"/>
      <w:marBottom w:val="0"/>
      <w:divBdr>
        <w:top w:val="none" w:sz="0" w:space="0" w:color="auto"/>
        <w:left w:val="none" w:sz="0" w:space="0" w:color="auto"/>
        <w:bottom w:val="none" w:sz="0" w:space="0" w:color="auto"/>
        <w:right w:val="none" w:sz="0" w:space="0" w:color="auto"/>
      </w:divBdr>
    </w:div>
    <w:div w:id="150995781">
      <w:bodyDiv w:val="1"/>
      <w:marLeft w:val="0"/>
      <w:marRight w:val="0"/>
      <w:marTop w:val="0"/>
      <w:marBottom w:val="0"/>
      <w:divBdr>
        <w:top w:val="none" w:sz="0" w:space="0" w:color="auto"/>
        <w:left w:val="none" w:sz="0" w:space="0" w:color="auto"/>
        <w:bottom w:val="none" w:sz="0" w:space="0" w:color="auto"/>
        <w:right w:val="none" w:sz="0" w:space="0" w:color="auto"/>
      </w:divBdr>
    </w:div>
    <w:div w:id="418722176">
      <w:bodyDiv w:val="1"/>
      <w:marLeft w:val="0"/>
      <w:marRight w:val="0"/>
      <w:marTop w:val="0"/>
      <w:marBottom w:val="0"/>
      <w:divBdr>
        <w:top w:val="none" w:sz="0" w:space="0" w:color="auto"/>
        <w:left w:val="none" w:sz="0" w:space="0" w:color="auto"/>
        <w:bottom w:val="none" w:sz="0" w:space="0" w:color="auto"/>
        <w:right w:val="none" w:sz="0" w:space="0" w:color="auto"/>
      </w:divBdr>
    </w:div>
    <w:div w:id="575089527">
      <w:bodyDiv w:val="1"/>
      <w:marLeft w:val="0"/>
      <w:marRight w:val="0"/>
      <w:marTop w:val="0"/>
      <w:marBottom w:val="0"/>
      <w:divBdr>
        <w:top w:val="none" w:sz="0" w:space="0" w:color="auto"/>
        <w:left w:val="none" w:sz="0" w:space="0" w:color="auto"/>
        <w:bottom w:val="none" w:sz="0" w:space="0" w:color="auto"/>
        <w:right w:val="none" w:sz="0" w:space="0" w:color="auto"/>
      </w:divBdr>
    </w:div>
    <w:div w:id="608243619">
      <w:bodyDiv w:val="1"/>
      <w:marLeft w:val="0"/>
      <w:marRight w:val="0"/>
      <w:marTop w:val="0"/>
      <w:marBottom w:val="0"/>
      <w:divBdr>
        <w:top w:val="none" w:sz="0" w:space="0" w:color="auto"/>
        <w:left w:val="none" w:sz="0" w:space="0" w:color="auto"/>
        <w:bottom w:val="none" w:sz="0" w:space="0" w:color="auto"/>
        <w:right w:val="none" w:sz="0" w:space="0" w:color="auto"/>
      </w:divBdr>
    </w:div>
    <w:div w:id="624972808">
      <w:bodyDiv w:val="1"/>
      <w:marLeft w:val="0"/>
      <w:marRight w:val="0"/>
      <w:marTop w:val="0"/>
      <w:marBottom w:val="0"/>
      <w:divBdr>
        <w:top w:val="none" w:sz="0" w:space="0" w:color="auto"/>
        <w:left w:val="none" w:sz="0" w:space="0" w:color="auto"/>
        <w:bottom w:val="none" w:sz="0" w:space="0" w:color="auto"/>
        <w:right w:val="none" w:sz="0" w:space="0" w:color="auto"/>
      </w:divBdr>
    </w:div>
    <w:div w:id="657074106">
      <w:bodyDiv w:val="1"/>
      <w:marLeft w:val="0"/>
      <w:marRight w:val="0"/>
      <w:marTop w:val="0"/>
      <w:marBottom w:val="0"/>
      <w:divBdr>
        <w:top w:val="none" w:sz="0" w:space="0" w:color="auto"/>
        <w:left w:val="none" w:sz="0" w:space="0" w:color="auto"/>
        <w:bottom w:val="none" w:sz="0" w:space="0" w:color="auto"/>
        <w:right w:val="none" w:sz="0" w:space="0" w:color="auto"/>
      </w:divBdr>
    </w:div>
    <w:div w:id="762795762">
      <w:bodyDiv w:val="1"/>
      <w:marLeft w:val="0"/>
      <w:marRight w:val="0"/>
      <w:marTop w:val="0"/>
      <w:marBottom w:val="0"/>
      <w:divBdr>
        <w:top w:val="none" w:sz="0" w:space="0" w:color="auto"/>
        <w:left w:val="none" w:sz="0" w:space="0" w:color="auto"/>
        <w:bottom w:val="none" w:sz="0" w:space="0" w:color="auto"/>
        <w:right w:val="none" w:sz="0" w:space="0" w:color="auto"/>
      </w:divBdr>
    </w:div>
    <w:div w:id="974606519">
      <w:bodyDiv w:val="1"/>
      <w:marLeft w:val="0"/>
      <w:marRight w:val="0"/>
      <w:marTop w:val="0"/>
      <w:marBottom w:val="0"/>
      <w:divBdr>
        <w:top w:val="none" w:sz="0" w:space="0" w:color="auto"/>
        <w:left w:val="none" w:sz="0" w:space="0" w:color="auto"/>
        <w:bottom w:val="none" w:sz="0" w:space="0" w:color="auto"/>
        <w:right w:val="none" w:sz="0" w:space="0" w:color="auto"/>
      </w:divBdr>
    </w:div>
    <w:div w:id="1191214491">
      <w:bodyDiv w:val="1"/>
      <w:marLeft w:val="0"/>
      <w:marRight w:val="0"/>
      <w:marTop w:val="0"/>
      <w:marBottom w:val="0"/>
      <w:divBdr>
        <w:top w:val="none" w:sz="0" w:space="0" w:color="auto"/>
        <w:left w:val="none" w:sz="0" w:space="0" w:color="auto"/>
        <w:bottom w:val="none" w:sz="0" w:space="0" w:color="auto"/>
        <w:right w:val="none" w:sz="0" w:space="0" w:color="auto"/>
      </w:divBdr>
    </w:div>
    <w:div w:id="1318993862">
      <w:bodyDiv w:val="1"/>
      <w:marLeft w:val="0"/>
      <w:marRight w:val="0"/>
      <w:marTop w:val="0"/>
      <w:marBottom w:val="0"/>
      <w:divBdr>
        <w:top w:val="none" w:sz="0" w:space="0" w:color="auto"/>
        <w:left w:val="none" w:sz="0" w:space="0" w:color="auto"/>
        <w:bottom w:val="none" w:sz="0" w:space="0" w:color="auto"/>
        <w:right w:val="none" w:sz="0" w:space="0" w:color="auto"/>
      </w:divBdr>
    </w:div>
    <w:div w:id="1407386501">
      <w:bodyDiv w:val="1"/>
      <w:marLeft w:val="0"/>
      <w:marRight w:val="0"/>
      <w:marTop w:val="0"/>
      <w:marBottom w:val="0"/>
      <w:divBdr>
        <w:top w:val="none" w:sz="0" w:space="0" w:color="auto"/>
        <w:left w:val="none" w:sz="0" w:space="0" w:color="auto"/>
        <w:bottom w:val="none" w:sz="0" w:space="0" w:color="auto"/>
        <w:right w:val="none" w:sz="0" w:space="0" w:color="auto"/>
      </w:divBdr>
    </w:div>
    <w:div w:id="1425108190">
      <w:bodyDiv w:val="1"/>
      <w:marLeft w:val="0"/>
      <w:marRight w:val="0"/>
      <w:marTop w:val="0"/>
      <w:marBottom w:val="0"/>
      <w:divBdr>
        <w:top w:val="none" w:sz="0" w:space="0" w:color="auto"/>
        <w:left w:val="none" w:sz="0" w:space="0" w:color="auto"/>
        <w:bottom w:val="none" w:sz="0" w:space="0" w:color="auto"/>
        <w:right w:val="none" w:sz="0" w:space="0" w:color="auto"/>
      </w:divBdr>
    </w:div>
    <w:div w:id="1471753134">
      <w:bodyDiv w:val="1"/>
      <w:marLeft w:val="0"/>
      <w:marRight w:val="0"/>
      <w:marTop w:val="0"/>
      <w:marBottom w:val="0"/>
      <w:divBdr>
        <w:top w:val="none" w:sz="0" w:space="0" w:color="auto"/>
        <w:left w:val="none" w:sz="0" w:space="0" w:color="auto"/>
        <w:bottom w:val="none" w:sz="0" w:space="0" w:color="auto"/>
        <w:right w:val="none" w:sz="0" w:space="0" w:color="auto"/>
      </w:divBdr>
    </w:div>
    <w:div w:id="1580864028">
      <w:bodyDiv w:val="1"/>
      <w:marLeft w:val="0"/>
      <w:marRight w:val="0"/>
      <w:marTop w:val="0"/>
      <w:marBottom w:val="0"/>
      <w:divBdr>
        <w:top w:val="none" w:sz="0" w:space="0" w:color="auto"/>
        <w:left w:val="none" w:sz="0" w:space="0" w:color="auto"/>
        <w:bottom w:val="none" w:sz="0" w:space="0" w:color="auto"/>
        <w:right w:val="none" w:sz="0" w:space="0" w:color="auto"/>
      </w:divBdr>
    </w:div>
    <w:div w:id="1658070989">
      <w:bodyDiv w:val="1"/>
      <w:marLeft w:val="0"/>
      <w:marRight w:val="0"/>
      <w:marTop w:val="0"/>
      <w:marBottom w:val="0"/>
      <w:divBdr>
        <w:top w:val="none" w:sz="0" w:space="0" w:color="auto"/>
        <w:left w:val="none" w:sz="0" w:space="0" w:color="auto"/>
        <w:bottom w:val="none" w:sz="0" w:space="0" w:color="auto"/>
        <w:right w:val="none" w:sz="0" w:space="0" w:color="auto"/>
      </w:divBdr>
    </w:div>
    <w:div w:id="1732190120">
      <w:bodyDiv w:val="1"/>
      <w:marLeft w:val="0"/>
      <w:marRight w:val="0"/>
      <w:marTop w:val="0"/>
      <w:marBottom w:val="0"/>
      <w:divBdr>
        <w:top w:val="none" w:sz="0" w:space="0" w:color="auto"/>
        <w:left w:val="none" w:sz="0" w:space="0" w:color="auto"/>
        <w:bottom w:val="none" w:sz="0" w:space="0" w:color="auto"/>
        <w:right w:val="none" w:sz="0" w:space="0" w:color="auto"/>
      </w:divBdr>
    </w:div>
    <w:div w:id="1777942021">
      <w:bodyDiv w:val="1"/>
      <w:marLeft w:val="0"/>
      <w:marRight w:val="0"/>
      <w:marTop w:val="0"/>
      <w:marBottom w:val="0"/>
      <w:divBdr>
        <w:top w:val="none" w:sz="0" w:space="0" w:color="auto"/>
        <w:left w:val="none" w:sz="0" w:space="0" w:color="auto"/>
        <w:bottom w:val="none" w:sz="0" w:space="0" w:color="auto"/>
        <w:right w:val="none" w:sz="0" w:space="0" w:color="auto"/>
      </w:divBdr>
    </w:div>
    <w:div w:id="1783722981">
      <w:bodyDiv w:val="1"/>
      <w:marLeft w:val="0"/>
      <w:marRight w:val="0"/>
      <w:marTop w:val="0"/>
      <w:marBottom w:val="0"/>
      <w:divBdr>
        <w:top w:val="none" w:sz="0" w:space="0" w:color="auto"/>
        <w:left w:val="none" w:sz="0" w:space="0" w:color="auto"/>
        <w:bottom w:val="none" w:sz="0" w:space="0" w:color="auto"/>
        <w:right w:val="none" w:sz="0" w:space="0" w:color="auto"/>
      </w:divBdr>
    </w:div>
    <w:div w:id="1930115778">
      <w:bodyDiv w:val="1"/>
      <w:marLeft w:val="0"/>
      <w:marRight w:val="0"/>
      <w:marTop w:val="0"/>
      <w:marBottom w:val="0"/>
      <w:divBdr>
        <w:top w:val="none" w:sz="0" w:space="0" w:color="auto"/>
        <w:left w:val="none" w:sz="0" w:space="0" w:color="auto"/>
        <w:bottom w:val="none" w:sz="0" w:space="0" w:color="auto"/>
        <w:right w:val="none" w:sz="0" w:space="0" w:color="auto"/>
      </w:divBdr>
    </w:div>
    <w:div w:id="2026050350">
      <w:bodyDiv w:val="1"/>
      <w:marLeft w:val="0"/>
      <w:marRight w:val="0"/>
      <w:marTop w:val="0"/>
      <w:marBottom w:val="0"/>
      <w:divBdr>
        <w:top w:val="none" w:sz="0" w:space="0" w:color="auto"/>
        <w:left w:val="none" w:sz="0" w:space="0" w:color="auto"/>
        <w:bottom w:val="none" w:sz="0" w:space="0" w:color="auto"/>
        <w:right w:val="none" w:sz="0" w:space="0" w:color="auto"/>
      </w:divBdr>
    </w:div>
    <w:div w:id="2090492618">
      <w:bodyDiv w:val="1"/>
      <w:marLeft w:val="0"/>
      <w:marRight w:val="0"/>
      <w:marTop w:val="0"/>
      <w:marBottom w:val="0"/>
      <w:divBdr>
        <w:top w:val="none" w:sz="0" w:space="0" w:color="auto"/>
        <w:left w:val="none" w:sz="0" w:space="0" w:color="auto"/>
        <w:bottom w:val="none" w:sz="0" w:space="0" w:color="auto"/>
        <w:right w:val="none" w:sz="0" w:space="0" w:color="auto"/>
      </w:divBdr>
    </w:div>
    <w:div w:id="21165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6.xml"/><Relationship Id="rId10" Type="http://schemas.openxmlformats.org/officeDocument/2006/relationships/footer" Target="foot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nicaraguacompra.gob.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DF633D52020A674A819033273B7D4DB2" ma:contentTypeVersion="0" ma:contentTypeDescription="A content type to manage public (operations) IDB documents" ma:contentTypeScope="" ma:versionID="bc4b66956d9c64f38306e60e66558683">
  <xsd:schema xmlns:xsd="http://www.w3.org/2001/XMLSchema" xmlns:xs="http://www.w3.org/2001/XMLSchema" xmlns:p="http://schemas.microsoft.com/office/2006/metadata/properties" xmlns:ns2="9c571b2f-e523-4ab2-ba2e-09e151a03ef4" targetNamespace="http://schemas.microsoft.com/office/2006/metadata/properties" ma:root="true" ma:fieldsID="d678c23e49c7f96c53dbc311b72ecf3c"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be9b3f0-593f-4939-a32e-78bc44e80446}" ma:internalName="TaxCatchAll" ma:showField="CatchAllData"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be9b3f0-593f-4939-a32e-78bc44e80446}" ma:internalName="TaxCatchAllLabel" ma:readOnly="true" ma:showField="CatchAllDataLabel"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SUPERVISION PLAN ACTIVITY DOCUMENT</Project_x0020_Document_x0020_Type>
    <Business_x0020_Area xmlns="9c571b2f-e523-4ab2-ba2e-09e151a03ef4">Supervision Plan</Business_x0020_Area>
    <IDBDocs_x0020_Number xmlns="9c571b2f-e523-4ab2-ba2e-09e151a03ef4">39716520</IDBDocs_x0020_Number>
    <TaxCatchAll xmlns="9c571b2f-e523-4ab2-ba2e-09e151a03ef4">
      <Value>1</Value>
    </TaxCatchAll>
    <Phase xmlns="9c571b2f-e523-4ab2-ba2e-09e151a03ef4" xsi:nil="true"/>
    <SISCOR_x0020_Number xmlns="9c571b2f-e523-4ab2-ba2e-09e151a03ef4" xsi:nil="true"/>
    <Division_x0020_or_x0020_Unit xmlns="9c571b2f-e523-4ab2-ba2e-09e151a03ef4">INE/TSP</Division_x0020_or_x0020_Unit>
    <o5138a91267540169645e33d09c9ddc6 xmlns="9c571b2f-e523-4ab2-ba2e-09e151a03ef4">
      <Terms xmlns="http://schemas.microsoft.com/office/infopath/2007/PartnerControls"/>
    </o5138a91267540169645e33d09c9ddc6>
    <Approval_x0020_Number xmlns="9c571b2f-e523-4ab2-ba2e-09e151a03ef4" xsi:nil="true"/>
    <Document_x0020_Author xmlns="9c571b2f-e523-4ab2-ba2e-09e151a03ef4">Salazar Galeano, Alfonso</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Alcides Moreno</Other_x0020_Author>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Administration</TermName>
          <TermId xmlns="http://schemas.microsoft.com/office/infopath/2007/PartnerControls">751f71fd-1433-4702-a2db-ff12a4e45594</TermId>
        </TermInfo>
      </Terms>
    </fd0e48b6a66848a9885f717e5bbf40c4>
    <Project_x0020_Number xmlns="9c571b2f-e523-4ab2-ba2e-09e151a03ef4">NI-L1092</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TR-TRP</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26097-9D5F-4282-9A12-8605E8B43951}"/>
</file>

<file path=customXml/itemProps2.xml><?xml version="1.0" encoding="utf-8"?>
<ds:datastoreItem xmlns:ds="http://schemas.openxmlformats.org/officeDocument/2006/customXml" ds:itemID="{CBD69CAD-9CFE-4EEE-A0D5-F8FA8194F097}"/>
</file>

<file path=customXml/itemProps3.xml><?xml version="1.0" encoding="utf-8"?>
<ds:datastoreItem xmlns:ds="http://schemas.openxmlformats.org/officeDocument/2006/customXml" ds:itemID="{EB5E1354-24E2-4412-B15B-39F9C457C807}"/>
</file>

<file path=customXml/itemProps4.xml><?xml version="1.0" encoding="utf-8"?>
<ds:datastoreItem xmlns:ds="http://schemas.openxmlformats.org/officeDocument/2006/customXml" ds:itemID="{BAC4797A-781A-4C57-90F2-B32C5D413932}"/>
</file>

<file path=customXml/itemProps5.xml><?xml version="1.0" encoding="utf-8"?>
<ds:datastoreItem xmlns:ds="http://schemas.openxmlformats.org/officeDocument/2006/customXml" ds:itemID="{B6F10602-D3A6-4D88-9D4C-5E6012D3D2BF}"/>
</file>

<file path=customXml/itemProps6.xml><?xml version="1.0" encoding="utf-8"?>
<ds:datastoreItem xmlns:ds="http://schemas.openxmlformats.org/officeDocument/2006/customXml" ds:itemID="{97955502-958B-4080-808F-B0B02B3AA783}"/>
</file>

<file path=docProps/app.xml><?xml version="1.0" encoding="utf-8"?>
<Properties xmlns="http://schemas.openxmlformats.org/officeDocument/2006/extended-properties" xmlns:vt="http://schemas.openxmlformats.org/officeDocument/2006/docPropsVTypes">
  <Template>Normal.dotm</Template>
  <TotalTime>19</TotalTime>
  <Pages>29</Pages>
  <Words>10016</Words>
  <Characters>57097</Characters>
  <Application>Microsoft Office Word</Application>
  <DocSecurity>0</DocSecurity>
  <Lines>475</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66980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EEO_6_ Analisis de Capacidad Institucional e  Implementacion</dc:title>
  <dc:creator>Inter-American Development Bank</dc:creator>
  <cp:lastModifiedBy>Inter-American Development Bank</cp:lastModifiedBy>
  <cp:revision>8</cp:revision>
  <dcterms:created xsi:type="dcterms:W3CDTF">2015-06-15T23:50:00Z</dcterms:created>
  <dcterms:modified xsi:type="dcterms:W3CDTF">2015-07-07T17:00:00Z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0x01010046CF21643EE8D14686A648AA6DAD089200DF633D52020A674A819033273B7D4DB2</vt:lpwstr>
  </property>
  <property fmtid="{D5CDD505-2E9C-101B-9397-08002B2CF9AE}" pid="3" name="TaxKeyword">
    <vt:lpwstr/>
  </property>
  <property fmtid="{D5CDD505-2E9C-101B-9397-08002B2CF9AE}" pid="4" name="Function Operations IDB">
    <vt:lpwstr>1;#Project Administration|751f71fd-1433-4702-a2db-ff12a4e45594</vt:lpwstr>
  </property>
  <property fmtid="{D5CDD505-2E9C-101B-9397-08002B2CF9AE}" pid="5" name="Sub_x002d_Sector">
    <vt:lpwstr/>
  </property>
  <property fmtid="{D5CDD505-2E9C-101B-9397-08002B2CF9AE}" pid="6" name="TaxKeywordTaxHTField">
    <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
  </property>
  <property fmtid="{D5CDD505-2E9C-101B-9397-08002B2CF9AE}" pid="12" name="To:">
    <vt:lpwstr/>
  </property>
  <property fmtid="{D5CDD505-2E9C-101B-9397-08002B2CF9AE}" pid="13" name="From:">
    <vt:lpwstr>Alcides Moreno</vt:lpwstr>
  </property>
  <property fmtid="{D5CDD505-2E9C-101B-9397-08002B2CF9AE}" pid="14" name="Sector IDB">
    <vt:lpwstr/>
  </property>
  <property fmtid="{D5CDD505-2E9C-101B-9397-08002B2CF9AE}" pid="15" name="Series Operations IDB">
    <vt:lpwstr/>
  </property>
  <property fmtid="{D5CDD505-2E9C-101B-9397-08002B2CF9AE}" pid="16" name="Sub-Sector">
    <vt:lpwstr/>
  </property>
</Properties>
</file>