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DD" w:rsidRPr="008E4FE8" w:rsidRDefault="00D509DD" w:rsidP="003E789B">
      <w:pPr>
        <w:spacing w:line="240" w:lineRule="auto"/>
        <w:jc w:val="center"/>
        <w:rPr>
          <w:rFonts w:ascii="Times New Roman" w:hAnsi="Times New Roman"/>
          <w:b/>
          <w:color w:val="000000"/>
          <w:sz w:val="28"/>
          <w:szCs w:val="24"/>
          <w:lang w:val="es-ES_tradnl"/>
        </w:rPr>
      </w:pPr>
      <w:bookmarkStart w:id="0" w:name="_GoBack"/>
      <w:bookmarkEnd w:id="0"/>
      <w:r w:rsidRPr="008E4FE8">
        <w:rPr>
          <w:rFonts w:ascii="Times New Roman" w:hAnsi="Times New Roman"/>
          <w:b/>
          <w:color w:val="000000"/>
          <w:sz w:val="28"/>
          <w:szCs w:val="24"/>
          <w:lang w:val="es-ES_tradnl"/>
        </w:rPr>
        <w:t>HONDURAS</w:t>
      </w:r>
    </w:p>
    <w:p w:rsidR="00F446BA" w:rsidRDefault="00F446BA">
      <w:pPr>
        <w:spacing w:line="240" w:lineRule="auto"/>
        <w:jc w:val="center"/>
        <w:rPr>
          <w:rFonts w:ascii="Times New Roman" w:hAnsi="Times New Roman"/>
          <w:b/>
          <w:color w:val="000000"/>
          <w:sz w:val="28"/>
          <w:szCs w:val="24"/>
          <w:lang w:val="es-ES_tradnl"/>
        </w:rPr>
      </w:pPr>
      <w:r w:rsidRPr="008E4FE8">
        <w:rPr>
          <w:rFonts w:ascii="Times New Roman" w:hAnsi="Times New Roman"/>
          <w:b/>
          <w:color w:val="000000"/>
          <w:sz w:val="28"/>
          <w:szCs w:val="24"/>
          <w:lang w:val="es-ES_tradnl"/>
        </w:rPr>
        <w:t xml:space="preserve">SECTOR </w:t>
      </w:r>
      <w:r w:rsidR="00D509DD" w:rsidRPr="008E4FE8">
        <w:rPr>
          <w:rFonts w:ascii="Times New Roman" w:hAnsi="Times New Roman"/>
          <w:b/>
          <w:color w:val="000000"/>
          <w:sz w:val="28"/>
          <w:szCs w:val="24"/>
          <w:lang w:val="es-ES_tradnl"/>
        </w:rPr>
        <w:t>ELÉCTRICO</w:t>
      </w:r>
      <w:r w:rsidR="003A5E59" w:rsidRPr="008E4FE8">
        <w:rPr>
          <w:rFonts w:ascii="Times New Roman" w:hAnsi="Times New Roman"/>
          <w:b/>
          <w:color w:val="000000"/>
          <w:sz w:val="28"/>
          <w:szCs w:val="24"/>
          <w:lang w:val="es-ES_tradnl"/>
        </w:rPr>
        <w:t xml:space="preserve"> - COLABORACIÓN DEL BID</w:t>
      </w:r>
    </w:p>
    <w:p w:rsidR="00BF5F6E" w:rsidRPr="008E4FE8" w:rsidRDefault="00BF5F6E">
      <w:pPr>
        <w:spacing w:line="240" w:lineRule="auto"/>
        <w:jc w:val="center"/>
        <w:rPr>
          <w:rFonts w:ascii="Times New Roman" w:hAnsi="Times New Roman"/>
          <w:b/>
          <w:color w:val="000000"/>
          <w:sz w:val="28"/>
          <w:szCs w:val="24"/>
          <w:lang w:val="es-ES_tradnl"/>
        </w:rPr>
      </w:pPr>
    </w:p>
    <w:p w:rsidR="00D509DD" w:rsidRPr="003E789B" w:rsidRDefault="00891716">
      <w:pPr>
        <w:pStyle w:val="ListParagraph"/>
        <w:numPr>
          <w:ilvl w:val="0"/>
          <w:numId w:val="9"/>
        </w:numPr>
        <w:tabs>
          <w:tab w:val="left" w:pos="540"/>
        </w:tabs>
        <w:spacing w:line="240" w:lineRule="auto"/>
        <w:jc w:val="both"/>
        <w:rPr>
          <w:rFonts w:ascii="Times New Roman" w:hAnsi="Times New Roman"/>
          <w:b/>
          <w:color w:val="000000"/>
          <w:sz w:val="24"/>
          <w:szCs w:val="24"/>
          <w:lang w:val="es-ES_tradnl"/>
        </w:rPr>
      </w:pPr>
      <w:r w:rsidRPr="003E789B">
        <w:rPr>
          <w:rFonts w:ascii="Times New Roman" w:hAnsi="Times New Roman"/>
          <w:b/>
          <w:color w:val="000000"/>
          <w:sz w:val="24"/>
          <w:szCs w:val="24"/>
          <w:lang w:val="es-ES_tradnl"/>
        </w:rPr>
        <w:t>Introducción</w:t>
      </w:r>
      <w:r w:rsidR="00D509DD" w:rsidRPr="003E789B">
        <w:rPr>
          <w:rFonts w:ascii="Times New Roman" w:hAnsi="Times New Roman"/>
          <w:b/>
          <w:color w:val="000000"/>
          <w:sz w:val="24"/>
          <w:szCs w:val="24"/>
          <w:lang w:val="es-ES_tradnl"/>
        </w:rPr>
        <w:t>:</w:t>
      </w:r>
    </w:p>
    <w:p w:rsidR="00C25F88" w:rsidRPr="00C25F88" w:rsidRDefault="00891716" w:rsidP="00B20423">
      <w:pPr>
        <w:tabs>
          <w:tab w:val="left" w:pos="540"/>
        </w:tabs>
        <w:spacing w:after="120" w:line="240" w:lineRule="auto"/>
        <w:jc w:val="both"/>
        <w:rPr>
          <w:rFonts w:ascii="Times New Roman" w:eastAsiaTheme="minorHAnsi" w:hAnsi="Times New Roman"/>
          <w:color w:val="000000"/>
          <w:sz w:val="24"/>
          <w:szCs w:val="24"/>
          <w:lang w:val="es-HN"/>
        </w:rPr>
      </w:pPr>
      <w:r w:rsidRPr="003E789B">
        <w:rPr>
          <w:rFonts w:ascii="Times New Roman" w:hAnsi="Times New Roman"/>
          <w:color w:val="000000"/>
          <w:sz w:val="24"/>
          <w:szCs w:val="24"/>
          <w:lang w:val="es-ES_tradnl"/>
        </w:rPr>
        <w:t xml:space="preserve">La presente Nota resume la situación </w:t>
      </w:r>
      <w:r w:rsidR="00C25F88">
        <w:rPr>
          <w:rFonts w:ascii="Times New Roman" w:hAnsi="Times New Roman"/>
          <w:color w:val="000000"/>
          <w:sz w:val="24"/>
          <w:szCs w:val="24"/>
          <w:lang w:val="es-ES_tradnl"/>
        </w:rPr>
        <w:t xml:space="preserve">del </w:t>
      </w:r>
      <w:r w:rsidR="00B20423">
        <w:rPr>
          <w:rFonts w:ascii="Times New Roman" w:hAnsi="Times New Roman"/>
          <w:color w:val="000000"/>
          <w:sz w:val="24"/>
          <w:szCs w:val="24"/>
          <w:lang w:val="es-ES_tradnl"/>
        </w:rPr>
        <w:t>s</w:t>
      </w:r>
      <w:r w:rsidR="00C25F88">
        <w:rPr>
          <w:rFonts w:ascii="Times New Roman" w:hAnsi="Times New Roman"/>
          <w:color w:val="000000"/>
          <w:sz w:val="24"/>
          <w:szCs w:val="24"/>
          <w:lang w:val="es-ES_tradnl"/>
        </w:rPr>
        <w:t xml:space="preserve">ector eléctrico </w:t>
      </w:r>
      <w:r w:rsidRPr="003E789B">
        <w:rPr>
          <w:rFonts w:ascii="Times New Roman" w:hAnsi="Times New Roman"/>
          <w:color w:val="000000"/>
          <w:sz w:val="24"/>
          <w:szCs w:val="24"/>
          <w:lang w:val="es-ES_tradnl"/>
        </w:rPr>
        <w:t xml:space="preserve">a </w:t>
      </w:r>
      <w:r w:rsidR="00C25F88">
        <w:rPr>
          <w:rFonts w:ascii="Times New Roman" w:hAnsi="Times New Roman"/>
          <w:color w:val="000000"/>
          <w:sz w:val="24"/>
          <w:szCs w:val="24"/>
          <w:lang w:val="es-ES_tradnl"/>
        </w:rPr>
        <w:t>febrero del 2015</w:t>
      </w:r>
      <w:r w:rsidR="00B20423">
        <w:rPr>
          <w:rFonts w:ascii="Times New Roman" w:hAnsi="Times New Roman"/>
          <w:color w:val="000000"/>
          <w:sz w:val="24"/>
          <w:szCs w:val="24"/>
          <w:lang w:val="es-ES_tradnl"/>
        </w:rPr>
        <w:t>,</w:t>
      </w:r>
      <w:r w:rsidRPr="003E789B">
        <w:rPr>
          <w:rFonts w:ascii="Times New Roman" w:hAnsi="Times New Roman"/>
          <w:color w:val="000000"/>
          <w:sz w:val="24"/>
          <w:szCs w:val="24"/>
          <w:lang w:val="es-ES_tradnl"/>
        </w:rPr>
        <w:t xml:space="preserve"> </w:t>
      </w:r>
      <w:r w:rsidR="00C25F88">
        <w:rPr>
          <w:rFonts w:ascii="Times New Roman" w:hAnsi="Times New Roman"/>
          <w:color w:val="000000"/>
          <w:sz w:val="24"/>
          <w:szCs w:val="24"/>
          <w:lang w:val="es-ES_tradnl"/>
        </w:rPr>
        <w:t xml:space="preserve">tomando en consideración </w:t>
      </w:r>
      <w:r w:rsidRPr="003E789B">
        <w:rPr>
          <w:rFonts w:ascii="Times New Roman" w:hAnsi="Times New Roman"/>
          <w:color w:val="000000"/>
          <w:sz w:val="24"/>
          <w:szCs w:val="24"/>
          <w:lang w:val="es-ES_tradnl"/>
        </w:rPr>
        <w:t xml:space="preserve">los avances presentados en el </w:t>
      </w:r>
      <w:r w:rsidR="00C25F88">
        <w:rPr>
          <w:rFonts w:ascii="Times New Roman" w:hAnsi="Times New Roman"/>
          <w:color w:val="000000"/>
          <w:sz w:val="24"/>
          <w:szCs w:val="24"/>
          <w:lang w:val="es-ES_tradnl"/>
        </w:rPr>
        <w:t xml:space="preserve">proceso de reforma del </w:t>
      </w:r>
      <w:r w:rsidRPr="003E789B">
        <w:rPr>
          <w:rFonts w:ascii="Times New Roman" w:hAnsi="Times New Roman"/>
          <w:color w:val="000000"/>
          <w:sz w:val="24"/>
          <w:szCs w:val="24"/>
          <w:lang w:val="es-ES_tradnl"/>
        </w:rPr>
        <w:t xml:space="preserve">sector desde </w:t>
      </w:r>
      <w:r w:rsidR="008475F0" w:rsidRPr="003E789B">
        <w:rPr>
          <w:rFonts w:ascii="Times New Roman" w:hAnsi="Times New Roman"/>
          <w:color w:val="000000"/>
          <w:sz w:val="24"/>
          <w:szCs w:val="24"/>
          <w:lang w:val="es-ES_tradnl"/>
        </w:rPr>
        <w:t>la aprobación</w:t>
      </w:r>
      <w:r w:rsidRPr="003E789B">
        <w:rPr>
          <w:rFonts w:ascii="Times New Roman" w:hAnsi="Times New Roman"/>
          <w:color w:val="000000"/>
          <w:sz w:val="24"/>
          <w:szCs w:val="24"/>
          <w:lang w:val="es-ES_tradnl"/>
        </w:rPr>
        <w:t xml:space="preserve"> de la </w:t>
      </w:r>
      <w:r w:rsidR="00C25F88">
        <w:rPr>
          <w:rFonts w:ascii="Times New Roman" w:hAnsi="Times New Roman"/>
          <w:color w:val="000000"/>
          <w:sz w:val="24"/>
          <w:szCs w:val="24"/>
          <w:lang w:val="es-ES_tradnl"/>
        </w:rPr>
        <w:t>“Estrategia de País del BID 2015-2018</w:t>
      </w:r>
      <w:r w:rsidR="00B20423">
        <w:rPr>
          <w:rFonts w:ascii="Times New Roman" w:hAnsi="Times New Roman"/>
          <w:color w:val="000000"/>
          <w:sz w:val="24"/>
          <w:szCs w:val="24"/>
          <w:lang w:val="es-ES_tradnl"/>
        </w:rPr>
        <w:t>”</w:t>
      </w:r>
      <w:r w:rsidRPr="003E789B">
        <w:rPr>
          <w:rFonts w:ascii="Times New Roman" w:hAnsi="Times New Roman"/>
          <w:color w:val="000000"/>
          <w:sz w:val="24"/>
          <w:szCs w:val="24"/>
          <w:lang w:val="es-ES_tradnl"/>
        </w:rPr>
        <w:t xml:space="preserve"> </w:t>
      </w:r>
      <w:r w:rsidRPr="00FC51D5">
        <w:rPr>
          <w:rFonts w:ascii="Times New Roman" w:hAnsi="Times New Roman"/>
          <w:color w:val="000000"/>
          <w:sz w:val="24"/>
          <w:szCs w:val="24"/>
          <w:lang w:val="es-ES_tradnl"/>
        </w:rPr>
        <w:t>(</w:t>
      </w:r>
      <w:r w:rsidR="00FC51D5" w:rsidRPr="00FC51D5">
        <w:rPr>
          <w:rFonts w:ascii="Times New Roman" w:hAnsi="Times New Roman"/>
          <w:color w:val="000000"/>
          <w:sz w:val="24"/>
          <w:szCs w:val="24"/>
          <w:lang w:val="es-ES_tradnl"/>
        </w:rPr>
        <w:t>GN-2796</w:t>
      </w:r>
      <w:r w:rsidRPr="003E789B">
        <w:rPr>
          <w:rFonts w:ascii="Times New Roman" w:hAnsi="Times New Roman"/>
          <w:color w:val="000000"/>
          <w:sz w:val="24"/>
          <w:szCs w:val="24"/>
          <w:lang w:val="es-ES_tradnl"/>
        </w:rPr>
        <w:t xml:space="preserve">) el </w:t>
      </w:r>
      <w:r w:rsidR="00C25F88">
        <w:rPr>
          <w:rFonts w:ascii="Times New Roman" w:hAnsi="Times New Roman"/>
          <w:color w:val="000000"/>
          <w:sz w:val="24"/>
          <w:szCs w:val="24"/>
          <w:lang w:val="es-ES_tradnl"/>
        </w:rPr>
        <w:t>10 de diciembre del 2014</w:t>
      </w:r>
      <w:r w:rsidRPr="003E789B">
        <w:rPr>
          <w:rFonts w:ascii="Times New Roman" w:hAnsi="Times New Roman"/>
          <w:color w:val="000000"/>
          <w:sz w:val="24"/>
          <w:szCs w:val="24"/>
          <w:lang w:val="es-ES_tradnl"/>
        </w:rPr>
        <w:t>. En dicho documento se estableció</w:t>
      </w:r>
      <w:r w:rsidR="00B20423">
        <w:rPr>
          <w:rFonts w:ascii="Times New Roman" w:hAnsi="Times New Roman"/>
          <w:color w:val="000000"/>
          <w:sz w:val="24"/>
          <w:szCs w:val="24"/>
          <w:lang w:val="es-ES_tradnl"/>
        </w:rPr>
        <w:t xml:space="preserve"> que</w:t>
      </w:r>
      <w:r w:rsidRPr="003E789B">
        <w:rPr>
          <w:rFonts w:ascii="Times New Roman" w:hAnsi="Times New Roman"/>
          <w:color w:val="000000"/>
          <w:sz w:val="24"/>
          <w:szCs w:val="24"/>
          <w:lang w:val="es-ES_tradnl"/>
        </w:rPr>
        <w:t>:</w:t>
      </w:r>
    </w:p>
    <w:p w:rsidR="00C25F88" w:rsidRPr="00C25F88" w:rsidRDefault="00C25F88" w:rsidP="00C25F88">
      <w:pPr>
        <w:pStyle w:val="Default"/>
        <w:ind w:left="1080" w:hanging="720"/>
        <w:jc w:val="both"/>
        <w:rPr>
          <w:i/>
          <w:lang w:val="es-ES_tradnl"/>
        </w:rPr>
      </w:pPr>
      <w:r>
        <w:rPr>
          <w:i/>
          <w:lang w:val="es-ES_tradnl"/>
        </w:rPr>
        <w:t>3.14</w:t>
      </w:r>
      <w:r>
        <w:rPr>
          <w:i/>
          <w:lang w:val="es-ES_tradnl"/>
        </w:rPr>
        <w:tab/>
      </w:r>
      <w:r w:rsidRPr="00C25F88">
        <w:rPr>
          <w:i/>
          <w:lang w:val="es-ES_tradnl"/>
        </w:rPr>
        <w:t>El trabajo del Banco tendrá como objetivo central apoyar la consolidación del proceso de reforma del sector electricidad, particularmente la nueva Ley General de la Industria Eléctrica</w:t>
      </w:r>
      <w:r w:rsidR="00FC51D5">
        <w:rPr>
          <w:i/>
          <w:lang w:val="es-ES_tradnl"/>
        </w:rPr>
        <w:t xml:space="preserve"> LGIE</w:t>
      </w:r>
      <w:r w:rsidRPr="00C25F88">
        <w:rPr>
          <w:i/>
          <w:lang w:val="es-ES_tradnl"/>
        </w:rPr>
        <w:t>. Específicamente, el Banco buscará, en paralelo: (i) mejorar la eficiencia, calidad del servicio eléctrico y diversificación de la matriz de generación; e (ii) incrementar el acceso al servicio de electricidad. En ambos casos, el Banco apoyará la implementación de reformas mediante soporte financiero y técnico;</w:t>
      </w:r>
      <w:r w:rsidR="00817044">
        <w:rPr>
          <w:rStyle w:val="FootnoteReference"/>
          <w:i/>
          <w:lang w:val="es-ES_tradnl"/>
        </w:rPr>
        <w:footnoteReference w:id="1"/>
      </w:r>
      <w:r w:rsidRPr="00C25F88">
        <w:rPr>
          <w:i/>
          <w:lang w:val="es-ES_tradnl"/>
        </w:rPr>
        <w:t xml:space="preserve"> así como por intermedio de operaciones de financiamiento con Garantía Soberana y/o cofinanciamiento de APP</w:t>
      </w:r>
      <w:r w:rsidR="00817044">
        <w:rPr>
          <w:rStyle w:val="FootnoteReference"/>
          <w:i/>
          <w:lang w:val="es-ES_tradnl"/>
        </w:rPr>
        <w:footnoteReference w:id="2"/>
      </w:r>
      <w:r w:rsidRPr="00C25F88">
        <w:rPr>
          <w:i/>
          <w:lang w:val="es-ES_tradnl"/>
        </w:rPr>
        <w:t xml:space="preserve">. Las inversiones en el sector (tanto SG como NSG) se darán en la medida en que se avance en la implementación de las reformas que permitan la eficiencia y sostenibilidad financiera del sector </w:t>
      </w:r>
    </w:p>
    <w:p w:rsidR="00C25F88" w:rsidRPr="00C25F88" w:rsidRDefault="00C25F88" w:rsidP="00C25F88">
      <w:pPr>
        <w:autoSpaceDE w:val="0"/>
        <w:autoSpaceDN w:val="0"/>
        <w:adjustRightInd w:val="0"/>
        <w:spacing w:after="0" w:line="240" w:lineRule="auto"/>
        <w:rPr>
          <w:rFonts w:ascii="Times New Roman" w:eastAsiaTheme="minorHAnsi" w:hAnsi="Times New Roman"/>
          <w:i/>
          <w:color w:val="000000"/>
          <w:sz w:val="24"/>
          <w:szCs w:val="24"/>
          <w:lang w:val="es-ES_tradnl"/>
        </w:rPr>
      </w:pPr>
    </w:p>
    <w:p w:rsidR="00891716" w:rsidRPr="003E789B" w:rsidRDefault="00B20927">
      <w:pPr>
        <w:pStyle w:val="ListParagraph"/>
        <w:numPr>
          <w:ilvl w:val="0"/>
          <w:numId w:val="9"/>
        </w:numPr>
        <w:tabs>
          <w:tab w:val="left" w:pos="540"/>
        </w:tabs>
        <w:spacing w:line="240" w:lineRule="auto"/>
        <w:jc w:val="both"/>
        <w:rPr>
          <w:rFonts w:ascii="Times New Roman" w:hAnsi="Times New Roman"/>
          <w:b/>
          <w:color w:val="000000"/>
          <w:sz w:val="24"/>
          <w:szCs w:val="24"/>
          <w:lang w:val="es-ES_tradnl"/>
        </w:rPr>
      </w:pPr>
      <w:r>
        <w:rPr>
          <w:rFonts w:ascii="Times New Roman" w:hAnsi="Times New Roman"/>
          <w:b/>
          <w:color w:val="000000"/>
          <w:sz w:val="24"/>
          <w:szCs w:val="24"/>
          <w:lang w:val="es-ES_tradnl"/>
        </w:rPr>
        <w:t>Avances del proceso de reformas del Sector Eléctrico</w:t>
      </w:r>
      <w:r w:rsidR="00891716" w:rsidRPr="003E789B">
        <w:rPr>
          <w:rFonts w:ascii="Times New Roman" w:hAnsi="Times New Roman"/>
          <w:b/>
          <w:color w:val="000000"/>
          <w:sz w:val="24"/>
          <w:szCs w:val="24"/>
          <w:lang w:val="es-ES_tradnl"/>
        </w:rPr>
        <w:t xml:space="preserve"> de Honduras:</w:t>
      </w:r>
    </w:p>
    <w:p w:rsidR="00B20927" w:rsidRDefault="00F918E0" w:rsidP="008E4FE8">
      <w:pPr>
        <w:tabs>
          <w:tab w:val="left" w:pos="540"/>
        </w:tabs>
        <w:spacing w:after="120" w:line="240" w:lineRule="auto"/>
        <w:contextualSpacing/>
        <w:jc w:val="both"/>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Considerando el cumplimiento </w:t>
      </w:r>
      <w:r w:rsidR="00B20423">
        <w:rPr>
          <w:rFonts w:ascii="Times New Roman" w:hAnsi="Times New Roman"/>
          <w:color w:val="000000"/>
          <w:sz w:val="24"/>
          <w:szCs w:val="24"/>
          <w:lang w:val="es-ES_tradnl"/>
        </w:rPr>
        <w:t>de</w:t>
      </w:r>
      <w:r>
        <w:rPr>
          <w:rFonts w:ascii="Times New Roman" w:hAnsi="Times New Roman"/>
          <w:color w:val="000000"/>
          <w:sz w:val="24"/>
          <w:szCs w:val="24"/>
          <w:lang w:val="es-ES_tradnl"/>
        </w:rPr>
        <w:t xml:space="preserve"> las condiciones de la </w:t>
      </w:r>
      <w:r w:rsidR="00B20423">
        <w:rPr>
          <w:rFonts w:ascii="Times New Roman" w:hAnsi="Times New Roman"/>
          <w:color w:val="000000"/>
          <w:sz w:val="24"/>
          <w:szCs w:val="24"/>
          <w:lang w:val="es-ES_tradnl"/>
        </w:rPr>
        <w:t>M</w:t>
      </w:r>
      <w:r>
        <w:rPr>
          <w:rFonts w:ascii="Times New Roman" w:hAnsi="Times New Roman"/>
          <w:color w:val="000000"/>
          <w:sz w:val="24"/>
          <w:szCs w:val="24"/>
          <w:lang w:val="es-ES_tradnl"/>
        </w:rPr>
        <w:t xml:space="preserve">atriz de </w:t>
      </w:r>
      <w:r w:rsidR="00B20423">
        <w:rPr>
          <w:rFonts w:ascii="Times New Roman" w:hAnsi="Times New Roman"/>
          <w:color w:val="000000"/>
          <w:sz w:val="24"/>
          <w:szCs w:val="24"/>
          <w:lang w:val="es-ES_tradnl"/>
        </w:rPr>
        <w:t>P</w:t>
      </w:r>
      <w:r>
        <w:rPr>
          <w:rFonts w:ascii="Times New Roman" w:hAnsi="Times New Roman"/>
          <w:color w:val="000000"/>
          <w:sz w:val="24"/>
          <w:szCs w:val="24"/>
          <w:lang w:val="es-ES_tradnl"/>
        </w:rPr>
        <w:t xml:space="preserve">olítica de la primera etapa del </w:t>
      </w:r>
      <w:r w:rsidR="00B20423">
        <w:rPr>
          <w:rFonts w:ascii="Times New Roman" w:hAnsi="Times New Roman"/>
          <w:color w:val="000000"/>
          <w:sz w:val="24"/>
          <w:szCs w:val="24"/>
          <w:lang w:val="es-ES_tradnl"/>
        </w:rPr>
        <w:t>Programa de A</w:t>
      </w:r>
      <w:r>
        <w:rPr>
          <w:rFonts w:ascii="Times New Roman" w:hAnsi="Times New Roman"/>
          <w:color w:val="000000"/>
          <w:sz w:val="24"/>
          <w:szCs w:val="24"/>
          <w:lang w:val="es-ES_tradnl"/>
        </w:rPr>
        <w:t>poyo a la Agenda de Reformas Estructurales del Sector Eléctrico</w:t>
      </w:r>
      <w:r w:rsidR="00B20423">
        <w:rPr>
          <w:rFonts w:ascii="Times New Roman" w:hAnsi="Times New Roman"/>
          <w:color w:val="000000"/>
          <w:sz w:val="24"/>
          <w:szCs w:val="24"/>
          <w:lang w:val="es-ES_tradnl"/>
        </w:rPr>
        <w:t xml:space="preserve"> (HO-L1070)</w:t>
      </w:r>
      <w:r>
        <w:rPr>
          <w:rFonts w:ascii="Times New Roman" w:hAnsi="Times New Roman"/>
          <w:color w:val="000000"/>
          <w:sz w:val="24"/>
          <w:szCs w:val="24"/>
          <w:lang w:val="es-ES_tradnl"/>
        </w:rPr>
        <w:t xml:space="preserve">, a continuación se reportan las acciones que se han tomado por parte del </w:t>
      </w:r>
      <w:r w:rsidRPr="003E789B">
        <w:rPr>
          <w:rFonts w:ascii="Times New Roman" w:hAnsi="Times New Roman"/>
          <w:color w:val="000000"/>
          <w:sz w:val="24"/>
          <w:szCs w:val="24"/>
          <w:lang w:val="es-ES_tradnl"/>
        </w:rPr>
        <w:t>Gobierno de Honduras (</w:t>
      </w:r>
      <w:r w:rsidR="00B20423">
        <w:rPr>
          <w:rFonts w:ascii="Times New Roman" w:hAnsi="Times New Roman"/>
          <w:color w:val="000000"/>
          <w:sz w:val="24"/>
          <w:szCs w:val="24"/>
          <w:lang w:val="es-ES_tradnl"/>
        </w:rPr>
        <w:t>GHO</w:t>
      </w:r>
      <w:r w:rsidRPr="003E789B">
        <w:rPr>
          <w:rFonts w:ascii="Times New Roman" w:hAnsi="Times New Roman"/>
          <w:color w:val="000000"/>
          <w:sz w:val="24"/>
          <w:szCs w:val="24"/>
          <w:lang w:val="es-ES_tradnl"/>
        </w:rPr>
        <w:t xml:space="preserve">) </w:t>
      </w:r>
      <w:r>
        <w:rPr>
          <w:rFonts w:ascii="Times New Roman" w:hAnsi="Times New Roman"/>
          <w:color w:val="000000"/>
          <w:sz w:val="24"/>
          <w:szCs w:val="24"/>
          <w:lang w:val="es-ES_tradnl"/>
        </w:rPr>
        <w:t>y</w:t>
      </w:r>
      <w:r w:rsidR="00FC51D5">
        <w:rPr>
          <w:rFonts w:ascii="Times New Roman" w:hAnsi="Times New Roman"/>
          <w:color w:val="000000"/>
          <w:sz w:val="24"/>
          <w:szCs w:val="24"/>
          <w:lang w:val="es-ES_tradnl"/>
        </w:rPr>
        <w:t xml:space="preserve"> </w:t>
      </w:r>
      <w:r w:rsidR="00891716" w:rsidRPr="003E789B">
        <w:rPr>
          <w:rFonts w:ascii="Times New Roman" w:hAnsi="Times New Roman"/>
          <w:color w:val="000000"/>
          <w:sz w:val="24"/>
          <w:szCs w:val="24"/>
          <w:lang w:val="es-ES_tradnl"/>
        </w:rPr>
        <w:t xml:space="preserve">ha adoptado una serie de </w:t>
      </w:r>
      <w:r w:rsidR="009D3D82" w:rsidRPr="003E789B">
        <w:rPr>
          <w:rFonts w:ascii="Times New Roman" w:hAnsi="Times New Roman"/>
          <w:color w:val="000000"/>
          <w:sz w:val="24"/>
          <w:szCs w:val="24"/>
          <w:lang w:val="es-ES_tradnl"/>
        </w:rPr>
        <w:t xml:space="preserve">acciones </w:t>
      </w:r>
      <w:r>
        <w:rPr>
          <w:rFonts w:ascii="Times New Roman" w:hAnsi="Times New Roman"/>
          <w:color w:val="000000"/>
          <w:sz w:val="24"/>
          <w:szCs w:val="24"/>
          <w:lang w:val="es-ES_tradnl"/>
        </w:rPr>
        <w:t>que se describen a continuación:</w:t>
      </w:r>
    </w:p>
    <w:p w:rsidR="00B20927" w:rsidRDefault="00B20927" w:rsidP="008E4FE8">
      <w:pPr>
        <w:tabs>
          <w:tab w:val="left" w:pos="540"/>
        </w:tabs>
        <w:spacing w:after="120" w:line="240" w:lineRule="auto"/>
        <w:contextualSpacing/>
        <w:jc w:val="both"/>
        <w:rPr>
          <w:rFonts w:ascii="Times New Roman" w:hAnsi="Times New Roman"/>
          <w:color w:val="000000"/>
          <w:sz w:val="24"/>
          <w:szCs w:val="24"/>
          <w:lang w:val="es-ES_tradnl"/>
        </w:rPr>
      </w:pPr>
    </w:p>
    <w:p w:rsidR="00F918E0" w:rsidRDefault="00F918E0" w:rsidP="008E4FE8">
      <w:pPr>
        <w:pStyle w:val="ListParagraph"/>
        <w:numPr>
          <w:ilvl w:val="0"/>
          <w:numId w:val="11"/>
        </w:numPr>
        <w:spacing w:after="120" w:line="240" w:lineRule="auto"/>
        <w:contextualSpacing w:val="0"/>
        <w:jc w:val="both"/>
        <w:rPr>
          <w:rFonts w:ascii="Times New Roman" w:hAnsi="Times New Roman"/>
          <w:b/>
          <w:color w:val="000000"/>
          <w:sz w:val="24"/>
          <w:szCs w:val="24"/>
          <w:lang w:val="es-ES_tradnl"/>
        </w:rPr>
      </w:pPr>
      <w:r>
        <w:rPr>
          <w:rFonts w:ascii="Times New Roman" w:hAnsi="Times New Roman"/>
          <w:b/>
          <w:color w:val="000000"/>
          <w:sz w:val="24"/>
          <w:szCs w:val="24"/>
          <w:lang w:val="es-ES_tradnl"/>
        </w:rPr>
        <w:lastRenderedPageBreak/>
        <w:t xml:space="preserve">Implementación de un </w:t>
      </w:r>
      <w:r w:rsidRPr="00F918E0">
        <w:rPr>
          <w:rFonts w:ascii="Times New Roman" w:hAnsi="Times New Roman"/>
          <w:b/>
          <w:color w:val="000000"/>
          <w:sz w:val="24"/>
          <w:szCs w:val="24"/>
          <w:lang w:val="es-ES_tradnl"/>
        </w:rPr>
        <w:t xml:space="preserve">Marco Legal, Regulatorio </w:t>
      </w:r>
      <w:r>
        <w:rPr>
          <w:rFonts w:ascii="Times New Roman" w:hAnsi="Times New Roman"/>
          <w:b/>
          <w:color w:val="000000"/>
          <w:sz w:val="24"/>
          <w:szCs w:val="24"/>
          <w:lang w:val="es-ES_tradnl"/>
        </w:rPr>
        <w:t>e</w:t>
      </w:r>
      <w:r w:rsidRPr="00F918E0">
        <w:rPr>
          <w:rFonts w:ascii="Times New Roman" w:hAnsi="Times New Roman"/>
          <w:b/>
          <w:color w:val="000000"/>
          <w:sz w:val="24"/>
          <w:szCs w:val="24"/>
          <w:lang w:val="es-ES_tradnl"/>
        </w:rPr>
        <w:t xml:space="preserve"> Institucional Adecuado Para El Sector Eléctrico</w:t>
      </w:r>
    </w:p>
    <w:p w:rsidR="00F918E0" w:rsidRDefault="00FC51D5" w:rsidP="00F918E0">
      <w:pPr>
        <w:pStyle w:val="ListParagraph"/>
        <w:spacing w:after="120" w:line="240" w:lineRule="auto"/>
        <w:ind w:left="360"/>
        <w:contextualSpacing w:val="0"/>
        <w:jc w:val="both"/>
        <w:rPr>
          <w:rFonts w:ascii="Times New Roman" w:hAnsi="Times New Roman"/>
          <w:color w:val="000000"/>
          <w:sz w:val="24"/>
          <w:szCs w:val="24"/>
          <w:lang w:val="es-ES_tradnl"/>
        </w:rPr>
      </w:pPr>
      <w:r w:rsidRPr="00FC51D5">
        <w:rPr>
          <w:rFonts w:ascii="Times New Roman" w:hAnsi="Times New Roman"/>
          <w:color w:val="000000"/>
          <w:sz w:val="24"/>
          <w:szCs w:val="24"/>
          <w:lang w:val="es-ES_tradnl"/>
        </w:rPr>
        <w:t>El Comité de Conducción (</w:t>
      </w:r>
      <w:proofErr w:type="spellStart"/>
      <w:r w:rsidRPr="00B20423">
        <w:rPr>
          <w:rFonts w:ascii="Times New Roman" w:hAnsi="Times New Roman"/>
          <w:i/>
          <w:color w:val="000000"/>
          <w:sz w:val="24"/>
          <w:szCs w:val="24"/>
          <w:lang w:val="es-ES_tradnl"/>
        </w:rPr>
        <w:t>Steering</w:t>
      </w:r>
      <w:proofErr w:type="spellEnd"/>
      <w:r w:rsidRPr="00B20423">
        <w:rPr>
          <w:rFonts w:ascii="Times New Roman" w:hAnsi="Times New Roman"/>
          <w:i/>
          <w:color w:val="000000"/>
          <w:sz w:val="24"/>
          <w:szCs w:val="24"/>
          <w:lang w:val="es-ES_tradnl"/>
        </w:rPr>
        <w:t xml:space="preserve"> </w:t>
      </w:r>
      <w:proofErr w:type="spellStart"/>
      <w:r w:rsidRPr="00B20423">
        <w:rPr>
          <w:rFonts w:ascii="Times New Roman" w:hAnsi="Times New Roman"/>
          <w:i/>
          <w:color w:val="000000"/>
          <w:sz w:val="24"/>
          <w:szCs w:val="24"/>
          <w:lang w:val="es-ES_tradnl"/>
        </w:rPr>
        <w:t>Committee</w:t>
      </w:r>
      <w:proofErr w:type="spellEnd"/>
      <w:r w:rsidRPr="00FC51D5">
        <w:rPr>
          <w:rFonts w:ascii="Times New Roman" w:hAnsi="Times New Roman"/>
          <w:color w:val="000000"/>
          <w:sz w:val="24"/>
          <w:szCs w:val="24"/>
          <w:lang w:val="es-ES_tradnl"/>
        </w:rPr>
        <w:t xml:space="preserve">) </w:t>
      </w:r>
      <w:r>
        <w:rPr>
          <w:rFonts w:ascii="Times New Roman" w:hAnsi="Times New Roman"/>
          <w:color w:val="000000"/>
          <w:sz w:val="24"/>
          <w:szCs w:val="24"/>
          <w:lang w:val="es-ES_tradnl"/>
        </w:rPr>
        <w:t>responsable de la coordinación para la i</w:t>
      </w:r>
      <w:r w:rsidRPr="00FC51D5">
        <w:rPr>
          <w:rFonts w:ascii="Times New Roman" w:hAnsi="Times New Roman"/>
          <w:color w:val="000000"/>
          <w:sz w:val="24"/>
          <w:szCs w:val="24"/>
          <w:lang w:val="es-ES_tradnl"/>
        </w:rPr>
        <w:t>mplementación de los objetivos y disposiciones establecidas en la nueva LGIE</w:t>
      </w:r>
      <w:r>
        <w:rPr>
          <w:rFonts w:ascii="Times New Roman" w:hAnsi="Times New Roman"/>
          <w:color w:val="000000"/>
          <w:sz w:val="24"/>
          <w:szCs w:val="24"/>
          <w:lang w:val="es-ES_tradnl"/>
        </w:rPr>
        <w:t xml:space="preserve"> ha avanzado en la preparación de borradores del Reglamento General de LGIE</w:t>
      </w:r>
      <w:r w:rsidR="00153EAB">
        <w:rPr>
          <w:rFonts w:ascii="Times New Roman" w:hAnsi="Times New Roman"/>
          <w:color w:val="000000"/>
          <w:sz w:val="24"/>
          <w:szCs w:val="24"/>
          <w:lang w:val="es-ES_tradnl"/>
        </w:rPr>
        <w:t>;</w:t>
      </w:r>
      <w:r>
        <w:rPr>
          <w:rFonts w:ascii="Times New Roman" w:hAnsi="Times New Roman"/>
          <w:color w:val="000000"/>
          <w:sz w:val="24"/>
          <w:szCs w:val="24"/>
          <w:lang w:val="es-ES_tradnl"/>
        </w:rPr>
        <w:t xml:space="preserve"> Reglamento de funcionamiento de la Comisión Reguladora de Energía Eléctrica </w:t>
      </w:r>
      <w:r w:rsidR="00153EAB">
        <w:rPr>
          <w:rFonts w:ascii="Times New Roman" w:hAnsi="Times New Roman"/>
          <w:color w:val="000000"/>
          <w:sz w:val="24"/>
          <w:szCs w:val="24"/>
          <w:lang w:val="es-ES_tradnl"/>
        </w:rPr>
        <w:t>–</w:t>
      </w:r>
      <w:r>
        <w:rPr>
          <w:rFonts w:ascii="Times New Roman" w:hAnsi="Times New Roman"/>
          <w:color w:val="000000"/>
          <w:sz w:val="24"/>
          <w:szCs w:val="24"/>
          <w:lang w:val="es-ES_tradnl"/>
        </w:rPr>
        <w:t xml:space="preserve"> CREE</w:t>
      </w:r>
      <w:r w:rsidR="00153EAB">
        <w:rPr>
          <w:rFonts w:ascii="Times New Roman" w:hAnsi="Times New Roman"/>
          <w:color w:val="000000"/>
          <w:sz w:val="24"/>
          <w:szCs w:val="24"/>
          <w:lang w:val="es-ES_tradnl"/>
        </w:rPr>
        <w:t>; y</w:t>
      </w:r>
      <w:r>
        <w:rPr>
          <w:rFonts w:ascii="Times New Roman" w:hAnsi="Times New Roman"/>
          <w:color w:val="000000"/>
          <w:sz w:val="24"/>
          <w:szCs w:val="24"/>
          <w:lang w:val="es-ES_tradnl"/>
        </w:rPr>
        <w:t xml:space="preserve"> Reglamento de Costos de Transmisión. Por otro lado la Presidencia de la Republica ha avanzado con las entrevistas a los Comisionados que conforman la </w:t>
      </w:r>
      <w:r w:rsidR="00153EAB">
        <w:rPr>
          <w:rFonts w:ascii="Times New Roman" w:hAnsi="Times New Roman"/>
          <w:color w:val="000000"/>
          <w:sz w:val="24"/>
          <w:szCs w:val="24"/>
          <w:lang w:val="es-ES_tradnl"/>
        </w:rPr>
        <w:t>L</w:t>
      </w:r>
      <w:r>
        <w:rPr>
          <w:rFonts w:ascii="Times New Roman" w:hAnsi="Times New Roman"/>
          <w:color w:val="000000"/>
          <w:sz w:val="24"/>
          <w:szCs w:val="24"/>
          <w:lang w:val="es-ES_tradnl"/>
        </w:rPr>
        <w:t xml:space="preserve">ista Corta (seis) para seleccionar a tres Comisionados que conformarán la CREE. El </w:t>
      </w:r>
      <w:r w:rsidR="00153EAB">
        <w:rPr>
          <w:rFonts w:ascii="Times New Roman" w:hAnsi="Times New Roman"/>
          <w:color w:val="000000"/>
          <w:sz w:val="24"/>
          <w:szCs w:val="24"/>
          <w:lang w:val="es-ES_tradnl"/>
        </w:rPr>
        <w:t>Fideicomiso de T</w:t>
      </w:r>
      <w:r>
        <w:rPr>
          <w:rFonts w:ascii="Times New Roman" w:hAnsi="Times New Roman"/>
          <w:color w:val="000000"/>
          <w:sz w:val="24"/>
          <w:szCs w:val="24"/>
          <w:lang w:val="es-ES_tradnl"/>
        </w:rPr>
        <w:t>ransmisión</w:t>
      </w:r>
      <w:r w:rsidR="00153EAB">
        <w:rPr>
          <w:rFonts w:ascii="Times New Roman" w:hAnsi="Times New Roman"/>
          <w:color w:val="000000"/>
          <w:sz w:val="24"/>
          <w:szCs w:val="24"/>
          <w:lang w:val="es-ES_tradnl"/>
        </w:rPr>
        <w:t>,</w:t>
      </w:r>
      <w:r>
        <w:rPr>
          <w:rFonts w:ascii="Times New Roman" w:hAnsi="Times New Roman"/>
          <w:color w:val="000000"/>
          <w:sz w:val="24"/>
          <w:szCs w:val="24"/>
          <w:lang w:val="es-ES_tradnl"/>
        </w:rPr>
        <w:t xml:space="preserve"> responsable de presentar una propuesta para el Operador del Mercado</w:t>
      </w:r>
      <w:r w:rsidR="00153EAB">
        <w:rPr>
          <w:rFonts w:ascii="Times New Roman" w:hAnsi="Times New Roman"/>
          <w:color w:val="000000"/>
          <w:sz w:val="24"/>
          <w:szCs w:val="24"/>
          <w:lang w:val="es-ES_tradnl"/>
        </w:rPr>
        <w:t>,</w:t>
      </w:r>
      <w:r>
        <w:rPr>
          <w:rFonts w:ascii="Times New Roman" w:hAnsi="Times New Roman"/>
          <w:color w:val="000000"/>
          <w:sz w:val="24"/>
          <w:szCs w:val="24"/>
          <w:lang w:val="es-ES_tradnl"/>
        </w:rPr>
        <w:t xml:space="preserve"> está en continua comunicación con el Gobierno para la definición del esquema organizacional a optar para conformar el nuevo Operador del Mercado.</w:t>
      </w:r>
    </w:p>
    <w:p w:rsidR="00FC51D5" w:rsidRPr="00372496" w:rsidRDefault="00372496" w:rsidP="00372496">
      <w:pPr>
        <w:pStyle w:val="ListParagraph"/>
        <w:numPr>
          <w:ilvl w:val="0"/>
          <w:numId w:val="11"/>
        </w:numPr>
        <w:spacing w:after="120" w:line="240" w:lineRule="auto"/>
        <w:contextualSpacing w:val="0"/>
        <w:jc w:val="both"/>
        <w:rPr>
          <w:rFonts w:ascii="Times New Roman" w:hAnsi="Times New Roman"/>
          <w:b/>
          <w:color w:val="000000"/>
          <w:sz w:val="24"/>
          <w:szCs w:val="24"/>
          <w:lang w:val="es-ES_tradnl"/>
        </w:rPr>
      </w:pPr>
      <w:r>
        <w:rPr>
          <w:rFonts w:ascii="Times New Roman" w:hAnsi="Times New Roman"/>
          <w:b/>
          <w:color w:val="000000"/>
          <w:sz w:val="24"/>
          <w:szCs w:val="24"/>
          <w:lang w:val="es-ES_tradnl"/>
        </w:rPr>
        <w:t>Mejora en la Sostenibilidad Financiera y Eficiencia Operativa d</w:t>
      </w:r>
      <w:r w:rsidRPr="00372496">
        <w:rPr>
          <w:rFonts w:ascii="Times New Roman" w:hAnsi="Times New Roman"/>
          <w:b/>
          <w:color w:val="000000"/>
          <w:sz w:val="24"/>
          <w:szCs w:val="24"/>
          <w:lang w:val="es-ES_tradnl"/>
        </w:rPr>
        <w:t>el Sector Eléctrico</w:t>
      </w:r>
    </w:p>
    <w:p w:rsidR="00FC51D5" w:rsidRDefault="00372496" w:rsidP="00F918E0">
      <w:pPr>
        <w:pStyle w:val="ListParagraph"/>
        <w:spacing w:after="120" w:line="240" w:lineRule="auto"/>
        <w:ind w:left="360"/>
        <w:contextualSpacing w:val="0"/>
        <w:jc w:val="both"/>
        <w:rPr>
          <w:rFonts w:ascii="Times New Roman" w:hAnsi="Times New Roman"/>
          <w:color w:val="000000"/>
          <w:sz w:val="24"/>
          <w:szCs w:val="24"/>
          <w:lang w:val="es-ES_tradnl"/>
        </w:rPr>
      </w:pPr>
      <w:r>
        <w:rPr>
          <w:rFonts w:ascii="Times New Roman" w:hAnsi="Times New Roman"/>
          <w:color w:val="000000"/>
          <w:sz w:val="24"/>
          <w:szCs w:val="24"/>
          <w:lang w:val="es-ES_tradnl"/>
        </w:rPr>
        <w:t>En esta sección se han realizado importantes avances</w:t>
      </w:r>
      <w:r w:rsidR="00153EAB">
        <w:rPr>
          <w:rFonts w:ascii="Times New Roman" w:hAnsi="Times New Roman"/>
          <w:color w:val="000000"/>
          <w:sz w:val="24"/>
          <w:szCs w:val="24"/>
          <w:lang w:val="es-ES_tradnl"/>
        </w:rPr>
        <w:t>,</w:t>
      </w:r>
      <w:r>
        <w:rPr>
          <w:rFonts w:ascii="Times New Roman" w:hAnsi="Times New Roman"/>
          <w:color w:val="000000"/>
          <w:sz w:val="24"/>
          <w:szCs w:val="24"/>
          <w:lang w:val="es-ES_tradnl"/>
        </w:rPr>
        <w:t xml:space="preserve"> considerando las decisiones tomadas por parte del </w:t>
      </w:r>
      <w:r w:rsidR="00B20423">
        <w:rPr>
          <w:rFonts w:ascii="Times New Roman" w:hAnsi="Times New Roman"/>
          <w:color w:val="000000"/>
          <w:sz w:val="24"/>
          <w:szCs w:val="24"/>
          <w:lang w:val="es-ES_tradnl"/>
        </w:rPr>
        <w:t>GHO</w:t>
      </w:r>
      <w:r>
        <w:rPr>
          <w:rFonts w:ascii="Times New Roman" w:hAnsi="Times New Roman"/>
          <w:color w:val="000000"/>
          <w:sz w:val="24"/>
          <w:szCs w:val="24"/>
          <w:lang w:val="es-ES_tradnl"/>
        </w:rPr>
        <w:t xml:space="preserve"> para mejorar la situación financiera de la ENEE.</w:t>
      </w:r>
    </w:p>
    <w:p w:rsidR="00372496" w:rsidRDefault="00372496" w:rsidP="00372496">
      <w:pPr>
        <w:pStyle w:val="ListParagraph"/>
        <w:numPr>
          <w:ilvl w:val="0"/>
          <w:numId w:val="19"/>
        </w:numPr>
        <w:spacing w:after="120" w:line="240" w:lineRule="auto"/>
        <w:contextualSpacing w:val="0"/>
        <w:jc w:val="both"/>
        <w:rPr>
          <w:rFonts w:ascii="Times New Roman" w:hAnsi="Times New Roman"/>
          <w:color w:val="000000"/>
          <w:sz w:val="24"/>
          <w:szCs w:val="24"/>
          <w:lang w:val="es-ES_tradnl"/>
        </w:rPr>
      </w:pPr>
      <w:r w:rsidRPr="00372496">
        <w:rPr>
          <w:rFonts w:ascii="Times New Roman" w:hAnsi="Times New Roman"/>
          <w:b/>
          <w:i/>
          <w:color w:val="000000"/>
          <w:sz w:val="24"/>
          <w:szCs w:val="24"/>
          <w:u w:val="single"/>
          <w:lang w:val="es-ES_tradnl"/>
        </w:rPr>
        <w:t>Mejora del desempeño financiero en la ENEE</w:t>
      </w:r>
      <w:r>
        <w:rPr>
          <w:rFonts w:ascii="Times New Roman" w:hAnsi="Times New Roman"/>
          <w:color w:val="000000"/>
          <w:sz w:val="24"/>
          <w:szCs w:val="24"/>
          <w:lang w:val="es-ES_tradnl"/>
        </w:rPr>
        <w:t xml:space="preserve">: El </w:t>
      </w:r>
      <w:r w:rsidR="00B20423">
        <w:rPr>
          <w:rFonts w:ascii="Times New Roman" w:hAnsi="Times New Roman"/>
          <w:color w:val="000000"/>
          <w:sz w:val="24"/>
          <w:szCs w:val="24"/>
          <w:lang w:val="es-ES_tradnl"/>
        </w:rPr>
        <w:t>GHO</w:t>
      </w:r>
      <w:r>
        <w:rPr>
          <w:rFonts w:ascii="Times New Roman" w:hAnsi="Times New Roman"/>
          <w:color w:val="000000"/>
          <w:sz w:val="24"/>
          <w:szCs w:val="24"/>
          <w:lang w:val="es-ES_tradnl"/>
        </w:rPr>
        <w:t xml:space="preserve"> ha tomado las siguientes acciones:</w:t>
      </w:r>
    </w:p>
    <w:p w:rsidR="00F50D5F" w:rsidRDefault="00283478" w:rsidP="00F41FD5">
      <w:pPr>
        <w:pStyle w:val="ListParagraph"/>
        <w:spacing w:after="120" w:line="240" w:lineRule="auto"/>
        <w:ind w:left="1080"/>
        <w:contextualSpacing w:val="0"/>
        <w:jc w:val="both"/>
        <w:rPr>
          <w:rFonts w:ascii="Times New Roman" w:hAnsi="Times New Roman"/>
          <w:color w:val="000000"/>
          <w:sz w:val="24"/>
          <w:szCs w:val="24"/>
          <w:lang w:val="es-ES_tradnl"/>
        </w:rPr>
      </w:pPr>
      <w:r>
        <w:rPr>
          <w:rFonts w:ascii="Times New Roman" w:hAnsi="Times New Roman"/>
          <w:color w:val="000000"/>
          <w:sz w:val="24"/>
          <w:szCs w:val="24"/>
          <w:lang w:val="es-ES_tradnl"/>
        </w:rPr>
        <w:t>Estimaciones preliminares por el área financiera de la ENEE reportan una r</w:t>
      </w:r>
      <w:r w:rsidR="00F50D5F">
        <w:rPr>
          <w:rFonts w:ascii="Times New Roman" w:hAnsi="Times New Roman"/>
          <w:color w:val="000000"/>
          <w:sz w:val="24"/>
          <w:szCs w:val="24"/>
          <w:lang w:val="es-ES_tradnl"/>
        </w:rPr>
        <w:t xml:space="preserve">educción del déficit </w:t>
      </w:r>
      <w:r>
        <w:rPr>
          <w:rFonts w:ascii="Times New Roman" w:hAnsi="Times New Roman"/>
          <w:color w:val="000000"/>
          <w:sz w:val="24"/>
          <w:szCs w:val="24"/>
          <w:lang w:val="es-ES_tradnl"/>
        </w:rPr>
        <w:t>de la ENEE</w:t>
      </w:r>
      <w:r w:rsidR="005C4BF2">
        <w:rPr>
          <w:rFonts w:ascii="Times New Roman" w:hAnsi="Times New Roman"/>
          <w:color w:val="000000"/>
          <w:sz w:val="24"/>
          <w:szCs w:val="24"/>
          <w:lang w:val="es-ES_tradnl"/>
        </w:rPr>
        <w:t xml:space="preserve"> a finales del 2014</w:t>
      </w:r>
      <w:r>
        <w:rPr>
          <w:rFonts w:ascii="Times New Roman" w:hAnsi="Times New Roman"/>
          <w:color w:val="000000"/>
          <w:sz w:val="24"/>
          <w:szCs w:val="24"/>
          <w:lang w:val="es-ES_tradnl"/>
        </w:rPr>
        <w:t xml:space="preserve"> a 1.3%</w:t>
      </w:r>
      <w:r w:rsidR="005C4BF2">
        <w:rPr>
          <w:rFonts w:ascii="Times New Roman" w:hAnsi="Times New Roman"/>
          <w:color w:val="000000"/>
          <w:sz w:val="24"/>
          <w:szCs w:val="24"/>
          <w:lang w:val="es-ES_tradnl"/>
        </w:rPr>
        <w:t xml:space="preserve"> del PIB</w:t>
      </w:r>
      <w:r w:rsidR="00153EAB">
        <w:rPr>
          <w:rFonts w:ascii="Times New Roman" w:hAnsi="Times New Roman"/>
          <w:color w:val="000000"/>
          <w:sz w:val="24"/>
          <w:szCs w:val="24"/>
          <w:lang w:val="es-ES_tradnl"/>
        </w:rPr>
        <w:t>,</w:t>
      </w:r>
      <w:r w:rsidR="005C4BF2">
        <w:rPr>
          <w:rFonts w:ascii="Times New Roman" w:hAnsi="Times New Roman"/>
          <w:color w:val="000000"/>
          <w:sz w:val="24"/>
          <w:szCs w:val="24"/>
          <w:lang w:val="es-ES_tradnl"/>
        </w:rPr>
        <w:t xml:space="preserve"> en comparación a 1.8% del PIB a finales del 2013. Entre las diferentes acciones tomadas constan:</w:t>
      </w:r>
    </w:p>
    <w:p w:rsidR="00213CBF" w:rsidRDefault="00213CBF" w:rsidP="00153EAB">
      <w:pPr>
        <w:pStyle w:val="ListParagraph"/>
        <w:numPr>
          <w:ilvl w:val="1"/>
          <w:numId w:val="11"/>
        </w:numPr>
        <w:spacing w:after="120" w:line="240" w:lineRule="auto"/>
        <w:ind w:left="1620" w:hanging="540"/>
        <w:contextualSpacing w:val="0"/>
        <w:jc w:val="both"/>
        <w:rPr>
          <w:rFonts w:ascii="Times New Roman" w:hAnsi="Times New Roman"/>
          <w:color w:val="000000"/>
          <w:sz w:val="24"/>
          <w:szCs w:val="24"/>
          <w:lang w:val="es-HN"/>
        </w:rPr>
      </w:pPr>
      <w:r>
        <w:rPr>
          <w:rFonts w:ascii="Times New Roman" w:hAnsi="Times New Roman"/>
          <w:color w:val="000000"/>
          <w:sz w:val="24"/>
          <w:szCs w:val="24"/>
          <w:lang w:val="es-HN"/>
        </w:rPr>
        <w:t>reducción de</w:t>
      </w:r>
      <w:r w:rsidR="00B42C23">
        <w:rPr>
          <w:rFonts w:ascii="Times New Roman" w:hAnsi="Times New Roman"/>
          <w:color w:val="000000"/>
          <w:sz w:val="24"/>
          <w:szCs w:val="24"/>
          <w:lang w:val="es-HN"/>
        </w:rPr>
        <w:t>l 7% de</w:t>
      </w:r>
      <w:r>
        <w:rPr>
          <w:rFonts w:ascii="Times New Roman" w:hAnsi="Times New Roman"/>
          <w:color w:val="000000"/>
          <w:sz w:val="24"/>
          <w:szCs w:val="24"/>
          <w:lang w:val="es-HN"/>
        </w:rPr>
        <w:t xml:space="preserve"> compras de energía térmica en dinero</w:t>
      </w:r>
      <w:r w:rsidR="00B42C23">
        <w:rPr>
          <w:rFonts w:ascii="Times New Roman" w:hAnsi="Times New Roman"/>
          <w:color w:val="000000"/>
          <w:sz w:val="24"/>
          <w:szCs w:val="24"/>
          <w:lang w:val="es-HN"/>
        </w:rPr>
        <w:t>, a pes</w:t>
      </w:r>
      <w:r w:rsidR="00DA5D69">
        <w:rPr>
          <w:rFonts w:ascii="Times New Roman" w:hAnsi="Times New Roman"/>
          <w:color w:val="000000"/>
          <w:sz w:val="24"/>
          <w:szCs w:val="24"/>
          <w:lang w:val="es-HN"/>
        </w:rPr>
        <w:t xml:space="preserve">ar de un incremento en volumen </w:t>
      </w:r>
      <w:r w:rsidR="00153EAB">
        <w:rPr>
          <w:rFonts w:ascii="Times New Roman" w:hAnsi="Times New Roman"/>
          <w:color w:val="000000"/>
          <w:sz w:val="24"/>
          <w:szCs w:val="24"/>
          <w:lang w:val="es-HN"/>
        </w:rPr>
        <w:t xml:space="preserve"> del 2% del año 2</w:t>
      </w:r>
      <w:r w:rsidR="00B42C23">
        <w:rPr>
          <w:rFonts w:ascii="Times New Roman" w:hAnsi="Times New Roman"/>
          <w:color w:val="000000"/>
          <w:sz w:val="24"/>
          <w:szCs w:val="24"/>
          <w:lang w:val="es-HN"/>
        </w:rPr>
        <w:t xml:space="preserve">014 con relación al 2013, originado por </w:t>
      </w:r>
      <w:r>
        <w:rPr>
          <w:rFonts w:ascii="Times New Roman" w:hAnsi="Times New Roman"/>
          <w:color w:val="000000"/>
          <w:sz w:val="24"/>
          <w:szCs w:val="24"/>
          <w:lang w:val="es-HN"/>
        </w:rPr>
        <w:t>la caída del precio de petróleo</w:t>
      </w:r>
      <w:r w:rsidR="00153EAB">
        <w:rPr>
          <w:rFonts w:ascii="Times New Roman" w:hAnsi="Times New Roman"/>
          <w:color w:val="000000"/>
          <w:sz w:val="24"/>
          <w:szCs w:val="24"/>
          <w:lang w:val="es-HN"/>
        </w:rPr>
        <w:t>.</w:t>
      </w:r>
      <w:r w:rsidR="00B42C23">
        <w:rPr>
          <w:rFonts w:ascii="Times New Roman" w:hAnsi="Times New Roman"/>
          <w:color w:val="000000"/>
          <w:sz w:val="24"/>
          <w:szCs w:val="24"/>
          <w:lang w:val="es-HN"/>
        </w:rPr>
        <w:t xml:space="preserve"> </w:t>
      </w:r>
    </w:p>
    <w:p w:rsidR="00756B3C" w:rsidRDefault="00333263" w:rsidP="00153EAB">
      <w:pPr>
        <w:pStyle w:val="ListParagraph"/>
        <w:numPr>
          <w:ilvl w:val="1"/>
          <w:numId w:val="11"/>
        </w:numPr>
        <w:spacing w:after="120" w:line="240" w:lineRule="auto"/>
        <w:ind w:left="1620" w:hanging="540"/>
        <w:contextualSpacing w:val="0"/>
        <w:jc w:val="both"/>
        <w:rPr>
          <w:rFonts w:ascii="Times New Roman" w:hAnsi="Times New Roman"/>
          <w:color w:val="000000"/>
          <w:sz w:val="24"/>
          <w:szCs w:val="24"/>
          <w:lang w:val="es-HN"/>
        </w:rPr>
      </w:pPr>
      <w:r w:rsidRPr="00756B3C">
        <w:rPr>
          <w:rFonts w:ascii="Times New Roman" w:hAnsi="Times New Roman"/>
          <w:color w:val="000000"/>
          <w:sz w:val="24"/>
          <w:szCs w:val="24"/>
          <w:lang w:val="es-HN"/>
        </w:rPr>
        <w:t xml:space="preserve">reducción de la deuda </w:t>
      </w:r>
      <w:r w:rsidR="00756B3C" w:rsidRPr="00756B3C">
        <w:rPr>
          <w:rFonts w:ascii="Times New Roman" w:hAnsi="Times New Roman"/>
          <w:color w:val="000000"/>
          <w:sz w:val="24"/>
          <w:szCs w:val="24"/>
          <w:lang w:val="es-ES"/>
        </w:rPr>
        <w:t>flotante de más de 45 días</w:t>
      </w:r>
      <w:r w:rsidR="00756B3C" w:rsidRPr="00756B3C">
        <w:rPr>
          <w:rFonts w:ascii="Times New Roman" w:hAnsi="Times New Roman"/>
          <w:color w:val="000000"/>
          <w:sz w:val="24"/>
          <w:szCs w:val="24"/>
          <w:lang w:val="es-HN"/>
        </w:rPr>
        <w:t xml:space="preserve"> </w:t>
      </w:r>
      <w:r w:rsidRPr="00756B3C">
        <w:rPr>
          <w:rFonts w:ascii="Times New Roman" w:hAnsi="Times New Roman"/>
          <w:color w:val="000000"/>
          <w:sz w:val="24"/>
          <w:szCs w:val="24"/>
          <w:lang w:val="es-HN"/>
        </w:rPr>
        <w:t>a los generadores térmicos privados</w:t>
      </w:r>
      <w:r w:rsidR="00153EAB">
        <w:rPr>
          <w:rFonts w:ascii="Times New Roman" w:hAnsi="Times New Roman"/>
          <w:color w:val="000000"/>
          <w:sz w:val="24"/>
          <w:szCs w:val="24"/>
          <w:lang w:val="es-HN"/>
        </w:rPr>
        <w:t xml:space="preserve">, pasando </w:t>
      </w:r>
      <w:r w:rsidRPr="00756B3C">
        <w:rPr>
          <w:rFonts w:ascii="Times New Roman" w:hAnsi="Times New Roman"/>
          <w:color w:val="000000"/>
          <w:sz w:val="24"/>
          <w:szCs w:val="24"/>
          <w:lang w:val="es-HN"/>
        </w:rPr>
        <w:t xml:space="preserve"> </w:t>
      </w:r>
      <w:r w:rsidRPr="00756B3C">
        <w:rPr>
          <w:rFonts w:ascii="Times New Roman" w:hAnsi="Times New Roman"/>
          <w:color w:val="000000"/>
          <w:sz w:val="24"/>
          <w:szCs w:val="24"/>
          <w:lang w:val="es-ES"/>
        </w:rPr>
        <w:t xml:space="preserve">de </w:t>
      </w:r>
      <w:r w:rsidR="00756B3C" w:rsidRPr="00756B3C">
        <w:rPr>
          <w:rFonts w:ascii="Times New Roman" w:hAnsi="Times New Roman"/>
          <w:color w:val="000000"/>
          <w:sz w:val="24"/>
          <w:szCs w:val="24"/>
          <w:lang w:val="es-ES"/>
        </w:rPr>
        <w:t>aprox</w:t>
      </w:r>
      <w:r w:rsidR="00153EAB">
        <w:rPr>
          <w:rFonts w:ascii="Times New Roman" w:hAnsi="Times New Roman"/>
          <w:color w:val="000000"/>
          <w:sz w:val="24"/>
          <w:szCs w:val="24"/>
          <w:lang w:val="es-ES"/>
        </w:rPr>
        <w:t>imadamente</w:t>
      </w:r>
      <w:r w:rsidR="00756B3C" w:rsidRPr="00756B3C">
        <w:rPr>
          <w:rFonts w:ascii="Times New Roman" w:hAnsi="Times New Roman"/>
          <w:color w:val="000000"/>
          <w:sz w:val="24"/>
          <w:szCs w:val="24"/>
          <w:lang w:val="es-ES"/>
        </w:rPr>
        <w:t xml:space="preserve"> </w:t>
      </w:r>
      <w:r w:rsidRPr="00756B3C">
        <w:rPr>
          <w:rFonts w:ascii="Times New Roman" w:hAnsi="Times New Roman"/>
          <w:color w:val="000000"/>
          <w:sz w:val="24"/>
          <w:szCs w:val="24"/>
          <w:lang w:val="es-ES"/>
        </w:rPr>
        <w:t>US$ 400.0 millones</w:t>
      </w:r>
      <w:r w:rsidR="00153EAB">
        <w:rPr>
          <w:rFonts w:ascii="Times New Roman" w:hAnsi="Times New Roman"/>
          <w:color w:val="000000"/>
          <w:sz w:val="24"/>
          <w:szCs w:val="24"/>
          <w:lang w:val="es-ES"/>
        </w:rPr>
        <w:t>,</w:t>
      </w:r>
      <w:r w:rsidRPr="00756B3C">
        <w:rPr>
          <w:rFonts w:ascii="Times New Roman" w:hAnsi="Times New Roman"/>
          <w:color w:val="000000"/>
          <w:sz w:val="24"/>
          <w:szCs w:val="24"/>
          <w:lang w:val="es-ES"/>
        </w:rPr>
        <w:t xml:space="preserve"> a  US$ 150.0  millones a finales de Diciembre 2014</w:t>
      </w:r>
      <w:r w:rsidR="00756B3C" w:rsidRPr="00756B3C">
        <w:rPr>
          <w:rFonts w:ascii="Times New Roman" w:hAnsi="Times New Roman"/>
          <w:color w:val="000000"/>
          <w:sz w:val="24"/>
          <w:szCs w:val="24"/>
          <w:lang w:val="es-ES"/>
        </w:rPr>
        <w:t xml:space="preserve">. </w:t>
      </w:r>
      <w:r w:rsidR="00756B3C" w:rsidRPr="00756B3C">
        <w:rPr>
          <w:rFonts w:ascii="Times New Roman" w:hAnsi="Times New Roman"/>
          <w:color w:val="000000"/>
          <w:sz w:val="24"/>
          <w:szCs w:val="24"/>
          <w:lang w:val="es-HN"/>
        </w:rPr>
        <w:t xml:space="preserve">Con la suscripción del acuerdo </w:t>
      </w:r>
      <w:r w:rsidR="00153EAB">
        <w:rPr>
          <w:rFonts w:ascii="Times New Roman" w:hAnsi="Times New Roman"/>
          <w:color w:val="000000"/>
          <w:sz w:val="24"/>
          <w:szCs w:val="24"/>
          <w:lang w:val="es-HN"/>
        </w:rPr>
        <w:t>S</w:t>
      </w:r>
      <w:r w:rsidR="00756B3C" w:rsidRPr="00153EAB">
        <w:rPr>
          <w:rFonts w:ascii="Times New Roman" w:hAnsi="Times New Roman"/>
          <w:i/>
          <w:color w:val="000000"/>
          <w:sz w:val="24"/>
          <w:szCs w:val="24"/>
          <w:lang w:val="es-HN"/>
        </w:rPr>
        <w:t xml:space="preserve">tand </w:t>
      </w:r>
      <w:proofErr w:type="spellStart"/>
      <w:r w:rsidR="00756B3C" w:rsidRPr="00153EAB">
        <w:rPr>
          <w:rFonts w:ascii="Times New Roman" w:hAnsi="Times New Roman"/>
          <w:i/>
          <w:color w:val="000000"/>
          <w:sz w:val="24"/>
          <w:szCs w:val="24"/>
          <w:lang w:val="es-HN"/>
        </w:rPr>
        <w:t>by</w:t>
      </w:r>
      <w:proofErr w:type="spellEnd"/>
      <w:r w:rsidR="00756B3C" w:rsidRPr="00756B3C">
        <w:rPr>
          <w:rFonts w:ascii="Times New Roman" w:hAnsi="Times New Roman"/>
          <w:color w:val="000000"/>
          <w:sz w:val="24"/>
          <w:szCs w:val="24"/>
          <w:lang w:val="es-HN"/>
        </w:rPr>
        <w:t xml:space="preserve"> con el </w:t>
      </w:r>
      <w:r w:rsidR="00C33410">
        <w:rPr>
          <w:rFonts w:ascii="Times New Roman" w:hAnsi="Times New Roman"/>
          <w:color w:val="000000"/>
          <w:sz w:val="24"/>
          <w:szCs w:val="24"/>
          <w:lang w:val="es-HN"/>
        </w:rPr>
        <w:t>Fondo monetario Internacional (</w:t>
      </w:r>
      <w:r w:rsidR="00756B3C" w:rsidRPr="00756B3C">
        <w:rPr>
          <w:rFonts w:ascii="Times New Roman" w:hAnsi="Times New Roman"/>
          <w:color w:val="000000"/>
          <w:sz w:val="24"/>
          <w:szCs w:val="24"/>
          <w:lang w:val="es-HN"/>
        </w:rPr>
        <w:t>FMI</w:t>
      </w:r>
      <w:r w:rsidR="00C33410">
        <w:rPr>
          <w:rFonts w:ascii="Times New Roman" w:hAnsi="Times New Roman"/>
          <w:color w:val="000000"/>
          <w:sz w:val="24"/>
          <w:szCs w:val="24"/>
          <w:lang w:val="es-HN"/>
        </w:rPr>
        <w:t>)</w:t>
      </w:r>
      <w:r w:rsidR="00756B3C" w:rsidRPr="00756B3C">
        <w:rPr>
          <w:rFonts w:ascii="Times New Roman" w:hAnsi="Times New Roman"/>
          <w:color w:val="000000"/>
          <w:sz w:val="24"/>
          <w:szCs w:val="24"/>
          <w:lang w:val="es-HN"/>
        </w:rPr>
        <w:t xml:space="preserve"> a partir de Noviembre 2014, </w:t>
      </w:r>
      <w:r w:rsidR="00756B3C">
        <w:rPr>
          <w:rFonts w:ascii="Times New Roman" w:hAnsi="Times New Roman"/>
          <w:color w:val="000000"/>
          <w:sz w:val="24"/>
          <w:szCs w:val="24"/>
          <w:lang w:val="es-HN"/>
        </w:rPr>
        <w:t xml:space="preserve">la ENEE cancela toda la planilla nueva emitida por </w:t>
      </w:r>
      <w:r w:rsidR="00756B3C" w:rsidRPr="00756B3C">
        <w:rPr>
          <w:rFonts w:ascii="Times New Roman" w:hAnsi="Times New Roman"/>
          <w:color w:val="000000"/>
          <w:sz w:val="24"/>
          <w:szCs w:val="24"/>
          <w:lang w:val="es-HN"/>
        </w:rPr>
        <w:t xml:space="preserve">las empresas privadas generadoras </w:t>
      </w:r>
      <w:r w:rsidR="00756B3C">
        <w:rPr>
          <w:rFonts w:ascii="Times New Roman" w:hAnsi="Times New Roman"/>
          <w:color w:val="000000"/>
          <w:sz w:val="24"/>
          <w:szCs w:val="24"/>
          <w:lang w:val="es-HN"/>
        </w:rPr>
        <w:t>de energía eléctrica. El ajuste tarifario</w:t>
      </w:r>
      <w:r w:rsidR="00153EAB">
        <w:rPr>
          <w:rFonts w:ascii="Times New Roman" w:hAnsi="Times New Roman"/>
          <w:color w:val="000000"/>
          <w:sz w:val="24"/>
          <w:szCs w:val="24"/>
          <w:lang w:val="es-HN"/>
        </w:rPr>
        <w:t>,</w:t>
      </w:r>
      <w:r w:rsidR="00756B3C">
        <w:rPr>
          <w:rFonts w:ascii="Times New Roman" w:hAnsi="Times New Roman"/>
          <w:color w:val="000000"/>
          <w:sz w:val="24"/>
          <w:szCs w:val="24"/>
          <w:lang w:val="es-HN"/>
        </w:rPr>
        <w:t xml:space="preserve"> sumado a la caída del precio del petróleo han contribuido a que esta condicionalidad se cumpla.</w:t>
      </w:r>
    </w:p>
    <w:p w:rsidR="00756B3C" w:rsidRDefault="00756B3C" w:rsidP="00153EAB">
      <w:pPr>
        <w:pStyle w:val="ListParagraph"/>
        <w:numPr>
          <w:ilvl w:val="1"/>
          <w:numId w:val="11"/>
        </w:numPr>
        <w:spacing w:after="120" w:line="240" w:lineRule="auto"/>
        <w:ind w:left="1620" w:hanging="540"/>
        <w:contextualSpacing w:val="0"/>
        <w:jc w:val="both"/>
        <w:rPr>
          <w:rFonts w:ascii="Times New Roman" w:hAnsi="Times New Roman"/>
          <w:color w:val="000000"/>
          <w:sz w:val="24"/>
          <w:szCs w:val="24"/>
          <w:lang w:val="es-ES_tradnl"/>
        </w:rPr>
      </w:pPr>
      <w:r>
        <w:rPr>
          <w:rFonts w:ascii="Times New Roman" w:hAnsi="Times New Roman"/>
          <w:color w:val="000000"/>
          <w:sz w:val="24"/>
          <w:szCs w:val="24"/>
          <w:lang w:val="es-ES_tradnl"/>
        </w:rPr>
        <w:t>la mejora en las condiciones de los contratos que fueron renegociados en enero 2014</w:t>
      </w:r>
      <w:r w:rsidR="00153EAB">
        <w:rPr>
          <w:rFonts w:ascii="Times New Roman" w:hAnsi="Times New Roman"/>
          <w:color w:val="000000"/>
          <w:sz w:val="24"/>
          <w:szCs w:val="24"/>
          <w:lang w:val="es-ES_tradnl"/>
        </w:rPr>
        <w:t>,</w:t>
      </w:r>
      <w:r>
        <w:rPr>
          <w:rFonts w:ascii="Times New Roman" w:hAnsi="Times New Roman"/>
          <w:color w:val="000000"/>
          <w:sz w:val="24"/>
          <w:szCs w:val="24"/>
          <w:lang w:val="es-ES_tradnl"/>
        </w:rPr>
        <w:t xml:space="preserve"> contribuyó a reducir la factura de compra de energía</w:t>
      </w:r>
      <w:r w:rsidR="00C7684A">
        <w:rPr>
          <w:rFonts w:ascii="Times New Roman" w:hAnsi="Times New Roman"/>
          <w:color w:val="000000"/>
          <w:sz w:val="24"/>
          <w:szCs w:val="24"/>
          <w:lang w:val="es-ES_tradnl"/>
        </w:rPr>
        <w:t xml:space="preserve"> térmica</w:t>
      </w:r>
      <w:r>
        <w:rPr>
          <w:rFonts w:ascii="Times New Roman" w:hAnsi="Times New Roman"/>
          <w:color w:val="000000"/>
          <w:sz w:val="24"/>
          <w:szCs w:val="24"/>
          <w:lang w:val="es-ES_tradnl"/>
        </w:rPr>
        <w:t>. El ahorro originalmente estimado fue de L. 400 millones</w:t>
      </w:r>
      <w:r w:rsidR="00153EAB">
        <w:rPr>
          <w:rFonts w:ascii="Times New Roman" w:hAnsi="Times New Roman"/>
          <w:color w:val="000000"/>
          <w:sz w:val="24"/>
          <w:szCs w:val="24"/>
          <w:lang w:val="es-ES_tradnl"/>
        </w:rPr>
        <w:t>. N</w:t>
      </w:r>
      <w:r>
        <w:rPr>
          <w:rFonts w:ascii="Times New Roman" w:hAnsi="Times New Roman"/>
          <w:color w:val="000000"/>
          <w:sz w:val="24"/>
          <w:szCs w:val="24"/>
          <w:lang w:val="es-ES_tradnl"/>
        </w:rPr>
        <w:t xml:space="preserve">o obstante, </w:t>
      </w:r>
      <w:r w:rsidR="004A0A36">
        <w:rPr>
          <w:rFonts w:ascii="Times New Roman" w:hAnsi="Times New Roman"/>
          <w:color w:val="000000"/>
          <w:sz w:val="24"/>
          <w:szCs w:val="24"/>
          <w:lang w:val="es-ES_tradnl"/>
        </w:rPr>
        <w:t xml:space="preserve">la ENEE reporta que el precio pudo </w:t>
      </w:r>
      <w:r>
        <w:rPr>
          <w:rFonts w:ascii="Times New Roman" w:hAnsi="Times New Roman"/>
          <w:color w:val="000000"/>
          <w:sz w:val="24"/>
          <w:szCs w:val="24"/>
          <w:lang w:val="es-ES_tradnl"/>
        </w:rPr>
        <w:t>haber incrementado</w:t>
      </w:r>
      <w:r w:rsidR="00153EAB">
        <w:rPr>
          <w:rFonts w:ascii="Times New Roman" w:hAnsi="Times New Roman"/>
          <w:color w:val="000000"/>
          <w:sz w:val="24"/>
          <w:szCs w:val="24"/>
          <w:lang w:val="es-ES_tradnl"/>
        </w:rPr>
        <w:t>,</w:t>
      </w:r>
      <w:r>
        <w:rPr>
          <w:rFonts w:ascii="Times New Roman" w:hAnsi="Times New Roman"/>
          <w:color w:val="000000"/>
          <w:sz w:val="24"/>
          <w:szCs w:val="24"/>
          <w:lang w:val="es-ES_tradnl"/>
        </w:rPr>
        <w:t xml:space="preserve"> considerando </w:t>
      </w:r>
      <w:r w:rsidR="004A0A36">
        <w:rPr>
          <w:rFonts w:ascii="Times New Roman" w:hAnsi="Times New Roman"/>
          <w:color w:val="000000"/>
          <w:sz w:val="24"/>
          <w:szCs w:val="24"/>
          <w:lang w:val="es-ES_tradnl"/>
        </w:rPr>
        <w:t xml:space="preserve">un mayor factor de planta de las </w:t>
      </w:r>
      <w:r>
        <w:rPr>
          <w:rFonts w:ascii="Times New Roman" w:hAnsi="Times New Roman"/>
          <w:color w:val="000000"/>
          <w:sz w:val="24"/>
          <w:szCs w:val="24"/>
          <w:lang w:val="es-ES_tradnl"/>
        </w:rPr>
        <w:t xml:space="preserve">plantas </w:t>
      </w:r>
      <w:r w:rsidR="004A0A36">
        <w:rPr>
          <w:rFonts w:ascii="Times New Roman" w:hAnsi="Times New Roman"/>
          <w:color w:val="000000"/>
          <w:sz w:val="24"/>
          <w:szCs w:val="24"/>
          <w:lang w:val="es-ES_tradnl"/>
        </w:rPr>
        <w:t xml:space="preserve">por </w:t>
      </w:r>
      <w:r w:rsidR="00153EAB">
        <w:rPr>
          <w:rFonts w:ascii="Times New Roman" w:hAnsi="Times New Roman"/>
          <w:color w:val="000000"/>
          <w:sz w:val="24"/>
          <w:szCs w:val="24"/>
          <w:lang w:val="es-ES_tradnl"/>
        </w:rPr>
        <w:t>mayor despacho.</w:t>
      </w:r>
    </w:p>
    <w:p w:rsidR="00756B3C" w:rsidRPr="00756B3C" w:rsidRDefault="00206E50" w:rsidP="00153EAB">
      <w:pPr>
        <w:pStyle w:val="ListParagraph"/>
        <w:numPr>
          <w:ilvl w:val="1"/>
          <w:numId w:val="11"/>
        </w:numPr>
        <w:spacing w:after="120" w:line="240" w:lineRule="auto"/>
        <w:ind w:left="1620" w:hanging="540"/>
        <w:contextualSpacing w:val="0"/>
        <w:jc w:val="both"/>
        <w:rPr>
          <w:rFonts w:ascii="Times New Roman" w:hAnsi="Times New Roman"/>
          <w:color w:val="000000"/>
          <w:sz w:val="24"/>
          <w:szCs w:val="24"/>
          <w:lang w:val="es-HN"/>
        </w:rPr>
      </w:pPr>
      <w:r>
        <w:rPr>
          <w:rFonts w:ascii="Times New Roman" w:hAnsi="Times New Roman"/>
          <w:color w:val="000000"/>
          <w:sz w:val="24"/>
          <w:szCs w:val="24"/>
          <w:lang w:val="es-HN"/>
        </w:rPr>
        <w:t>incremento en la compra de energía en el Mercado Eléctrico Regional</w:t>
      </w:r>
      <w:r w:rsidR="00153EAB">
        <w:rPr>
          <w:rFonts w:ascii="Times New Roman" w:hAnsi="Times New Roman"/>
          <w:color w:val="000000"/>
          <w:sz w:val="24"/>
          <w:szCs w:val="24"/>
          <w:lang w:val="es-HN"/>
        </w:rPr>
        <w:t xml:space="preserve"> (MER)</w:t>
      </w:r>
      <w:r>
        <w:rPr>
          <w:rFonts w:ascii="Times New Roman" w:hAnsi="Times New Roman"/>
          <w:color w:val="000000"/>
          <w:sz w:val="24"/>
          <w:szCs w:val="24"/>
          <w:lang w:val="es-HN"/>
        </w:rPr>
        <w:t xml:space="preserve">. Las compras de energía en el MER crecieron 2.74 veces con relación a las compras del 2013, lo cual provocó un ahorro de US$ </w:t>
      </w:r>
      <w:r w:rsidR="00C7684A">
        <w:rPr>
          <w:rFonts w:ascii="Times New Roman" w:hAnsi="Times New Roman"/>
          <w:color w:val="000000"/>
          <w:sz w:val="24"/>
          <w:szCs w:val="24"/>
          <w:lang w:val="es-HN"/>
        </w:rPr>
        <w:t>41</w:t>
      </w:r>
      <w:r w:rsidR="009C6D0C">
        <w:rPr>
          <w:rFonts w:ascii="Times New Roman" w:hAnsi="Times New Roman"/>
          <w:color w:val="000000"/>
          <w:sz w:val="24"/>
          <w:szCs w:val="24"/>
          <w:lang w:val="es-HN"/>
        </w:rPr>
        <w:t xml:space="preserve">.5 </w:t>
      </w:r>
      <w:r>
        <w:rPr>
          <w:rFonts w:ascii="Times New Roman" w:hAnsi="Times New Roman"/>
          <w:color w:val="000000"/>
          <w:sz w:val="24"/>
          <w:szCs w:val="24"/>
          <w:lang w:val="es-HN"/>
        </w:rPr>
        <w:t>millones por sustitución de energía</w:t>
      </w:r>
      <w:r w:rsidR="00C7684A">
        <w:rPr>
          <w:rFonts w:ascii="Times New Roman" w:hAnsi="Times New Roman"/>
          <w:color w:val="000000"/>
          <w:sz w:val="24"/>
          <w:szCs w:val="24"/>
          <w:lang w:val="es-HN"/>
        </w:rPr>
        <w:t xml:space="preserve"> más costosa</w:t>
      </w:r>
      <w:r>
        <w:rPr>
          <w:rFonts w:ascii="Times New Roman" w:hAnsi="Times New Roman"/>
          <w:color w:val="000000"/>
          <w:sz w:val="24"/>
          <w:szCs w:val="24"/>
          <w:lang w:val="es-HN"/>
        </w:rPr>
        <w:t>.</w:t>
      </w:r>
    </w:p>
    <w:p w:rsidR="00206E50" w:rsidRPr="00206E50" w:rsidRDefault="005B0C32" w:rsidP="00153EAB">
      <w:pPr>
        <w:pStyle w:val="ListParagraph"/>
        <w:numPr>
          <w:ilvl w:val="1"/>
          <w:numId w:val="11"/>
        </w:numPr>
        <w:spacing w:after="120" w:line="240" w:lineRule="auto"/>
        <w:ind w:left="1620" w:hanging="540"/>
        <w:contextualSpacing w:val="0"/>
        <w:jc w:val="both"/>
        <w:rPr>
          <w:rFonts w:ascii="Times New Roman" w:hAnsi="Times New Roman"/>
          <w:color w:val="000000"/>
          <w:sz w:val="24"/>
          <w:szCs w:val="24"/>
          <w:lang w:val="es-HN"/>
        </w:rPr>
      </w:pPr>
      <w:r>
        <w:rPr>
          <w:rFonts w:ascii="Times New Roman" w:hAnsi="Times New Roman"/>
          <w:color w:val="000000"/>
          <w:sz w:val="24"/>
          <w:szCs w:val="24"/>
          <w:lang w:val="es-HN"/>
        </w:rPr>
        <w:t>e</w:t>
      </w:r>
      <w:r w:rsidR="00206E50">
        <w:rPr>
          <w:rFonts w:ascii="Times New Roman" w:hAnsi="Times New Roman"/>
          <w:color w:val="000000"/>
          <w:sz w:val="24"/>
          <w:szCs w:val="24"/>
          <w:lang w:val="es-HN"/>
        </w:rPr>
        <w:t xml:space="preserve">ntrada en operación </w:t>
      </w:r>
      <w:r w:rsidR="00206E50" w:rsidRPr="00206E50">
        <w:rPr>
          <w:rFonts w:ascii="Times New Roman" w:hAnsi="Times New Roman"/>
          <w:color w:val="000000"/>
          <w:sz w:val="24"/>
          <w:szCs w:val="24"/>
          <w:lang w:val="es-HN"/>
        </w:rPr>
        <w:t xml:space="preserve">de 176.1 MW </w:t>
      </w:r>
      <w:r w:rsidR="00206E50">
        <w:rPr>
          <w:rFonts w:ascii="Times New Roman" w:hAnsi="Times New Roman"/>
          <w:color w:val="000000"/>
          <w:sz w:val="24"/>
          <w:szCs w:val="24"/>
          <w:lang w:val="es-HN"/>
        </w:rPr>
        <w:t xml:space="preserve">de proyectos de energía renovable no convencional </w:t>
      </w:r>
      <w:r w:rsidR="00206E50" w:rsidRPr="00206E50">
        <w:rPr>
          <w:rFonts w:ascii="Times New Roman" w:hAnsi="Times New Roman"/>
          <w:color w:val="000000"/>
          <w:sz w:val="24"/>
          <w:szCs w:val="24"/>
          <w:lang w:val="es-HN"/>
        </w:rPr>
        <w:t>- ERNC (64.46 MW mini</w:t>
      </w:r>
      <w:r w:rsidR="00153EAB">
        <w:rPr>
          <w:rFonts w:ascii="Times New Roman" w:hAnsi="Times New Roman"/>
          <w:color w:val="000000"/>
          <w:sz w:val="24"/>
          <w:szCs w:val="24"/>
          <w:lang w:val="es-HN"/>
        </w:rPr>
        <w:t xml:space="preserve"> </w:t>
      </w:r>
      <w:r w:rsidR="00206E50" w:rsidRPr="00206E50">
        <w:rPr>
          <w:rFonts w:ascii="Times New Roman" w:hAnsi="Times New Roman"/>
          <w:color w:val="000000"/>
          <w:sz w:val="24"/>
          <w:szCs w:val="24"/>
          <w:lang w:val="es-HN"/>
        </w:rPr>
        <w:t>hidro</w:t>
      </w:r>
      <w:r w:rsidR="00153EAB">
        <w:rPr>
          <w:rFonts w:ascii="Times New Roman" w:hAnsi="Times New Roman"/>
          <w:color w:val="000000"/>
          <w:sz w:val="24"/>
          <w:szCs w:val="24"/>
          <w:lang w:val="es-HN"/>
        </w:rPr>
        <w:t>eléctricas</w:t>
      </w:r>
      <w:r w:rsidR="00206E50" w:rsidRPr="00206E50">
        <w:rPr>
          <w:rFonts w:ascii="Times New Roman" w:hAnsi="Times New Roman"/>
          <w:color w:val="000000"/>
          <w:sz w:val="24"/>
          <w:szCs w:val="24"/>
          <w:lang w:val="es-HN"/>
        </w:rPr>
        <w:t>; 36.6 MW de biomasa, y 75 MW de eólica) que representa un incremento del 58% de la capacidad de ERNC instalada</w:t>
      </w:r>
      <w:r>
        <w:rPr>
          <w:rFonts w:ascii="Times New Roman" w:hAnsi="Times New Roman"/>
          <w:color w:val="000000"/>
          <w:sz w:val="24"/>
          <w:szCs w:val="24"/>
          <w:lang w:val="es-HN"/>
        </w:rPr>
        <w:t xml:space="preserve">. Los proyectos de energía </w:t>
      </w:r>
      <w:r w:rsidR="00153EAB">
        <w:rPr>
          <w:rFonts w:ascii="Times New Roman" w:hAnsi="Times New Roman"/>
          <w:color w:val="000000"/>
          <w:sz w:val="24"/>
          <w:szCs w:val="24"/>
          <w:lang w:val="es-HN"/>
        </w:rPr>
        <w:t xml:space="preserve">de </w:t>
      </w:r>
      <w:r w:rsidR="00153EAB" w:rsidRPr="00153EAB">
        <w:rPr>
          <w:rFonts w:ascii="Times New Roman" w:hAnsi="Times New Roman"/>
          <w:color w:val="000000"/>
          <w:sz w:val="24"/>
          <w:szCs w:val="24"/>
          <w:lang w:val="es-HN"/>
        </w:rPr>
        <w:t xml:space="preserve">mini hidroeléctricas </w:t>
      </w:r>
      <w:r>
        <w:rPr>
          <w:rFonts w:ascii="Times New Roman" w:hAnsi="Times New Roman"/>
          <w:color w:val="000000"/>
          <w:sz w:val="24"/>
          <w:szCs w:val="24"/>
          <w:lang w:val="es-HN"/>
        </w:rPr>
        <w:t>y biomasa</w:t>
      </w:r>
      <w:r w:rsidR="00153EAB">
        <w:rPr>
          <w:rFonts w:ascii="Times New Roman" w:hAnsi="Times New Roman"/>
          <w:color w:val="000000"/>
          <w:sz w:val="24"/>
          <w:szCs w:val="24"/>
          <w:lang w:val="es-HN"/>
        </w:rPr>
        <w:t>,</w:t>
      </w:r>
      <w:r>
        <w:rPr>
          <w:rFonts w:ascii="Times New Roman" w:hAnsi="Times New Roman"/>
          <w:color w:val="000000"/>
          <w:sz w:val="24"/>
          <w:szCs w:val="24"/>
          <w:lang w:val="es-HN"/>
        </w:rPr>
        <w:t xml:space="preserve"> son producto de la compra de energía de la licitación realizada en 2010 con precios </w:t>
      </w:r>
      <w:r w:rsidR="00153EAB">
        <w:rPr>
          <w:rFonts w:ascii="Times New Roman" w:hAnsi="Times New Roman"/>
          <w:color w:val="000000"/>
          <w:sz w:val="24"/>
          <w:szCs w:val="24"/>
          <w:lang w:val="es-HN"/>
        </w:rPr>
        <w:t xml:space="preserve">de </w:t>
      </w:r>
      <w:r>
        <w:rPr>
          <w:rFonts w:ascii="Times New Roman" w:hAnsi="Times New Roman"/>
          <w:color w:val="000000"/>
          <w:sz w:val="24"/>
          <w:szCs w:val="24"/>
          <w:lang w:val="es-HN"/>
        </w:rPr>
        <w:t xml:space="preserve">entre 10 </w:t>
      </w:r>
      <w:r w:rsidR="00153EAB">
        <w:rPr>
          <w:rFonts w:ascii="Times New Roman" w:hAnsi="Times New Roman"/>
          <w:color w:val="000000"/>
          <w:sz w:val="24"/>
          <w:szCs w:val="24"/>
          <w:lang w:val="es-HN"/>
        </w:rPr>
        <w:t>y</w:t>
      </w:r>
      <w:r>
        <w:rPr>
          <w:rFonts w:ascii="Times New Roman" w:hAnsi="Times New Roman"/>
          <w:color w:val="000000"/>
          <w:sz w:val="24"/>
          <w:szCs w:val="24"/>
          <w:lang w:val="es-HN"/>
        </w:rPr>
        <w:t xml:space="preserve"> 11 </w:t>
      </w:r>
      <w:proofErr w:type="spellStart"/>
      <w:r>
        <w:rPr>
          <w:rFonts w:ascii="Times New Roman" w:hAnsi="Times New Roman"/>
          <w:color w:val="000000"/>
          <w:sz w:val="24"/>
          <w:szCs w:val="24"/>
          <w:lang w:val="es-HN"/>
        </w:rPr>
        <w:t>cUSD</w:t>
      </w:r>
      <w:proofErr w:type="spellEnd"/>
      <w:r>
        <w:rPr>
          <w:rFonts w:ascii="Times New Roman" w:hAnsi="Times New Roman"/>
          <w:color w:val="000000"/>
          <w:sz w:val="24"/>
          <w:szCs w:val="24"/>
          <w:lang w:val="es-HN"/>
        </w:rPr>
        <w:t>/</w:t>
      </w:r>
      <w:proofErr w:type="spellStart"/>
      <w:r>
        <w:rPr>
          <w:rFonts w:ascii="Times New Roman" w:hAnsi="Times New Roman"/>
          <w:color w:val="000000"/>
          <w:sz w:val="24"/>
          <w:szCs w:val="24"/>
          <w:lang w:val="es-HN"/>
        </w:rPr>
        <w:t>kWh</w:t>
      </w:r>
      <w:proofErr w:type="spellEnd"/>
      <w:r>
        <w:rPr>
          <w:rFonts w:ascii="Times New Roman" w:hAnsi="Times New Roman"/>
          <w:color w:val="000000"/>
          <w:sz w:val="24"/>
          <w:szCs w:val="24"/>
          <w:lang w:val="es-HN"/>
        </w:rPr>
        <w:t>.</w:t>
      </w:r>
    </w:p>
    <w:p w:rsidR="00525287" w:rsidRPr="00756B3C" w:rsidRDefault="005C4BF2" w:rsidP="00153EAB">
      <w:pPr>
        <w:pStyle w:val="ListParagraph"/>
        <w:numPr>
          <w:ilvl w:val="1"/>
          <w:numId w:val="11"/>
        </w:numPr>
        <w:spacing w:after="120" w:line="240" w:lineRule="auto"/>
        <w:ind w:left="1620" w:hanging="540"/>
        <w:contextualSpacing w:val="0"/>
        <w:jc w:val="both"/>
        <w:rPr>
          <w:rFonts w:ascii="Times New Roman" w:hAnsi="Times New Roman"/>
          <w:color w:val="000000"/>
          <w:sz w:val="24"/>
          <w:szCs w:val="24"/>
          <w:lang w:val="es-HN"/>
        </w:rPr>
      </w:pPr>
      <w:r w:rsidRPr="00756B3C">
        <w:rPr>
          <w:rFonts w:ascii="Times New Roman" w:hAnsi="Times New Roman"/>
          <w:color w:val="000000"/>
          <w:sz w:val="24"/>
          <w:szCs w:val="24"/>
          <w:lang w:val="es-ES_tradnl"/>
        </w:rPr>
        <w:lastRenderedPageBreak/>
        <w:t>recuperación de la car</w:t>
      </w:r>
      <w:r w:rsidR="00131E93" w:rsidRPr="00756B3C">
        <w:rPr>
          <w:rFonts w:ascii="Times New Roman" w:hAnsi="Times New Roman"/>
          <w:color w:val="000000"/>
          <w:sz w:val="24"/>
          <w:szCs w:val="24"/>
          <w:lang w:val="es-ES_tradnl"/>
        </w:rPr>
        <w:t xml:space="preserve">tera en mora del sector público y privado. </w:t>
      </w:r>
      <w:r w:rsidR="00131E93" w:rsidRPr="00756B3C">
        <w:rPr>
          <w:rFonts w:ascii="Times New Roman" w:hAnsi="Times New Roman"/>
          <w:color w:val="000000"/>
          <w:sz w:val="24"/>
          <w:szCs w:val="24"/>
          <w:lang w:val="es-MX"/>
        </w:rPr>
        <w:t xml:space="preserve">Los pagos reportados por </w:t>
      </w:r>
      <w:r w:rsidR="004E6FDC" w:rsidRPr="00756B3C">
        <w:rPr>
          <w:rFonts w:ascii="Times New Roman" w:hAnsi="Times New Roman"/>
          <w:color w:val="000000"/>
          <w:sz w:val="24"/>
          <w:szCs w:val="24"/>
          <w:lang w:val="es-MX"/>
        </w:rPr>
        <w:t xml:space="preserve"> Secretaria de Finanzas (SEFIN</w:t>
      </w:r>
      <w:r w:rsidR="00131E93" w:rsidRPr="00756B3C">
        <w:rPr>
          <w:rFonts w:ascii="Times New Roman" w:hAnsi="Times New Roman"/>
          <w:color w:val="000000"/>
          <w:sz w:val="24"/>
          <w:szCs w:val="24"/>
          <w:lang w:val="es-MX"/>
        </w:rPr>
        <w:t xml:space="preserve">) incluyeron pago de </w:t>
      </w:r>
      <w:r w:rsidR="004E6FDC" w:rsidRPr="00756B3C">
        <w:rPr>
          <w:rFonts w:ascii="Times New Roman" w:hAnsi="Times New Roman"/>
          <w:color w:val="000000"/>
          <w:sz w:val="24"/>
          <w:szCs w:val="24"/>
          <w:lang w:val="es-MX"/>
        </w:rPr>
        <w:t xml:space="preserve">deuda flotante del 2013 </w:t>
      </w:r>
      <w:r w:rsidR="00131E93" w:rsidRPr="00756B3C">
        <w:rPr>
          <w:rFonts w:ascii="Times New Roman" w:hAnsi="Times New Roman"/>
          <w:color w:val="000000"/>
          <w:sz w:val="24"/>
          <w:szCs w:val="24"/>
          <w:lang w:val="es-MX"/>
        </w:rPr>
        <w:t xml:space="preserve">y deuda </w:t>
      </w:r>
      <w:r w:rsidR="004E6FDC" w:rsidRPr="00756B3C">
        <w:rPr>
          <w:rFonts w:ascii="Times New Roman" w:hAnsi="Times New Roman"/>
          <w:color w:val="000000"/>
          <w:sz w:val="24"/>
          <w:szCs w:val="24"/>
          <w:lang w:val="es-MX"/>
        </w:rPr>
        <w:t xml:space="preserve">de servicio </w:t>
      </w:r>
      <w:r w:rsidR="00131E93" w:rsidRPr="00756B3C">
        <w:rPr>
          <w:rFonts w:ascii="Times New Roman" w:hAnsi="Times New Roman"/>
          <w:color w:val="000000"/>
          <w:sz w:val="24"/>
          <w:szCs w:val="24"/>
          <w:lang w:val="es-MX"/>
        </w:rPr>
        <w:t>público</w:t>
      </w:r>
      <w:r w:rsidR="004E6FDC" w:rsidRPr="00756B3C">
        <w:rPr>
          <w:rFonts w:ascii="Times New Roman" w:hAnsi="Times New Roman"/>
          <w:color w:val="000000"/>
          <w:sz w:val="24"/>
          <w:szCs w:val="24"/>
          <w:lang w:val="es-MX"/>
        </w:rPr>
        <w:t xml:space="preserve"> </w:t>
      </w:r>
      <w:r w:rsidR="00131E93" w:rsidRPr="00756B3C">
        <w:rPr>
          <w:rFonts w:ascii="Times New Roman" w:hAnsi="Times New Roman"/>
          <w:color w:val="000000"/>
          <w:sz w:val="24"/>
          <w:szCs w:val="24"/>
          <w:lang w:val="es-MX"/>
        </w:rPr>
        <w:t xml:space="preserve">impago del periodo </w:t>
      </w:r>
      <w:r w:rsidR="00153EAB">
        <w:rPr>
          <w:rFonts w:ascii="Times New Roman" w:hAnsi="Times New Roman"/>
          <w:color w:val="000000"/>
          <w:sz w:val="24"/>
          <w:szCs w:val="24"/>
          <w:lang w:val="es-MX"/>
        </w:rPr>
        <w:t>e</w:t>
      </w:r>
      <w:r w:rsidR="004E6FDC" w:rsidRPr="00756B3C">
        <w:rPr>
          <w:rFonts w:ascii="Times New Roman" w:hAnsi="Times New Roman"/>
          <w:color w:val="000000"/>
          <w:sz w:val="24"/>
          <w:szCs w:val="24"/>
          <w:lang w:val="es-MX"/>
        </w:rPr>
        <w:t>nero-</w:t>
      </w:r>
      <w:r w:rsidR="00153EAB">
        <w:rPr>
          <w:rFonts w:ascii="Times New Roman" w:hAnsi="Times New Roman"/>
          <w:color w:val="000000"/>
          <w:sz w:val="24"/>
          <w:szCs w:val="24"/>
          <w:lang w:val="es-MX"/>
        </w:rPr>
        <w:t>s</w:t>
      </w:r>
      <w:r w:rsidR="004E6FDC" w:rsidRPr="00756B3C">
        <w:rPr>
          <w:rFonts w:ascii="Times New Roman" w:hAnsi="Times New Roman"/>
          <w:color w:val="000000"/>
          <w:sz w:val="24"/>
          <w:szCs w:val="24"/>
          <w:lang w:val="es-MX"/>
        </w:rPr>
        <w:t xml:space="preserve">eptiembre del 2014. </w:t>
      </w:r>
      <w:r w:rsidR="00131E93" w:rsidRPr="00756B3C">
        <w:rPr>
          <w:rFonts w:ascii="Times New Roman" w:hAnsi="Times New Roman"/>
          <w:color w:val="000000"/>
          <w:sz w:val="24"/>
          <w:szCs w:val="24"/>
          <w:lang w:val="es-MX"/>
        </w:rPr>
        <w:t>El monto cancelado fue de L 1,000.0 millones. A través de convenios de pago con el sector privado se han recaudado L. 4</w:t>
      </w:r>
      <w:r w:rsidR="004E6FDC" w:rsidRPr="00756B3C">
        <w:rPr>
          <w:rFonts w:ascii="Times New Roman" w:hAnsi="Times New Roman"/>
          <w:color w:val="000000"/>
          <w:sz w:val="24"/>
          <w:szCs w:val="24"/>
          <w:lang w:val="es-MX"/>
        </w:rPr>
        <w:t>7</w:t>
      </w:r>
      <w:r w:rsidR="00131E93" w:rsidRPr="00756B3C">
        <w:rPr>
          <w:rFonts w:ascii="Times New Roman" w:hAnsi="Times New Roman"/>
          <w:color w:val="000000"/>
          <w:sz w:val="24"/>
          <w:szCs w:val="24"/>
          <w:lang w:val="es-MX"/>
        </w:rPr>
        <w:t xml:space="preserve"> millones.</w:t>
      </w:r>
    </w:p>
    <w:p w:rsidR="00333263" w:rsidRPr="00131E93" w:rsidRDefault="00756B3C" w:rsidP="00153EAB">
      <w:pPr>
        <w:pStyle w:val="ListParagraph"/>
        <w:numPr>
          <w:ilvl w:val="1"/>
          <w:numId w:val="11"/>
        </w:numPr>
        <w:spacing w:after="120" w:line="240" w:lineRule="auto"/>
        <w:ind w:left="1620" w:hanging="540"/>
        <w:contextualSpacing w:val="0"/>
        <w:jc w:val="both"/>
        <w:rPr>
          <w:rFonts w:ascii="Times New Roman" w:hAnsi="Times New Roman"/>
          <w:color w:val="000000"/>
          <w:sz w:val="24"/>
          <w:szCs w:val="24"/>
          <w:lang w:val="es-HN"/>
        </w:rPr>
      </w:pPr>
      <w:r>
        <w:rPr>
          <w:rFonts w:ascii="Times New Roman" w:hAnsi="Times New Roman"/>
          <w:color w:val="000000"/>
          <w:sz w:val="24"/>
          <w:szCs w:val="24"/>
          <w:lang w:val="es-MX"/>
        </w:rPr>
        <w:t>r</w:t>
      </w:r>
      <w:r w:rsidR="00333263">
        <w:rPr>
          <w:rFonts w:ascii="Times New Roman" w:hAnsi="Times New Roman"/>
          <w:color w:val="000000"/>
          <w:sz w:val="24"/>
          <w:szCs w:val="24"/>
          <w:lang w:val="es-MX"/>
        </w:rPr>
        <w:t xml:space="preserve">educción del número de empleados, realizando un retiro de 1,141 empleados (617 permanentes y 524 temporales) de los 4,574 registrados en </w:t>
      </w:r>
      <w:r w:rsidR="00153EAB">
        <w:rPr>
          <w:rFonts w:ascii="Times New Roman" w:hAnsi="Times New Roman"/>
          <w:color w:val="000000"/>
          <w:sz w:val="24"/>
          <w:szCs w:val="24"/>
          <w:lang w:val="es-MX"/>
        </w:rPr>
        <w:t>o</w:t>
      </w:r>
      <w:r w:rsidR="00333263">
        <w:rPr>
          <w:rFonts w:ascii="Times New Roman" w:hAnsi="Times New Roman"/>
          <w:color w:val="000000"/>
          <w:sz w:val="24"/>
          <w:szCs w:val="24"/>
          <w:lang w:val="es-MX"/>
        </w:rPr>
        <w:t>ctubre</w:t>
      </w:r>
      <w:r w:rsidR="00153EAB">
        <w:rPr>
          <w:rFonts w:ascii="Times New Roman" w:hAnsi="Times New Roman"/>
          <w:color w:val="000000"/>
          <w:sz w:val="24"/>
          <w:szCs w:val="24"/>
          <w:lang w:val="es-MX"/>
        </w:rPr>
        <w:t xml:space="preserve"> 2014</w:t>
      </w:r>
      <w:r w:rsidR="00333263">
        <w:rPr>
          <w:rFonts w:ascii="Times New Roman" w:hAnsi="Times New Roman"/>
          <w:color w:val="000000"/>
          <w:sz w:val="24"/>
          <w:szCs w:val="24"/>
          <w:lang w:val="es-MX"/>
        </w:rPr>
        <w:t>. Esta medida signific</w:t>
      </w:r>
      <w:r w:rsidR="00153EAB">
        <w:rPr>
          <w:rFonts w:ascii="Times New Roman" w:hAnsi="Times New Roman"/>
          <w:color w:val="000000"/>
          <w:sz w:val="24"/>
          <w:szCs w:val="24"/>
          <w:lang w:val="es-MX"/>
        </w:rPr>
        <w:t>a</w:t>
      </w:r>
      <w:r w:rsidR="00333263">
        <w:rPr>
          <w:rFonts w:ascii="Times New Roman" w:hAnsi="Times New Roman"/>
          <w:color w:val="000000"/>
          <w:sz w:val="24"/>
          <w:szCs w:val="24"/>
          <w:lang w:val="es-MX"/>
        </w:rPr>
        <w:t xml:space="preserve"> un ahorro de L. 25.8 millones</w:t>
      </w:r>
      <w:r w:rsidR="00153EAB">
        <w:rPr>
          <w:rFonts w:ascii="Times New Roman" w:hAnsi="Times New Roman"/>
          <w:color w:val="000000"/>
          <w:sz w:val="24"/>
          <w:szCs w:val="24"/>
          <w:lang w:val="es-MX"/>
        </w:rPr>
        <w:t xml:space="preserve"> anuales</w:t>
      </w:r>
      <w:r w:rsidR="00333263">
        <w:rPr>
          <w:rFonts w:ascii="Times New Roman" w:hAnsi="Times New Roman"/>
          <w:color w:val="000000"/>
          <w:sz w:val="24"/>
          <w:szCs w:val="24"/>
          <w:lang w:val="es-MX"/>
        </w:rPr>
        <w:t>.</w:t>
      </w:r>
    </w:p>
    <w:p w:rsidR="00384A91" w:rsidRDefault="00384A91" w:rsidP="00372496">
      <w:pPr>
        <w:pStyle w:val="ListParagraph"/>
        <w:numPr>
          <w:ilvl w:val="0"/>
          <w:numId w:val="19"/>
        </w:numPr>
        <w:spacing w:after="120" w:line="240" w:lineRule="auto"/>
        <w:contextualSpacing w:val="0"/>
        <w:jc w:val="both"/>
        <w:rPr>
          <w:rFonts w:ascii="Times New Roman" w:hAnsi="Times New Roman"/>
          <w:color w:val="000000"/>
          <w:sz w:val="24"/>
          <w:szCs w:val="24"/>
          <w:lang w:val="es-ES_tradnl"/>
        </w:rPr>
      </w:pPr>
      <w:r w:rsidRPr="009C69BB">
        <w:rPr>
          <w:rFonts w:ascii="Times New Roman" w:hAnsi="Times New Roman"/>
          <w:b/>
          <w:i/>
          <w:color w:val="000000"/>
          <w:sz w:val="24"/>
          <w:szCs w:val="24"/>
          <w:u w:val="single"/>
          <w:lang w:val="es-ES_tradnl"/>
        </w:rPr>
        <w:t>Contar con un régimen tarifario que permita remunerar adecuadamente a los agentes de la cadena, unas tarifas competitivas al usuario final y focalizar el subsidio directo a usuarios de bajo consumo</w:t>
      </w:r>
      <w:r w:rsidRPr="00384A91">
        <w:rPr>
          <w:rFonts w:ascii="Times New Roman" w:hAnsi="Times New Roman"/>
          <w:color w:val="000000"/>
          <w:sz w:val="24"/>
          <w:szCs w:val="24"/>
          <w:lang w:val="es-ES_tradnl"/>
        </w:rPr>
        <w:t>.</w:t>
      </w:r>
    </w:p>
    <w:p w:rsidR="00372496" w:rsidRPr="00A07D5E" w:rsidRDefault="009C69BB" w:rsidP="008B41B2">
      <w:pPr>
        <w:pStyle w:val="ListParagraph"/>
        <w:spacing w:after="120" w:line="240" w:lineRule="auto"/>
        <w:ind w:left="1080"/>
        <w:contextualSpacing w:val="0"/>
        <w:jc w:val="both"/>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Adicional a las medidas tomadas </w:t>
      </w:r>
      <w:r w:rsidR="008B41B2">
        <w:rPr>
          <w:rFonts w:ascii="Times New Roman" w:hAnsi="Times New Roman"/>
          <w:color w:val="000000"/>
          <w:sz w:val="24"/>
          <w:szCs w:val="24"/>
          <w:lang w:val="es-ES_tradnl"/>
        </w:rPr>
        <w:t xml:space="preserve">por el </w:t>
      </w:r>
      <w:r w:rsidR="00B20423">
        <w:rPr>
          <w:rFonts w:ascii="Times New Roman" w:hAnsi="Times New Roman"/>
          <w:color w:val="000000"/>
          <w:sz w:val="24"/>
          <w:szCs w:val="24"/>
          <w:lang w:val="es-ES_tradnl"/>
        </w:rPr>
        <w:t>GHO</w:t>
      </w:r>
      <w:r w:rsidR="008B41B2">
        <w:rPr>
          <w:rFonts w:ascii="Times New Roman" w:hAnsi="Times New Roman"/>
          <w:color w:val="000000"/>
          <w:sz w:val="24"/>
          <w:szCs w:val="24"/>
          <w:lang w:val="es-ES_tradnl"/>
        </w:rPr>
        <w:t xml:space="preserve"> a partir de </w:t>
      </w:r>
      <w:r>
        <w:rPr>
          <w:rFonts w:ascii="Times New Roman" w:hAnsi="Times New Roman"/>
          <w:color w:val="000000"/>
          <w:sz w:val="24"/>
          <w:szCs w:val="24"/>
          <w:lang w:val="es-ES_tradnl"/>
        </w:rPr>
        <w:t>Diciembre 2013</w:t>
      </w:r>
      <w:r w:rsidR="00C33410">
        <w:rPr>
          <w:rFonts w:ascii="Times New Roman" w:hAnsi="Times New Roman"/>
          <w:color w:val="000000"/>
          <w:sz w:val="24"/>
          <w:szCs w:val="24"/>
          <w:lang w:val="es-ES_tradnl"/>
        </w:rPr>
        <w:t>,</w:t>
      </w:r>
      <w:r>
        <w:rPr>
          <w:rFonts w:ascii="Times New Roman" w:hAnsi="Times New Roman"/>
          <w:color w:val="000000"/>
          <w:sz w:val="24"/>
          <w:szCs w:val="24"/>
          <w:lang w:val="es-ES_tradnl"/>
        </w:rPr>
        <w:t xml:space="preserve"> mediante la</w:t>
      </w:r>
      <w:r w:rsidR="00C33410">
        <w:rPr>
          <w:rFonts w:ascii="Times New Roman" w:hAnsi="Times New Roman"/>
          <w:color w:val="000000"/>
          <w:sz w:val="24"/>
          <w:szCs w:val="24"/>
          <w:lang w:val="es-ES_tradnl"/>
        </w:rPr>
        <w:t>s</w:t>
      </w:r>
      <w:r>
        <w:rPr>
          <w:rFonts w:ascii="Times New Roman" w:hAnsi="Times New Roman"/>
          <w:color w:val="000000"/>
          <w:sz w:val="24"/>
          <w:szCs w:val="24"/>
          <w:lang w:val="es-ES_tradnl"/>
        </w:rPr>
        <w:t xml:space="preserve"> cual</w:t>
      </w:r>
      <w:r w:rsidR="00C33410">
        <w:rPr>
          <w:rFonts w:ascii="Times New Roman" w:hAnsi="Times New Roman"/>
          <w:color w:val="000000"/>
          <w:sz w:val="24"/>
          <w:szCs w:val="24"/>
          <w:lang w:val="es-ES_tradnl"/>
        </w:rPr>
        <w:t>es</w:t>
      </w:r>
      <w:r>
        <w:rPr>
          <w:rFonts w:ascii="Times New Roman" w:hAnsi="Times New Roman"/>
          <w:color w:val="000000"/>
          <w:sz w:val="24"/>
          <w:szCs w:val="24"/>
          <w:lang w:val="es-ES_tradnl"/>
        </w:rPr>
        <w:t xml:space="preserve"> se aplica </w:t>
      </w:r>
      <w:r w:rsidRPr="008B41B2">
        <w:rPr>
          <w:rFonts w:ascii="Times New Roman" w:hAnsi="Times New Roman"/>
          <w:color w:val="000000"/>
          <w:sz w:val="24"/>
          <w:szCs w:val="24"/>
          <w:lang w:val="es-ES_tradnl"/>
        </w:rPr>
        <w:t>el Impuesto Sobre la Venta</w:t>
      </w:r>
      <w:r w:rsidR="008B41B2">
        <w:rPr>
          <w:rFonts w:ascii="Times New Roman" w:hAnsi="Times New Roman"/>
          <w:color w:val="000000"/>
          <w:sz w:val="24"/>
          <w:szCs w:val="24"/>
          <w:lang w:val="es-ES_tradnl"/>
        </w:rPr>
        <w:t xml:space="preserve"> (15%)</w:t>
      </w:r>
      <w:r w:rsidRPr="008B41B2">
        <w:rPr>
          <w:rFonts w:ascii="Times New Roman" w:hAnsi="Times New Roman"/>
          <w:color w:val="000000"/>
          <w:sz w:val="24"/>
          <w:szCs w:val="24"/>
          <w:lang w:val="es-ES_tradnl"/>
        </w:rPr>
        <w:t xml:space="preserve"> a clientes residenciales con consumo mayor a 750 </w:t>
      </w:r>
      <w:proofErr w:type="spellStart"/>
      <w:r w:rsidRPr="008B41B2">
        <w:rPr>
          <w:rFonts w:ascii="Times New Roman" w:hAnsi="Times New Roman"/>
          <w:color w:val="000000"/>
          <w:sz w:val="24"/>
          <w:szCs w:val="24"/>
          <w:lang w:val="es-ES_tradnl"/>
        </w:rPr>
        <w:t>kWh</w:t>
      </w:r>
      <w:proofErr w:type="spellEnd"/>
      <w:r w:rsidRPr="003E789B">
        <w:rPr>
          <w:rFonts w:ascii="Times New Roman" w:hAnsi="Times New Roman"/>
          <w:color w:val="000000"/>
          <w:sz w:val="24"/>
          <w:szCs w:val="24"/>
          <w:lang w:val="es-ES_tradnl"/>
        </w:rPr>
        <w:t>/mes</w:t>
      </w:r>
      <w:r>
        <w:rPr>
          <w:rFonts w:ascii="Times New Roman" w:hAnsi="Times New Roman"/>
          <w:color w:val="000000"/>
          <w:sz w:val="24"/>
          <w:szCs w:val="24"/>
          <w:lang w:val="es-ES_tradnl"/>
        </w:rPr>
        <w:t xml:space="preserve"> </w:t>
      </w:r>
      <w:r w:rsidR="008B41B2">
        <w:rPr>
          <w:rFonts w:ascii="Times New Roman" w:hAnsi="Times New Roman"/>
          <w:color w:val="000000"/>
          <w:sz w:val="24"/>
          <w:szCs w:val="24"/>
          <w:lang w:val="es-ES_tradnl"/>
        </w:rPr>
        <w:t xml:space="preserve">y reducción del umbral del subsidio directo de 150 </w:t>
      </w:r>
      <w:proofErr w:type="spellStart"/>
      <w:r w:rsidR="008B41B2">
        <w:rPr>
          <w:rFonts w:ascii="Times New Roman" w:hAnsi="Times New Roman"/>
          <w:color w:val="000000"/>
          <w:sz w:val="24"/>
          <w:szCs w:val="24"/>
          <w:lang w:val="es-ES_tradnl"/>
        </w:rPr>
        <w:t>kWh</w:t>
      </w:r>
      <w:proofErr w:type="spellEnd"/>
      <w:r w:rsidR="008B41B2">
        <w:rPr>
          <w:rFonts w:ascii="Times New Roman" w:hAnsi="Times New Roman"/>
          <w:color w:val="000000"/>
          <w:sz w:val="24"/>
          <w:szCs w:val="24"/>
          <w:lang w:val="es-ES_tradnl"/>
        </w:rPr>
        <w:t xml:space="preserve">/mes a 75 </w:t>
      </w:r>
      <w:proofErr w:type="spellStart"/>
      <w:r w:rsidR="008B41B2">
        <w:rPr>
          <w:rFonts w:ascii="Times New Roman" w:hAnsi="Times New Roman"/>
          <w:color w:val="000000"/>
          <w:sz w:val="24"/>
          <w:szCs w:val="24"/>
          <w:lang w:val="es-ES_tradnl"/>
        </w:rPr>
        <w:t>kWh</w:t>
      </w:r>
      <w:proofErr w:type="spellEnd"/>
      <w:r w:rsidR="008B41B2">
        <w:rPr>
          <w:rFonts w:ascii="Times New Roman" w:hAnsi="Times New Roman"/>
          <w:color w:val="000000"/>
          <w:sz w:val="24"/>
          <w:szCs w:val="24"/>
          <w:lang w:val="es-ES_tradnl"/>
        </w:rPr>
        <w:t>/mes</w:t>
      </w:r>
      <w:r w:rsidR="00C33410">
        <w:rPr>
          <w:rFonts w:ascii="Times New Roman" w:hAnsi="Times New Roman"/>
          <w:color w:val="000000"/>
          <w:sz w:val="24"/>
          <w:szCs w:val="24"/>
          <w:lang w:val="es-ES_tradnl"/>
        </w:rPr>
        <w:t>,</w:t>
      </w:r>
      <w:r w:rsidR="008B41B2">
        <w:rPr>
          <w:rFonts w:ascii="Times New Roman" w:hAnsi="Times New Roman"/>
          <w:color w:val="000000"/>
          <w:sz w:val="24"/>
          <w:szCs w:val="24"/>
          <w:lang w:val="es-ES_tradnl"/>
        </w:rPr>
        <w:t xml:space="preserve"> e</w:t>
      </w:r>
      <w:r>
        <w:rPr>
          <w:rFonts w:ascii="Times New Roman" w:hAnsi="Times New Roman"/>
          <w:color w:val="000000"/>
          <w:sz w:val="24"/>
          <w:szCs w:val="24"/>
          <w:lang w:val="es-ES_tradnl"/>
        </w:rPr>
        <w:t xml:space="preserve">l </w:t>
      </w:r>
      <w:r w:rsidR="00B20423">
        <w:rPr>
          <w:rFonts w:ascii="Times New Roman" w:hAnsi="Times New Roman"/>
          <w:color w:val="000000"/>
          <w:sz w:val="24"/>
          <w:szCs w:val="24"/>
          <w:lang w:val="es-ES_tradnl"/>
        </w:rPr>
        <w:t>GHO</w:t>
      </w:r>
      <w:r>
        <w:rPr>
          <w:rFonts w:ascii="Times New Roman" w:hAnsi="Times New Roman"/>
          <w:color w:val="000000"/>
          <w:sz w:val="24"/>
          <w:szCs w:val="24"/>
          <w:lang w:val="es-ES_tradnl"/>
        </w:rPr>
        <w:t xml:space="preserve"> realizó un importante avance en </w:t>
      </w:r>
      <w:r w:rsidR="008B41B2">
        <w:rPr>
          <w:rFonts w:ascii="Times New Roman" w:hAnsi="Times New Roman"/>
          <w:color w:val="000000"/>
          <w:sz w:val="24"/>
          <w:szCs w:val="24"/>
          <w:lang w:val="es-ES_tradnl"/>
        </w:rPr>
        <w:t>materia tarifaria y de subsidios</w:t>
      </w:r>
      <w:r w:rsidR="00C33410">
        <w:rPr>
          <w:rFonts w:ascii="Times New Roman" w:hAnsi="Times New Roman"/>
          <w:color w:val="000000"/>
          <w:sz w:val="24"/>
          <w:szCs w:val="24"/>
          <w:lang w:val="es-ES_tradnl"/>
        </w:rPr>
        <w:t>,</w:t>
      </w:r>
      <w:r w:rsidR="008B41B2">
        <w:rPr>
          <w:rFonts w:ascii="Times New Roman" w:hAnsi="Times New Roman"/>
          <w:color w:val="000000"/>
          <w:sz w:val="24"/>
          <w:szCs w:val="24"/>
          <w:lang w:val="es-ES_tradnl"/>
        </w:rPr>
        <w:t xml:space="preserve"> </w:t>
      </w:r>
      <w:r>
        <w:rPr>
          <w:rFonts w:ascii="Times New Roman" w:hAnsi="Times New Roman"/>
          <w:color w:val="000000"/>
          <w:sz w:val="24"/>
          <w:szCs w:val="24"/>
          <w:lang w:val="es-ES_tradnl"/>
        </w:rPr>
        <w:t xml:space="preserve">considerando el compromiso adquirido con el FMI y aprovechando la caída </w:t>
      </w:r>
      <w:r w:rsidR="008B41B2">
        <w:rPr>
          <w:rFonts w:ascii="Times New Roman" w:hAnsi="Times New Roman"/>
          <w:color w:val="000000"/>
          <w:sz w:val="24"/>
          <w:szCs w:val="24"/>
          <w:lang w:val="es-ES_tradnl"/>
        </w:rPr>
        <w:t xml:space="preserve">del precio del </w:t>
      </w:r>
      <w:r w:rsidR="00C33410">
        <w:rPr>
          <w:rFonts w:ascii="Times New Roman" w:hAnsi="Times New Roman"/>
          <w:color w:val="000000"/>
          <w:sz w:val="24"/>
          <w:szCs w:val="24"/>
          <w:lang w:val="es-ES_tradnl"/>
        </w:rPr>
        <w:t>p</w:t>
      </w:r>
      <w:r w:rsidR="008B41B2">
        <w:rPr>
          <w:rFonts w:ascii="Times New Roman" w:hAnsi="Times New Roman"/>
          <w:color w:val="000000"/>
          <w:sz w:val="24"/>
          <w:szCs w:val="24"/>
          <w:lang w:val="es-ES_tradnl"/>
        </w:rPr>
        <w:t>etróleo</w:t>
      </w:r>
      <w:r w:rsidR="00092F77">
        <w:rPr>
          <w:rFonts w:ascii="Times New Roman" w:hAnsi="Times New Roman"/>
          <w:color w:val="000000"/>
          <w:sz w:val="24"/>
          <w:szCs w:val="24"/>
          <w:lang w:val="es-ES_tradnl"/>
        </w:rPr>
        <w:t xml:space="preserve">. </w:t>
      </w:r>
      <w:r w:rsidR="00092F77" w:rsidRPr="00A07D5E">
        <w:rPr>
          <w:rFonts w:ascii="Times New Roman" w:hAnsi="Times New Roman"/>
          <w:color w:val="000000"/>
          <w:sz w:val="24"/>
          <w:szCs w:val="24"/>
          <w:lang w:val="es-ES_tradnl"/>
        </w:rPr>
        <w:t>L</w:t>
      </w:r>
      <w:r w:rsidR="008B41B2" w:rsidRPr="00A07D5E">
        <w:rPr>
          <w:rFonts w:ascii="Times New Roman" w:hAnsi="Times New Roman"/>
          <w:color w:val="000000"/>
          <w:sz w:val="24"/>
          <w:szCs w:val="24"/>
          <w:lang w:val="es-ES_tradnl"/>
        </w:rPr>
        <w:t>as acciones tomadas provocaron lo siguiente:</w:t>
      </w:r>
    </w:p>
    <w:p w:rsidR="008B41B2" w:rsidRPr="00A07D5E" w:rsidRDefault="00B43F80" w:rsidP="00C33410">
      <w:pPr>
        <w:pStyle w:val="ListParagraph"/>
        <w:numPr>
          <w:ilvl w:val="0"/>
          <w:numId w:val="23"/>
        </w:numPr>
        <w:spacing w:after="120" w:line="240" w:lineRule="auto"/>
        <w:ind w:left="1620" w:hanging="540"/>
        <w:contextualSpacing w:val="0"/>
        <w:jc w:val="both"/>
        <w:rPr>
          <w:rFonts w:ascii="Times New Roman" w:hAnsi="Times New Roman"/>
          <w:color w:val="000000"/>
          <w:sz w:val="24"/>
          <w:szCs w:val="24"/>
          <w:lang w:val="es-HN"/>
        </w:rPr>
      </w:pPr>
      <w:r w:rsidRPr="00A07D5E">
        <w:rPr>
          <w:rFonts w:ascii="Times New Roman" w:hAnsi="Times New Roman"/>
          <w:color w:val="000000"/>
          <w:sz w:val="24"/>
          <w:szCs w:val="24"/>
          <w:lang w:val="es-HN"/>
        </w:rPr>
        <w:t>Primera c</w:t>
      </w:r>
      <w:r w:rsidR="008B41B2" w:rsidRPr="00A07D5E">
        <w:rPr>
          <w:rFonts w:ascii="Times New Roman" w:hAnsi="Times New Roman"/>
          <w:color w:val="000000"/>
          <w:sz w:val="24"/>
          <w:szCs w:val="24"/>
          <w:lang w:val="es-HN"/>
        </w:rPr>
        <w:t>orrección de la fórmula de ajuste de combustible de la tarifa en barra</w:t>
      </w:r>
      <w:r w:rsidR="00C33410" w:rsidRPr="00A07D5E">
        <w:rPr>
          <w:rFonts w:ascii="Times New Roman" w:hAnsi="Times New Roman"/>
          <w:color w:val="000000"/>
          <w:sz w:val="24"/>
          <w:szCs w:val="24"/>
          <w:lang w:val="es-HN"/>
        </w:rPr>
        <w:t>,</w:t>
      </w:r>
      <w:r w:rsidR="008B41B2" w:rsidRPr="00A07D5E">
        <w:rPr>
          <w:rFonts w:ascii="Times New Roman" w:hAnsi="Times New Roman"/>
          <w:color w:val="000000"/>
          <w:sz w:val="24"/>
          <w:szCs w:val="24"/>
          <w:lang w:val="es-HN"/>
        </w:rPr>
        <w:t xml:space="preserve"> acción realizada en </w:t>
      </w:r>
      <w:r w:rsidR="00C33410" w:rsidRPr="00A07D5E">
        <w:rPr>
          <w:rFonts w:ascii="Times New Roman" w:hAnsi="Times New Roman"/>
          <w:color w:val="000000"/>
          <w:sz w:val="24"/>
          <w:szCs w:val="24"/>
          <w:lang w:val="es-HN"/>
        </w:rPr>
        <w:t>n</w:t>
      </w:r>
      <w:r w:rsidR="008B41B2" w:rsidRPr="00A07D5E">
        <w:rPr>
          <w:rFonts w:ascii="Times New Roman" w:hAnsi="Times New Roman"/>
          <w:color w:val="000000"/>
          <w:sz w:val="24"/>
          <w:szCs w:val="24"/>
          <w:lang w:val="es-HN"/>
        </w:rPr>
        <w:t>oviembre 2014.</w:t>
      </w:r>
    </w:p>
    <w:p w:rsidR="008B41B2" w:rsidRPr="00A07D5E" w:rsidRDefault="008B41B2" w:rsidP="00C33410">
      <w:pPr>
        <w:pStyle w:val="ListParagraph"/>
        <w:numPr>
          <w:ilvl w:val="0"/>
          <w:numId w:val="23"/>
        </w:numPr>
        <w:spacing w:after="120" w:line="240" w:lineRule="auto"/>
        <w:ind w:left="1620" w:hanging="540"/>
        <w:contextualSpacing w:val="0"/>
        <w:jc w:val="both"/>
        <w:rPr>
          <w:rFonts w:ascii="Times New Roman" w:hAnsi="Times New Roman"/>
          <w:color w:val="000000"/>
          <w:sz w:val="24"/>
          <w:szCs w:val="24"/>
          <w:lang w:val="es-HN"/>
        </w:rPr>
      </w:pPr>
      <w:r w:rsidRPr="00A07D5E">
        <w:rPr>
          <w:rFonts w:ascii="Times New Roman" w:hAnsi="Times New Roman"/>
          <w:color w:val="000000"/>
          <w:sz w:val="24"/>
          <w:szCs w:val="24"/>
          <w:lang w:val="es-HN"/>
        </w:rPr>
        <w:t xml:space="preserve">Corrección del Subsidio Cruzado en el sector residencial, mediante el cual se produce un incremento de tarifas </w:t>
      </w:r>
      <w:r w:rsidR="00C33410" w:rsidRPr="00A07D5E">
        <w:rPr>
          <w:rFonts w:ascii="Times New Roman" w:hAnsi="Times New Roman"/>
          <w:color w:val="000000"/>
          <w:sz w:val="24"/>
          <w:szCs w:val="24"/>
          <w:lang w:val="es-HN"/>
        </w:rPr>
        <w:t>a</w:t>
      </w:r>
      <w:r w:rsidRPr="00A07D5E">
        <w:rPr>
          <w:rFonts w:ascii="Times New Roman" w:hAnsi="Times New Roman"/>
          <w:color w:val="000000"/>
          <w:sz w:val="24"/>
          <w:szCs w:val="24"/>
          <w:lang w:val="es-HN"/>
        </w:rPr>
        <w:t xml:space="preserve"> clientes residenciales en el rango de</w:t>
      </w:r>
      <w:r w:rsidR="00C33410" w:rsidRPr="00A07D5E">
        <w:rPr>
          <w:rFonts w:ascii="Times New Roman" w:hAnsi="Times New Roman"/>
          <w:color w:val="000000"/>
          <w:sz w:val="24"/>
          <w:szCs w:val="24"/>
          <w:lang w:val="es-HN"/>
        </w:rPr>
        <w:t xml:space="preserve"> consumo de </w:t>
      </w:r>
      <w:r w:rsidRPr="00A07D5E">
        <w:rPr>
          <w:rFonts w:ascii="Times New Roman" w:hAnsi="Times New Roman"/>
          <w:color w:val="000000"/>
          <w:sz w:val="24"/>
          <w:szCs w:val="24"/>
          <w:lang w:val="es-HN"/>
        </w:rPr>
        <w:t xml:space="preserve"> 0 a 300 </w:t>
      </w:r>
      <w:proofErr w:type="spellStart"/>
      <w:r w:rsidRPr="00A07D5E">
        <w:rPr>
          <w:rFonts w:ascii="Times New Roman" w:hAnsi="Times New Roman"/>
          <w:color w:val="000000"/>
          <w:sz w:val="24"/>
          <w:szCs w:val="24"/>
          <w:lang w:val="es-HN"/>
        </w:rPr>
        <w:t>kWh</w:t>
      </w:r>
      <w:proofErr w:type="spellEnd"/>
      <w:r w:rsidRPr="00A07D5E">
        <w:rPr>
          <w:rFonts w:ascii="Times New Roman" w:hAnsi="Times New Roman"/>
          <w:color w:val="000000"/>
          <w:sz w:val="24"/>
          <w:szCs w:val="24"/>
          <w:lang w:val="es-HN"/>
        </w:rPr>
        <w:t xml:space="preserve">/mes. A nivel general el incremento tarifario representó </w:t>
      </w:r>
      <w:r w:rsidR="00C33410" w:rsidRPr="00A07D5E">
        <w:rPr>
          <w:rFonts w:ascii="Times New Roman" w:hAnsi="Times New Roman"/>
          <w:color w:val="000000"/>
          <w:sz w:val="24"/>
          <w:szCs w:val="24"/>
          <w:lang w:val="es-HN"/>
        </w:rPr>
        <w:t xml:space="preserve">un </w:t>
      </w:r>
      <w:r w:rsidRPr="00A07D5E">
        <w:rPr>
          <w:rFonts w:ascii="Times New Roman" w:hAnsi="Times New Roman"/>
          <w:color w:val="000000"/>
          <w:sz w:val="24"/>
          <w:szCs w:val="24"/>
          <w:lang w:val="es-HN"/>
        </w:rPr>
        <w:t>8.5%.</w:t>
      </w:r>
    </w:p>
    <w:p w:rsidR="00B01EC0" w:rsidRPr="00A07D5E" w:rsidRDefault="00B01EC0" w:rsidP="00C33410">
      <w:pPr>
        <w:pStyle w:val="ListParagraph"/>
        <w:numPr>
          <w:ilvl w:val="0"/>
          <w:numId w:val="23"/>
        </w:numPr>
        <w:spacing w:after="120" w:line="240" w:lineRule="auto"/>
        <w:ind w:left="1620" w:hanging="540"/>
        <w:contextualSpacing w:val="0"/>
        <w:jc w:val="both"/>
        <w:rPr>
          <w:rFonts w:ascii="Times New Roman" w:hAnsi="Times New Roman"/>
          <w:color w:val="000000"/>
          <w:sz w:val="24"/>
          <w:szCs w:val="24"/>
          <w:lang w:val="es-HN"/>
        </w:rPr>
      </w:pPr>
      <w:r w:rsidRPr="00A07D5E">
        <w:rPr>
          <w:rFonts w:ascii="Times New Roman" w:hAnsi="Times New Roman"/>
          <w:color w:val="000000"/>
          <w:sz w:val="24"/>
          <w:szCs w:val="24"/>
          <w:lang w:val="es-HN"/>
        </w:rPr>
        <w:t xml:space="preserve">Segunda corrección a la fórmula de ajuste de combustible, mediante la cual </w:t>
      </w:r>
      <w:r w:rsidR="00213CBF" w:rsidRPr="00A07D5E">
        <w:rPr>
          <w:rFonts w:ascii="Times New Roman" w:hAnsi="Times New Roman"/>
          <w:color w:val="000000"/>
          <w:sz w:val="24"/>
          <w:szCs w:val="24"/>
          <w:lang w:val="es-HN"/>
        </w:rPr>
        <w:t>se incrementa el factor de ajuste de combustible.</w:t>
      </w:r>
    </w:p>
    <w:p w:rsidR="00CE7768" w:rsidRPr="00CE7768" w:rsidRDefault="00CE7768" w:rsidP="00CE7768">
      <w:pPr>
        <w:pStyle w:val="ListParagraph"/>
        <w:spacing w:after="120" w:line="240" w:lineRule="auto"/>
        <w:ind w:left="1080"/>
        <w:contextualSpacing w:val="0"/>
        <w:jc w:val="both"/>
        <w:rPr>
          <w:rFonts w:ascii="Times New Roman" w:hAnsi="Times New Roman"/>
          <w:color w:val="000000"/>
          <w:sz w:val="24"/>
          <w:szCs w:val="24"/>
          <w:lang w:val="es-ES_tradnl"/>
        </w:rPr>
      </w:pPr>
    </w:p>
    <w:p w:rsidR="00925CD9" w:rsidRPr="00186DE6" w:rsidRDefault="00CE7768" w:rsidP="00186DE6">
      <w:pPr>
        <w:pStyle w:val="ListParagraph"/>
        <w:numPr>
          <w:ilvl w:val="0"/>
          <w:numId w:val="19"/>
        </w:numPr>
        <w:autoSpaceDE w:val="0"/>
        <w:autoSpaceDN w:val="0"/>
        <w:adjustRightInd w:val="0"/>
        <w:spacing w:after="120" w:line="240" w:lineRule="auto"/>
        <w:contextualSpacing w:val="0"/>
        <w:jc w:val="both"/>
        <w:rPr>
          <w:rFonts w:ascii="Times New Roman" w:hAnsi="Times New Roman"/>
          <w:color w:val="000000"/>
          <w:sz w:val="24"/>
          <w:szCs w:val="24"/>
          <w:lang w:val="es-ES_tradnl"/>
        </w:rPr>
      </w:pPr>
      <w:r w:rsidRPr="00186DE6">
        <w:rPr>
          <w:rFonts w:ascii="Times New Roman" w:hAnsi="Times New Roman"/>
          <w:b/>
          <w:i/>
          <w:color w:val="000000"/>
          <w:sz w:val="24"/>
          <w:szCs w:val="24"/>
          <w:u w:val="single"/>
          <w:lang w:val="es-ES_tradnl"/>
        </w:rPr>
        <w:t>Acciones encaminadas a la Reducción de Pérdidas Técnicas y No Técnicas</w:t>
      </w:r>
      <w:r w:rsidRPr="00186DE6">
        <w:rPr>
          <w:rFonts w:ascii="Times New Roman" w:hAnsi="Times New Roman"/>
          <w:color w:val="000000"/>
          <w:sz w:val="24"/>
          <w:szCs w:val="24"/>
          <w:lang w:val="es-ES_tradnl"/>
        </w:rPr>
        <w:t>:  Entre las diferentes acciones</w:t>
      </w:r>
      <w:r w:rsidR="00E56332" w:rsidRPr="00186DE6">
        <w:rPr>
          <w:rFonts w:ascii="Times New Roman" w:hAnsi="Times New Roman"/>
          <w:color w:val="000000"/>
          <w:sz w:val="24"/>
          <w:szCs w:val="24"/>
          <w:lang w:val="es-ES_tradnl"/>
        </w:rPr>
        <w:t xml:space="preserve"> tomadas por el Gobierno y la ENEE</w:t>
      </w:r>
      <w:r w:rsidR="00077315">
        <w:rPr>
          <w:rFonts w:ascii="Times New Roman" w:hAnsi="Times New Roman"/>
          <w:color w:val="000000"/>
          <w:sz w:val="24"/>
          <w:szCs w:val="24"/>
          <w:lang w:val="es-ES_tradnl"/>
        </w:rPr>
        <w:t xml:space="preserve"> constan:  </w:t>
      </w:r>
      <w:r w:rsidRPr="00186DE6">
        <w:rPr>
          <w:rFonts w:ascii="Times New Roman" w:hAnsi="Times New Roman"/>
          <w:b/>
          <w:color w:val="000000"/>
          <w:sz w:val="24"/>
          <w:szCs w:val="24"/>
          <w:lang w:val="es-ES_tradnl"/>
        </w:rPr>
        <w:t>i)</w:t>
      </w:r>
      <w:r w:rsidRPr="00186DE6">
        <w:rPr>
          <w:rFonts w:ascii="Times New Roman" w:hAnsi="Times New Roman"/>
          <w:color w:val="000000"/>
          <w:sz w:val="24"/>
          <w:szCs w:val="24"/>
          <w:lang w:val="es-ES_tradnl"/>
        </w:rPr>
        <w:t xml:space="preserve"> realización de campañas de comunicación; </w:t>
      </w:r>
      <w:r w:rsidR="00077315">
        <w:rPr>
          <w:rFonts w:ascii="Times New Roman" w:hAnsi="Times New Roman"/>
          <w:color w:val="000000"/>
          <w:sz w:val="24"/>
          <w:szCs w:val="24"/>
          <w:lang w:val="es-ES_tradnl"/>
        </w:rPr>
        <w:t xml:space="preserve"> </w:t>
      </w:r>
      <w:r w:rsidRPr="00186DE6">
        <w:rPr>
          <w:rFonts w:ascii="Times New Roman" w:hAnsi="Times New Roman"/>
          <w:b/>
          <w:color w:val="000000"/>
          <w:sz w:val="24"/>
          <w:szCs w:val="24"/>
          <w:lang w:val="es-ES_tradnl"/>
        </w:rPr>
        <w:t>ii)</w:t>
      </w:r>
      <w:r w:rsidRPr="00186DE6">
        <w:rPr>
          <w:rFonts w:ascii="Times New Roman" w:hAnsi="Times New Roman"/>
          <w:color w:val="000000"/>
          <w:sz w:val="24"/>
          <w:szCs w:val="24"/>
          <w:lang w:val="es-ES_tradnl"/>
        </w:rPr>
        <w:t xml:space="preserve"> </w:t>
      </w:r>
      <w:r w:rsidR="00E56332" w:rsidRPr="00186DE6">
        <w:rPr>
          <w:rFonts w:ascii="Times New Roman" w:hAnsi="Times New Roman"/>
          <w:color w:val="000000"/>
          <w:sz w:val="24"/>
          <w:szCs w:val="24"/>
          <w:lang w:val="es-ES_tradnl"/>
        </w:rPr>
        <w:t>o</w:t>
      </w:r>
      <w:r w:rsidRPr="00186DE6">
        <w:rPr>
          <w:rFonts w:ascii="Times New Roman" w:hAnsi="Times New Roman"/>
          <w:color w:val="000000"/>
          <w:sz w:val="24"/>
          <w:szCs w:val="24"/>
          <w:lang w:val="es-ES_tradnl"/>
        </w:rPr>
        <w:t>perativos de la fuerza pública para identificar clientes que estén hurtando energía o tengan conexión ilegal</w:t>
      </w:r>
      <w:r w:rsidR="00E56332" w:rsidRPr="00186DE6">
        <w:rPr>
          <w:rFonts w:ascii="Times New Roman" w:hAnsi="Times New Roman"/>
          <w:color w:val="000000"/>
          <w:sz w:val="24"/>
          <w:szCs w:val="24"/>
          <w:lang w:val="es-ES_tradnl"/>
        </w:rPr>
        <w:t xml:space="preserve">; </w:t>
      </w:r>
      <w:r w:rsidR="00E56332" w:rsidRPr="00186DE6">
        <w:rPr>
          <w:rFonts w:ascii="Times New Roman" w:hAnsi="Times New Roman"/>
          <w:b/>
          <w:color w:val="000000"/>
          <w:sz w:val="24"/>
          <w:szCs w:val="24"/>
          <w:lang w:val="es-ES_tradnl"/>
        </w:rPr>
        <w:t xml:space="preserve">iii) </w:t>
      </w:r>
      <w:r w:rsidR="00077315">
        <w:rPr>
          <w:rFonts w:ascii="Times New Roman" w:hAnsi="Times New Roman"/>
          <w:color w:val="000000"/>
          <w:sz w:val="24"/>
          <w:szCs w:val="24"/>
          <w:lang w:val="es-ES_tradnl"/>
        </w:rPr>
        <w:t>como</w:t>
      </w:r>
      <w:r w:rsidR="00E56332" w:rsidRPr="00186DE6">
        <w:rPr>
          <w:rFonts w:ascii="Times New Roman" w:hAnsi="Times New Roman"/>
          <w:color w:val="000000"/>
          <w:sz w:val="24"/>
          <w:szCs w:val="24"/>
          <w:lang w:val="es-ES_tradnl"/>
        </w:rPr>
        <w:t xml:space="preserve"> parte del proyecto PROMEF</w:t>
      </w:r>
      <w:r w:rsidR="00077315">
        <w:rPr>
          <w:rFonts w:ascii="Times New Roman" w:hAnsi="Times New Roman"/>
          <w:color w:val="000000"/>
          <w:sz w:val="24"/>
          <w:szCs w:val="24"/>
          <w:lang w:val="es-ES_tradnl"/>
        </w:rPr>
        <w:t xml:space="preserve"> financiado por el Banco Mundial, </w:t>
      </w:r>
      <w:r w:rsidR="00E56332" w:rsidRPr="00186DE6">
        <w:rPr>
          <w:rFonts w:ascii="Times New Roman" w:hAnsi="Times New Roman"/>
          <w:color w:val="000000"/>
          <w:sz w:val="24"/>
          <w:szCs w:val="24"/>
          <w:lang w:val="es-ES_tradnl"/>
        </w:rPr>
        <w:t xml:space="preserve"> se continua con la instalación de medidores para controlar 50% de la facturación de grandes consumidores y la implementación del </w:t>
      </w:r>
      <w:r w:rsidR="00E56332" w:rsidRPr="00186DE6">
        <w:rPr>
          <w:rFonts w:ascii="Times New Roman" w:hAnsi="Times New Roman"/>
          <w:color w:val="000000"/>
          <w:sz w:val="24"/>
          <w:szCs w:val="24"/>
          <w:lang w:val="es-HN"/>
        </w:rPr>
        <w:t xml:space="preserve">Sistema Integrado de Gestión de incidencias y comercial; </w:t>
      </w:r>
      <w:r w:rsidR="00E56332" w:rsidRPr="00077315">
        <w:rPr>
          <w:rFonts w:ascii="Times New Roman" w:hAnsi="Times New Roman"/>
          <w:b/>
          <w:color w:val="000000"/>
          <w:sz w:val="24"/>
          <w:szCs w:val="24"/>
          <w:lang w:val="es-HN"/>
        </w:rPr>
        <w:t>iv)</w:t>
      </w:r>
      <w:r w:rsidR="00E56332" w:rsidRPr="00186DE6">
        <w:rPr>
          <w:rFonts w:ascii="Times New Roman" w:hAnsi="Times New Roman"/>
          <w:color w:val="000000"/>
          <w:sz w:val="24"/>
          <w:szCs w:val="24"/>
          <w:lang w:val="es-HN"/>
        </w:rPr>
        <w:t xml:space="preserve"> </w:t>
      </w:r>
      <w:r w:rsidR="00077315">
        <w:rPr>
          <w:rFonts w:ascii="Times New Roman" w:hAnsi="Times New Roman"/>
          <w:color w:val="000000"/>
          <w:sz w:val="24"/>
          <w:szCs w:val="24"/>
          <w:lang w:val="es-HN"/>
        </w:rPr>
        <w:t>i</w:t>
      </w:r>
      <w:r w:rsidR="00E56332" w:rsidRPr="00186DE6">
        <w:rPr>
          <w:rFonts w:ascii="Times New Roman" w:hAnsi="Times New Roman"/>
          <w:color w:val="000000"/>
          <w:sz w:val="24"/>
          <w:szCs w:val="24"/>
          <w:lang w:val="es-HN"/>
        </w:rPr>
        <w:t xml:space="preserve">ntercambio de experiencias con </w:t>
      </w:r>
      <w:r w:rsidR="00077315">
        <w:rPr>
          <w:rFonts w:ascii="Times New Roman" w:hAnsi="Times New Roman"/>
          <w:color w:val="000000"/>
          <w:sz w:val="24"/>
          <w:szCs w:val="24"/>
          <w:lang w:val="es-HN"/>
        </w:rPr>
        <w:t xml:space="preserve">otras </w:t>
      </w:r>
      <w:r w:rsidR="00186DE6" w:rsidRPr="00186DE6">
        <w:rPr>
          <w:rFonts w:ascii="Times New Roman" w:hAnsi="Times New Roman"/>
          <w:color w:val="000000"/>
          <w:sz w:val="24"/>
          <w:szCs w:val="24"/>
          <w:lang w:val="es-HN"/>
        </w:rPr>
        <w:t xml:space="preserve">empresas de </w:t>
      </w:r>
      <w:r w:rsidR="00077315">
        <w:rPr>
          <w:rFonts w:ascii="Times New Roman" w:hAnsi="Times New Roman"/>
          <w:color w:val="000000"/>
          <w:sz w:val="24"/>
          <w:szCs w:val="24"/>
          <w:lang w:val="es-HN"/>
        </w:rPr>
        <w:t xml:space="preserve">países de </w:t>
      </w:r>
      <w:r w:rsidR="00186DE6" w:rsidRPr="00186DE6">
        <w:rPr>
          <w:rFonts w:ascii="Times New Roman" w:hAnsi="Times New Roman"/>
          <w:color w:val="000000"/>
          <w:sz w:val="24"/>
          <w:szCs w:val="24"/>
          <w:lang w:val="es-HN"/>
        </w:rPr>
        <w:t>la Región</w:t>
      </w:r>
      <w:r w:rsidR="00077315">
        <w:rPr>
          <w:rFonts w:ascii="Times New Roman" w:hAnsi="Times New Roman"/>
          <w:color w:val="000000"/>
          <w:sz w:val="24"/>
          <w:szCs w:val="24"/>
          <w:lang w:val="es-HN"/>
        </w:rPr>
        <w:t>, en particular e</w:t>
      </w:r>
      <w:r w:rsidR="00186DE6" w:rsidRPr="00186DE6">
        <w:rPr>
          <w:rFonts w:ascii="Times New Roman" w:hAnsi="Times New Roman"/>
          <w:color w:val="000000"/>
          <w:sz w:val="24"/>
          <w:szCs w:val="24"/>
          <w:lang w:val="es-HN"/>
        </w:rPr>
        <w:t xml:space="preserve">l programa de reducción de pérdidas implementado por el Gobierno de Ecuador. </w:t>
      </w:r>
      <w:r w:rsidR="00077315">
        <w:rPr>
          <w:rFonts w:ascii="Times New Roman" w:hAnsi="Times New Roman"/>
          <w:color w:val="000000"/>
          <w:sz w:val="24"/>
          <w:szCs w:val="24"/>
          <w:lang w:val="es-HN"/>
        </w:rPr>
        <w:t xml:space="preserve"> Como parte de las actividades</w:t>
      </w:r>
      <w:r w:rsidR="00186DE6" w:rsidRPr="00186DE6">
        <w:rPr>
          <w:rFonts w:ascii="Times New Roman" w:hAnsi="Times New Roman"/>
          <w:color w:val="000000"/>
          <w:sz w:val="24"/>
          <w:szCs w:val="24"/>
          <w:lang w:val="es-HN"/>
        </w:rPr>
        <w:t xml:space="preserve"> del Fideicomiso</w:t>
      </w:r>
      <w:r w:rsidR="00077315">
        <w:rPr>
          <w:rFonts w:ascii="Times New Roman" w:hAnsi="Times New Roman"/>
          <w:color w:val="000000"/>
          <w:sz w:val="24"/>
          <w:szCs w:val="24"/>
          <w:lang w:val="es-HN"/>
        </w:rPr>
        <w:t>,</w:t>
      </w:r>
      <w:r w:rsidR="00186DE6" w:rsidRPr="00186DE6">
        <w:rPr>
          <w:rFonts w:ascii="Times New Roman" w:hAnsi="Times New Roman"/>
          <w:color w:val="000000"/>
          <w:sz w:val="24"/>
          <w:szCs w:val="24"/>
          <w:lang w:val="es-HN"/>
        </w:rPr>
        <w:t xml:space="preserve"> se han elaborado los documentos de licitación para contratar a un Operador que realice</w:t>
      </w:r>
      <w:r w:rsidR="00077315">
        <w:rPr>
          <w:rFonts w:ascii="Times New Roman" w:hAnsi="Times New Roman"/>
          <w:color w:val="000000"/>
          <w:sz w:val="24"/>
          <w:szCs w:val="24"/>
          <w:lang w:val="es-HN"/>
        </w:rPr>
        <w:t xml:space="preserve">: </w:t>
      </w:r>
      <w:r w:rsidR="00186DE6" w:rsidRPr="00186DE6">
        <w:rPr>
          <w:rFonts w:ascii="Times New Roman" w:hAnsi="Times New Roman"/>
          <w:color w:val="000000"/>
          <w:sz w:val="24"/>
          <w:szCs w:val="24"/>
          <w:lang w:val="es-HN"/>
        </w:rPr>
        <w:t xml:space="preserve"> i) </w:t>
      </w:r>
      <w:r w:rsidR="00077315">
        <w:rPr>
          <w:rFonts w:ascii="Times New Roman" w:hAnsi="Times New Roman"/>
          <w:color w:val="000000"/>
          <w:sz w:val="24"/>
          <w:szCs w:val="24"/>
          <w:lang w:val="es-HN"/>
        </w:rPr>
        <w:t xml:space="preserve">la </w:t>
      </w:r>
      <w:r w:rsidR="00186DE6" w:rsidRPr="00186DE6">
        <w:rPr>
          <w:rFonts w:ascii="Times New Roman" w:hAnsi="Times New Roman"/>
          <w:color w:val="000000"/>
          <w:sz w:val="24"/>
          <w:szCs w:val="24"/>
          <w:lang w:val="es-HN"/>
        </w:rPr>
        <w:t>m</w:t>
      </w:r>
      <w:r w:rsidR="00186DE6" w:rsidRPr="00186DE6">
        <w:rPr>
          <w:rFonts w:ascii="Times New Roman" w:hAnsi="Times New Roman"/>
          <w:color w:val="000000"/>
          <w:sz w:val="24"/>
          <w:szCs w:val="24"/>
          <w:lang w:val="es-ES_tradnl"/>
        </w:rPr>
        <w:t xml:space="preserve">edición, facturación y cobro de la energía vendida por el sistema de distribución, así como la atención al usuario; </w:t>
      </w:r>
      <w:r w:rsidR="00077315">
        <w:rPr>
          <w:rFonts w:ascii="Times New Roman" w:hAnsi="Times New Roman"/>
          <w:color w:val="000000"/>
          <w:sz w:val="24"/>
          <w:szCs w:val="24"/>
          <w:lang w:val="es-ES_tradnl"/>
        </w:rPr>
        <w:t xml:space="preserve"> </w:t>
      </w:r>
      <w:r w:rsidR="00186DE6" w:rsidRPr="00186DE6">
        <w:rPr>
          <w:rFonts w:ascii="Times New Roman" w:hAnsi="Times New Roman"/>
          <w:color w:val="000000"/>
          <w:sz w:val="24"/>
          <w:szCs w:val="24"/>
          <w:lang w:val="es-ES_tradnl"/>
        </w:rPr>
        <w:t xml:space="preserve">ii) </w:t>
      </w:r>
      <w:r w:rsidR="00077315">
        <w:rPr>
          <w:rFonts w:ascii="Times New Roman" w:hAnsi="Times New Roman"/>
          <w:color w:val="000000"/>
          <w:sz w:val="24"/>
          <w:szCs w:val="24"/>
          <w:lang w:val="es-ES_tradnl"/>
        </w:rPr>
        <w:t>o</w:t>
      </w:r>
      <w:r w:rsidR="00186DE6" w:rsidRPr="00186DE6">
        <w:rPr>
          <w:rFonts w:ascii="Times New Roman" w:hAnsi="Times New Roman"/>
          <w:color w:val="000000"/>
          <w:sz w:val="24"/>
          <w:szCs w:val="24"/>
          <w:lang w:val="es-ES_tradnl"/>
        </w:rPr>
        <w:t xml:space="preserve">peración y mantenimiento del sistema de distribución; </w:t>
      </w:r>
      <w:r w:rsidR="00077315">
        <w:rPr>
          <w:rFonts w:ascii="Times New Roman" w:hAnsi="Times New Roman"/>
          <w:color w:val="000000"/>
          <w:sz w:val="24"/>
          <w:szCs w:val="24"/>
          <w:lang w:val="es-ES_tradnl"/>
        </w:rPr>
        <w:t xml:space="preserve">y </w:t>
      </w:r>
      <w:r w:rsidR="00186DE6" w:rsidRPr="00186DE6">
        <w:rPr>
          <w:rFonts w:ascii="Times New Roman" w:hAnsi="Times New Roman"/>
          <w:color w:val="000000"/>
          <w:sz w:val="24"/>
          <w:szCs w:val="24"/>
          <w:lang w:val="es-ES_tradnl"/>
        </w:rPr>
        <w:t>iii) reducción de pérdidas en el sistema de distribución</w:t>
      </w:r>
      <w:r w:rsidR="00186DE6">
        <w:rPr>
          <w:rFonts w:ascii="Times New Roman" w:hAnsi="Times New Roman"/>
          <w:color w:val="000000"/>
          <w:sz w:val="24"/>
          <w:szCs w:val="24"/>
          <w:lang w:val="es-ES_tradnl"/>
        </w:rPr>
        <w:t>.</w:t>
      </w:r>
    </w:p>
    <w:sectPr w:rsidR="00925CD9" w:rsidRPr="00186DE6" w:rsidSect="005C4BF2">
      <w:footerReference w:type="default" r:id="rId9"/>
      <w:pgSz w:w="12240" w:h="15840"/>
      <w:pgMar w:top="990" w:right="1152" w:bottom="1350" w:left="1152" w:header="720" w:footer="3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2F" w:rsidRDefault="00B6542F" w:rsidP="00450A22">
      <w:pPr>
        <w:spacing w:after="0" w:line="240" w:lineRule="auto"/>
      </w:pPr>
      <w:r>
        <w:separator/>
      </w:r>
    </w:p>
  </w:endnote>
  <w:endnote w:type="continuationSeparator" w:id="0">
    <w:p w:rsidR="00B6542F" w:rsidRDefault="00B6542F" w:rsidP="0045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82649"/>
      <w:docPartObj>
        <w:docPartGallery w:val="Page Numbers (Bottom of Page)"/>
        <w:docPartUnique/>
      </w:docPartObj>
    </w:sdtPr>
    <w:sdtEndPr>
      <w:rPr>
        <w:rFonts w:ascii="Times New Roman" w:hAnsi="Times New Roman"/>
        <w:noProof/>
        <w:sz w:val="18"/>
        <w:szCs w:val="18"/>
      </w:rPr>
    </w:sdtEndPr>
    <w:sdtContent>
      <w:p w:rsidR="00FF125A" w:rsidRDefault="00FF125A">
        <w:pPr>
          <w:pStyle w:val="Footer"/>
          <w:jc w:val="right"/>
        </w:pPr>
      </w:p>
      <w:p w:rsidR="00FF125A" w:rsidRPr="00BF5F6E" w:rsidRDefault="009A5FA3">
        <w:pPr>
          <w:pStyle w:val="Footer"/>
          <w:jc w:val="right"/>
          <w:rPr>
            <w:rFonts w:ascii="Times New Roman" w:hAnsi="Times New Roman"/>
            <w:sz w:val="18"/>
            <w:szCs w:val="18"/>
          </w:rPr>
        </w:pPr>
        <w:r w:rsidRPr="00BF5F6E">
          <w:rPr>
            <w:rFonts w:ascii="Times New Roman" w:hAnsi="Times New Roman"/>
            <w:sz w:val="18"/>
            <w:szCs w:val="18"/>
          </w:rPr>
          <w:t xml:space="preserve">INE/ENE – </w:t>
        </w:r>
        <w:proofErr w:type="spellStart"/>
        <w:r w:rsidR="00F67A75" w:rsidRPr="00BF5F6E">
          <w:rPr>
            <w:rFonts w:ascii="Times New Roman" w:hAnsi="Times New Roman"/>
            <w:sz w:val="18"/>
            <w:szCs w:val="18"/>
          </w:rPr>
          <w:t>Febrero</w:t>
        </w:r>
        <w:proofErr w:type="spellEnd"/>
        <w:r w:rsidRPr="00BF5F6E">
          <w:rPr>
            <w:rFonts w:ascii="Times New Roman" w:hAnsi="Times New Roman"/>
            <w:sz w:val="18"/>
            <w:szCs w:val="18"/>
          </w:rPr>
          <w:t>/201</w:t>
        </w:r>
        <w:r w:rsidR="00F67A75" w:rsidRPr="00BF5F6E">
          <w:rPr>
            <w:rFonts w:ascii="Times New Roman" w:hAnsi="Times New Roman"/>
            <w:sz w:val="18"/>
            <w:szCs w:val="18"/>
          </w:rPr>
          <w:t>5</w:t>
        </w:r>
        <w:r w:rsidRPr="00BF5F6E">
          <w:rPr>
            <w:rFonts w:ascii="Times New Roman" w:hAnsi="Times New Roman"/>
            <w:sz w:val="18"/>
            <w:szCs w:val="18"/>
          </w:rPr>
          <w:tab/>
        </w:r>
        <w:r w:rsidRPr="00BF5F6E">
          <w:rPr>
            <w:rFonts w:ascii="Times New Roman" w:hAnsi="Times New Roman"/>
            <w:sz w:val="18"/>
            <w:szCs w:val="18"/>
          </w:rPr>
          <w:tab/>
        </w:r>
        <w:r w:rsidRPr="00BF5F6E">
          <w:rPr>
            <w:rFonts w:ascii="Times New Roman" w:hAnsi="Times New Roman"/>
            <w:sz w:val="18"/>
            <w:szCs w:val="18"/>
          </w:rPr>
          <w:tab/>
        </w:r>
        <w:r w:rsidR="00FF125A" w:rsidRPr="00BF5F6E">
          <w:rPr>
            <w:rFonts w:ascii="Times New Roman" w:hAnsi="Times New Roman"/>
            <w:sz w:val="18"/>
            <w:szCs w:val="18"/>
          </w:rPr>
          <w:fldChar w:fldCharType="begin"/>
        </w:r>
        <w:r w:rsidR="00FF125A" w:rsidRPr="00BF5F6E">
          <w:rPr>
            <w:rFonts w:ascii="Times New Roman" w:hAnsi="Times New Roman"/>
            <w:sz w:val="18"/>
            <w:szCs w:val="18"/>
          </w:rPr>
          <w:instrText xml:space="preserve"> PAGE   \* MERGEFORMAT </w:instrText>
        </w:r>
        <w:r w:rsidR="00FF125A" w:rsidRPr="00BF5F6E">
          <w:rPr>
            <w:rFonts w:ascii="Times New Roman" w:hAnsi="Times New Roman"/>
            <w:sz w:val="18"/>
            <w:szCs w:val="18"/>
          </w:rPr>
          <w:fldChar w:fldCharType="separate"/>
        </w:r>
        <w:r w:rsidR="00361286">
          <w:rPr>
            <w:rFonts w:ascii="Times New Roman" w:hAnsi="Times New Roman"/>
            <w:noProof/>
            <w:sz w:val="18"/>
            <w:szCs w:val="18"/>
          </w:rPr>
          <w:t>3</w:t>
        </w:r>
        <w:r w:rsidR="00FF125A" w:rsidRPr="00BF5F6E">
          <w:rPr>
            <w:rFonts w:ascii="Times New Roman" w:hAnsi="Times New Roman"/>
            <w:noProof/>
            <w:sz w:val="18"/>
            <w:szCs w:val="18"/>
          </w:rPr>
          <w:fldChar w:fldCharType="end"/>
        </w:r>
      </w:p>
    </w:sdtContent>
  </w:sdt>
  <w:p w:rsidR="00972400" w:rsidRDefault="00972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2F" w:rsidRDefault="00B6542F" w:rsidP="00450A22">
      <w:pPr>
        <w:spacing w:after="0" w:line="240" w:lineRule="auto"/>
      </w:pPr>
      <w:r>
        <w:separator/>
      </w:r>
    </w:p>
  </w:footnote>
  <w:footnote w:type="continuationSeparator" w:id="0">
    <w:p w:rsidR="00B6542F" w:rsidRDefault="00B6542F" w:rsidP="00450A22">
      <w:pPr>
        <w:spacing w:after="0" w:line="240" w:lineRule="auto"/>
      </w:pPr>
      <w:r>
        <w:continuationSeparator/>
      </w:r>
    </w:p>
  </w:footnote>
  <w:footnote w:id="1">
    <w:p w:rsidR="00817044" w:rsidRPr="00817044" w:rsidRDefault="00817044" w:rsidP="00817044">
      <w:pPr>
        <w:pStyle w:val="FootnoteText"/>
        <w:jc w:val="both"/>
        <w:rPr>
          <w:rFonts w:ascii="Times New Roman" w:hAnsi="Times New Roman"/>
          <w:sz w:val="18"/>
          <w:szCs w:val="18"/>
          <w:lang w:val="es-ES_tradnl"/>
        </w:rPr>
      </w:pPr>
      <w:r>
        <w:rPr>
          <w:rStyle w:val="FootnoteReference"/>
        </w:rPr>
        <w:footnoteRef/>
      </w:r>
      <w:r w:rsidRPr="00817044">
        <w:rPr>
          <w:lang w:val="es-ES_tradnl"/>
        </w:rPr>
        <w:t xml:space="preserve"> </w:t>
      </w:r>
      <w:r>
        <w:rPr>
          <w:lang w:val="es-ES_tradnl"/>
        </w:rPr>
        <w:t xml:space="preserve">  </w:t>
      </w:r>
      <w:r w:rsidRPr="00817044">
        <w:rPr>
          <w:rFonts w:ascii="Times New Roman" w:hAnsi="Times New Roman"/>
          <w:sz w:val="18"/>
          <w:szCs w:val="18"/>
          <w:lang w:val="es-ES_tradnl"/>
        </w:rPr>
        <w:t>El apoyo previsto al sector electricidad continúa el esfuerzo de la EBP anterior, en donde se planteó apoyo presupuestario vinculado con reformas en el sector y en donde los préstamos de inversión estuvieron también condicionados a mejoras en el marco institucional del sector eléctrico y en la sostenibilidad financiera de la ENEE. La reciente adopción de la nueva Ley General de la Industria Eléctrica (LGIE), que entró en vigencia el 4 de julio de 2014, refleja los esfuerzos del Gobierno en aras de subsanar las principales carencias estructurales del sector. La LGIE está orientada a mejorar y modernizar las reglas y estructura de funcionamiento de la industria mediante: (i) creación de la Comisión Reguladora de Energía Eléctrica; (ii) conformación del Operador del sistema eléctrico nacional para garantizar continuidad y seguridad del suministro eléctrico y la correcta operación del sistema; (iii) participación del sector privado en distribución y transmisión y operación del sistema; (iv) modernización y restructuración de la ENEE como matriz de empresas subsidiarias de generación, transmisión, distribución y operación del sistema; (v) libre acceso a las redes eléctricas y definición de cargos por uso de ellas; y (vi) creación del Fondo Social de Desarrollo Eléctrico para el financiamiento de proyectos de interés social.</w:t>
      </w:r>
    </w:p>
    <w:p w:rsidR="00817044" w:rsidRPr="00817044" w:rsidRDefault="00817044" w:rsidP="00817044">
      <w:pPr>
        <w:pStyle w:val="FootnoteText"/>
        <w:jc w:val="both"/>
        <w:rPr>
          <w:rFonts w:ascii="Times New Roman" w:hAnsi="Times New Roman"/>
          <w:sz w:val="18"/>
          <w:szCs w:val="18"/>
          <w:lang w:val="es-ES_tradnl"/>
        </w:rPr>
      </w:pPr>
    </w:p>
  </w:footnote>
  <w:footnote w:id="2">
    <w:p w:rsidR="00817044" w:rsidRPr="00817044" w:rsidRDefault="00817044" w:rsidP="00817044">
      <w:pPr>
        <w:pStyle w:val="FootnoteText"/>
        <w:jc w:val="both"/>
        <w:rPr>
          <w:rFonts w:ascii="Times New Roman" w:hAnsi="Times New Roman"/>
          <w:sz w:val="18"/>
          <w:szCs w:val="18"/>
          <w:lang w:val="es-ES_tradnl"/>
        </w:rPr>
      </w:pPr>
      <w:r w:rsidRPr="00817044">
        <w:rPr>
          <w:rStyle w:val="FootnoteReference"/>
          <w:rFonts w:ascii="Times New Roman" w:hAnsi="Times New Roman"/>
          <w:sz w:val="18"/>
          <w:szCs w:val="18"/>
        </w:rPr>
        <w:footnoteRef/>
      </w:r>
      <w:r w:rsidRPr="00817044">
        <w:rPr>
          <w:rFonts w:ascii="Times New Roman" w:hAnsi="Times New Roman"/>
          <w:sz w:val="18"/>
          <w:szCs w:val="18"/>
          <w:lang w:val="es-ES_tradnl"/>
        </w:rPr>
        <w:t xml:space="preserve"> Existen barreras a la financiación de energía renovable no convencional por dificultades para acceso a crédito a pesar de contar con estudios y permisos para el desarrollo del proyecto. Esto es particularmente clave en proyectos geotérmicos, medianas hidroeléctricas y térmicas que requieren alta pre-inversión e inversión. Se puede superar estas barreras con fondos concesionales e instrumentos de mitigación de riesgos aplicados por las ventanillas del sector privado. La Corporación Interamericana de Inversiones (CII) ya tiene experiencia en el sector en el país. Una de sus operaciones recientes es un préstamo de USD 5.59MM completado en enero del 2014 para financiar la construcción de una nueva planta de autogeneración eléctrica de biomasa con potencia nominal de 20MW. Adicionalmente, el departamento de financiamiento estructurado y corporativo (SCF) explorará oportunidades para ampliar acceso a electricidad al sector industrial, así como promover la generación a pequeña escala de energía e introducir nuevas tecnologías de energía fotovoltaica. El FOMIN también explorará iniciativas de generación eléctrica descentralizada en zonas sin acceso al suministro eléctrico. Nuevas inversiones (tanto SG como NSG) se darán en la medida en que se avance en la implementación de las reformas que permitan la eficiencia y sostenibilidad financiera del sector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7C0"/>
    <w:multiLevelType w:val="hybridMultilevel"/>
    <w:tmpl w:val="F24A8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70757"/>
    <w:multiLevelType w:val="hybridMultilevel"/>
    <w:tmpl w:val="AA04FFF8"/>
    <w:lvl w:ilvl="0" w:tplc="65E803A4">
      <w:start w:val="1"/>
      <w:numFmt w:val="bullet"/>
      <w:lvlText w:val="•"/>
      <w:lvlJc w:val="left"/>
      <w:pPr>
        <w:tabs>
          <w:tab w:val="num" w:pos="720"/>
        </w:tabs>
        <w:ind w:left="720" w:hanging="360"/>
      </w:pPr>
      <w:rPr>
        <w:rFonts w:ascii="Arial" w:hAnsi="Arial" w:hint="default"/>
      </w:rPr>
    </w:lvl>
    <w:lvl w:ilvl="1" w:tplc="0B003C24" w:tentative="1">
      <w:start w:val="1"/>
      <w:numFmt w:val="bullet"/>
      <w:lvlText w:val="•"/>
      <w:lvlJc w:val="left"/>
      <w:pPr>
        <w:tabs>
          <w:tab w:val="num" w:pos="1440"/>
        </w:tabs>
        <w:ind w:left="1440" w:hanging="360"/>
      </w:pPr>
      <w:rPr>
        <w:rFonts w:ascii="Arial" w:hAnsi="Arial" w:hint="default"/>
      </w:rPr>
    </w:lvl>
    <w:lvl w:ilvl="2" w:tplc="83049C9C" w:tentative="1">
      <w:start w:val="1"/>
      <w:numFmt w:val="bullet"/>
      <w:lvlText w:val="•"/>
      <w:lvlJc w:val="left"/>
      <w:pPr>
        <w:tabs>
          <w:tab w:val="num" w:pos="2160"/>
        </w:tabs>
        <w:ind w:left="2160" w:hanging="360"/>
      </w:pPr>
      <w:rPr>
        <w:rFonts w:ascii="Arial" w:hAnsi="Arial" w:hint="default"/>
      </w:rPr>
    </w:lvl>
    <w:lvl w:ilvl="3" w:tplc="B5841E92" w:tentative="1">
      <w:start w:val="1"/>
      <w:numFmt w:val="bullet"/>
      <w:lvlText w:val="•"/>
      <w:lvlJc w:val="left"/>
      <w:pPr>
        <w:tabs>
          <w:tab w:val="num" w:pos="2880"/>
        </w:tabs>
        <w:ind w:left="2880" w:hanging="360"/>
      </w:pPr>
      <w:rPr>
        <w:rFonts w:ascii="Arial" w:hAnsi="Arial" w:hint="default"/>
      </w:rPr>
    </w:lvl>
    <w:lvl w:ilvl="4" w:tplc="11EE20DA" w:tentative="1">
      <w:start w:val="1"/>
      <w:numFmt w:val="bullet"/>
      <w:lvlText w:val="•"/>
      <w:lvlJc w:val="left"/>
      <w:pPr>
        <w:tabs>
          <w:tab w:val="num" w:pos="3600"/>
        </w:tabs>
        <w:ind w:left="3600" w:hanging="360"/>
      </w:pPr>
      <w:rPr>
        <w:rFonts w:ascii="Arial" w:hAnsi="Arial" w:hint="default"/>
      </w:rPr>
    </w:lvl>
    <w:lvl w:ilvl="5" w:tplc="ABE61CFA" w:tentative="1">
      <w:start w:val="1"/>
      <w:numFmt w:val="bullet"/>
      <w:lvlText w:val="•"/>
      <w:lvlJc w:val="left"/>
      <w:pPr>
        <w:tabs>
          <w:tab w:val="num" w:pos="4320"/>
        </w:tabs>
        <w:ind w:left="4320" w:hanging="360"/>
      </w:pPr>
      <w:rPr>
        <w:rFonts w:ascii="Arial" w:hAnsi="Arial" w:hint="default"/>
      </w:rPr>
    </w:lvl>
    <w:lvl w:ilvl="6" w:tplc="22127350" w:tentative="1">
      <w:start w:val="1"/>
      <w:numFmt w:val="bullet"/>
      <w:lvlText w:val="•"/>
      <w:lvlJc w:val="left"/>
      <w:pPr>
        <w:tabs>
          <w:tab w:val="num" w:pos="5040"/>
        </w:tabs>
        <w:ind w:left="5040" w:hanging="360"/>
      </w:pPr>
      <w:rPr>
        <w:rFonts w:ascii="Arial" w:hAnsi="Arial" w:hint="default"/>
      </w:rPr>
    </w:lvl>
    <w:lvl w:ilvl="7" w:tplc="3586C19C" w:tentative="1">
      <w:start w:val="1"/>
      <w:numFmt w:val="bullet"/>
      <w:lvlText w:val="•"/>
      <w:lvlJc w:val="left"/>
      <w:pPr>
        <w:tabs>
          <w:tab w:val="num" w:pos="5760"/>
        </w:tabs>
        <w:ind w:left="5760" w:hanging="360"/>
      </w:pPr>
      <w:rPr>
        <w:rFonts w:ascii="Arial" w:hAnsi="Arial" w:hint="default"/>
      </w:rPr>
    </w:lvl>
    <w:lvl w:ilvl="8" w:tplc="F056AA98" w:tentative="1">
      <w:start w:val="1"/>
      <w:numFmt w:val="bullet"/>
      <w:lvlText w:val="•"/>
      <w:lvlJc w:val="left"/>
      <w:pPr>
        <w:tabs>
          <w:tab w:val="num" w:pos="6480"/>
        </w:tabs>
        <w:ind w:left="6480" w:hanging="360"/>
      </w:pPr>
      <w:rPr>
        <w:rFonts w:ascii="Arial" w:hAnsi="Arial" w:hint="default"/>
      </w:rPr>
    </w:lvl>
  </w:abstractNum>
  <w:abstractNum w:abstractNumId="2">
    <w:nsid w:val="0A230C25"/>
    <w:multiLevelType w:val="hybridMultilevel"/>
    <w:tmpl w:val="3F7250FC"/>
    <w:lvl w:ilvl="0" w:tplc="5D3AE15E">
      <w:start w:val="1"/>
      <w:numFmt w:val="bullet"/>
      <w:lvlText w:val="•"/>
      <w:lvlJc w:val="left"/>
      <w:pPr>
        <w:tabs>
          <w:tab w:val="num" w:pos="720"/>
        </w:tabs>
        <w:ind w:left="720" w:hanging="360"/>
      </w:pPr>
      <w:rPr>
        <w:rFonts w:ascii="Arial" w:hAnsi="Arial" w:hint="default"/>
      </w:rPr>
    </w:lvl>
    <w:lvl w:ilvl="1" w:tplc="773252C4" w:tentative="1">
      <w:start w:val="1"/>
      <w:numFmt w:val="bullet"/>
      <w:lvlText w:val="•"/>
      <w:lvlJc w:val="left"/>
      <w:pPr>
        <w:tabs>
          <w:tab w:val="num" w:pos="1440"/>
        </w:tabs>
        <w:ind w:left="1440" w:hanging="360"/>
      </w:pPr>
      <w:rPr>
        <w:rFonts w:ascii="Arial" w:hAnsi="Arial" w:hint="default"/>
      </w:rPr>
    </w:lvl>
    <w:lvl w:ilvl="2" w:tplc="9E025638" w:tentative="1">
      <w:start w:val="1"/>
      <w:numFmt w:val="bullet"/>
      <w:lvlText w:val="•"/>
      <w:lvlJc w:val="left"/>
      <w:pPr>
        <w:tabs>
          <w:tab w:val="num" w:pos="2160"/>
        </w:tabs>
        <w:ind w:left="2160" w:hanging="360"/>
      </w:pPr>
      <w:rPr>
        <w:rFonts w:ascii="Arial" w:hAnsi="Arial" w:hint="default"/>
      </w:rPr>
    </w:lvl>
    <w:lvl w:ilvl="3" w:tplc="FA16D802" w:tentative="1">
      <w:start w:val="1"/>
      <w:numFmt w:val="bullet"/>
      <w:lvlText w:val="•"/>
      <w:lvlJc w:val="left"/>
      <w:pPr>
        <w:tabs>
          <w:tab w:val="num" w:pos="2880"/>
        </w:tabs>
        <w:ind w:left="2880" w:hanging="360"/>
      </w:pPr>
      <w:rPr>
        <w:rFonts w:ascii="Arial" w:hAnsi="Arial" w:hint="default"/>
      </w:rPr>
    </w:lvl>
    <w:lvl w:ilvl="4" w:tplc="650AA390" w:tentative="1">
      <w:start w:val="1"/>
      <w:numFmt w:val="bullet"/>
      <w:lvlText w:val="•"/>
      <w:lvlJc w:val="left"/>
      <w:pPr>
        <w:tabs>
          <w:tab w:val="num" w:pos="3600"/>
        </w:tabs>
        <w:ind w:left="3600" w:hanging="360"/>
      </w:pPr>
      <w:rPr>
        <w:rFonts w:ascii="Arial" w:hAnsi="Arial" w:hint="default"/>
      </w:rPr>
    </w:lvl>
    <w:lvl w:ilvl="5" w:tplc="41BC2AD8" w:tentative="1">
      <w:start w:val="1"/>
      <w:numFmt w:val="bullet"/>
      <w:lvlText w:val="•"/>
      <w:lvlJc w:val="left"/>
      <w:pPr>
        <w:tabs>
          <w:tab w:val="num" w:pos="4320"/>
        </w:tabs>
        <w:ind w:left="4320" w:hanging="360"/>
      </w:pPr>
      <w:rPr>
        <w:rFonts w:ascii="Arial" w:hAnsi="Arial" w:hint="default"/>
      </w:rPr>
    </w:lvl>
    <w:lvl w:ilvl="6" w:tplc="2E1A2886" w:tentative="1">
      <w:start w:val="1"/>
      <w:numFmt w:val="bullet"/>
      <w:lvlText w:val="•"/>
      <w:lvlJc w:val="left"/>
      <w:pPr>
        <w:tabs>
          <w:tab w:val="num" w:pos="5040"/>
        </w:tabs>
        <w:ind w:left="5040" w:hanging="360"/>
      </w:pPr>
      <w:rPr>
        <w:rFonts w:ascii="Arial" w:hAnsi="Arial" w:hint="default"/>
      </w:rPr>
    </w:lvl>
    <w:lvl w:ilvl="7" w:tplc="1DF0FC94" w:tentative="1">
      <w:start w:val="1"/>
      <w:numFmt w:val="bullet"/>
      <w:lvlText w:val="•"/>
      <w:lvlJc w:val="left"/>
      <w:pPr>
        <w:tabs>
          <w:tab w:val="num" w:pos="5760"/>
        </w:tabs>
        <w:ind w:left="5760" w:hanging="360"/>
      </w:pPr>
      <w:rPr>
        <w:rFonts w:ascii="Arial" w:hAnsi="Arial" w:hint="default"/>
      </w:rPr>
    </w:lvl>
    <w:lvl w:ilvl="8" w:tplc="42D8EBE0" w:tentative="1">
      <w:start w:val="1"/>
      <w:numFmt w:val="bullet"/>
      <w:lvlText w:val="•"/>
      <w:lvlJc w:val="left"/>
      <w:pPr>
        <w:tabs>
          <w:tab w:val="num" w:pos="6480"/>
        </w:tabs>
        <w:ind w:left="6480" w:hanging="360"/>
      </w:pPr>
      <w:rPr>
        <w:rFonts w:ascii="Arial" w:hAnsi="Arial" w:hint="default"/>
      </w:rPr>
    </w:lvl>
  </w:abstractNum>
  <w:abstractNum w:abstractNumId="3">
    <w:nsid w:val="0B283487"/>
    <w:multiLevelType w:val="hybridMultilevel"/>
    <w:tmpl w:val="A18AA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42777"/>
    <w:multiLevelType w:val="hybridMultilevel"/>
    <w:tmpl w:val="59CC5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43571"/>
    <w:multiLevelType w:val="hybridMultilevel"/>
    <w:tmpl w:val="ED7C60D0"/>
    <w:lvl w:ilvl="0" w:tplc="04090019">
      <w:start w:val="1"/>
      <w:numFmt w:val="lowerLetter"/>
      <w:lvlText w:val="%1."/>
      <w:lvlJc w:val="left"/>
      <w:pPr>
        <w:ind w:left="360" w:hanging="360"/>
      </w:pPr>
    </w:lvl>
    <w:lvl w:ilvl="1" w:tplc="EB4C849A">
      <w:start w:val="1"/>
      <w:numFmt w:val="lowerRoman"/>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0F6113"/>
    <w:multiLevelType w:val="hybridMultilevel"/>
    <w:tmpl w:val="0DB098D2"/>
    <w:lvl w:ilvl="0" w:tplc="EB4C849A">
      <w:start w:val="1"/>
      <w:numFmt w:val="lowerRoman"/>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1603BA"/>
    <w:multiLevelType w:val="hybridMultilevel"/>
    <w:tmpl w:val="40D6AF7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25D92362"/>
    <w:multiLevelType w:val="hybridMultilevel"/>
    <w:tmpl w:val="235859EA"/>
    <w:lvl w:ilvl="0" w:tplc="5D2488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070601"/>
    <w:multiLevelType w:val="hybridMultilevel"/>
    <w:tmpl w:val="EAE4C76E"/>
    <w:lvl w:ilvl="0" w:tplc="EB4C849A">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5379FA"/>
    <w:multiLevelType w:val="hybridMultilevel"/>
    <w:tmpl w:val="0C06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24907"/>
    <w:multiLevelType w:val="hybridMultilevel"/>
    <w:tmpl w:val="C9601BCA"/>
    <w:lvl w:ilvl="0" w:tplc="EB4C849A">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31C31"/>
    <w:multiLevelType w:val="hybridMultilevel"/>
    <w:tmpl w:val="1BA62C40"/>
    <w:lvl w:ilvl="0" w:tplc="30582A1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39484B70"/>
    <w:multiLevelType w:val="hybridMultilevel"/>
    <w:tmpl w:val="9E9EB1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F38BA"/>
    <w:multiLevelType w:val="hybridMultilevel"/>
    <w:tmpl w:val="22E6313A"/>
    <w:lvl w:ilvl="0" w:tplc="EB4C849A">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420AA"/>
    <w:multiLevelType w:val="hybridMultilevel"/>
    <w:tmpl w:val="020A76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C08C5"/>
    <w:multiLevelType w:val="hybridMultilevel"/>
    <w:tmpl w:val="8026BA48"/>
    <w:lvl w:ilvl="0" w:tplc="9E1C27A0">
      <w:start w:val="1"/>
      <w:numFmt w:val="low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D37144"/>
    <w:multiLevelType w:val="hybridMultilevel"/>
    <w:tmpl w:val="2662E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F29B7"/>
    <w:multiLevelType w:val="hybridMultilevel"/>
    <w:tmpl w:val="0DB098D2"/>
    <w:lvl w:ilvl="0" w:tplc="EB4C849A">
      <w:start w:val="1"/>
      <w:numFmt w:val="lowerRoman"/>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6C47048"/>
    <w:multiLevelType w:val="hybridMultilevel"/>
    <w:tmpl w:val="B9965428"/>
    <w:lvl w:ilvl="0" w:tplc="EB4C849A">
      <w:start w:val="1"/>
      <w:numFmt w:val="lowerRoman"/>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475B12"/>
    <w:multiLevelType w:val="hybridMultilevel"/>
    <w:tmpl w:val="00C4A7A8"/>
    <w:lvl w:ilvl="0" w:tplc="EB4C849A">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933580"/>
    <w:multiLevelType w:val="hybridMultilevel"/>
    <w:tmpl w:val="3D60F46C"/>
    <w:lvl w:ilvl="0" w:tplc="EB4C849A">
      <w:start w:val="1"/>
      <w:numFmt w:val="lowerRoman"/>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C0F43"/>
    <w:multiLevelType w:val="hybridMultilevel"/>
    <w:tmpl w:val="868ACC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D77665"/>
    <w:multiLevelType w:val="hybridMultilevel"/>
    <w:tmpl w:val="AB7C65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409BF"/>
    <w:multiLevelType w:val="hybridMultilevel"/>
    <w:tmpl w:val="399A529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DE6B3F"/>
    <w:multiLevelType w:val="hybridMultilevel"/>
    <w:tmpl w:val="410006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9708FA"/>
    <w:multiLevelType w:val="hybridMultilevel"/>
    <w:tmpl w:val="415030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5"/>
  </w:num>
  <w:num w:numId="3">
    <w:abstractNumId w:val="10"/>
  </w:num>
  <w:num w:numId="4">
    <w:abstractNumId w:val="0"/>
  </w:num>
  <w:num w:numId="5">
    <w:abstractNumId w:val="16"/>
  </w:num>
  <w:num w:numId="6">
    <w:abstractNumId w:val="12"/>
  </w:num>
  <w:num w:numId="7">
    <w:abstractNumId w:val="3"/>
  </w:num>
  <w:num w:numId="8">
    <w:abstractNumId w:val="24"/>
  </w:num>
  <w:num w:numId="9">
    <w:abstractNumId w:val="15"/>
  </w:num>
  <w:num w:numId="10">
    <w:abstractNumId w:val="13"/>
  </w:num>
  <w:num w:numId="11">
    <w:abstractNumId w:val="5"/>
  </w:num>
  <w:num w:numId="12">
    <w:abstractNumId w:val="9"/>
  </w:num>
  <w:num w:numId="13">
    <w:abstractNumId w:val="4"/>
  </w:num>
  <w:num w:numId="14">
    <w:abstractNumId w:val="17"/>
  </w:num>
  <w:num w:numId="15">
    <w:abstractNumId w:val="23"/>
  </w:num>
  <w:num w:numId="16">
    <w:abstractNumId w:val="22"/>
  </w:num>
  <w:num w:numId="17">
    <w:abstractNumId w:val="20"/>
  </w:num>
  <w:num w:numId="18">
    <w:abstractNumId w:val="11"/>
  </w:num>
  <w:num w:numId="19">
    <w:abstractNumId w:val="26"/>
  </w:num>
  <w:num w:numId="20">
    <w:abstractNumId w:val="1"/>
  </w:num>
  <w:num w:numId="21">
    <w:abstractNumId w:val="7"/>
  </w:num>
  <w:num w:numId="22">
    <w:abstractNumId w:val="19"/>
  </w:num>
  <w:num w:numId="23">
    <w:abstractNumId w:val="21"/>
  </w:num>
  <w:num w:numId="24">
    <w:abstractNumId w:val="2"/>
  </w:num>
  <w:num w:numId="25">
    <w:abstractNumId w:val="18"/>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BA"/>
    <w:rsid w:val="0003281E"/>
    <w:rsid w:val="0006272F"/>
    <w:rsid w:val="0007268D"/>
    <w:rsid w:val="00074C6C"/>
    <w:rsid w:val="00074FC3"/>
    <w:rsid w:val="00077315"/>
    <w:rsid w:val="00085D2A"/>
    <w:rsid w:val="0009088F"/>
    <w:rsid w:val="00092F77"/>
    <w:rsid w:val="000967EF"/>
    <w:rsid w:val="000C0185"/>
    <w:rsid w:val="000C3839"/>
    <w:rsid w:val="000D2BF3"/>
    <w:rsid w:val="00114FDC"/>
    <w:rsid w:val="00131E93"/>
    <w:rsid w:val="00153EAB"/>
    <w:rsid w:val="00156516"/>
    <w:rsid w:val="001642E5"/>
    <w:rsid w:val="001758AF"/>
    <w:rsid w:val="00180BC4"/>
    <w:rsid w:val="00186DE6"/>
    <w:rsid w:val="001A54D6"/>
    <w:rsid w:val="001B6F68"/>
    <w:rsid w:val="001D13AD"/>
    <w:rsid w:val="001E1531"/>
    <w:rsid w:val="001F2D7F"/>
    <w:rsid w:val="0020229C"/>
    <w:rsid w:val="00206E50"/>
    <w:rsid w:val="00213CBF"/>
    <w:rsid w:val="002464DF"/>
    <w:rsid w:val="002813EA"/>
    <w:rsid w:val="00283478"/>
    <w:rsid w:val="002843ED"/>
    <w:rsid w:val="002A2155"/>
    <w:rsid w:val="002D243D"/>
    <w:rsid w:val="002E4E05"/>
    <w:rsid w:val="00333263"/>
    <w:rsid w:val="003406D5"/>
    <w:rsid w:val="00340C1A"/>
    <w:rsid w:val="00345F2E"/>
    <w:rsid w:val="003575A8"/>
    <w:rsid w:val="00361286"/>
    <w:rsid w:val="00372496"/>
    <w:rsid w:val="00380F65"/>
    <w:rsid w:val="00384A91"/>
    <w:rsid w:val="003A5E59"/>
    <w:rsid w:val="003B223C"/>
    <w:rsid w:val="003B7460"/>
    <w:rsid w:val="003C1F59"/>
    <w:rsid w:val="003E789B"/>
    <w:rsid w:val="00415608"/>
    <w:rsid w:val="00417F4E"/>
    <w:rsid w:val="00447A52"/>
    <w:rsid w:val="00447E25"/>
    <w:rsid w:val="00450A22"/>
    <w:rsid w:val="004533B8"/>
    <w:rsid w:val="00457BC5"/>
    <w:rsid w:val="00473931"/>
    <w:rsid w:val="00473B43"/>
    <w:rsid w:val="004A0A36"/>
    <w:rsid w:val="004A261C"/>
    <w:rsid w:val="004A60EE"/>
    <w:rsid w:val="004E6FDC"/>
    <w:rsid w:val="004F71E9"/>
    <w:rsid w:val="00525287"/>
    <w:rsid w:val="00546569"/>
    <w:rsid w:val="005525BD"/>
    <w:rsid w:val="00553770"/>
    <w:rsid w:val="005549E2"/>
    <w:rsid w:val="00556C57"/>
    <w:rsid w:val="00571AB4"/>
    <w:rsid w:val="005731CF"/>
    <w:rsid w:val="005775C2"/>
    <w:rsid w:val="005856CE"/>
    <w:rsid w:val="005B0C32"/>
    <w:rsid w:val="005C4BF2"/>
    <w:rsid w:val="005E7C7D"/>
    <w:rsid w:val="005E7D61"/>
    <w:rsid w:val="00636E12"/>
    <w:rsid w:val="00665626"/>
    <w:rsid w:val="006A33DF"/>
    <w:rsid w:val="006E3F1C"/>
    <w:rsid w:val="006F062C"/>
    <w:rsid w:val="00711491"/>
    <w:rsid w:val="007205E2"/>
    <w:rsid w:val="00723EE3"/>
    <w:rsid w:val="00725A66"/>
    <w:rsid w:val="0075384A"/>
    <w:rsid w:val="00756B3C"/>
    <w:rsid w:val="00761922"/>
    <w:rsid w:val="0077584A"/>
    <w:rsid w:val="00781776"/>
    <w:rsid w:val="007B350C"/>
    <w:rsid w:val="007D3A8E"/>
    <w:rsid w:val="007E4066"/>
    <w:rsid w:val="00817044"/>
    <w:rsid w:val="00831C0F"/>
    <w:rsid w:val="008475F0"/>
    <w:rsid w:val="00855804"/>
    <w:rsid w:val="00865BCC"/>
    <w:rsid w:val="008765BE"/>
    <w:rsid w:val="00891716"/>
    <w:rsid w:val="008B41B2"/>
    <w:rsid w:val="008E092B"/>
    <w:rsid w:val="008E4FE8"/>
    <w:rsid w:val="00925CD9"/>
    <w:rsid w:val="0094490C"/>
    <w:rsid w:val="009451AB"/>
    <w:rsid w:val="009570FD"/>
    <w:rsid w:val="00972400"/>
    <w:rsid w:val="009A5FA3"/>
    <w:rsid w:val="009C2722"/>
    <w:rsid w:val="009C69BB"/>
    <w:rsid w:val="009C6D0C"/>
    <w:rsid w:val="009D3D82"/>
    <w:rsid w:val="009E5666"/>
    <w:rsid w:val="009E67A1"/>
    <w:rsid w:val="00A01097"/>
    <w:rsid w:val="00A04DDC"/>
    <w:rsid w:val="00A07D5E"/>
    <w:rsid w:val="00A27FAF"/>
    <w:rsid w:val="00A5466A"/>
    <w:rsid w:val="00A54DCE"/>
    <w:rsid w:val="00A76CF4"/>
    <w:rsid w:val="00A85429"/>
    <w:rsid w:val="00A910DB"/>
    <w:rsid w:val="00A964BC"/>
    <w:rsid w:val="00AB4AEA"/>
    <w:rsid w:val="00AB5BAD"/>
    <w:rsid w:val="00AC134E"/>
    <w:rsid w:val="00AF2DBD"/>
    <w:rsid w:val="00AF6F81"/>
    <w:rsid w:val="00AF7CED"/>
    <w:rsid w:val="00B01EC0"/>
    <w:rsid w:val="00B04E0D"/>
    <w:rsid w:val="00B15C66"/>
    <w:rsid w:val="00B20423"/>
    <w:rsid w:val="00B20927"/>
    <w:rsid w:val="00B42C23"/>
    <w:rsid w:val="00B43F80"/>
    <w:rsid w:val="00B6542F"/>
    <w:rsid w:val="00B73A95"/>
    <w:rsid w:val="00B87DDA"/>
    <w:rsid w:val="00B933E5"/>
    <w:rsid w:val="00B967CF"/>
    <w:rsid w:val="00BC58FA"/>
    <w:rsid w:val="00BE6BA5"/>
    <w:rsid w:val="00BF5F6E"/>
    <w:rsid w:val="00C25F88"/>
    <w:rsid w:val="00C33410"/>
    <w:rsid w:val="00C43809"/>
    <w:rsid w:val="00C52FCC"/>
    <w:rsid w:val="00C704FB"/>
    <w:rsid w:val="00C7684A"/>
    <w:rsid w:val="00CD77AC"/>
    <w:rsid w:val="00CE0FD1"/>
    <w:rsid w:val="00CE7768"/>
    <w:rsid w:val="00CF1F84"/>
    <w:rsid w:val="00CF6840"/>
    <w:rsid w:val="00D1291F"/>
    <w:rsid w:val="00D1484B"/>
    <w:rsid w:val="00D509DD"/>
    <w:rsid w:val="00D702AD"/>
    <w:rsid w:val="00D74509"/>
    <w:rsid w:val="00D91A9F"/>
    <w:rsid w:val="00D97D15"/>
    <w:rsid w:val="00DA5D69"/>
    <w:rsid w:val="00DB574D"/>
    <w:rsid w:val="00DC6DB4"/>
    <w:rsid w:val="00E56332"/>
    <w:rsid w:val="00E65397"/>
    <w:rsid w:val="00E96D12"/>
    <w:rsid w:val="00EA5337"/>
    <w:rsid w:val="00EB1B9B"/>
    <w:rsid w:val="00F019AE"/>
    <w:rsid w:val="00F27AE9"/>
    <w:rsid w:val="00F41FD5"/>
    <w:rsid w:val="00F446BA"/>
    <w:rsid w:val="00F45C83"/>
    <w:rsid w:val="00F506E0"/>
    <w:rsid w:val="00F50D5F"/>
    <w:rsid w:val="00F5705C"/>
    <w:rsid w:val="00F67A75"/>
    <w:rsid w:val="00F86D0A"/>
    <w:rsid w:val="00F918E0"/>
    <w:rsid w:val="00FA49BE"/>
    <w:rsid w:val="00FA764F"/>
    <w:rsid w:val="00FC017E"/>
    <w:rsid w:val="00FC51D5"/>
    <w:rsid w:val="00FC547E"/>
    <w:rsid w:val="00FD5270"/>
    <w:rsid w:val="00FF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D61"/>
    <w:pPr>
      <w:ind w:left="720"/>
      <w:contextualSpacing/>
    </w:pPr>
  </w:style>
  <w:style w:type="paragraph" w:styleId="BalloonText">
    <w:name w:val="Balloon Text"/>
    <w:basedOn w:val="Normal"/>
    <w:link w:val="BalloonTextChar"/>
    <w:uiPriority w:val="99"/>
    <w:semiHidden/>
    <w:unhideWhenUsed/>
    <w:rsid w:val="00A2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FAF"/>
    <w:rPr>
      <w:rFonts w:ascii="Tahoma" w:eastAsia="Calibri" w:hAnsi="Tahoma" w:cs="Tahoma"/>
      <w:sz w:val="16"/>
      <w:szCs w:val="16"/>
    </w:rPr>
  </w:style>
  <w:style w:type="paragraph" w:styleId="NormalWeb">
    <w:name w:val="Normal (Web)"/>
    <w:basedOn w:val="Normal"/>
    <w:uiPriority w:val="99"/>
    <w:semiHidden/>
    <w:unhideWhenUsed/>
    <w:rsid w:val="00E6539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450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A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50A22"/>
    <w:rPr>
      <w:vertAlign w:val="superscript"/>
    </w:rPr>
  </w:style>
  <w:style w:type="paragraph" w:styleId="Header">
    <w:name w:val="header"/>
    <w:basedOn w:val="Normal"/>
    <w:link w:val="HeaderChar"/>
    <w:uiPriority w:val="99"/>
    <w:unhideWhenUsed/>
    <w:rsid w:val="009724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972400"/>
    <w:rPr>
      <w:rFonts w:ascii="Calibri" w:eastAsia="Calibri" w:hAnsi="Calibri" w:cs="Times New Roman"/>
    </w:rPr>
  </w:style>
  <w:style w:type="paragraph" w:styleId="Footer">
    <w:name w:val="footer"/>
    <w:basedOn w:val="Normal"/>
    <w:link w:val="FooterChar"/>
    <w:uiPriority w:val="99"/>
    <w:unhideWhenUsed/>
    <w:rsid w:val="009724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972400"/>
    <w:rPr>
      <w:rFonts w:ascii="Calibri" w:eastAsia="Calibri" w:hAnsi="Calibri" w:cs="Times New Roman"/>
    </w:rPr>
  </w:style>
  <w:style w:type="character" w:styleId="CommentReference">
    <w:name w:val="annotation reference"/>
    <w:basedOn w:val="DefaultParagraphFont"/>
    <w:uiPriority w:val="99"/>
    <w:semiHidden/>
    <w:unhideWhenUsed/>
    <w:rsid w:val="0094490C"/>
    <w:rPr>
      <w:sz w:val="16"/>
      <w:szCs w:val="16"/>
    </w:rPr>
  </w:style>
  <w:style w:type="paragraph" w:styleId="CommentText">
    <w:name w:val="annotation text"/>
    <w:basedOn w:val="Normal"/>
    <w:link w:val="CommentTextChar"/>
    <w:uiPriority w:val="99"/>
    <w:semiHidden/>
    <w:unhideWhenUsed/>
    <w:rsid w:val="0094490C"/>
    <w:pPr>
      <w:spacing w:line="240" w:lineRule="auto"/>
    </w:pPr>
    <w:rPr>
      <w:sz w:val="20"/>
      <w:szCs w:val="20"/>
    </w:rPr>
  </w:style>
  <w:style w:type="character" w:customStyle="1" w:styleId="CommentTextChar">
    <w:name w:val="Comment Text Char"/>
    <w:basedOn w:val="DefaultParagraphFont"/>
    <w:link w:val="CommentText"/>
    <w:uiPriority w:val="99"/>
    <w:semiHidden/>
    <w:rsid w:val="009449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490C"/>
    <w:rPr>
      <w:b/>
      <w:bCs/>
    </w:rPr>
  </w:style>
  <w:style w:type="character" w:customStyle="1" w:styleId="CommentSubjectChar">
    <w:name w:val="Comment Subject Char"/>
    <w:basedOn w:val="CommentTextChar"/>
    <w:link w:val="CommentSubject"/>
    <w:uiPriority w:val="99"/>
    <w:semiHidden/>
    <w:rsid w:val="0094490C"/>
    <w:rPr>
      <w:rFonts w:ascii="Calibri" w:eastAsia="Calibri" w:hAnsi="Calibri" w:cs="Times New Roman"/>
      <w:b/>
      <w:bCs/>
      <w:sz w:val="20"/>
      <w:szCs w:val="20"/>
    </w:rPr>
  </w:style>
  <w:style w:type="paragraph" w:customStyle="1" w:styleId="Default">
    <w:name w:val="Default"/>
    <w:rsid w:val="0089171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D61"/>
    <w:pPr>
      <w:ind w:left="720"/>
      <w:contextualSpacing/>
    </w:pPr>
  </w:style>
  <w:style w:type="paragraph" w:styleId="BalloonText">
    <w:name w:val="Balloon Text"/>
    <w:basedOn w:val="Normal"/>
    <w:link w:val="BalloonTextChar"/>
    <w:uiPriority w:val="99"/>
    <w:semiHidden/>
    <w:unhideWhenUsed/>
    <w:rsid w:val="00A2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FAF"/>
    <w:rPr>
      <w:rFonts w:ascii="Tahoma" w:eastAsia="Calibri" w:hAnsi="Tahoma" w:cs="Tahoma"/>
      <w:sz w:val="16"/>
      <w:szCs w:val="16"/>
    </w:rPr>
  </w:style>
  <w:style w:type="paragraph" w:styleId="NormalWeb">
    <w:name w:val="Normal (Web)"/>
    <w:basedOn w:val="Normal"/>
    <w:uiPriority w:val="99"/>
    <w:semiHidden/>
    <w:unhideWhenUsed/>
    <w:rsid w:val="00E6539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450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A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50A22"/>
    <w:rPr>
      <w:vertAlign w:val="superscript"/>
    </w:rPr>
  </w:style>
  <w:style w:type="paragraph" w:styleId="Header">
    <w:name w:val="header"/>
    <w:basedOn w:val="Normal"/>
    <w:link w:val="HeaderChar"/>
    <w:uiPriority w:val="99"/>
    <w:unhideWhenUsed/>
    <w:rsid w:val="009724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972400"/>
    <w:rPr>
      <w:rFonts w:ascii="Calibri" w:eastAsia="Calibri" w:hAnsi="Calibri" w:cs="Times New Roman"/>
    </w:rPr>
  </w:style>
  <w:style w:type="paragraph" w:styleId="Footer">
    <w:name w:val="footer"/>
    <w:basedOn w:val="Normal"/>
    <w:link w:val="FooterChar"/>
    <w:uiPriority w:val="99"/>
    <w:unhideWhenUsed/>
    <w:rsid w:val="009724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972400"/>
    <w:rPr>
      <w:rFonts w:ascii="Calibri" w:eastAsia="Calibri" w:hAnsi="Calibri" w:cs="Times New Roman"/>
    </w:rPr>
  </w:style>
  <w:style w:type="character" w:styleId="CommentReference">
    <w:name w:val="annotation reference"/>
    <w:basedOn w:val="DefaultParagraphFont"/>
    <w:uiPriority w:val="99"/>
    <w:semiHidden/>
    <w:unhideWhenUsed/>
    <w:rsid w:val="0094490C"/>
    <w:rPr>
      <w:sz w:val="16"/>
      <w:szCs w:val="16"/>
    </w:rPr>
  </w:style>
  <w:style w:type="paragraph" w:styleId="CommentText">
    <w:name w:val="annotation text"/>
    <w:basedOn w:val="Normal"/>
    <w:link w:val="CommentTextChar"/>
    <w:uiPriority w:val="99"/>
    <w:semiHidden/>
    <w:unhideWhenUsed/>
    <w:rsid w:val="0094490C"/>
    <w:pPr>
      <w:spacing w:line="240" w:lineRule="auto"/>
    </w:pPr>
    <w:rPr>
      <w:sz w:val="20"/>
      <w:szCs w:val="20"/>
    </w:rPr>
  </w:style>
  <w:style w:type="character" w:customStyle="1" w:styleId="CommentTextChar">
    <w:name w:val="Comment Text Char"/>
    <w:basedOn w:val="DefaultParagraphFont"/>
    <w:link w:val="CommentText"/>
    <w:uiPriority w:val="99"/>
    <w:semiHidden/>
    <w:rsid w:val="009449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490C"/>
    <w:rPr>
      <w:b/>
      <w:bCs/>
    </w:rPr>
  </w:style>
  <w:style w:type="character" w:customStyle="1" w:styleId="CommentSubjectChar">
    <w:name w:val="Comment Subject Char"/>
    <w:basedOn w:val="CommentTextChar"/>
    <w:link w:val="CommentSubject"/>
    <w:uiPriority w:val="99"/>
    <w:semiHidden/>
    <w:rsid w:val="0094490C"/>
    <w:rPr>
      <w:rFonts w:ascii="Calibri" w:eastAsia="Calibri" w:hAnsi="Calibri" w:cs="Times New Roman"/>
      <w:b/>
      <w:bCs/>
      <w:sz w:val="20"/>
      <w:szCs w:val="20"/>
    </w:rPr>
  </w:style>
  <w:style w:type="paragraph" w:customStyle="1" w:styleId="Default">
    <w:name w:val="Default"/>
    <w:rsid w:val="008917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101">
      <w:bodyDiv w:val="1"/>
      <w:marLeft w:val="0"/>
      <w:marRight w:val="0"/>
      <w:marTop w:val="0"/>
      <w:marBottom w:val="0"/>
      <w:divBdr>
        <w:top w:val="none" w:sz="0" w:space="0" w:color="auto"/>
        <w:left w:val="none" w:sz="0" w:space="0" w:color="auto"/>
        <w:bottom w:val="none" w:sz="0" w:space="0" w:color="auto"/>
        <w:right w:val="none" w:sz="0" w:space="0" w:color="auto"/>
      </w:divBdr>
    </w:div>
    <w:div w:id="977304031">
      <w:bodyDiv w:val="1"/>
      <w:marLeft w:val="0"/>
      <w:marRight w:val="0"/>
      <w:marTop w:val="0"/>
      <w:marBottom w:val="0"/>
      <w:divBdr>
        <w:top w:val="none" w:sz="0" w:space="0" w:color="auto"/>
        <w:left w:val="none" w:sz="0" w:space="0" w:color="auto"/>
        <w:bottom w:val="none" w:sz="0" w:space="0" w:color="auto"/>
        <w:right w:val="none" w:sz="0" w:space="0" w:color="auto"/>
      </w:divBdr>
      <w:divsChild>
        <w:div w:id="198782888">
          <w:marLeft w:val="547"/>
          <w:marRight w:val="0"/>
          <w:marTop w:val="77"/>
          <w:marBottom w:val="0"/>
          <w:divBdr>
            <w:top w:val="none" w:sz="0" w:space="0" w:color="auto"/>
            <w:left w:val="none" w:sz="0" w:space="0" w:color="auto"/>
            <w:bottom w:val="none" w:sz="0" w:space="0" w:color="auto"/>
            <w:right w:val="none" w:sz="0" w:space="0" w:color="auto"/>
          </w:divBdr>
        </w:div>
        <w:div w:id="1369602328">
          <w:marLeft w:val="547"/>
          <w:marRight w:val="0"/>
          <w:marTop w:val="77"/>
          <w:marBottom w:val="0"/>
          <w:divBdr>
            <w:top w:val="none" w:sz="0" w:space="0" w:color="auto"/>
            <w:left w:val="none" w:sz="0" w:space="0" w:color="auto"/>
            <w:bottom w:val="none" w:sz="0" w:space="0" w:color="auto"/>
            <w:right w:val="none" w:sz="0" w:space="0" w:color="auto"/>
          </w:divBdr>
        </w:div>
        <w:div w:id="1699427083">
          <w:marLeft w:val="547"/>
          <w:marRight w:val="0"/>
          <w:marTop w:val="77"/>
          <w:marBottom w:val="0"/>
          <w:divBdr>
            <w:top w:val="none" w:sz="0" w:space="0" w:color="auto"/>
            <w:left w:val="none" w:sz="0" w:space="0" w:color="auto"/>
            <w:bottom w:val="none" w:sz="0" w:space="0" w:color="auto"/>
            <w:right w:val="none" w:sz="0" w:space="0" w:color="auto"/>
          </w:divBdr>
        </w:div>
      </w:divsChild>
    </w:div>
    <w:div w:id="1387995655">
      <w:bodyDiv w:val="1"/>
      <w:marLeft w:val="0"/>
      <w:marRight w:val="0"/>
      <w:marTop w:val="0"/>
      <w:marBottom w:val="0"/>
      <w:divBdr>
        <w:top w:val="none" w:sz="0" w:space="0" w:color="auto"/>
        <w:left w:val="none" w:sz="0" w:space="0" w:color="auto"/>
        <w:bottom w:val="none" w:sz="0" w:space="0" w:color="auto"/>
        <w:right w:val="none" w:sz="0" w:space="0" w:color="auto"/>
      </w:divBdr>
    </w:div>
    <w:div w:id="2014994896">
      <w:bodyDiv w:val="1"/>
      <w:marLeft w:val="0"/>
      <w:marRight w:val="0"/>
      <w:marTop w:val="0"/>
      <w:marBottom w:val="0"/>
      <w:divBdr>
        <w:top w:val="none" w:sz="0" w:space="0" w:color="auto"/>
        <w:left w:val="none" w:sz="0" w:space="0" w:color="auto"/>
        <w:bottom w:val="none" w:sz="0" w:space="0" w:color="auto"/>
        <w:right w:val="none" w:sz="0" w:space="0" w:color="auto"/>
      </w:divBdr>
      <w:divsChild>
        <w:div w:id="45332536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A7EF6D70A09094892AF12287698826D" ma:contentTypeVersion="0" ma:contentTypeDescription="A content type to manage public (operations) IDB documents" ma:contentTypeScope="" ma:versionID="041cd987ad533c8cd31a879d3b6d0d1a">
  <xsd:schema xmlns:xsd="http://www.w3.org/2001/XMLSchema" xmlns:xs="http://www.w3.org/2001/XMLSchema" xmlns:p="http://schemas.microsoft.com/office/2006/metadata/properties" xmlns:ns2="9c571b2f-e523-4ab2-ba2e-09e151a03ef4" targetNamespace="http://schemas.microsoft.com/office/2006/metadata/properties" ma:root="true" ma:fieldsID="4f32c5dd488d5d8caf8715745ccb806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b7b6cc8-aa77-492b-a3d9-e2df0bc5e2b3}" ma:internalName="TaxCatchAll" ma:showField="CatchAllData"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b7b6cc8-aa77-492b-a3d9-e2df0bc5e2b3}" ma:internalName="TaxCatchAllLabel" ma:readOnly="true" ma:showField="CatchAllDataLabel"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INE/ENE</Division_x0020_or_x0020_Unit>
    <Other_x0020_Author xmlns="9c571b2f-e523-4ab2-ba2e-09e151a03ef4" xsi:nil="true"/>
    <Region xmlns="9c571b2f-e523-4ab2-ba2e-09e151a03ef4" xsi:nil="true"/>
    <IDBDocs_x0020_Number xmlns="9c571b2f-e523-4ab2-ba2e-09e151a03ef4">39407263</IDBDocs_x0020_Number>
    <Document_x0020_Author xmlns="9c571b2f-e523-4ab2-ba2e-09e151a03ef4">Jacome Montenegro, Carlos Alberto</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HO-L1102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EN-REG</Webtopic>
    <Identifier xmlns="9c571b2f-e523-4ab2-ba2e-09e151a03ef4"> FULL DOC</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04ACDD29-AD90-471C-8C2A-519683A7B5CC}"/>
</file>

<file path=customXml/itemProps2.xml><?xml version="1.0" encoding="utf-8"?>
<ds:datastoreItem xmlns:ds="http://schemas.openxmlformats.org/officeDocument/2006/customXml" ds:itemID="{9248FD80-9030-4BC2-BC5D-46F6A54D59F0}"/>
</file>

<file path=customXml/itemProps3.xml><?xml version="1.0" encoding="utf-8"?>
<ds:datastoreItem xmlns:ds="http://schemas.openxmlformats.org/officeDocument/2006/customXml" ds:itemID="{6542B751-6397-4338-9D26-66F0A145A6DB}"/>
</file>

<file path=customXml/itemProps4.xml><?xml version="1.0" encoding="utf-8"?>
<ds:datastoreItem xmlns:ds="http://schemas.openxmlformats.org/officeDocument/2006/customXml" ds:itemID="{9E361ABA-62FA-4194-AED7-ABDA6D9C47A0}"/>
</file>

<file path=customXml/itemProps5.xml><?xml version="1.0" encoding="utf-8"?>
<ds:datastoreItem xmlns:ds="http://schemas.openxmlformats.org/officeDocument/2006/customXml" ds:itemID="{44E63654-EEF5-4C02-86B4-E87EF7B5E3B5}"/>
</file>

<file path=customXml/itemProps6.xml><?xml version="1.0" encoding="utf-8"?>
<ds:datastoreItem xmlns:ds="http://schemas.openxmlformats.org/officeDocument/2006/customXml" ds:itemID="{CC5E5D17-657B-44E9-A2AF-B179DB8E87D8}"/>
</file>

<file path=docProps/app.xml><?xml version="1.0" encoding="utf-8"?>
<Properties xmlns="http://schemas.openxmlformats.org/officeDocument/2006/extended-properties" xmlns:vt="http://schemas.openxmlformats.org/officeDocument/2006/docPropsVTypes">
  <Template>Normal.dotm</Template>
  <TotalTime>29</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 - Avance Reformas</dc:title>
  <dc:creator>Test</dc:creator>
  <cp:lastModifiedBy>Inter-American Development Bank</cp:lastModifiedBy>
  <cp:revision>11</cp:revision>
  <dcterms:created xsi:type="dcterms:W3CDTF">2015-02-19T20:40:00Z</dcterms:created>
  <dcterms:modified xsi:type="dcterms:W3CDTF">2015-02-20T19:53:00Z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0x01010046CF21643EE8D14686A648AA6DAD0892005A7EF6D70A09094892AF12287698826D</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