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11" w:rsidRPr="00C775B4" w:rsidRDefault="00CF5271" w:rsidP="007E6104">
      <w:pPr>
        <w:pStyle w:val="Title"/>
        <w:tabs>
          <w:tab w:val="clear" w:pos="1440"/>
          <w:tab w:val="clear" w:pos="3060"/>
        </w:tabs>
        <w:ind w:left="567" w:hanging="567"/>
        <w:outlineLvl w:val="9"/>
        <w:rPr>
          <w:smallCaps/>
          <w:szCs w:val="24"/>
          <w:lang w:val="es-ES"/>
        </w:rPr>
      </w:pPr>
      <w:r w:rsidRPr="00C775B4">
        <w:rPr>
          <w:smallCaps/>
          <w:szCs w:val="24"/>
          <w:lang w:val="es-ES"/>
        </w:rPr>
        <w:t>Document</w:t>
      </w:r>
      <w:r w:rsidR="007A1860" w:rsidRPr="00C775B4">
        <w:rPr>
          <w:smallCaps/>
          <w:szCs w:val="24"/>
          <w:lang w:val="es-ES"/>
        </w:rPr>
        <w:t>o del Banco Interameric</w:t>
      </w:r>
      <w:r w:rsidR="0002382F" w:rsidRPr="00C775B4">
        <w:rPr>
          <w:smallCaps/>
          <w:szCs w:val="24"/>
          <w:lang w:val="es-ES"/>
        </w:rPr>
        <w:t>a</w:t>
      </w:r>
      <w:r w:rsidR="007D03A1" w:rsidRPr="00C775B4">
        <w:rPr>
          <w:smallCaps/>
          <w:szCs w:val="24"/>
          <w:lang w:val="es-ES"/>
        </w:rPr>
        <w:t>n</w:t>
      </w:r>
      <w:r w:rsidR="0002382F" w:rsidRPr="00C775B4">
        <w:rPr>
          <w:smallCaps/>
          <w:szCs w:val="24"/>
          <w:lang w:val="es-ES"/>
        </w:rPr>
        <w:t>o</w:t>
      </w:r>
      <w:r w:rsidR="007A1860" w:rsidRPr="00C775B4">
        <w:rPr>
          <w:smallCaps/>
          <w:szCs w:val="24"/>
          <w:lang w:val="es-ES"/>
        </w:rPr>
        <w:t xml:space="preserve"> de Desarrollo</w:t>
      </w:r>
    </w:p>
    <w:p w:rsidR="00B84211" w:rsidRPr="00C775B4" w:rsidRDefault="00B84211" w:rsidP="007E6104">
      <w:pPr>
        <w:pStyle w:val="ListParagraph"/>
        <w:spacing w:before="120" w:after="0" w:line="360" w:lineRule="auto"/>
        <w:ind w:left="567" w:hanging="567"/>
        <w:jc w:val="center"/>
        <w:rPr>
          <w:rFonts w:ascii="Times New Roman" w:hAnsi="Times New Roman"/>
          <w:b/>
          <w:sz w:val="24"/>
          <w:szCs w:val="24"/>
          <w:lang w:val="es-ES"/>
        </w:rPr>
      </w:pPr>
    </w:p>
    <w:p w:rsidR="00B84211" w:rsidRPr="00C775B4" w:rsidRDefault="00B84211" w:rsidP="007E6104">
      <w:pPr>
        <w:tabs>
          <w:tab w:val="left" w:pos="1440"/>
          <w:tab w:val="left" w:pos="3060"/>
        </w:tabs>
        <w:ind w:left="567" w:hanging="567"/>
        <w:jc w:val="center"/>
        <w:rPr>
          <w:rFonts w:ascii="Times New Roman" w:hAnsi="Times New Roman"/>
          <w:b/>
          <w:smallCaps/>
          <w:sz w:val="24"/>
          <w:szCs w:val="24"/>
          <w:lang w:val="es-ES"/>
        </w:rPr>
      </w:pPr>
    </w:p>
    <w:p w:rsidR="00B84211" w:rsidRPr="00C775B4" w:rsidRDefault="00B84211" w:rsidP="007E6104">
      <w:pPr>
        <w:tabs>
          <w:tab w:val="left" w:pos="1440"/>
          <w:tab w:val="left" w:pos="3060"/>
        </w:tabs>
        <w:ind w:left="567" w:hanging="567"/>
        <w:jc w:val="center"/>
        <w:rPr>
          <w:rFonts w:ascii="Times New Roman" w:hAnsi="Times New Roman"/>
          <w:b/>
          <w:smallCaps/>
          <w:sz w:val="24"/>
          <w:szCs w:val="24"/>
          <w:lang w:val="es-ES"/>
        </w:rPr>
      </w:pPr>
      <w:bookmarkStart w:id="0" w:name="_GoBack"/>
      <w:bookmarkEnd w:id="0"/>
    </w:p>
    <w:p w:rsidR="00B84211" w:rsidRPr="00C775B4" w:rsidRDefault="007A1860" w:rsidP="007E6104">
      <w:pPr>
        <w:tabs>
          <w:tab w:val="left" w:pos="1440"/>
          <w:tab w:val="left" w:pos="3060"/>
        </w:tabs>
        <w:ind w:left="567" w:hanging="567"/>
        <w:jc w:val="center"/>
        <w:rPr>
          <w:rFonts w:ascii="Times New Roman" w:hAnsi="Times New Roman"/>
          <w:b/>
          <w:smallCaps/>
          <w:sz w:val="24"/>
          <w:szCs w:val="24"/>
          <w:highlight w:val="lightGray"/>
          <w:lang w:val="es-ES"/>
        </w:rPr>
      </w:pPr>
      <w:r w:rsidRPr="00C775B4">
        <w:rPr>
          <w:rFonts w:ascii="Times New Roman" w:hAnsi="Times New Roman"/>
          <w:b/>
          <w:smallCaps/>
          <w:sz w:val="24"/>
          <w:szCs w:val="24"/>
          <w:highlight w:val="lightGray"/>
          <w:lang w:val="es-ES"/>
        </w:rPr>
        <w:t>República</w:t>
      </w:r>
      <w:r w:rsidR="00A0259C" w:rsidRPr="00C775B4">
        <w:rPr>
          <w:rFonts w:ascii="Times New Roman" w:hAnsi="Times New Roman"/>
          <w:b/>
          <w:smallCaps/>
          <w:sz w:val="24"/>
          <w:szCs w:val="24"/>
          <w:highlight w:val="lightGray"/>
          <w:lang w:val="es-ES"/>
        </w:rPr>
        <w:t xml:space="preserve"> Oriental Del Uruguay</w:t>
      </w:r>
      <w:r w:rsidRPr="00C775B4">
        <w:rPr>
          <w:rFonts w:ascii="Times New Roman" w:hAnsi="Times New Roman"/>
          <w:b/>
          <w:smallCaps/>
          <w:sz w:val="24"/>
          <w:szCs w:val="24"/>
          <w:highlight w:val="lightGray"/>
          <w:lang w:val="es-ES"/>
        </w:rPr>
        <w:t xml:space="preserve"> </w:t>
      </w:r>
    </w:p>
    <w:p w:rsidR="00B84211" w:rsidRPr="00C775B4" w:rsidRDefault="00B84211" w:rsidP="007E6104">
      <w:pPr>
        <w:tabs>
          <w:tab w:val="left" w:pos="1440"/>
          <w:tab w:val="left" w:pos="3060"/>
        </w:tabs>
        <w:ind w:left="567" w:hanging="567"/>
        <w:jc w:val="center"/>
        <w:rPr>
          <w:rFonts w:ascii="Times New Roman" w:hAnsi="Times New Roman"/>
          <w:b/>
          <w:smallCaps/>
          <w:sz w:val="24"/>
          <w:szCs w:val="24"/>
          <w:highlight w:val="lightGray"/>
          <w:lang w:val="es-ES"/>
        </w:rPr>
      </w:pPr>
    </w:p>
    <w:p w:rsidR="00B84211" w:rsidRPr="00C775B4" w:rsidRDefault="00B84211" w:rsidP="007E6104">
      <w:pPr>
        <w:tabs>
          <w:tab w:val="left" w:pos="1440"/>
          <w:tab w:val="left" w:pos="3060"/>
        </w:tabs>
        <w:ind w:left="567" w:hanging="567"/>
        <w:jc w:val="center"/>
        <w:rPr>
          <w:rFonts w:ascii="Times New Roman" w:hAnsi="Times New Roman"/>
          <w:b/>
          <w:smallCaps/>
          <w:sz w:val="24"/>
          <w:szCs w:val="24"/>
          <w:highlight w:val="lightGray"/>
          <w:lang w:val="es-ES"/>
        </w:rPr>
      </w:pPr>
    </w:p>
    <w:p w:rsidR="0043368E" w:rsidRPr="00C775B4" w:rsidRDefault="0043368E" w:rsidP="0043368E">
      <w:pPr>
        <w:pStyle w:val="Newpage"/>
        <w:ind w:left="567" w:hanging="567"/>
        <w:rPr>
          <w:bCs/>
          <w:szCs w:val="24"/>
          <w:highlight w:val="lightGray"/>
          <w:lang w:val="es-ES"/>
        </w:rPr>
      </w:pPr>
      <w:r w:rsidRPr="00C775B4">
        <w:rPr>
          <w:bCs/>
          <w:szCs w:val="24"/>
          <w:highlight w:val="lightGray"/>
          <w:lang w:val="es-ES"/>
        </w:rPr>
        <w:t xml:space="preserve">Programa de </w:t>
      </w:r>
      <w:r w:rsidR="002F607A" w:rsidRPr="00C775B4">
        <w:rPr>
          <w:bCs/>
          <w:szCs w:val="24"/>
          <w:highlight w:val="lightGray"/>
          <w:lang w:val="es-ES"/>
        </w:rPr>
        <w:t>Fortalecimiento de</w:t>
      </w:r>
      <w:r w:rsidR="00392EF8" w:rsidRPr="00C775B4">
        <w:rPr>
          <w:bCs/>
          <w:szCs w:val="24"/>
          <w:highlight w:val="lightGray"/>
          <w:lang w:val="es-ES"/>
        </w:rPr>
        <w:t xml:space="preserve"> </w:t>
      </w:r>
      <w:r w:rsidR="001C2F21" w:rsidRPr="00C775B4">
        <w:rPr>
          <w:bCs/>
          <w:szCs w:val="24"/>
          <w:highlight w:val="lightGray"/>
          <w:lang w:val="es-ES"/>
        </w:rPr>
        <w:t>la</w:t>
      </w:r>
      <w:r w:rsidR="002F607A" w:rsidRPr="00C775B4">
        <w:rPr>
          <w:bCs/>
          <w:szCs w:val="24"/>
          <w:highlight w:val="lightGray"/>
          <w:lang w:val="es-ES"/>
        </w:rPr>
        <w:t xml:space="preserve"> Gestión </w:t>
      </w:r>
      <w:r w:rsidR="001C2F21" w:rsidRPr="00C775B4">
        <w:rPr>
          <w:bCs/>
          <w:szCs w:val="24"/>
          <w:highlight w:val="lightGray"/>
          <w:lang w:val="es-ES"/>
        </w:rPr>
        <w:t>Presupuestaria</w:t>
      </w:r>
      <w:r w:rsidR="00392EF8" w:rsidRPr="00C775B4">
        <w:rPr>
          <w:bCs/>
          <w:szCs w:val="24"/>
          <w:highlight w:val="lightGray"/>
          <w:lang w:val="es-ES"/>
        </w:rPr>
        <w:t xml:space="preserve"> (UR-L1098) </w:t>
      </w:r>
      <w:r w:rsidR="002F607A" w:rsidRPr="00C775B4">
        <w:rPr>
          <w:bCs/>
          <w:szCs w:val="24"/>
          <w:highlight w:val="lightGray"/>
          <w:lang w:val="es-ES"/>
        </w:rPr>
        <w:t xml:space="preserve">  </w:t>
      </w:r>
    </w:p>
    <w:p w:rsidR="00B84211" w:rsidRPr="00C775B4" w:rsidRDefault="00B84211" w:rsidP="007E6104">
      <w:pPr>
        <w:pStyle w:val="Newpage"/>
        <w:ind w:left="567" w:hanging="567"/>
        <w:rPr>
          <w:rFonts w:cs="Times New Roman"/>
          <w:b w:val="0"/>
          <w:caps/>
          <w:smallCaps w:val="0"/>
          <w:szCs w:val="24"/>
          <w:lang w:val="es-ES"/>
        </w:rPr>
      </w:pPr>
    </w:p>
    <w:p w:rsidR="00B84211" w:rsidRPr="00C775B4" w:rsidRDefault="00B84211" w:rsidP="007E6104">
      <w:pPr>
        <w:tabs>
          <w:tab w:val="left" w:pos="1440"/>
          <w:tab w:val="left" w:pos="3060"/>
        </w:tabs>
        <w:ind w:left="567" w:hanging="567"/>
        <w:jc w:val="center"/>
        <w:rPr>
          <w:rFonts w:ascii="Times New Roman" w:hAnsi="Times New Roman"/>
          <w:smallCaps/>
          <w:sz w:val="24"/>
          <w:szCs w:val="24"/>
          <w:lang w:val="es-ES"/>
        </w:rPr>
      </w:pPr>
    </w:p>
    <w:p w:rsidR="00B84211" w:rsidRPr="0061033D" w:rsidRDefault="007A1860" w:rsidP="007E6104">
      <w:pPr>
        <w:tabs>
          <w:tab w:val="left" w:pos="1440"/>
          <w:tab w:val="left" w:pos="3060"/>
        </w:tabs>
        <w:ind w:left="567" w:hanging="567"/>
        <w:jc w:val="center"/>
        <w:outlineLvl w:val="0"/>
        <w:rPr>
          <w:rFonts w:ascii="Times New Roman" w:hAnsi="Times New Roman"/>
          <w:b/>
          <w:smallCaps/>
          <w:sz w:val="24"/>
          <w:szCs w:val="24"/>
          <w:lang w:val="es-ES"/>
        </w:rPr>
      </w:pPr>
      <w:r w:rsidRPr="0061033D">
        <w:rPr>
          <w:rFonts w:ascii="Times New Roman" w:hAnsi="Times New Roman"/>
          <w:b/>
          <w:smallCaps/>
          <w:sz w:val="24"/>
          <w:szCs w:val="24"/>
          <w:lang w:val="es-ES"/>
        </w:rPr>
        <w:t>Análisis Económico</w:t>
      </w:r>
    </w:p>
    <w:p w:rsidR="00B84211" w:rsidRPr="0061033D" w:rsidRDefault="00B84211" w:rsidP="007E6104">
      <w:pPr>
        <w:tabs>
          <w:tab w:val="left" w:pos="1440"/>
          <w:tab w:val="left" w:pos="3060"/>
        </w:tabs>
        <w:ind w:left="567" w:hanging="567"/>
        <w:jc w:val="center"/>
        <w:outlineLvl w:val="0"/>
        <w:rPr>
          <w:rFonts w:ascii="Times New Roman" w:hAnsi="Times New Roman"/>
          <w:b/>
          <w:smallCaps/>
          <w:sz w:val="24"/>
          <w:szCs w:val="24"/>
          <w:lang w:val="es-ES"/>
        </w:rPr>
      </w:pPr>
    </w:p>
    <w:p w:rsidR="00B84211" w:rsidRPr="0061033D" w:rsidRDefault="00B84211" w:rsidP="007E6104">
      <w:pPr>
        <w:pStyle w:val="ListParagraph"/>
        <w:spacing w:before="120" w:after="0" w:line="360" w:lineRule="auto"/>
        <w:ind w:left="567" w:hanging="567"/>
        <w:jc w:val="center"/>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center"/>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center"/>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pStyle w:val="ListParagraph"/>
        <w:spacing w:before="120" w:after="0" w:line="360" w:lineRule="auto"/>
        <w:ind w:left="567" w:hanging="567"/>
        <w:jc w:val="both"/>
        <w:rPr>
          <w:rFonts w:ascii="Times New Roman" w:hAnsi="Times New Roman"/>
          <w:b/>
          <w:sz w:val="24"/>
          <w:szCs w:val="24"/>
          <w:lang w:val="es-ES"/>
        </w:rPr>
      </w:pPr>
    </w:p>
    <w:p w:rsidR="00B84211" w:rsidRPr="0061033D" w:rsidRDefault="00B84211" w:rsidP="007E6104">
      <w:pPr>
        <w:tabs>
          <w:tab w:val="left" w:pos="1440"/>
          <w:tab w:val="left" w:pos="3060"/>
        </w:tabs>
        <w:ind w:left="567" w:hanging="567"/>
        <w:jc w:val="both"/>
        <w:rPr>
          <w:rFonts w:ascii="Times New Roman" w:hAnsi="Times New Roman"/>
          <w:sz w:val="24"/>
          <w:szCs w:val="24"/>
          <w:lang w:val="es-ES"/>
        </w:rPr>
      </w:pPr>
    </w:p>
    <w:p w:rsidR="00B84211" w:rsidRPr="0061033D" w:rsidRDefault="00B84211" w:rsidP="007E6104">
      <w:pPr>
        <w:tabs>
          <w:tab w:val="left" w:pos="1440"/>
          <w:tab w:val="left" w:pos="3060"/>
        </w:tabs>
        <w:ind w:left="567" w:hanging="567"/>
        <w:jc w:val="both"/>
        <w:rPr>
          <w:rFonts w:ascii="Times New Roman" w:hAnsi="Times New Roman"/>
          <w:sz w:val="24"/>
          <w:szCs w:val="24"/>
          <w:lang w:val="es-ES"/>
        </w:rPr>
      </w:pPr>
    </w:p>
    <w:p w:rsidR="00B84211" w:rsidRPr="00C775B4" w:rsidRDefault="007A1860" w:rsidP="007E6104">
      <w:pPr>
        <w:pStyle w:val="BodyText"/>
        <w:pBdr>
          <w:top w:val="single" w:sz="4" w:space="1" w:color="auto"/>
          <w:left w:val="single" w:sz="4" w:space="4" w:color="auto"/>
          <w:bottom w:val="single" w:sz="4" w:space="1" w:color="auto"/>
          <w:right w:val="single" w:sz="4" w:space="4" w:color="auto"/>
        </w:pBdr>
        <w:tabs>
          <w:tab w:val="left" w:pos="1440"/>
        </w:tabs>
        <w:ind w:left="567" w:hanging="567"/>
        <w:jc w:val="both"/>
        <w:rPr>
          <w:b/>
          <w:szCs w:val="24"/>
          <w:lang w:val="es-ES"/>
        </w:rPr>
      </w:pPr>
      <w:r w:rsidRPr="00C775B4">
        <w:rPr>
          <w:szCs w:val="24"/>
          <w:lang w:val="es-ES"/>
        </w:rPr>
        <w:t>Este documento ha sido preparado por: M</w:t>
      </w:r>
      <w:r w:rsidR="009A4966" w:rsidRPr="00C775B4">
        <w:rPr>
          <w:szCs w:val="24"/>
          <w:lang w:val="es-ES"/>
        </w:rPr>
        <w:t>artin</w:t>
      </w:r>
      <w:r w:rsidRPr="00C775B4">
        <w:rPr>
          <w:szCs w:val="24"/>
          <w:lang w:val="es-ES"/>
        </w:rPr>
        <w:t xml:space="preserve"> </w:t>
      </w:r>
      <w:r w:rsidR="009A4966" w:rsidRPr="00C775B4">
        <w:rPr>
          <w:szCs w:val="24"/>
          <w:lang w:val="es-ES"/>
        </w:rPr>
        <w:t>Rossi</w:t>
      </w:r>
      <w:r w:rsidRPr="00C775B4">
        <w:rPr>
          <w:szCs w:val="24"/>
          <w:lang w:val="es-ES"/>
        </w:rPr>
        <w:t xml:space="preserve"> (</w:t>
      </w:r>
      <w:r w:rsidR="008E3746" w:rsidRPr="00C775B4">
        <w:rPr>
          <w:szCs w:val="24"/>
          <w:lang w:val="es-ES"/>
        </w:rPr>
        <w:t>Consultor</w:t>
      </w:r>
      <w:r w:rsidRPr="00C775B4">
        <w:rPr>
          <w:szCs w:val="24"/>
          <w:lang w:val="es-ES"/>
        </w:rPr>
        <w:t>)</w:t>
      </w:r>
      <w:r w:rsidR="00C779FC">
        <w:rPr>
          <w:szCs w:val="24"/>
          <w:lang w:val="es-ES"/>
        </w:rPr>
        <w:t xml:space="preserve"> y Roberto Fernández (IFD/ICS)</w:t>
      </w:r>
      <w:r w:rsidR="007D03A1" w:rsidRPr="00C775B4">
        <w:rPr>
          <w:szCs w:val="24"/>
          <w:lang w:val="es-ES"/>
        </w:rPr>
        <w:t>.</w:t>
      </w:r>
      <w:r w:rsidR="00451B0C" w:rsidRPr="00C775B4">
        <w:rPr>
          <w:szCs w:val="24"/>
          <w:lang w:val="es-ES"/>
        </w:rPr>
        <w:t xml:space="preserve"> </w:t>
      </w:r>
    </w:p>
    <w:p w:rsidR="00B84211" w:rsidRPr="00C775B4" w:rsidRDefault="00CF5271" w:rsidP="007E6104">
      <w:pPr>
        <w:spacing w:line="240" w:lineRule="auto"/>
        <w:ind w:left="567" w:hanging="567"/>
        <w:jc w:val="both"/>
        <w:rPr>
          <w:rFonts w:ascii="Times New Roman" w:hAnsi="Times New Roman"/>
          <w:b/>
          <w:i/>
          <w:sz w:val="24"/>
          <w:szCs w:val="24"/>
          <w:lang w:val="es-ES"/>
        </w:rPr>
      </w:pPr>
      <w:r w:rsidRPr="00C775B4">
        <w:rPr>
          <w:rFonts w:ascii="Times New Roman" w:hAnsi="Times New Roman"/>
          <w:b/>
          <w:sz w:val="24"/>
          <w:szCs w:val="24"/>
          <w:lang w:val="es-ES"/>
        </w:rPr>
        <w:br w:type="page"/>
      </w:r>
    </w:p>
    <w:p w:rsidR="00B84211" w:rsidRPr="00C775B4" w:rsidRDefault="007A1860" w:rsidP="007E6104">
      <w:pPr>
        <w:numPr>
          <w:ilvl w:val="0"/>
          <w:numId w:val="1"/>
        </w:numPr>
        <w:spacing w:after="0" w:line="480" w:lineRule="auto"/>
        <w:ind w:left="567" w:hanging="567"/>
        <w:jc w:val="both"/>
        <w:rPr>
          <w:rFonts w:ascii="Times New Roman" w:hAnsi="Times New Roman"/>
          <w:b/>
          <w:sz w:val="24"/>
          <w:szCs w:val="24"/>
          <w:lang w:val="es-ES"/>
        </w:rPr>
      </w:pPr>
      <w:r w:rsidRPr="00C775B4">
        <w:rPr>
          <w:rFonts w:ascii="Times New Roman" w:hAnsi="Times New Roman"/>
          <w:b/>
          <w:sz w:val="24"/>
          <w:szCs w:val="24"/>
          <w:lang w:val="es-ES"/>
        </w:rPr>
        <w:lastRenderedPageBreak/>
        <w:t>Introducció</w:t>
      </w:r>
      <w:r w:rsidR="001C3DCA" w:rsidRPr="00C775B4">
        <w:rPr>
          <w:rFonts w:ascii="Times New Roman" w:hAnsi="Times New Roman"/>
          <w:b/>
          <w:sz w:val="24"/>
          <w:szCs w:val="24"/>
          <w:lang w:val="es-ES"/>
        </w:rPr>
        <w:t>n</w:t>
      </w:r>
    </w:p>
    <w:p w:rsidR="00B84211" w:rsidRPr="00C775B4" w:rsidRDefault="007A1860" w:rsidP="002D7156">
      <w:pPr>
        <w:pStyle w:val="Paragraph"/>
        <w:numPr>
          <w:ilvl w:val="1"/>
          <w:numId w:val="1"/>
        </w:numPr>
        <w:spacing w:before="0" w:after="0" w:line="480" w:lineRule="auto"/>
        <w:rPr>
          <w:kern w:val="28"/>
        </w:rPr>
      </w:pPr>
      <w:r w:rsidRPr="00C775B4">
        <w:rPr>
          <w:kern w:val="28"/>
        </w:rPr>
        <w:t xml:space="preserve">Este documento presenta el análisis económico ex-ante </w:t>
      </w:r>
      <w:r w:rsidR="00E05BAC" w:rsidRPr="00C775B4">
        <w:rPr>
          <w:kern w:val="28"/>
        </w:rPr>
        <w:t xml:space="preserve">del </w:t>
      </w:r>
      <w:r w:rsidR="002D7156" w:rsidRPr="0061033D">
        <w:rPr>
          <w:bCs/>
          <w:kern w:val="28"/>
        </w:rPr>
        <w:t xml:space="preserve">Programa de Fortalecimiento de </w:t>
      </w:r>
      <w:r w:rsidR="0046186B" w:rsidRPr="0061033D">
        <w:rPr>
          <w:bCs/>
          <w:kern w:val="28"/>
        </w:rPr>
        <w:t>la</w:t>
      </w:r>
      <w:r w:rsidR="002D7156" w:rsidRPr="0061033D">
        <w:rPr>
          <w:bCs/>
          <w:kern w:val="28"/>
        </w:rPr>
        <w:t xml:space="preserve"> Gestión </w:t>
      </w:r>
      <w:r w:rsidR="0046186B" w:rsidRPr="0061033D">
        <w:rPr>
          <w:bCs/>
          <w:kern w:val="28"/>
        </w:rPr>
        <w:t>Presupuestaria</w:t>
      </w:r>
      <w:r w:rsidR="00F35EFB" w:rsidRPr="0061033D">
        <w:rPr>
          <w:bCs/>
          <w:kern w:val="28"/>
        </w:rPr>
        <w:t xml:space="preserve"> </w:t>
      </w:r>
      <w:r w:rsidRPr="00C775B4">
        <w:rPr>
          <w:kern w:val="28"/>
        </w:rPr>
        <w:t>(</w:t>
      </w:r>
      <w:r w:rsidR="002D7156" w:rsidRPr="00C775B4">
        <w:rPr>
          <w:kern w:val="28"/>
        </w:rPr>
        <w:t>U</w:t>
      </w:r>
      <w:r w:rsidR="00E56253" w:rsidRPr="00C775B4">
        <w:rPr>
          <w:kern w:val="28"/>
        </w:rPr>
        <w:t>R</w:t>
      </w:r>
      <w:r w:rsidR="002308DC" w:rsidRPr="00C775B4">
        <w:rPr>
          <w:kern w:val="28"/>
        </w:rPr>
        <w:t>-</w:t>
      </w:r>
      <w:r w:rsidR="00E56253" w:rsidRPr="00C775B4">
        <w:rPr>
          <w:kern w:val="28"/>
        </w:rPr>
        <w:t>L1</w:t>
      </w:r>
      <w:r w:rsidR="002D7156" w:rsidRPr="00C775B4">
        <w:rPr>
          <w:kern w:val="28"/>
        </w:rPr>
        <w:t>098</w:t>
      </w:r>
      <w:r w:rsidRPr="00C775B4">
        <w:rPr>
          <w:kern w:val="28"/>
        </w:rPr>
        <w:t xml:space="preserve">), cuya ejecución se tiene prevista para </w:t>
      </w:r>
      <w:r w:rsidR="004C19AB" w:rsidRPr="00C775B4">
        <w:rPr>
          <w:kern w:val="28"/>
        </w:rPr>
        <w:t>el período 201</w:t>
      </w:r>
      <w:r w:rsidR="0046186B" w:rsidRPr="00C775B4">
        <w:rPr>
          <w:kern w:val="28"/>
        </w:rPr>
        <w:t>5</w:t>
      </w:r>
      <w:r w:rsidR="002308DC" w:rsidRPr="00C775B4">
        <w:rPr>
          <w:kern w:val="28"/>
        </w:rPr>
        <w:t>-</w:t>
      </w:r>
      <w:r w:rsidR="005B4203" w:rsidRPr="00C775B4">
        <w:rPr>
          <w:kern w:val="28"/>
        </w:rPr>
        <w:t>201</w:t>
      </w:r>
      <w:r w:rsidR="00781F2B" w:rsidRPr="00C775B4">
        <w:rPr>
          <w:kern w:val="28"/>
        </w:rPr>
        <w:t>9</w:t>
      </w:r>
      <w:r w:rsidR="004C19AB" w:rsidRPr="00C775B4">
        <w:rPr>
          <w:kern w:val="28"/>
        </w:rPr>
        <w:t>.</w:t>
      </w:r>
      <w:r w:rsidR="00E05BAC" w:rsidRPr="00C775B4">
        <w:rPr>
          <w:kern w:val="28"/>
        </w:rPr>
        <w:t xml:space="preserve"> </w:t>
      </w:r>
      <w:r w:rsidR="004C19AB" w:rsidRPr="00C775B4">
        <w:rPr>
          <w:kern w:val="28"/>
        </w:rPr>
        <w:t>El análisis se lleva a cabo mediante la metodología de costo-</w:t>
      </w:r>
      <w:r w:rsidR="00925598" w:rsidRPr="00C775B4">
        <w:rPr>
          <w:kern w:val="28"/>
        </w:rPr>
        <w:t>beneficio</w:t>
      </w:r>
      <w:r w:rsidR="004C19AB" w:rsidRPr="00C775B4">
        <w:rPr>
          <w:kern w:val="28"/>
        </w:rPr>
        <w:t>.</w:t>
      </w:r>
    </w:p>
    <w:p w:rsidR="00B84211" w:rsidRPr="0061033D" w:rsidRDefault="004C19AB" w:rsidP="00A1751E">
      <w:pPr>
        <w:pStyle w:val="Paragraph"/>
        <w:numPr>
          <w:ilvl w:val="1"/>
          <w:numId w:val="1"/>
        </w:numPr>
        <w:spacing w:before="0" w:after="0" w:line="480" w:lineRule="auto"/>
        <w:rPr>
          <w:kern w:val="28"/>
        </w:rPr>
      </w:pPr>
      <w:r w:rsidRPr="00C775B4">
        <w:rPr>
          <w:kern w:val="28"/>
        </w:rPr>
        <w:t xml:space="preserve">El </w:t>
      </w:r>
      <w:r w:rsidR="005D1407" w:rsidRPr="00C775B4">
        <w:rPr>
          <w:kern w:val="28"/>
        </w:rPr>
        <w:t xml:space="preserve">Programa de </w:t>
      </w:r>
      <w:r w:rsidR="00781F2B" w:rsidRPr="0061033D">
        <w:rPr>
          <w:bCs/>
          <w:kern w:val="28"/>
        </w:rPr>
        <w:t xml:space="preserve">Programa de Fortalecimiento de </w:t>
      </w:r>
      <w:r w:rsidR="0046186B" w:rsidRPr="0061033D">
        <w:rPr>
          <w:bCs/>
          <w:kern w:val="28"/>
        </w:rPr>
        <w:t>la</w:t>
      </w:r>
      <w:r w:rsidR="00781F2B" w:rsidRPr="0061033D">
        <w:rPr>
          <w:bCs/>
          <w:kern w:val="28"/>
        </w:rPr>
        <w:t xml:space="preserve"> Gestión </w:t>
      </w:r>
      <w:r w:rsidR="0046186B" w:rsidRPr="0061033D">
        <w:rPr>
          <w:bCs/>
          <w:kern w:val="28"/>
        </w:rPr>
        <w:t>Presupuestaria</w:t>
      </w:r>
      <w:r w:rsidR="00781F2B" w:rsidRPr="0061033D">
        <w:rPr>
          <w:bCs/>
          <w:kern w:val="28"/>
        </w:rPr>
        <w:t xml:space="preserve"> </w:t>
      </w:r>
      <w:r w:rsidRPr="00C775B4">
        <w:rPr>
          <w:kern w:val="28"/>
        </w:rPr>
        <w:t>(</w:t>
      </w:r>
      <w:r w:rsidR="008A4318" w:rsidRPr="00C775B4">
        <w:rPr>
          <w:kern w:val="28"/>
        </w:rPr>
        <w:t xml:space="preserve">“el Programa”, en adelante) tiene como objetivo </w:t>
      </w:r>
      <w:r w:rsidR="00F423FB" w:rsidRPr="00C775B4">
        <w:rPr>
          <w:kern w:val="28"/>
        </w:rPr>
        <w:t xml:space="preserve">general </w:t>
      </w:r>
      <w:r w:rsidR="00A1751E" w:rsidRPr="00C775B4">
        <w:rPr>
          <w:kern w:val="28"/>
        </w:rPr>
        <w:t>contribuir a mejorar la oferta de información para el análisis y la toma de decisiones oportunas en la gestión presupuestaria, tanto a nivel central como de entidades sectoriales</w:t>
      </w:r>
      <w:r w:rsidR="00E05BAC" w:rsidRPr="00C775B4">
        <w:rPr>
          <w:kern w:val="28"/>
        </w:rPr>
        <w:t xml:space="preserve">. </w:t>
      </w:r>
      <w:r w:rsidR="005D1407" w:rsidRPr="00C775B4">
        <w:rPr>
          <w:kern w:val="28"/>
        </w:rPr>
        <w:t>Es</w:t>
      </w:r>
      <w:r w:rsidR="00132D5C" w:rsidRPr="00C775B4">
        <w:rPr>
          <w:kern w:val="28"/>
        </w:rPr>
        <w:t xml:space="preserve"> financiado por el Banco Interamericano de Desarrollo (BID</w:t>
      </w:r>
      <w:r w:rsidR="00FF798B" w:rsidRPr="00C775B4">
        <w:rPr>
          <w:kern w:val="28"/>
        </w:rPr>
        <w:t>)</w:t>
      </w:r>
      <w:r w:rsidR="00F05CE4" w:rsidRPr="00C775B4">
        <w:rPr>
          <w:kern w:val="28"/>
        </w:rPr>
        <w:t>.</w:t>
      </w:r>
    </w:p>
    <w:p w:rsidR="00B84211" w:rsidRPr="00C775B4" w:rsidRDefault="00C355F9" w:rsidP="007E6104">
      <w:pPr>
        <w:pStyle w:val="Paragraph"/>
        <w:numPr>
          <w:ilvl w:val="0"/>
          <w:numId w:val="1"/>
        </w:numPr>
        <w:spacing w:before="0" w:after="0" w:line="480" w:lineRule="auto"/>
        <w:ind w:left="567" w:hanging="567"/>
        <w:rPr>
          <w:b/>
          <w:szCs w:val="24"/>
        </w:rPr>
      </w:pPr>
      <w:r w:rsidRPr="00C775B4">
        <w:rPr>
          <w:b/>
          <w:szCs w:val="24"/>
        </w:rPr>
        <w:t>Metodología</w:t>
      </w:r>
    </w:p>
    <w:p w:rsidR="00B84211" w:rsidRPr="00C775B4" w:rsidRDefault="007B3237" w:rsidP="007E6104">
      <w:pPr>
        <w:pStyle w:val="TitulopostI"/>
      </w:pPr>
      <w:r w:rsidRPr="00C775B4">
        <w:t>Descripción de la intervención</w:t>
      </w:r>
      <w:r w:rsidR="00A603AC" w:rsidRPr="00C775B4">
        <w:t xml:space="preserve"> </w:t>
      </w:r>
    </w:p>
    <w:p w:rsidR="00A90AEF" w:rsidRPr="0061033D" w:rsidRDefault="00CC5225" w:rsidP="005D4979">
      <w:pPr>
        <w:pStyle w:val="Paragraph"/>
        <w:numPr>
          <w:ilvl w:val="1"/>
          <w:numId w:val="1"/>
        </w:numPr>
        <w:spacing w:before="0" w:line="480" w:lineRule="auto"/>
        <w:rPr>
          <w:kern w:val="28"/>
        </w:rPr>
      </w:pPr>
      <w:r w:rsidRPr="00C775B4">
        <w:rPr>
          <w:kern w:val="28"/>
        </w:rPr>
        <w:t xml:space="preserve">El </w:t>
      </w:r>
      <w:r w:rsidR="005D4979" w:rsidRPr="00C775B4">
        <w:rPr>
          <w:kern w:val="28"/>
        </w:rPr>
        <w:t>Programa</w:t>
      </w:r>
      <w:r w:rsidR="00556E87" w:rsidRPr="00C775B4" w:rsidDel="00556E87">
        <w:rPr>
          <w:kern w:val="28"/>
        </w:rPr>
        <w:t xml:space="preserve"> </w:t>
      </w:r>
      <w:r w:rsidR="00556E87" w:rsidRPr="00C775B4">
        <w:rPr>
          <w:kern w:val="28"/>
        </w:rPr>
        <w:t xml:space="preserve">puede caracterizarse </w:t>
      </w:r>
      <w:r w:rsidR="00A90AEF" w:rsidRPr="00C775B4">
        <w:rPr>
          <w:kern w:val="28"/>
        </w:rPr>
        <w:t>de la siguiente forma. E</w:t>
      </w:r>
      <w:r w:rsidR="005D4979" w:rsidRPr="00C775B4">
        <w:rPr>
          <w:kern w:val="28"/>
        </w:rPr>
        <w:t>n la dimensión transversal</w:t>
      </w:r>
      <w:r w:rsidR="00FD2FC9" w:rsidRPr="00C775B4">
        <w:rPr>
          <w:kern w:val="28"/>
        </w:rPr>
        <w:t xml:space="preserve">, </w:t>
      </w:r>
      <w:r w:rsidR="00FD2FC9" w:rsidRPr="00C775B4">
        <w:t>el Programa contribuirá a mejorar la capacidad del organismo rector de la gestión económico-financiera para desempeñar su rol en la toma de decisiones de formulación y gestión presupuestaria. Para ello,</w:t>
      </w:r>
      <w:r w:rsidR="005D4979" w:rsidRPr="00C775B4">
        <w:rPr>
          <w:kern w:val="28"/>
        </w:rPr>
        <w:t xml:space="preserve"> implementará</w:t>
      </w:r>
      <w:r w:rsidR="0046186B" w:rsidRPr="00C775B4">
        <w:rPr>
          <w:kern w:val="28"/>
        </w:rPr>
        <w:t xml:space="preserve">: </w:t>
      </w:r>
      <w:r w:rsidR="0046186B" w:rsidRPr="00C775B4">
        <w:t>(i) instructivos conteniendo reglas y estándares para la presentación de información por parte de los organismos estatales; (ii) un s</w:t>
      </w:r>
      <w:r w:rsidR="0046186B" w:rsidRPr="0061033D">
        <w:rPr>
          <w:szCs w:val="22"/>
        </w:rPr>
        <w:t xml:space="preserve">istema que articula información de la ejecución económico-financiera con la cantidad de servicios provistos por los organismos; (iii) </w:t>
      </w:r>
      <w:r w:rsidR="0046186B" w:rsidRPr="00C775B4">
        <w:t>s</w:t>
      </w:r>
      <w:r w:rsidR="0046186B" w:rsidRPr="0061033D">
        <w:rPr>
          <w:szCs w:val="22"/>
        </w:rPr>
        <w:t>ervicios de interoperabilidad publicados en la plataforma de AGESIC que posibilitan acceso a sistemas de información y gestión de otros organismos</w:t>
      </w:r>
      <w:r w:rsidR="0046186B" w:rsidRPr="00C775B4">
        <w:t xml:space="preserve">; (iv) </w:t>
      </w:r>
      <w:r w:rsidR="0046186B" w:rsidRPr="0061033D">
        <w:rPr>
          <w:szCs w:val="22"/>
        </w:rPr>
        <w:t>protocolos para los procesos de análisis y apoyo a la toma de decisiones de la UPN respecto a la asignación y re-asignación de recursos</w:t>
      </w:r>
      <w:r w:rsidR="0046186B" w:rsidRPr="00C775B4">
        <w:t xml:space="preserve">; (v) </w:t>
      </w:r>
      <w:r w:rsidR="0046186B" w:rsidRPr="0061033D">
        <w:rPr>
          <w:szCs w:val="22"/>
        </w:rPr>
        <w:t>índice de calidad de la información de sustento de solicitudes de modificaciones presupuestales durante el ejercicio fiscal, elaborado y difundido a los organismos estatales;</w:t>
      </w:r>
      <w:r w:rsidR="0046186B" w:rsidRPr="00C775B4">
        <w:t xml:space="preserve"> (vi) plan de gestión del cambio y </w:t>
      </w:r>
      <w:r w:rsidR="0046186B" w:rsidRPr="00C775B4">
        <w:lastRenderedPageBreak/>
        <w:t>capacitación del personal del órgano rector; y (vii) estrategia de abordaje y articulación con los organismos estatales elaborada</w:t>
      </w:r>
      <w:r w:rsidR="00556E87" w:rsidRPr="00C775B4">
        <w:rPr>
          <w:kern w:val="28"/>
        </w:rPr>
        <w:t>.</w:t>
      </w:r>
      <w:r w:rsidR="00556E87" w:rsidRPr="00C775B4" w:rsidDel="00556E87">
        <w:rPr>
          <w:kern w:val="28"/>
        </w:rPr>
        <w:t xml:space="preserve"> </w:t>
      </w:r>
      <w:r w:rsidR="005D4979" w:rsidRPr="00C775B4">
        <w:rPr>
          <w:kern w:val="28"/>
        </w:rPr>
        <w:t xml:space="preserve"> </w:t>
      </w:r>
    </w:p>
    <w:p w:rsidR="00D00D89" w:rsidRPr="0061033D" w:rsidRDefault="00A90AEF" w:rsidP="005D4979">
      <w:pPr>
        <w:pStyle w:val="Paragraph"/>
        <w:numPr>
          <w:ilvl w:val="1"/>
          <w:numId w:val="1"/>
        </w:numPr>
        <w:spacing w:before="0" w:line="480" w:lineRule="auto"/>
        <w:rPr>
          <w:kern w:val="28"/>
        </w:rPr>
      </w:pPr>
      <w:r w:rsidRPr="00C775B4">
        <w:rPr>
          <w:kern w:val="28"/>
        </w:rPr>
        <w:t>E</w:t>
      </w:r>
      <w:r w:rsidR="005D4979" w:rsidRPr="00C775B4">
        <w:rPr>
          <w:kern w:val="28"/>
        </w:rPr>
        <w:t>n la dimensión vertical</w:t>
      </w:r>
      <w:r w:rsidR="00FD2FC9" w:rsidRPr="00C775B4">
        <w:rPr>
          <w:kern w:val="28"/>
        </w:rPr>
        <w:t xml:space="preserve">, </w:t>
      </w:r>
      <w:r w:rsidR="00FD2FC9" w:rsidRPr="00C775B4">
        <w:t>el programa contribuirá a disponer de sistemas de información y gestión más completos e integrados en los organismos que resulten seleccionados. Para la ejecución de este componente, en los organismos seleccionados, se financiará un diagnóstico sobre el estado de la generación de información para la gestión presupuestaria que permita definir los alcances de las intervenciones a ser financiadas por esta operación. En este sentido, lo que se persigue es generar un impulso inicial para la modernización de los demás sistemas requeridos para una eficaz y eficiente gestión de toda la institución. Ello se complementará con: (i) el diseño e implantación de proyectos de mejora de gestión presupuestaria y de la información; (ii) desarrollo y adopción de instrumentos de análisis de datos y apoyo a la toma de decisiones; (iii) capacitación del personal de unidades de gestión presupuestaria en ministerios y organismos descentralizados en el uso de las nuevas herramientas y metodologías de trabajo; (iv) talleres de intercambio de mejores prácticas realizados; (v) estudios realizados sobre procesos de mejora de gestión y uso de información en procesos decisorios realizados; y (vi) renovación tecnológica necesaria para acompañar los proyectos y mejoras antes mencionados.</w:t>
      </w:r>
      <w:r w:rsidR="005D4979" w:rsidRPr="00C775B4">
        <w:rPr>
          <w:kern w:val="28"/>
        </w:rPr>
        <w:t xml:space="preserve"> </w:t>
      </w:r>
    </w:p>
    <w:p w:rsidR="00B84211" w:rsidRPr="00C775B4" w:rsidRDefault="007B3237" w:rsidP="007E6104">
      <w:pPr>
        <w:pStyle w:val="Paragraph"/>
        <w:numPr>
          <w:ilvl w:val="1"/>
          <w:numId w:val="1"/>
        </w:numPr>
        <w:spacing w:before="0" w:after="0" w:line="480" w:lineRule="auto"/>
        <w:rPr>
          <w:b/>
        </w:rPr>
      </w:pPr>
      <w:r w:rsidRPr="00C775B4">
        <w:rPr>
          <w:b/>
        </w:rPr>
        <w:t>Beneficios esperados</w:t>
      </w:r>
    </w:p>
    <w:p w:rsidR="00123F4E" w:rsidRPr="00C775B4" w:rsidRDefault="007C5385" w:rsidP="00FA6C39">
      <w:pPr>
        <w:pStyle w:val="Vieta"/>
      </w:pPr>
      <w:r w:rsidRPr="00C775B4">
        <w:t>Los beneficios asociados a las actividades del programa están asociadas a dos resultados: En primer lugar</w:t>
      </w:r>
      <w:r w:rsidR="00B33466" w:rsidRPr="00C775B4">
        <w:t>,</w:t>
      </w:r>
      <w:r w:rsidRPr="00C775B4">
        <w:t xml:space="preserve"> se espera una reducción de las modificaciones </w:t>
      </w:r>
      <w:r w:rsidR="00882457" w:rsidRPr="00C775B4">
        <w:t xml:space="preserve">(específicamente aumentos imprevistos del presupuesto, denominados “refuerzos”) </w:t>
      </w:r>
      <w:r w:rsidRPr="00C775B4">
        <w:t>presupuestales solicitadas durante el ejercicio fiscal.</w:t>
      </w:r>
      <w:r w:rsidR="00B33466" w:rsidRPr="00C775B4">
        <w:t xml:space="preserve"> Estos refuerzos no son asignados inmediatamente al ser solicitados, sino que lo hacen luego de un intervalo de tiempo. Si el presupuesto se hubiese calculado correctamente a principio del año, esta demora no sucedería, y los beneficios sociales correspondientes a las actividades del organismo (para las cuales estaban destinadas los refuerzos), se percibirían sin la demora.</w:t>
      </w:r>
    </w:p>
    <w:p w:rsidR="00B33466" w:rsidRPr="00C775B4" w:rsidRDefault="00B33466" w:rsidP="00B33466">
      <w:pPr>
        <w:pStyle w:val="Vieta"/>
        <w:numPr>
          <w:ilvl w:val="0"/>
          <w:numId w:val="0"/>
        </w:numPr>
        <w:ind w:left="993"/>
      </w:pPr>
      <w:r w:rsidRPr="00C775B4">
        <w:t xml:space="preserve">En segundo lugar, los trámites para los refuerzos implican un costo laboral, ya que se designan empleados públicos específicamente al diseño del pedido de refuerzo, así como también para su aprobación por parte del Ministerio. El hecho de reducir los trámites de refuerzos </w:t>
      </w:r>
      <w:r w:rsidR="00CF146D" w:rsidRPr="00C775B4">
        <w:t>implica</w:t>
      </w:r>
      <w:r w:rsidRPr="00C775B4">
        <w:t xml:space="preserve"> un ahorro directo en costos laborales.</w:t>
      </w:r>
    </w:p>
    <w:p w:rsidR="00B84211" w:rsidRPr="00C775B4" w:rsidRDefault="007B3237" w:rsidP="007E6104">
      <w:pPr>
        <w:pStyle w:val="TitulopostI"/>
      </w:pPr>
      <w:r w:rsidRPr="00C775B4">
        <w:t>Supuestos</w:t>
      </w:r>
    </w:p>
    <w:p w:rsidR="00B84211" w:rsidRPr="00C775B4" w:rsidRDefault="007B3237" w:rsidP="007E6104">
      <w:pPr>
        <w:pStyle w:val="Paragraph"/>
        <w:numPr>
          <w:ilvl w:val="1"/>
          <w:numId w:val="1"/>
        </w:numPr>
        <w:spacing w:before="0" w:after="0" w:line="480" w:lineRule="auto"/>
        <w:rPr>
          <w:kern w:val="28"/>
        </w:rPr>
      </w:pPr>
      <w:r w:rsidRPr="00C775B4">
        <w:rPr>
          <w:kern w:val="28"/>
        </w:rPr>
        <w:t>El cálculo de los beneficios se efectúa utilizando los siguientes supuestos:</w:t>
      </w:r>
    </w:p>
    <w:p w:rsidR="00B84211" w:rsidRPr="00C775B4" w:rsidRDefault="007B3237" w:rsidP="007E6104">
      <w:pPr>
        <w:pStyle w:val="Vieta"/>
      </w:pPr>
      <w:r w:rsidRPr="00C775B4">
        <w:t>La tasa de descuento utilizada es del 12%, según el estándar del Banco.</w:t>
      </w:r>
      <w:r w:rsidR="00ED4CEF" w:rsidRPr="00C775B4">
        <w:t xml:space="preserve"> Se realizó además un cálculo alternativo del Valor Presente Neto utilizando la tasa de descuento aplicada por el Gobierno de Uruguay, que es de 5% (Oficina de Planeamiento y Presupuesto, Sistema Nacional de Inversión Pública) </w:t>
      </w:r>
    </w:p>
    <w:p w:rsidR="00B84211" w:rsidRPr="00C775B4" w:rsidRDefault="005B61D4" w:rsidP="00323F4D">
      <w:pPr>
        <w:pStyle w:val="Vieta"/>
      </w:pPr>
      <w:r w:rsidRPr="00C775B4">
        <w:t>El universo de refuerzos es de 470 millones de dólares, de los cuales el 70% es afectado por el Programa.</w:t>
      </w:r>
    </w:p>
    <w:p w:rsidR="00B84211" w:rsidRPr="00C775B4" w:rsidRDefault="00230968" w:rsidP="00323F4D">
      <w:pPr>
        <w:pStyle w:val="Vieta"/>
      </w:pPr>
      <w:r w:rsidRPr="00C775B4">
        <w:t xml:space="preserve">En total serán </w:t>
      </w:r>
      <w:r w:rsidR="00A61DE9" w:rsidRPr="00C775B4">
        <w:t xml:space="preserve">tratados </w:t>
      </w:r>
      <w:r w:rsidRPr="00C775B4">
        <w:t>1</w:t>
      </w:r>
      <w:r w:rsidR="00911C97" w:rsidRPr="00C775B4">
        <w:t>0</w:t>
      </w:r>
      <w:r w:rsidRPr="00C775B4">
        <w:t xml:space="preserve"> </w:t>
      </w:r>
      <w:r w:rsidR="00182F7A" w:rsidRPr="00C775B4">
        <w:t>organismos</w:t>
      </w:r>
      <w:r w:rsidRPr="00C775B4">
        <w:t>, según la siguiente distribución anual</w:t>
      </w:r>
      <w:r w:rsidR="000F4C37" w:rsidRPr="00C775B4">
        <w:t xml:space="preserve">: </w:t>
      </w:r>
      <w:r w:rsidR="00882457" w:rsidRPr="00C775B4">
        <w:t>1</w:t>
      </w:r>
      <w:r w:rsidR="000F4C37" w:rsidRPr="00C775B4">
        <w:t xml:space="preserve"> el segundo año, </w:t>
      </w:r>
      <w:r w:rsidR="00882457" w:rsidRPr="00C775B4">
        <w:t>2</w:t>
      </w:r>
      <w:r w:rsidR="000F4C37" w:rsidRPr="00C775B4">
        <w:t xml:space="preserve"> el tercero, </w:t>
      </w:r>
      <w:r w:rsidR="00882457" w:rsidRPr="00C775B4">
        <w:t>3</w:t>
      </w:r>
      <w:r w:rsidR="000F4C37" w:rsidRPr="00C775B4">
        <w:t xml:space="preserve"> el cuarto y </w:t>
      </w:r>
      <w:r w:rsidR="0096316F" w:rsidRPr="00C775B4">
        <w:t xml:space="preserve">los </w:t>
      </w:r>
      <w:r w:rsidR="000F4C37" w:rsidRPr="00C775B4">
        <w:t>4 restantes durante el quinto año.</w:t>
      </w:r>
      <w:r w:rsidR="00323F4D" w:rsidRPr="00C775B4">
        <w:t xml:space="preserve"> S</w:t>
      </w:r>
      <w:r w:rsidR="00ED4CEF" w:rsidRPr="00C775B4">
        <w:t xml:space="preserve">e dispone de una muestra preliminar de 6 organismos, </w:t>
      </w:r>
      <w:r w:rsidR="00323F4D" w:rsidRPr="00C775B4">
        <w:t>los cuales tendrían a criterio del Organismo Ejecutor una elevada preferencia y probabilidad de participar</w:t>
      </w:r>
      <w:r w:rsidR="00ED4CEF" w:rsidRPr="00C775B4">
        <w:t>; dicha muestra será complementada por otros 4 organismos a ser definidos durante la ejecución</w:t>
      </w:r>
      <w:r w:rsidR="00323F4D" w:rsidRPr="00C775B4">
        <w:t>.</w:t>
      </w:r>
    </w:p>
    <w:p w:rsidR="00B84211" w:rsidRPr="00C775B4" w:rsidRDefault="005B61D4" w:rsidP="00803677">
      <w:pPr>
        <w:pStyle w:val="Vieta"/>
      </w:pPr>
      <w:r w:rsidRPr="00C775B4">
        <w:t xml:space="preserve">Se espera un </w:t>
      </w:r>
      <w:r w:rsidR="00ED4CEF" w:rsidRPr="00C775B4">
        <w:t xml:space="preserve">beneficio basado en una disminución del volumen </w:t>
      </w:r>
      <w:r w:rsidR="00690EF5">
        <w:t xml:space="preserve">monetario </w:t>
      </w:r>
      <w:r w:rsidR="00ED4CEF" w:rsidRPr="00C775B4">
        <w:t>de refuerzos equivalente al</w:t>
      </w:r>
      <w:r w:rsidRPr="00C775B4">
        <w:t xml:space="preserve"> </w:t>
      </w:r>
      <w:r w:rsidR="00690EF5">
        <w:t>5</w:t>
      </w:r>
      <w:r w:rsidR="001A2AD5">
        <w:t>0</w:t>
      </w:r>
      <w:r w:rsidRPr="00C775B4">
        <w:t>%</w:t>
      </w:r>
      <w:r w:rsidR="00ED4CEF" w:rsidRPr="00C775B4">
        <w:t xml:space="preserve"> del valor del sub-universo de 70% del valor total de refuerzos</w:t>
      </w:r>
      <w:r w:rsidRPr="00C775B4">
        <w:t xml:space="preserve"> (en base a proyecciones del programa)</w:t>
      </w:r>
      <w:r w:rsidR="00ED4CEF" w:rsidRPr="00C775B4">
        <w:t xml:space="preserve">. Este valor de refuerzos que se evitarán, equivalen a US$ </w:t>
      </w:r>
      <w:r w:rsidR="00690EF5">
        <w:t>1</w:t>
      </w:r>
      <w:r w:rsidR="001A2AD5">
        <w:t>6</w:t>
      </w:r>
      <w:r w:rsidR="00690EF5">
        <w:t>4</w:t>
      </w:r>
      <w:r w:rsidR="00ED4CEF" w:rsidRPr="00C775B4">
        <w:t xml:space="preserve"> millones por año</w:t>
      </w:r>
      <w:r w:rsidR="001A2AD5">
        <w:t xml:space="preserve"> dentro de un universo anual de refuerzos de US$ 470 millones</w:t>
      </w:r>
      <w:r w:rsidR="00ED4CEF" w:rsidRPr="00C775B4">
        <w:t>, implican partidas que no se dejan de gastar sino que se gastan oportunamente pues lo créditos estarán asignados correctamente al inicio de cada ejercicio y no como en la actualidad, durante el transcurso del ejercicio.</w:t>
      </w:r>
      <w:r w:rsidR="00690EF5">
        <w:t xml:space="preserve"> Estos gastos en servicios generarán utilidad social incremental debido al adelantamiento de la entrada en producción de los servicios con respecto a la actualidad, donde se hace necesario esperar un promedio de 3 meses hasta que esté aprobado el refuerzo.</w:t>
      </w:r>
      <w:r w:rsidR="003905EE">
        <w:t xml:space="preserve"> </w:t>
      </w:r>
      <w:r w:rsidR="003E3C6A">
        <w:t>Se ha considerado que tratándose los refuerzos mayormente gastos operativos de los servicios estatales, el funcionamiento de los mismos en los años subsiguientes a aquel en el cual ocurre el refuerzo dependerá del manejo presupuestal en dichos años, no estando afectado por la corrección del refuerzo en el año N; por esa razón, se considera razonable considerar el valor ganado con el adelantamiento como un beneficio a la vez bruto y neto, pues lo que ocurra en años siguientes no están condicionados por la forma como se resolvió el refuerzo en el año actual. Por otra parte, l</w:t>
      </w:r>
      <w:r w:rsidR="003905EE">
        <w:t xml:space="preserve">os beneficios se incorporan gradualmente desde el año 2 al 5, a razón de un 25% anual. </w:t>
      </w:r>
    </w:p>
    <w:p w:rsidR="00077C4D" w:rsidRPr="00C775B4" w:rsidRDefault="005B61D4" w:rsidP="00077C4D">
      <w:pPr>
        <w:pStyle w:val="Vieta"/>
      </w:pPr>
      <w:r w:rsidRPr="00C775B4">
        <w:t xml:space="preserve">El tiempo necesario para la implementación de los refuerzos es de </w:t>
      </w:r>
      <w:r w:rsidR="00ED4CEF" w:rsidRPr="00C775B4">
        <w:t>3 meses</w:t>
      </w:r>
      <w:r w:rsidRPr="00C775B4">
        <w:t xml:space="preserve"> (</w:t>
      </w:r>
      <w:r w:rsidR="00ED4CEF" w:rsidRPr="00C775B4">
        <w:t>4</w:t>
      </w:r>
      <w:r w:rsidRPr="00C775B4">
        <w:t xml:space="preserve"> semanas para </w:t>
      </w:r>
      <w:r w:rsidR="00ED4CEF" w:rsidRPr="00C775B4">
        <w:t>la elaboración inicial</w:t>
      </w:r>
      <w:r w:rsidRPr="00C775B4">
        <w:t xml:space="preserve"> del pedi</w:t>
      </w:r>
      <w:r w:rsidR="003A76B5" w:rsidRPr="00C775B4">
        <w:t>d</w:t>
      </w:r>
      <w:r w:rsidRPr="00C775B4">
        <w:t xml:space="preserve">o </w:t>
      </w:r>
      <w:r w:rsidR="00ED4CEF" w:rsidRPr="00C775B4">
        <w:t xml:space="preserve">en el organismo ejecutor del gasto y remisión al MEF, </w:t>
      </w:r>
      <w:r w:rsidRPr="00C775B4">
        <w:t xml:space="preserve">y 9 semanas más </w:t>
      </w:r>
      <w:r w:rsidR="00ED4CEF" w:rsidRPr="00C775B4">
        <w:t xml:space="preserve">desde su envío inicial al MEF </w:t>
      </w:r>
      <w:r w:rsidRPr="00C775B4">
        <w:t>hasta su adjudicación por parte del Ministerio</w:t>
      </w:r>
      <w:r w:rsidR="00ED4CEF" w:rsidRPr="00C775B4">
        <w:t>, incluyendo en medio la elaboración y remisión de información complementaria por parte del organismo ejecutor</w:t>
      </w:r>
      <w:r w:rsidRPr="00C775B4">
        <w:t xml:space="preserve">. Esto implica que en caso de ser necesario un refuerzo, se pierden beneficios sociales asociados a los proyectos por un lapso de </w:t>
      </w:r>
      <w:r w:rsidR="00E07792" w:rsidRPr="00C775B4">
        <w:t>3 meses</w:t>
      </w:r>
      <w:r w:rsidRPr="00C775B4">
        <w:t>ue se percibirían si el presupuesto hubiese sido estimado correctamente al principio del año.</w:t>
      </w:r>
    </w:p>
    <w:p w:rsidR="00077C4D" w:rsidRPr="00C775B4" w:rsidRDefault="005B61D4" w:rsidP="00077C4D">
      <w:pPr>
        <w:pStyle w:val="Vieta"/>
      </w:pPr>
      <w:r w:rsidRPr="00C775B4">
        <w:t xml:space="preserve"> </w:t>
      </w:r>
      <w:r w:rsidR="00077C4D" w:rsidRPr="00C775B4">
        <w:t xml:space="preserve">El sueldo promedio anual para un empleado de los organismos analizados es de 45.000 dólares al año. </w:t>
      </w:r>
      <w:r w:rsidR="00DC1C77" w:rsidRPr="00C775B4">
        <w:t>Los organismos incurren además en un costo</w:t>
      </w:r>
      <w:r w:rsidR="00E07792" w:rsidRPr="00C775B4">
        <w:t xml:space="preserve"> adicional</w:t>
      </w:r>
      <w:r w:rsidR="00DC1C77" w:rsidRPr="00C775B4">
        <w:t xml:space="preserve"> de 2</w:t>
      </w:r>
      <w:r w:rsidR="00E07792" w:rsidRPr="00C775B4">
        <w:t>5</w:t>
      </w:r>
      <w:r w:rsidR="00DC1C77" w:rsidRPr="00C775B4">
        <w:t>% por concepto de leyes sociales (decimotercer sueldo, seguro de salud</w:t>
      </w:r>
      <w:r w:rsidR="00E07792" w:rsidRPr="00C775B4">
        <w:t>,</w:t>
      </w:r>
      <w:r w:rsidR="00DC1C77" w:rsidRPr="00C775B4">
        <w:t xml:space="preserve"> contribución a la seguridad social</w:t>
      </w:r>
      <w:r w:rsidR="00E07792" w:rsidRPr="00C775B4">
        <w:t>, etc.</w:t>
      </w:r>
      <w:r w:rsidR="00DC1C77" w:rsidRPr="00C775B4">
        <w:t>)</w:t>
      </w:r>
    </w:p>
    <w:p w:rsidR="003834A8" w:rsidRPr="00C775B4" w:rsidRDefault="003834A8" w:rsidP="00077C4D">
      <w:pPr>
        <w:pStyle w:val="Vieta"/>
      </w:pPr>
      <w:r w:rsidRPr="00C775B4">
        <w:t xml:space="preserve">Durante el año 2013 los trámites de refuerzo fueron en total 229. Se considera que </w:t>
      </w:r>
      <w:r w:rsidR="00E07792" w:rsidRPr="00C775B4">
        <w:t>como resultado del Programa, una vez que los proyectos estén operativos en los 10 organismos beneficiarios,</w:t>
      </w:r>
      <w:r w:rsidRPr="00C775B4">
        <w:t xml:space="preserve"> estos trámites serán reducidos en un </w:t>
      </w:r>
      <w:r w:rsidR="00690EF5">
        <w:t>5</w:t>
      </w:r>
      <w:r w:rsidRPr="00C775B4">
        <w:t>0%, lo que implica ahorros directos del tiempo de trabajo destinado a esos trámites.</w:t>
      </w:r>
      <w:r w:rsidR="00E07792" w:rsidRPr="00C775B4">
        <w:t xml:space="preserve"> La maduración de este beneficio será gradual, </w:t>
      </w:r>
      <w:r w:rsidR="00C775B4" w:rsidRPr="00C775B4">
        <w:t>de</w:t>
      </w:r>
      <w:r w:rsidR="00E07792" w:rsidRPr="00C775B4">
        <w:t xml:space="preserve"> 1</w:t>
      </w:r>
      <w:r w:rsidR="00690EF5">
        <w:t>2.5</w:t>
      </w:r>
      <w:r w:rsidR="00E07792" w:rsidRPr="00C775B4">
        <w:t xml:space="preserve">% por año a partir del segundo año, alcanzando el </w:t>
      </w:r>
      <w:r w:rsidR="00690EF5">
        <w:t>5</w:t>
      </w:r>
      <w:r w:rsidR="00E07792" w:rsidRPr="00C775B4">
        <w:t>0% en el 5º año.</w:t>
      </w:r>
    </w:p>
    <w:p w:rsidR="003834A8" w:rsidRPr="00C775B4" w:rsidRDefault="003834A8" w:rsidP="003834A8">
      <w:pPr>
        <w:pStyle w:val="Vieta"/>
      </w:pPr>
      <w:r w:rsidRPr="00C775B4">
        <w:t xml:space="preserve">Cada trámite requiere </w:t>
      </w:r>
      <w:r w:rsidR="00DC1C77" w:rsidRPr="00C775B4">
        <w:t>2</w:t>
      </w:r>
      <w:r w:rsidR="00A03792" w:rsidRPr="00C775B4">
        <w:t>4</w:t>
      </w:r>
      <w:r w:rsidRPr="00C775B4">
        <w:t xml:space="preserve"> días de trabajo</w:t>
      </w:r>
      <w:r w:rsidR="00DC1C77" w:rsidRPr="00C775B4">
        <w:t xml:space="preserve"> incluyendo el dedicado por distintos técnicos, profesionales y supervisores, tanto en el organismo ejecutor solicitante del refuerzo como en el organismo rector (MEF)</w:t>
      </w:r>
      <w:r w:rsidRPr="00C775B4">
        <w:t xml:space="preserve"> (</w:t>
      </w:r>
      <w:r w:rsidR="00E07792" w:rsidRPr="00C775B4">
        <w:t>5</w:t>
      </w:r>
      <w:r w:rsidRPr="00C775B4">
        <w:t xml:space="preserve"> de preparación inicial en el organismo, </w:t>
      </w:r>
      <w:r w:rsidR="00DC1C77" w:rsidRPr="00C775B4">
        <w:t>2</w:t>
      </w:r>
      <w:r w:rsidRPr="00C775B4">
        <w:t xml:space="preserve"> de análisis inicial en el MEF, </w:t>
      </w:r>
      <w:r w:rsidR="00DC1C77" w:rsidRPr="00C775B4">
        <w:t>1</w:t>
      </w:r>
      <w:r w:rsidR="00A03792" w:rsidRPr="00C775B4">
        <w:t>2</w:t>
      </w:r>
      <w:r w:rsidRPr="00C775B4">
        <w:t xml:space="preserve"> de elaboración de información complementaria de sustento de la solicitud en el organismo, y </w:t>
      </w:r>
      <w:r w:rsidR="00DC1C77" w:rsidRPr="00C775B4">
        <w:t>5</w:t>
      </w:r>
      <w:r w:rsidRPr="00C775B4">
        <w:t xml:space="preserve"> de análisis y aprobación en el MEF).</w:t>
      </w:r>
    </w:p>
    <w:p w:rsidR="00077C4D" w:rsidRPr="00C775B4" w:rsidRDefault="00077C4D" w:rsidP="00077C4D">
      <w:pPr>
        <w:pStyle w:val="Vieta"/>
        <w:numPr>
          <w:ilvl w:val="0"/>
          <w:numId w:val="0"/>
        </w:numPr>
      </w:pPr>
    </w:p>
    <w:p w:rsidR="00B84211" w:rsidRPr="00C775B4" w:rsidRDefault="007B3237" w:rsidP="007E6104">
      <w:pPr>
        <w:pStyle w:val="Paragraph"/>
        <w:numPr>
          <w:ilvl w:val="1"/>
          <w:numId w:val="1"/>
        </w:numPr>
        <w:spacing w:before="0" w:after="0" w:line="480" w:lineRule="auto"/>
        <w:rPr>
          <w:kern w:val="28"/>
        </w:rPr>
      </w:pPr>
      <w:r w:rsidRPr="00C775B4">
        <w:rPr>
          <w:kern w:val="28"/>
        </w:rPr>
        <w:t>Para el cálculo de los costos se utilizan los siguientes supuestos:</w:t>
      </w:r>
    </w:p>
    <w:p w:rsidR="00B84211" w:rsidRPr="00C775B4" w:rsidRDefault="00E07792" w:rsidP="007E6104">
      <w:pPr>
        <w:pStyle w:val="Vieta"/>
      </w:pPr>
      <w:r w:rsidRPr="00C775B4">
        <w:t xml:space="preserve">El </w:t>
      </w:r>
      <w:r w:rsidR="002E147E" w:rsidRPr="00C775B4">
        <w:t xml:space="preserve">costo </w:t>
      </w:r>
      <w:r w:rsidR="002217F5" w:rsidRPr="00C775B4">
        <w:t xml:space="preserve">total </w:t>
      </w:r>
      <w:r w:rsidRPr="00C775B4">
        <w:t xml:space="preserve">del Programa </w:t>
      </w:r>
      <w:r w:rsidR="002217F5" w:rsidRPr="00C775B4">
        <w:t>asciende</w:t>
      </w:r>
      <w:r w:rsidR="002E147E" w:rsidRPr="00C775B4">
        <w:t xml:space="preserve"> a </w:t>
      </w:r>
      <w:r w:rsidR="002217F5" w:rsidRPr="00C775B4">
        <w:t>15</w:t>
      </w:r>
      <w:r w:rsidR="00D2112D" w:rsidRPr="00C775B4">
        <w:t xml:space="preserve"> </w:t>
      </w:r>
      <w:r w:rsidR="002E147E" w:rsidRPr="00C775B4">
        <w:t>millones de dólares, según datos del programa</w:t>
      </w:r>
      <w:r w:rsidRPr="00C775B4">
        <w:t>, que corresponden US$ 12 millones al préstamo y US$ 3 millones a fondos de contrapartida</w:t>
      </w:r>
      <w:r w:rsidR="002E147E" w:rsidRPr="00C775B4">
        <w:t>.</w:t>
      </w:r>
    </w:p>
    <w:p w:rsidR="00B84211" w:rsidRPr="00C775B4" w:rsidRDefault="007B3237" w:rsidP="007E6104">
      <w:pPr>
        <w:pStyle w:val="Vieta"/>
      </w:pPr>
      <w:r w:rsidRPr="00C775B4">
        <w:t xml:space="preserve">Se asume </w:t>
      </w:r>
      <w:r w:rsidR="002E147E" w:rsidRPr="00C775B4">
        <w:t xml:space="preserve">que los costos </w:t>
      </w:r>
      <w:r w:rsidR="00630148" w:rsidRPr="00C775B4">
        <w:t xml:space="preserve">serán </w:t>
      </w:r>
      <w:r w:rsidR="002E147E" w:rsidRPr="00C775B4">
        <w:t xml:space="preserve">ejecutados </w:t>
      </w:r>
      <w:r w:rsidR="00065851" w:rsidRPr="00C775B4">
        <w:t xml:space="preserve">según la siguiente distribución a lo largo del período 2014-2018: </w:t>
      </w:r>
      <w:r w:rsidR="00E22658" w:rsidRPr="00C775B4">
        <w:t>1</w:t>
      </w:r>
      <w:r w:rsidR="00DF712D" w:rsidRPr="00C775B4">
        <w:t>,</w:t>
      </w:r>
      <w:r w:rsidR="00C60479" w:rsidRPr="00C775B4">
        <w:t xml:space="preserve">172 </w:t>
      </w:r>
      <w:r w:rsidR="00DA6C88" w:rsidRPr="00C775B4">
        <w:t>millones</w:t>
      </w:r>
      <w:r w:rsidR="00E22658" w:rsidRPr="00C775B4">
        <w:t xml:space="preserve"> durante el primer año, </w:t>
      </w:r>
      <w:r w:rsidR="00DF712D" w:rsidRPr="00C775B4">
        <w:t>2,</w:t>
      </w:r>
      <w:r w:rsidR="00C60479" w:rsidRPr="00C775B4">
        <w:t xml:space="preserve">822 </w:t>
      </w:r>
      <w:r w:rsidR="00E22658" w:rsidRPr="00C775B4">
        <w:t xml:space="preserve">millones durante el segundo, </w:t>
      </w:r>
      <w:r w:rsidR="00C60479" w:rsidRPr="00C775B4">
        <w:t>4</w:t>
      </w:r>
      <w:r w:rsidR="00DF712D" w:rsidRPr="00C775B4">
        <w:t>,</w:t>
      </w:r>
      <w:r w:rsidR="00C60479" w:rsidRPr="00C775B4">
        <w:t>018</w:t>
      </w:r>
      <w:r w:rsidR="00DF712D" w:rsidRPr="00C775B4">
        <w:t xml:space="preserve"> </w:t>
      </w:r>
      <w:r w:rsidR="00E22658" w:rsidRPr="00C775B4">
        <w:t xml:space="preserve"> millones durante el tercero, y </w:t>
      </w:r>
      <w:r w:rsidR="00C60479" w:rsidRPr="00C775B4">
        <w:t xml:space="preserve">3,725 </w:t>
      </w:r>
      <w:r w:rsidR="00E22658" w:rsidRPr="00C775B4">
        <w:t xml:space="preserve">millones en </w:t>
      </w:r>
      <w:r w:rsidR="00DF712D" w:rsidRPr="00C775B4">
        <w:t>el cuarto y 3,</w:t>
      </w:r>
      <w:r w:rsidR="00C60479" w:rsidRPr="00C775B4">
        <w:t xml:space="preserve">263 </w:t>
      </w:r>
      <w:r w:rsidR="00DF712D" w:rsidRPr="00C775B4">
        <w:t>millones en el quinto</w:t>
      </w:r>
      <w:r w:rsidR="00E22658" w:rsidRPr="00C775B4">
        <w:t>.</w:t>
      </w:r>
      <w:r w:rsidR="009666E7" w:rsidRPr="00C775B4">
        <w:t xml:space="preserve"> </w:t>
      </w:r>
      <w:r w:rsidR="002E147E" w:rsidRPr="00C775B4">
        <w:t xml:space="preserve"> </w:t>
      </w:r>
    </w:p>
    <w:p w:rsidR="00077C4D" w:rsidRPr="00C775B4" w:rsidRDefault="00077C4D" w:rsidP="007E6104">
      <w:pPr>
        <w:pStyle w:val="Vieta"/>
      </w:pPr>
      <w:r w:rsidRPr="00C775B4">
        <w:t xml:space="preserve">Se asume un adicional de costos </w:t>
      </w:r>
      <w:r w:rsidR="003E3C6A">
        <w:t xml:space="preserve">de US$ 1.500.000 (10% adicional al cálculo del presupuesto detallado del Programa) </w:t>
      </w:r>
      <w:r w:rsidRPr="00C775B4">
        <w:t xml:space="preserve">asociados a la implementación </w:t>
      </w:r>
      <w:r w:rsidR="00E07792" w:rsidRPr="00C775B4">
        <w:t xml:space="preserve">y mantenimiento de los aplicativos en cada uno de los ministerios, </w:t>
      </w:r>
      <w:r w:rsidRPr="00C775B4">
        <w:t>del 10% del costo total, que serán provistos</w:t>
      </w:r>
      <w:r w:rsidR="00E07792" w:rsidRPr="00C775B4">
        <w:t xml:space="preserve">, US$ 500.000 por la partida de Gastos Imprevistos contemplada en el presupuesto del Programa y US$ 1 millón por fuera de la contabilidad del Programa, por parte de los distintos organismos </w:t>
      </w:r>
      <w:r w:rsidR="007B610C" w:rsidRPr="00C775B4">
        <w:t xml:space="preserve"> beneficiario</w:t>
      </w:r>
      <w:r w:rsidR="00E07792" w:rsidRPr="00C775B4">
        <w:t>s</w:t>
      </w:r>
      <w:r w:rsidR="007B610C" w:rsidRPr="00C775B4">
        <w:t xml:space="preserve"> del apoyo del Programa (Componente 2)</w:t>
      </w:r>
      <w:r w:rsidRPr="00C775B4">
        <w:t>.</w:t>
      </w:r>
    </w:p>
    <w:p w:rsidR="00077C4D" w:rsidRPr="00C775B4" w:rsidRDefault="009332ED" w:rsidP="00B35BC5">
      <w:pPr>
        <w:pStyle w:val="Vieta"/>
      </w:pPr>
      <w:r w:rsidRPr="00C775B4">
        <w:t xml:space="preserve">El horizonte a partir del cual se calculan beneficios es de </w:t>
      </w:r>
      <w:r w:rsidR="00B27409" w:rsidRPr="00C775B4">
        <w:t>1</w:t>
      </w:r>
      <w:r w:rsidR="00A03792" w:rsidRPr="00C775B4">
        <w:t>4</w:t>
      </w:r>
      <w:r w:rsidRPr="00C775B4">
        <w:t xml:space="preserve"> años.</w:t>
      </w:r>
      <w:r w:rsidR="00C36786" w:rsidRPr="00C775B4">
        <w:t xml:space="preserve"> </w:t>
      </w:r>
      <w:r w:rsidR="00C775B4" w:rsidRPr="00C775B4">
        <w:t xml:space="preserve">Los beneficios se computan a partir del segundo año de ejecución, una vez que los primeros organismos son tratados. </w:t>
      </w:r>
      <w:r w:rsidR="00EF5AB0" w:rsidRPr="00C775B4">
        <w:t>Estos se incrementan gradualmente</w:t>
      </w:r>
      <w:r w:rsidR="005B61D4" w:rsidRPr="00C775B4">
        <w:t xml:space="preserve">, 25% el primer año, 50% el segundo y 75% el tercero, </w:t>
      </w:r>
      <w:r w:rsidR="00EF5AB0" w:rsidRPr="00C775B4">
        <w:t>hasta alcanzar el máximo</w:t>
      </w:r>
      <w:r w:rsidR="00077C4D" w:rsidRPr="00C775B4">
        <w:t xml:space="preserve"> </w:t>
      </w:r>
      <w:r w:rsidR="0096316F" w:rsidRPr="00C775B4">
        <w:t>(luego de ser tratados los 10 organismos)</w:t>
      </w:r>
      <w:r w:rsidR="00EF5AB0" w:rsidRPr="00C775B4">
        <w:t>, en el cual se obtienen los ahorros esperados en su totalidad</w:t>
      </w:r>
      <w:r w:rsidR="0096316F" w:rsidRPr="00C775B4">
        <w:t>.</w:t>
      </w:r>
      <w:r w:rsidR="00A03792" w:rsidRPr="00C775B4">
        <w:t xml:space="preserve"> Por tanto, se consideran 10 años de beneficios a partir de la maduración de los proyectos en los 10 organismos beneficiarios del Programa.</w:t>
      </w:r>
    </w:p>
    <w:p w:rsidR="003A173E" w:rsidRPr="00C775B4" w:rsidRDefault="003A173E" w:rsidP="00B35BC5">
      <w:pPr>
        <w:pStyle w:val="Vieta"/>
      </w:pPr>
      <w:r w:rsidRPr="00C775B4">
        <w:t xml:space="preserve">Es relevante anotar que no </w:t>
      </w:r>
      <w:r w:rsidR="001A2AD5">
        <w:t>fue posible</w:t>
      </w:r>
      <w:r w:rsidRPr="00C775B4">
        <w:t xml:space="preserve"> </w:t>
      </w:r>
      <w:r w:rsidR="001A2AD5">
        <w:t xml:space="preserve">tomar </w:t>
      </w:r>
      <w:r w:rsidRPr="00C775B4">
        <w:t>en consideración otros beneficios esperados del programa, tales como</w:t>
      </w:r>
      <w:r w:rsidR="003905EE">
        <w:t>: (i) el aumento de eficiencia del gasto público atribuible a decisiones de asignación de recursos de mayor calidad</w:t>
      </w:r>
      <w:r w:rsidR="006E114B">
        <w:t xml:space="preserve"> merced a disponer de paramétricas de costos de los servicios, lo cual posibilitará orientar el gasto hacia los destinos más rentables socialmente</w:t>
      </w:r>
      <w:r w:rsidR="003905EE">
        <w:t>; y (ii)</w:t>
      </w:r>
      <w:r w:rsidRPr="00C775B4">
        <w:t xml:space="preserve"> los ahorros financieros para el Gobierno derivados de la capacidad que dispondrá para realizar una programación financiera de los recursos necesarios mes a mes para hacer frente a las obligaciones financieras, las cuales serán más ajustadas a la realidad merced a una presupuestación más acertada y cercana a la realidad, con menos sobre-presupuestación (o sub-ejecución) y menos refuerzos mes a mes. Estos beneficios si bien muy relevantes conceptualmente, no han podido ser cuantificados en esta etapa. Por lo tanto, la presente evaluación económica es en un todo, ampliamente conservadora.</w:t>
      </w:r>
    </w:p>
    <w:p w:rsidR="00B84211" w:rsidRPr="00C775B4" w:rsidRDefault="007B3237" w:rsidP="007E6104">
      <w:pPr>
        <w:pStyle w:val="TitulopostI"/>
      </w:pPr>
      <w:r w:rsidRPr="00C775B4">
        <w:t>Cálculos</w:t>
      </w:r>
    </w:p>
    <w:p w:rsidR="000F5806" w:rsidRPr="00C775B4" w:rsidRDefault="007B3237" w:rsidP="00AC13A6">
      <w:pPr>
        <w:pStyle w:val="Paragraph"/>
        <w:numPr>
          <w:ilvl w:val="0"/>
          <w:numId w:val="39"/>
        </w:numPr>
        <w:spacing w:before="0" w:after="0" w:line="480" w:lineRule="auto"/>
        <w:ind w:left="993" w:hanging="426"/>
        <w:rPr>
          <w:kern w:val="28"/>
        </w:rPr>
      </w:pPr>
      <w:r w:rsidRPr="00C775B4">
        <w:rPr>
          <w:kern w:val="28"/>
        </w:rPr>
        <w:t xml:space="preserve">El primer cálculo necesario para el análisis consiste en la estimación de los beneficios anuales derivados </w:t>
      </w:r>
      <w:r w:rsidR="004D0522" w:rsidRPr="00C775B4">
        <w:rPr>
          <w:kern w:val="28"/>
        </w:rPr>
        <w:t>de las actividades del programa</w:t>
      </w:r>
      <w:r w:rsidRPr="00C775B4">
        <w:rPr>
          <w:kern w:val="28"/>
        </w:rPr>
        <w:t>. Luego, esta fórmula será replicada para cada año</w:t>
      </w:r>
      <w:r w:rsidR="006A4D9B" w:rsidRPr="00C775B4">
        <w:rPr>
          <w:kern w:val="28"/>
        </w:rPr>
        <w:t>,</w:t>
      </w:r>
      <w:r w:rsidRPr="00C775B4">
        <w:rPr>
          <w:kern w:val="28"/>
        </w:rPr>
        <w:t xml:space="preserve"> aplicándose sobre ella tasa</w:t>
      </w:r>
      <w:r w:rsidR="00E07792" w:rsidRPr="00C775B4">
        <w:rPr>
          <w:kern w:val="28"/>
        </w:rPr>
        <w:t>s</w:t>
      </w:r>
      <w:r w:rsidRPr="00C775B4">
        <w:rPr>
          <w:kern w:val="28"/>
        </w:rPr>
        <w:t xml:space="preserve"> de descuento del 12%</w:t>
      </w:r>
      <w:r w:rsidR="00E07792" w:rsidRPr="00C775B4">
        <w:rPr>
          <w:kern w:val="28"/>
        </w:rPr>
        <w:t xml:space="preserve"> y del 5% según se describió precedentemente</w:t>
      </w:r>
      <w:r w:rsidRPr="00C775B4">
        <w:rPr>
          <w:kern w:val="28"/>
        </w:rPr>
        <w:t>.</w:t>
      </w:r>
      <w:r w:rsidR="00AC13A6" w:rsidRPr="00C775B4">
        <w:rPr>
          <w:kern w:val="28"/>
        </w:rPr>
        <w:t xml:space="preserve"> </w:t>
      </w:r>
    </w:p>
    <w:p w:rsidR="00B84211" w:rsidRPr="00C775B4" w:rsidRDefault="00E325DB" w:rsidP="00AC13A6">
      <w:pPr>
        <w:pStyle w:val="Paragraph"/>
        <w:numPr>
          <w:ilvl w:val="0"/>
          <w:numId w:val="39"/>
        </w:numPr>
        <w:spacing w:before="0" w:after="0" w:line="480" w:lineRule="auto"/>
        <w:ind w:left="993" w:hanging="426"/>
        <w:rPr>
          <w:kern w:val="28"/>
        </w:rPr>
      </w:pPr>
      <w:r w:rsidRPr="00C775B4">
        <w:rPr>
          <w:kern w:val="28"/>
        </w:rPr>
        <w:t>El valor presente de l</w:t>
      </w:r>
      <w:r w:rsidR="007B3237" w:rsidRPr="00C775B4">
        <w:rPr>
          <w:kern w:val="28"/>
        </w:rPr>
        <w:t>os beneficios totales se calcul</w:t>
      </w:r>
      <w:r w:rsidRPr="00C775B4">
        <w:rPr>
          <w:kern w:val="28"/>
        </w:rPr>
        <w:t>ó</w:t>
      </w:r>
      <w:r w:rsidR="007B3237" w:rsidRPr="00C775B4">
        <w:rPr>
          <w:kern w:val="28"/>
        </w:rPr>
        <w:t xml:space="preserve"> mediante la siguiente formula:</w:t>
      </w:r>
    </w:p>
    <w:p w:rsidR="00B84211" w:rsidRPr="00C775B4" w:rsidRDefault="0061033D" w:rsidP="007E6104">
      <w:pPr>
        <w:spacing w:after="0" w:line="480" w:lineRule="auto"/>
        <w:ind w:left="567" w:hanging="567"/>
        <w:jc w:val="both"/>
        <w:rPr>
          <w:rFonts w:ascii="Times New Roman" w:hAnsi="Times New Roman"/>
          <w:kern w:val="28"/>
          <w:szCs w:val="24"/>
          <w:lang w:val="es-ES"/>
        </w:rPr>
      </w:pPr>
      <m:oMathPara>
        <m:oMath>
          <m:sSub>
            <m:sSubPr>
              <m:ctrlPr>
                <w:rPr>
                  <w:rFonts w:ascii="Cambria Math" w:hAnsi="Cambria Math"/>
                  <w:i/>
                  <w:kern w:val="28"/>
                  <w:szCs w:val="24"/>
                  <w:lang w:val="es-ES"/>
                </w:rPr>
              </m:ctrlPr>
            </m:sSubPr>
            <m:e>
              <m:r>
                <w:rPr>
                  <w:rFonts w:ascii="Cambria Math" w:hAnsi="Cambria Math"/>
                  <w:kern w:val="28"/>
                  <w:szCs w:val="24"/>
                  <w:lang w:val="es-ES"/>
                </w:rPr>
                <m:t>B</m:t>
              </m:r>
            </m:e>
            <m:sub>
              <m:r>
                <w:rPr>
                  <w:rFonts w:ascii="Cambria Math" w:hAnsi="Cambria Math"/>
                  <w:kern w:val="28"/>
                  <w:szCs w:val="24"/>
                  <w:lang w:val="es-ES"/>
                </w:rPr>
                <m:t>t</m:t>
              </m:r>
            </m:sub>
          </m:sSub>
          <m:r>
            <w:rPr>
              <w:rFonts w:ascii="Cambria Math" w:hAnsi="Cambria Math"/>
              <w:kern w:val="28"/>
              <w:szCs w:val="24"/>
              <w:lang w:val="es-ES"/>
            </w:rPr>
            <m:t>=</m:t>
          </m:r>
          <m:nary>
            <m:naryPr>
              <m:chr m:val="∑"/>
              <m:limLoc m:val="undOvr"/>
              <m:ctrlPr>
                <w:rPr>
                  <w:rFonts w:ascii="Cambria Math" w:hAnsi="Cambria Math"/>
                  <w:i/>
                  <w:kern w:val="28"/>
                  <w:szCs w:val="24"/>
                  <w:lang w:val="es-ES"/>
                </w:rPr>
              </m:ctrlPr>
            </m:naryPr>
            <m:sub>
              <m:r>
                <w:rPr>
                  <w:rFonts w:ascii="Cambria Math" w:hAnsi="Cambria Math"/>
                  <w:kern w:val="28"/>
                  <w:szCs w:val="24"/>
                  <w:lang w:val="es-ES"/>
                </w:rPr>
                <m:t>t=0</m:t>
              </m:r>
            </m:sub>
            <m:sup>
              <m:r>
                <w:rPr>
                  <w:rFonts w:ascii="Cambria Math" w:hAnsi="Cambria Math"/>
                  <w:kern w:val="28"/>
                  <w:szCs w:val="24"/>
                  <w:lang w:val="es-ES"/>
                </w:rPr>
                <m:t>14</m:t>
              </m:r>
            </m:sup>
            <m:e>
              <m:f>
                <m:fPr>
                  <m:ctrlPr>
                    <w:rPr>
                      <w:rFonts w:ascii="Cambria Math" w:hAnsi="Cambria Math"/>
                      <w:i/>
                      <w:kern w:val="28"/>
                      <w:szCs w:val="24"/>
                      <w:lang w:val="es-ES"/>
                    </w:rPr>
                  </m:ctrlPr>
                </m:fPr>
                <m:num>
                  <m:sSub>
                    <m:sSubPr>
                      <m:ctrlPr>
                        <w:rPr>
                          <w:rFonts w:ascii="Cambria Math" w:hAnsi="Cambria Math"/>
                          <w:i/>
                          <w:kern w:val="28"/>
                          <w:szCs w:val="24"/>
                          <w:lang w:val="es-ES"/>
                        </w:rPr>
                      </m:ctrlPr>
                    </m:sSubPr>
                    <m:e>
                      <m:r>
                        <w:rPr>
                          <w:rFonts w:ascii="Cambria Math" w:hAnsi="Cambria Math"/>
                          <w:kern w:val="28"/>
                          <w:szCs w:val="24"/>
                          <w:lang w:val="es-ES"/>
                        </w:rPr>
                        <m:t>B</m:t>
                      </m:r>
                    </m:e>
                    <m:sub>
                      <m:r>
                        <w:rPr>
                          <w:rFonts w:ascii="Cambria Math" w:hAnsi="Cambria Math"/>
                          <w:kern w:val="28"/>
                          <w:szCs w:val="24"/>
                          <w:lang w:val="es-ES"/>
                        </w:rPr>
                        <m:t>t</m:t>
                      </m:r>
                    </m:sub>
                  </m:sSub>
                </m:num>
                <m:den>
                  <m:sSup>
                    <m:sSupPr>
                      <m:ctrlPr>
                        <w:rPr>
                          <w:rFonts w:ascii="Cambria Math" w:hAnsi="Cambria Math"/>
                          <w:i/>
                          <w:kern w:val="28"/>
                          <w:szCs w:val="24"/>
                          <w:lang w:val="es-ES"/>
                        </w:rPr>
                      </m:ctrlPr>
                    </m:sSupPr>
                    <m:e>
                      <m:r>
                        <w:rPr>
                          <w:rFonts w:ascii="Cambria Math" w:hAnsi="Cambria Math"/>
                          <w:kern w:val="28"/>
                          <w:szCs w:val="24"/>
                          <w:lang w:val="es-ES"/>
                        </w:rPr>
                        <m:t>1,12</m:t>
                      </m:r>
                    </m:e>
                    <m:sup>
                      <m:r>
                        <w:rPr>
                          <w:rFonts w:ascii="Cambria Math" w:hAnsi="Cambria Math"/>
                          <w:kern w:val="28"/>
                          <w:szCs w:val="24"/>
                          <w:lang w:val="es-ES"/>
                        </w:rPr>
                        <m:t>t</m:t>
                      </m:r>
                    </m:sup>
                  </m:sSup>
                </m:den>
              </m:f>
            </m:e>
          </m:nary>
          <m:r>
            <w:rPr>
              <w:rFonts w:ascii="Cambria Math" w:hAnsi="Cambria Math"/>
              <w:kern w:val="28"/>
              <w:szCs w:val="24"/>
              <w:lang w:val="es-ES"/>
            </w:rPr>
            <m:t>,</m:t>
          </m:r>
        </m:oMath>
      </m:oMathPara>
    </w:p>
    <w:p w:rsidR="00B84211" w:rsidRPr="00C775B4" w:rsidRDefault="00FD764A" w:rsidP="007E6104">
      <w:pPr>
        <w:pStyle w:val="Paragraph"/>
        <w:numPr>
          <w:ilvl w:val="0"/>
          <w:numId w:val="0"/>
        </w:numPr>
        <w:spacing w:before="0" w:after="0" w:line="480" w:lineRule="auto"/>
        <w:ind w:left="567" w:hanging="567"/>
        <w:rPr>
          <w:kern w:val="28"/>
        </w:rPr>
      </w:pPr>
      <w:r w:rsidRPr="00C775B4">
        <w:rPr>
          <w:kern w:val="28"/>
          <w:szCs w:val="24"/>
        </w:rPr>
        <w:tab/>
      </w:r>
      <w:r w:rsidR="000F5806" w:rsidRPr="00C775B4">
        <w:rPr>
          <w:kern w:val="28"/>
          <w:szCs w:val="24"/>
        </w:rPr>
        <w:t>d</w:t>
      </w:r>
      <w:r w:rsidR="007B3237" w:rsidRPr="00C775B4">
        <w:rPr>
          <w:kern w:val="28"/>
          <w:szCs w:val="24"/>
        </w:rPr>
        <w:t>onde</w:t>
      </w:r>
      <w:r w:rsidR="004605A7" w:rsidRPr="00C775B4">
        <w:rPr>
          <w:kern w:val="28"/>
          <w:szCs w:val="24"/>
        </w:rPr>
        <w:t xml:space="preserve"> </w:t>
      </w:r>
      <w:r w:rsidR="007B3237" w:rsidRPr="00C775B4">
        <w:rPr>
          <w:kern w:val="28"/>
          <w:szCs w:val="24"/>
        </w:rPr>
        <w:t xml:space="preserve"> </w:t>
      </w:r>
      <m:oMath>
        <m:r>
          <w:rPr>
            <w:rFonts w:ascii="Cambria Math" w:hAnsi="Cambria Math"/>
            <w:kern w:val="28"/>
            <w:szCs w:val="24"/>
          </w:rPr>
          <m:t>B</m:t>
        </m:r>
      </m:oMath>
      <w:r w:rsidR="007B3237" w:rsidRPr="00C775B4">
        <w:rPr>
          <w:kern w:val="28"/>
          <w:szCs w:val="24"/>
        </w:rPr>
        <w:t xml:space="preserve"> denota</w:t>
      </w:r>
      <w:r w:rsidR="00DF5014" w:rsidRPr="00C775B4">
        <w:rPr>
          <w:kern w:val="28"/>
          <w:szCs w:val="24"/>
        </w:rPr>
        <w:t xml:space="preserve"> los</w:t>
      </w:r>
      <w:r w:rsidR="007B3237" w:rsidRPr="00C775B4">
        <w:rPr>
          <w:kern w:val="28"/>
          <w:szCs w:val="24"/>
        </w:rPr>
        <w:t xml:space="preserve"> beneficios y </w:t>
      </w:r>
      <m:oMath>
        <m:r>
          <w:rPr>
            <w:rFonts w:ascii="Cambria Math" w:hAnsi="Cambria Math"/>
            <w:kern w:val="28"/>
            <w:szCs w:val="24"/>
          </w:rPr>
          <m:t>t</m:t>
        </m:r>
      </m:oMath>
      <w:r w:rsidR="007B3237" w:rsidRPr="00C775B4">
        <w:rPr>
          <w:kern w:val="28"/>
          <w:szCs w:val="24"/>
        </w:rPr>
        <w:t xml:space="preserve"> indica el año corriente. </w:t>
      </w:r>
      <w:r w:rsidR="00E325DB" w:rsidRPr="00C775B4">
        <w:rPr>
          <w:kern w:val="28"/>
          <w:szCs w:val="24"/>
        </w:rPr>
        <w:t>Alternativamente, se calcularon con</w:t>
      </w:r>
    </w:p>
    <w:p w:rsidR="00B84211" w:rsidRPr="00C775B4" w:rsidRDefault="007B3237" w:rsidP="009E6A82">
      <w:pPr>
        <w:pStyle w:val="Paragraph"/>
        <w:numPr>
          <w:ilvl w:val="1"/>
          <w:numId w:val="1"/>
        </w:numPr>
        <w:spacing w:before="0" w:after="0" w:line="480" w:lineRule="auto"/>
        <w:rPr>
          <w:kern w:val="28"/>
          <w:szCs w:val="24"/>
        </w:rPr>
      </w:pPr>
      <w:r w:rsidRPr="00C775B4">
        <w:rPr>
          <w:kern w:val="28"/>
          <w:szCs w:val="24"/>
        </w:rPr>
        <w:t>Los costos de operación se calculan como el valor presente del flujo de gastos del proyecto. La fórmula utilizada es:</w:t>
      </w:r>
    </w:p>
    <w:p w:rsidR="00B84211" w:rsidRPr="00C775B4" w:rsidRDefault="0061033D" w:rsidP="007E6104">
      <w:pPr>
        <w:spacing w:after="0" w:line="480" w:lineRule="auto"/>
        <w:ind w:left="567" w:hanging="567"/>
        <w:jc w:val="center"/>
        <w:rPr>
          <w:rFonts w:ascii="Times New Roman" w:hAnsi="Times New Roman"/>
          <w:kern w:val="28"/>
          <w:sz w:val="24"/>
          <w:szCs w:val="24"/>
          <w:lang w:val="es-ES"/>
        </w:rPr>
      </w:pPr>
      <m:oMathPara>
        <m:oMath>
          <m:sSub>
            <m:sSubPr>
              <m:ctrlPr>
                <w:rPr>
                  <w:rFonts w:ascii="Cambria Math" w:hAnsi="Cambria Math"/>
                  <w:i/>
                  <w:kern w:val="28"/>
                  <w:lang w:val="es-ES"/>
                </w:rPr>
              </m:ctrlPr>
            </m:sSubPr>
            <m:e>
              <m:r>
                <w:rPr>
                  <w:rFonts w:ascii="Cambria Math" w:hAnsi="Cambria Math"/>
                  <w:kern w:val="28"/>
                  <w:lang w:val="es-ES"/>
                </w:rPr>
                <m:t>Co</m:t>
              </m:r>
            </m:e>
            <m:sub>
              <m:r>
                <w:rPr>
                  <w:rFonts w:ascii="Cambria Math" w:hAnsi="Cambria Math"/>
                  <w:kern w:val="28"/>
                  <w:lang w:val="es-ES"/>
                </w:rPr>
                <m:t xml:space="preserve"> </m:t>
              </m:r>
            </m:sub>
          </m:sSub>
          <m:r>
            <w:rPr>
              <w:rFonts w:ascii="Cambria Math" w:hAnsi="Cambria Math"/>
              <w:kern w:val="28"/>
              <w:lang w:val="es-ES"/>
            </w:rPr>
            <m:t>=</m:t>
          </m:r>
          <m:nary>
            <m:naryPr>
              <m:chr m:val="∑"/>
              <m:limLoc m:val="undOvr"/>
              <m:ctrlPr>
                <w:rPr>
                  <w:rFonts w:ascii="Cambria Math" w:hAnsi="Cambria Math"/>
                  <w:i/>
                  <w:kern w:val="28"/>
                  <w:lang w:val="es-ES"/>
                </w:rPr>
              </m:ctrlPr>
            </m:naryPr>
            <m:sub>
              <m:r>
                <w:rPr>
                  <w:rFonts w:ascii="Cambria Math" w:hAnsi="Cambria Math"/>
                  <w:kern w:val="28"/>
                  <w:lang w:val="es-ES"/>
                </w:rPr>
                <m:t>t=0</m:t>
              </m:r>
            </m:sub>
            <m:sup>
              <m:r>
                <w:rPr>
                  <w:rFonts w:ascii="Cambria Math" w:hAnsi="Cambria Math"/>
                  <w:kern w:val="28"/>
                  <w:lang w:val="es-ES"/>
                </w:rPr>
                <m:t>10</m:t>
              </m:r>
            </m:sup>
            <m:e>
              <m:f>
                <m:fPr>
                  <m:ctrlPr>
                    <w:rPr>
                      <w:rFonts w:ascii="Cambria Math" w:hAnsi="Cambria Math"/>
                      <w:i/>
                      <w:kern w:val="28"/>
                      <w:lang w:val="es-ES"/>
                    </w:rPr>
                  </m:ctrlPr>
                </m:fPr>
                <m:num>
                  <m:sSub>
                    <m:sSubPr>
                      <m:ctrlPr>
                        <w:rPr>
                          <w:rFonts w:ascii="Cambria Math" w:hAnsi="Cambria Math"/>
                          <w:i/>
                          <w:kern w:val="28"/>
                          <w:lang w:val="es-ES"/>
                        </w:rPr>
                      </m:ctrlPr>
                    </m:sSubPr>
                    <m:e>
                      <m:r>
                        <w:rPr>
                          <w:rFonts w:ascii="Cambria Math" w:hAnsi="Cambria Math"/>
                          <w:kern w:val="28"/>
                          <w:lang w:val="es-ES"/>
                        </w:rPr>
                        <m:t>g</m:t>
                      </m:r>
                    </m:e>
                    <m:sub>
                      <m:r>
                        <w:rPr>
                          <w:rFonts w:ascii="Cambria Math" w:hAnsi="Cambria Math"/>
                          <w:kern w:val="28"/>
                          <w:lang w:val="es-ES"/>
                        </w:rPr>
                        <m:t>t</m:t>
                      </m:r>
                    </m:sub>
                  </m:sSub>
                </m:num>
                <m:den>
                  <m:sSup>
                    <m:sSupPr>
                      <m:ctrlPr>
                        <w:rPr>
                          <w:rFonts w:ascii="Cambria Math" w:hAnsi="Cambria Math"/>
                          <w:i/>
                          <w:kern w:val="28"/>
                          <w:lang w:val="es-ES"/>
                        </w:rPr>
                      </m:ctrlPr>
                    </m:sSupPr>
                    <m:e>
                      <m:r>
                        <w:rPr>
                          <w:rFonts w:ascii="Cambria Math" w:hAnsi="Cambria Math"/>
                          <w:kern w:val="28"/>
                          <w:lang w:val="es-ES"/>
                        </w:rPr>
                        <m:t>1,12</m:t>
                      </m:r>
                    </m:e>
                    <m:sup>
                      <m:r>
                        <w:rPr>
                          <w:rFonts w:ascii="Cambria Math" w:hAnsi="Cambria Math"/>
                          <w:kern w:val="28"/>
                          <w:lang w:val="es-ES"/>
                        </w:rPr>
                        <m:t>t</m:t>
                      </m:r>
                    </m:sup>
                  </m:sSup>
                </m:den>
              </m:f>
              <m:r>
                <w:rPr>
                  <w:rFonts w:ascii="Cambria Math" w:hAnsi="Cambria Math"/>
                  <w:kern w:val="28"/>
                  <w:lang w:val="es-ES"/>
                </w:rPr>
                <m:t>,</m:t>
              </m:r>
            </m:e>
          </m:nary>
        </m:oMath>
      </m:oMathPara>
    </w:p>
    <w:p w:rsidR="00B84211" w:rsidRPr="00C775B4" w:rsidRDefault="00FD764A" w:rsidP="007E6104">
      <w:pPr>
        <w:spacing w:after="0" w:line="480" w:lineRule="auto"/>
        <w:ind w:left="567" w:hanging="567"/>
        <w:jc w:val="both"/>
        <w:rPr>
          <w:rFonts w:ascii="Times New Roman" w:hAnsi="Times New Roman"/>
          <w:sz w:val="24"/>
          <w:lang w:val="es-ES"/>
        </w:rPr>
      </w:pPr>
      <w:r w:rsidRPr="00C775B4">
        <w:rPr>
          <w:rFonts w:ascii="Times New Roman" w:hAnsi="Times New Roman"/>
          <w:kern w:val="28"/>
          <w:sz w:val="24"/>
          <w:lang w:val="es-ES"/>
        </w:rPr>
        <w:tab/>
      </w:r>
      <w:r w:rsidR="007B3237" w:rsidRPr="00C775B4">
        <w:rPr>
          <w:rFonts w:ascii="Times New Roman" w:hAnsi="Times New Roman"/>
          <w:kern w:val="28"/>
          <w:sz w:val="24"/>
          <w:lang w:val="es-ES"/>
        </w:rPr>
        <w:t>donde g es el gas</w:t>
      </w:r>
      <w:r w:rsidR="007B3237" w:rsidRPr="00C775B4">
        <w:rPr>
          <w:rFonts w:ascii="Times New Roman" w:hAnsi="Times New Roman"/>
          <w:sz w:val="24"/>
          <w:lang w:val="es-ES"/>
        </w:rPr>
        <w:t xml:space="preserve">to </w:t>
      </w:r>
      <w:r w:rsidR="00C775B4" w:rsidRPr="00C775B4">
        <w:rPr>
          <w:rFonts w:ascii="Times New Roman" w:hAnsi="Times New Roman"/>
          <w:sz w:val="24"/>
          <w:lang w:val="es-ES"/>
        </w:rPr>
        <w:t>anual,</w:t>
      </w:r>
      <w:r w:rsidR="00B35BC5" w:rsidRPr="00C775B4">
        <w:rPr>
          <w:rFonts w:ascii="Times New Roman" w:hAnsi="Times New Roman"/>
          <w:sz w:val="24"/>
          <w:lang w:val="es-ES"/>
        </w:rPr>
        <w:t xml:space="preserve"> mientras</w:t>
      </w:r>
      <w:r w:rsidR="007B3237" w:rsidRPr="00C775B4">
        <w:rPr>
          <w:rFonts w:ascii="Times New Roman" w:hAnsi="Times New Roman"/>
          <w:sz w:val="24"/>
          <w:lang w:val="es-ES"/>
        </w:rPr>
        <w:t xml:space="preserve"> t denota el </w:t>
      </w:r>
      <w:r w:rsidR="00027BD0" w:rsidRPr="00C775B4">
        <w:rPr>
          <w:rFonts w:ascii="Times New Roman" w:hAnsi="Times New Roman"/>
          <w:sz w:val="24"/>
          <w:lang w:val="es-ES"/>
        </w:rPr>
        <w:t>per</w:t>
      </w:r>
      <w:r w:rsidR="005D1FF0" w:rsidRPr="00C775B4">
        <w:rPr>
          <w:rFonts w:ascii="Times New Roman" w:hAnsi="Times New Roman"/>
          <w:sz w:val="24"/>
          <w:lang w:val="es-ES"/>
        </w:rPr>
        <w:t>í</w:t>
      </w:r>
      <w:r w:rsidR="00027BD0" w:rsidRPr="00C775B4">
        <w:rPr>
          <w:rFonts w:ascii="Times New Roman" w:hAnsi="Times New Roman"/>
          <w:sz w:val="24"/>
          <w:lang w:val="es-ES"/>
        </w:rPr>
        <w:t>odo</w:t>
      </w:r>
      <w:r w:rsidR="007B3237" w:rsidRPr="00C775B4">
        <w:rPr>
          <w:rFonts w:ascii="Times New Roman" w:hAnsi="Times New Roman"/>
          <w:sz w:val="24"/>
          <w:lang w:val="es-ES"/>
        </w:rPr>
        <w:t xml:space="preserve"> corriente. El costo </w:t>
      </w:r>
      <w:r w:rsidR="000A166A" w:rsidRPr="00C775B4">
        <w:rPr>
          <w:rFonts w:ascii="Times New Roman" w:hAnsi="Times New Roman"/>
          <w:sz w:val="24"/>
          <w:lang w:val="es-ES"/>
        </w:rPr>
        <w:t>del Programa fue estimado en</w:t>
      </w:r>
      <w:r w:rsidR="007B3237" w:rsidRPr="00C775B4">
        <w:rPr>
          <w:rFonts w:ascii="Times New Roman" w:hAnsi="Times New Roman"/>
          <w:sz w:val="24"/>
          <w:lang w:val="es-ES"/>
        </w:rPr>
        <w:t xml:space="preserve"> USD </w:t>
      </w:r>
      <w:r w:rsidR="0064567E" w:rsidRPr="00C775B4">
        <w:rPr>
          <w:rFonts w:ascii="Times New Roman" w:hAnsi="Times New Roman"/>
          <w:sz w:val="24"/>
          <w:lang w:val="es-ES"/>
        </w:rPr>
        <w:t>1</w:t>
      </w:r>
      <w:r w:rsidR="00DF08EA" w:rsidRPr="00C775B4">
        <w:rPr>
          <w:rFonts w:ascii="Times New Roman" w:hAnsi="Times New Roman"/>
          <w:sz w:val="24"/>
          <w:lang w:val="es-ES"/>
        </w:rPr>
        <w:t>5</w:t>
      </w:r>
      <w:r w:rsidR="007C0A5D" w:rsidRPr="00C775B4">
        <w:rPr>
          <w:rFonts w:ascii="Times New Roman" w:hAnsi="Times New Roman"/>
          <w:sz w:val="24"/>
          <w:lang w:val="es-ES"/>
        </w:rPr>
        <w:t>.</w:t>
      </w:r>
      <w:r w:rsidR="00DF08EA" w:rsidRPr="00C775B4">
        <w:rPr>
          <w:rFonts w:ascii="Times New Roman" w:hAnsi="Times New Roman"/>
          <w:sz w:val="24"/>
          <w:lang w:val="es-ES"/>
        </w:rPr>
        <w:t>0</w:t>
      </w:r>
      <w:r w:rsidR="0064567E" w:rsidRPr="00C775B4">
        <w:rPr>
          <w:rFonts w:ascii="Times New Roman" w:hAnsi="Times New Roman"/>
          <w:sz w:val="24"/>
          <w:lang w:val="es-ES"/>
        </w:rPr>
        <w:t>00</w:t>
      </w:r>
      <w:r w:rsidR="007C0A5D" w:rsidRPr="00C775B4">
        <w:rPr>
          <w:rFonts w:ascii="Times New Roman" w:hAnsi="Times New Roman"/>
          <w:sz w:val="24"/>
          <w:lang w:val="es-ES"/>
        </w:rPr>
        <w:t>.000</w:t>
      </w:r>
      <w:r w:rsidR="000A166A" w:rsidRPr="00C775B4">
        <w:rPr>
          <w:rFonts w:ascii="Times New Roman" w:hAnsi="Times New Roman"/>
          <w:sz w:val="24"/>
          <w:lang w:val="es-ES"/>
        </w:rPr>
        <w:t xml:space="preserve">. Se consideraron además, </w:t>
      </w:r>
      <w:r w:rsidR="00CB4273" w:rsidRPr="00C775B4">
        <w:rPr>
          <w:rFonts w:ascii="Times New Roman" w:hAnsi="Times New Roman"/>
          <w:sz w:val="24"/>
          <w:lang w:val="es-ES"/>
        </w:rPr>
        <w:t xml:space="preserve">costos </w:t>
      </w:r>
      <w:r w:rsidR="007B610C" w:rsidRPr="00C775B4">
        <w:rPr>
          <w:rFonts w:ascii="Times New Roman" w:hAnsi="Times New Roman"/>
          <w:sz w:val="24"/>
          <w:lang w:val="es-ES"/>
        </w:rPr>
        <w:t>complementarios para la implementación y mantenimiento de los aplicativos en los ministerios, equivalentes a</w:t>
      </w:r>
      <w:r w:rsidR="00CB4273" w:rsidRPr="00C775B4">
        <w:rPr>
          <w:rFonts w:ascii="Times New Roman" w:hAnsi="Times New Roman"/>
          <w:sz w:val="24"/>
          <w:lang w:val="es-ES"/>
        </w:rPr>
        <w:t xml:space="preserve"> 10% del costo total, es decir, USD 1.500.000</w:t>
      </w:r>
      <w:r w:rsidR="000A166A" w:rsidRPr="00C775B4">
        <w:rPr>
          <w:rFonts w:ascii="Times New Roman" w:hAnsi="Times New Roman"/>
          <w:sz w:val="24"/>
          <w:lang w:val="es-ES"/>
        </w:rPr>
        <w:t xml:space="preserve"> (se financian US$ 1 millón con recursos aportados por organismos participantes de sus presupuestos y US$ 500.000 del rubro de gastos imprevistos del Programa)</w:t>
      </w:r>
      <w:r w:rsidR="00CB4273" w:rsidRPr="00C775B4">
        <w:rPr>
          <w:rFonts w:ascii="Times New Roman" w:hAnsi="Times New Roman"/>
          <w:sz w:val="24"/>
          <w:lang w:val="es-ES"/>
        </w:rPr>
        <w:t>.</w:t>
      </w:r>
    </w:p>
    <w:tbl>
      <w:tblPr>
        <w:tblW w:w="8505" w:type="dxa"/>
        <w:tblInd w:w="675" w:type="dxa"/>
        <w:tblLayout w:type="fixed"/>
        <w:tblLook w:val="04A0" w:firstRow="1" w:lastRow="0" w:firstColumn="1" w:lastColumn="0" w:noHBand="0" w:noVBand="1"/>
      </w:tblPr>
      <w:tblGrid>
        <w:gridCol w:w="567"/>
        <w:gridCol w:w="3828"/>
        <w:gridCol w:w="1417"/>
        <w:gridCol w:w="2693"/>
      </w:tblGrid>
      <w:tr w:rsidR="007B3237" w:rsidRPr="00C775B4" w:rsidTr="00415D21">
        <w:trPr>
          <w:trHeight w:val="513"/>
        </w:trPr>
        <w:tc>
          <w:tcPr>
            <w:tcW w:w="8505" w:type="dxa"/>
            <w:gridSpan w:val="4"/>
            <w:tcBorders>
              <w:top w:val="nil"/>
              <w:left w:val="nil"/>
              <w:bottom w:val="single" w:sz="4" w:space="0" w:color="auto"/>
              <w:right w:val="nil"/>
            </w:tcBorders>
            <w:shd w:val="clear" w:color="auto" w:fill="auto"/>
            <w:noWrap/>
            <w:vAlign w:val="bottom"/>
            <w:hideMark/>
          </w:tcPr>
          <w:p w:rsidR="00B84211" w:rsidRPr="00C775B4" w:rsidRDefault="007B3237" w:rsidP="005733C4">
            <w:pPr>
              <w:pStyle w:val="TituloTabla"/>
              <w:ind w:left="0"/>
            </w:pPr>
            <w:r w:rsidRPr="00C775B4">
              <w:t>Tabla 1. Cálculo del valor monetario en USD de los beneficios</w:t>
            </w:r>
            <w:r w:rsidR="00CA176C" w:rsidRPr="00C775B4">
              <w:t xml:space="preserve"> anuales</w:t>
            </w:r>
            <w:r w:rsidRPr="00C775B4">
              <w:t xml:space="preserve"> derivados de</w:t>
            </w:r>
            <w:r w:rsidR="005472A2" w:rsidRPr="00C775B4">
              <w:t xml:space="preserve">l </w:t>
            </w:r>
            <w:r w:rsidR="004652EF" w:rsidRPr="00C775B4">
              <w:t>Programa</w:t>
            </w:r>
            <w:r w:rsidR="00FF1BB3" w:rsidRPr="00C775B4">
              <w:t>, Anuales para el año 201</w:t>
            </w:r>
            <w:r w:rsidR="005733C4" w:rsidRPr="00C775B4">
              <w:t>8</w:t>
            </w:r>
          </w:p>
        </w:tc>
      </w:tr>
      <w:tr w:rsidR="007B3237" w:rsidRPr="00C775B4" w:rsidTr="00141ED0">
        <w:trPr>
          <w:trHeight w:val="280"/>
        </w:trPr>
        <w:tc>
          <w:tcPr>
            <w:tcW w:w="567" w:type="dxa"/>
            <w:tcBorders>
              <w:top w:val="nil"/>
              <w:left w:val="nil"/>
              <w:bottom w:val="nil"/>
              <w:right w:val="nil"/>
            </w:tcBorders>
            <w:shd w:val="clear" w:color="auto" w:fill="auto"/>
            <w:noWrap/>
            <w:hideMark/>
          </w:tcPr>
          <w:p w:rsidR="00B84211" w:rsidRPr="00C775B4" w:rsidRDefault="007B3237"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1</w:t>
            </w:r>
          </w:p>
        </w:tc>
        <w:tc>
          <w:tcPr>
            <w:tcW w:w="3828" w:type="dxa"/>
            <w:tcBorders>
              <w:top w:val="nil"/>
              <w:left w:val="nil"/>
              <w:bottom w:val="nil"/>
              <w:right w:val="single" w:sz="4" w:space="0" w:color="auto"/>
            </w:tcBorders>
            <w:shd w:val="clear" w:color="auto" w:fill="auto"/>
            <w:noWrap/>
            <w:vAlign w:val="center"/>
          </w:tcPr>
          <w:p w:rsidR="00B84211" w:rsidRPr="00C775B4" w:rsidRDefault="00141ED0" w:rsidP="00141ED0">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Universo de refuerzos</w:t>
            </w:r>
            <w:r w:rsidR="00E9507C" w:rsidRPr="00C775B4">
              <w:rPr>
                <w:rFonts w:ascii="Times New Roman" w:eastAsia="Times New Roman" w:hAnsi="Times New Roman"/>
                <w:color w:val="000000"/>
                <w:lang w:val="es-ES"/>
              </w:rPr>
              <w:t xml:space="preserve"> </w:t>
            </w:r>
            <w:r w:rsidR="00B53D28" w:rsidRPr="00C775B4">
              <w:rPr>
                <w:rFonts w:ascii="Times New Roman" w:eastAsia="Times New Roman" w:hAnsi="Times New Roman"/>
                <w:color w:val="000000"/>
                <w:lang w:val="es-ES"/>
              </w:rPr>
              <w:t>millones USD</w:t>
            </w:r>
          </w:p>
        </w:tc>
        <w:tc>
          <w:tcPr>
            <w:tcW w:w="1417" w:type="dxa"/>
            <w:tcBorders>
              <w:top w:val="nil"/>
              <w:left w:val="nil"/>
              <w:bottom w:val="nil"/>
              <w:right w:val="single" w:sz="4" w:space="0" w:color="auto"/>
            </w:tcBorders>
            <w:shd w:val="clear" w:color="auto" w:fill="auto"/>
            <w:noWrap/>
            <w:vAlign w:val="center"/>
            <w:hideMark/>
          </w:tcPr>
          <w:p w:rsidR="00B84211" w:rsidRPr="00C775B4" w:rsidRDefault="00141ED0" w:rsidP="00E4066B">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470</w:t>
            </w:r>
          </w:p>
        </w:tc>
        <w:tc>
          <w:tcPr>
            <w:tcW w:w="2693" w:type="dxa"/>
            <w:tcBorders>
              <w:top w:val="nil"/>
              <w:left w:val="nil"/>
              <w:bottom w:val="nil"/>
              <w:right w:val="nil"/>
            </w:tcBorders>
            <w:shd w:val="clear" w:color="auto" w:fill="auto"/>
            <w:noWrap/>
            <w:vAlign w:val="center"/>
            <w:hideMark/>
          </w:tcPr>
          <w:p w:rsidR="00B84211" w:rsidRPr="00C775B4" w:rsidRDefault="002366E5" w:rsidP="00B53D28">
            <w:pPr>
              <w:pStyle w:val="Entabla"/>
            </w:pPr>
            <w:r w:rsidRPr="00C775B4">
              <w:t>Datos de Programa</w:t>
            </w:r>
          </w:p>
        </w:tc>
      </w:tr>
      <w:tr w:rsidR="007B3237" w:rsidRPr="00C775B4" w:rsidTr="00141ED0">
        <w:trPr>
          <w:trHeight w:val="280"/>
        </w:trPr>
        <w:tc>
          <w:tcPr>
            <w:tcW w:w="567" w:type="dxa"/>
            <w:tcBorders>
              <w:top w:val="nil"/>
              <w:left w:val="nil"/>
              <w:bottom w:val="nil"/>
              <w:right w:val="nil"/>
            </w:tcBorders>
            <w:shd w:val="clear" w:color="auto" w:fill="auto"/>
            <w:noWrap/>
            <w:hideMark/>
          </w:tcPr>
          <w:p w:rsidR="00B84211" w:rsidRPr="00C775B4" w:rsidRDefault="00B53D28"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2</w:t>
            </w:r>
          </w:p>
        </w:tc>
        <w:tc>
          <w:tcPr>
            <w:tcW w:w="3828" w:type="dxa"/>
            <w:tcBorders>
              <w:top w:val="nil"/>
              <w:left w:val="nil"/>
              <w:bottom w:val="nil"/>
              <w:right w:val="single" w:sz="4" w:space="0" w:color="auto"/>
            </w:tcBorders>
            <w:shd w:val="clear" w:color="auto" w:fill="auto"/>
            <w:noWrap/>
            <w:vAlign w:val="bottom"/>
            <w:hideMark/>
          </w:tcPr>
          <w:p w:rsidR="00B84211" w:rsidRPr="00C775B4" w:rsidRDefault="00141ED0" w:rsidP="007E6104">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Universo afectado por el Programa</w:t>
            </w:r>
          </w:p>
        </w:tc>
        <w:tc>
          <w:tcPr>
            <w:tcW w:w="1417" w:type="dxa"/>
            <w:tcBorders>
              <w:top w:val="nil"/>
              <w:left w:val="nil"/>
              <w:bottom w:val="nil"/>
              <w:right w:val="single" w:sz="4" w:space="0" w:color="auto"/>
            </w:tcBorders>
            <w:shd w:val="clear" w:color="auto" w:fill="auto"/>
            <w:noWrap/>
            <w:vAlign w:val="center"/>
            <w:hideMark/>
          </w:tcPr>
          <w:p w:rsidR="00B84211" w:rsidRPr="00C775B4" w:rsidRDefault="00141ED0" w:rsidP="002366E5">
            <w:pPr>
              <w:spacing w:after="0" w:line="240" w:lineRule="auto"/>
              <w:ind w:left="567" w:hanging="567"/>
              <w:jc w:val="right"/>
              <w:rPr>
                <w:rFonts w:ascii="Times New Roman" w:eastAsia="Times New Roman" w:hAnsi="Times New Roman"/>
                <w:b/>
                <w:bCs/>
                <w:color w:val="000000"/>
                <w:lang w:val="es-ES"/>
              </w:rPr>
            </w:pPr>
            <w:r w:rsidRPr="00C775B4">
              <w:rPr>
                <w:rFonts w:ascii="Times New Roman" w:eastAsia="Times New Roman" w:hAnsi="Times New Roman"/>
                <w:color w:val="000000"/>
                <w:lang w:val="es-ES"/>
              </w:rPr>
              <w:t>70</w:t>
            </w:r>
            <w:r w:rsidR="00693534" w:rsidRPr="00C775B4">
              <w:rPr>
                <w:rFonts w:ascii="Times New Roman" w:eastAsia="Times New Roman" w:hAnsi="Times New Roman"/>
                <w:color w:val="000000"/>
                <w:lang w:val="es-ES"/>
              </w:rPr>
              <w:t>%</w:t>
            </w:r>
          </w:p>
        </w:tc>
        <w:tc>
          <w:tcPr>
            <w:tcW w:w="2693" w:type="dxa"/>
            <w:tcBorders>
              <w:top w:val="nil"/>
              <w:left w:val="nil"/>
              <w:bottom w:val="nil"/>
              <w:right w:val="nil"/>
            </w:tcBorders>
            <w:shd w:val="clear" w:color="auto" w:fill="auto"/>
            <w:noWrap/>
            <w:vAlign w:val="center"/>
            <w:hideMark/>
          </w:tcPr>
          <w:p w:rsidR="00B84211" w:rsidRPr="00C775B4" w:rsidRDefault="00460F68" w:rsidP="00024850">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Proyección del Programa</w:t>
            </w:r>
          </w:p>
        </w:tc>
      </w:tr>
      <w:tr w:rsidR="00141ED0" w:rsidRPr="00C775B4" w:rsidTr="00141ED0">
        <w:trPr>
          <w:trHeight w:val="280"/>
        </w:trPr>
        <w:tc>
          <w:tcPr>
            <w:tcW w:w="567" w:type="dxa"/>
            <w:tcBorders>
              <w:top w:val="nil"/>
              <w:left w:val="nil"/>
              <w:bottom w:val="nil"/>
              <w:right w:val="nil"/>
            </w:tcBorders>
            <w:shd w:val="clear" w:color="auto" w:fill="auto"/>
            <w:noWrap/>
          </w:tcPr>
          <w:p w:rsidR="00141ED0" w:rsidRPr="00C775B4" w:rsidRDefault="00141ED0"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3</w:t>
            </w:r>
          </w:p>
        </w:tc>
        <w:tc>
          <w:tcPr>
            <w:tcW w:w="3828" w:type="dxa"/>
            <w:tcBorders>
              <w:top w:val="nil"/>
              <w:left w:val="nil"/>
              <w:bottom w:val="nil"/>
              <w:right w:val="single" w:sz="4" w:space="0" w:color="auto"/>
            </w:tcBorders>
            <w:shd w:val="clear" w:color="auto" w:fill="auto"/>
            <w:noWrap/>
            <w:vAlign w:val="bottom"/>
          </w:tcPr>
          <w:p w:rsidR="00141ED0" w:rsidRPr="00C775B4" w:rsidRDefault="00141ED0" w:rsidP="007E6104">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Reducción esperada de refuerzos</w:t>
            </w:r>
          </w:p>
        </w:tc>
        <w:tc>
          <w:tcPr>
            <w:tcW w:w="1417" w:type="dxa"/>
            <w:tcBorders>
              <w:top w:val="nil"/>
              <w:left w:val="nil"/>
              <w:bottom w:val="nil"/>
              <w:right w:val="single" w:sz="4" w:space="0" w:color="auto"/>
            </w:tcBorders>
            <w:shd w:val="clear" w:color="auto" w:fill="auto"/>
            <w:noWrap/>
            <w:vAlign w:val="center"/>
          </w:tcPr>
          <w:p w:rsidR="00141ED0" w:rsidRPr="00C775B4" w:rsidRDefault="006E114B" w:rsidP="001A2AD5">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5</w:t>
            </w:r>
            <w:r w:rsidR="001A2AD5">
              <w:rPr>
                <w:rFonts w:ascii="Times New Roman" w:eastAsia="Times New Roman" w:hAnsi="Times New Roman"/>
                <w:color w:val="000000"/>
                <w:lang w:val="es-ES"/>
              </w:rPr>
              <w:t>0</w:t>
            </w:r>
            <w:r w:rsidR="00141ED0" w:rsidRPr="00C775B4">
              <w:rPr>
                <w:rFonts w:ascii="Times New Roman" w:eastAsia="Times New Roman" w:hAnsi="Times New Roman"/>
                <w:color w:val="000000"/>
                <w:lang w:val="es-ES"/>
              </w:rPr>
              <w:t>%</w:t>
            </w:r>
          </w:p>
        </w:tc>
        <w:tc>
          <w:tcPr>
            <w:tcW w:w="2693" w:type="dxa"/>
            <w:tcBorders>
              <w:top w:val="nil"/>
              <w:left w:val="nil"/>
              <w:bottom w:val="nil"/>
              <w:right w:val="nil"/>
            </w:tcBorders>
            <w:shd w:val="clear" w:color="auto" w:fill="auto"/>
            <w:noWrap/>
            <w:vAlign w:val="center"/>
          </w:tcPr>
          <w:p w:rsidR="00141ED0" w:rsidRPr="00C775B4" w:rsidRDefault="00141ED0" w:rsidP="0002485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Proyección del Programa</w:t>
            </w:r>
          </w:p>
        </w:tc>
      </w:tr>
      <w:tr w:rsidR="007B3237" w:rsidRPr="00C775B4" w:rsidTr="00141ED0">
        <w:trPr>
          <w:trHeight w:val="280"/>
        </w:trPr>
        <w:tc>
          <w:tcPr>
            <w:tcW w:w="567" w:type="dxa"/>
            <w:tcBorders>
              <w:top w:val="nil"/>
              <w:left w:val="nil"/>
              <w:bottom w:val="nil"/>
              <w:right w:val="nil"/>
            </w:tcBorders>
            <w:shd w:val="clear" w:color="auto" w:fill="auto"/>
            <w:noWrap/>
            <w:hideMark/>
          </w:tcPr>
          <w:p w:rsidR="00B84211" w:rsidRPr="00C775B4" w:rsidRDefault="00141ED0" w:rsidP="00141ED0">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4</w:t>
            </w:r>
          </w:p>
        </w:tc>
        <w:tc>
          <w:tcPr>
            <w:tcW w:w="3828" w:type="dxa"/>
            <w:tcBorders>
              <w:top w:val="nil"/>
              <w:left w:val="nil"/>
              <w:bottom w:val="nil"/>
              <w:right w:val="single" w:sz="4" w:space="0" w:color="auto"/>
            </w:tcBorders>
            <w:shd w:val="clear" w:color="auto" w:fill="auto"/>
            <w:noWrap/>
            <w:vAlign w:val="center"/>
            <w:hideMark/>
          </w:tcPr>
          <w:p w:rsidR="00B84211" w:rsidRPr="00C775B4" w:rsidRDefault="00141ED0">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Tasa anual de retorno social</w:t>
            </w:r>
          </w:p>
        </w:tc>
        <w:tc>
          <w:tcPr>
            <w:tcW w:w="1417" w:type="dxa"/>
            <w:tcBorders>
              <w:top w:val="nil"/>
              <w:left w:val="nil"/>
              <w:bottom w:val="nil"/>
              <w:right w:val="single" w:sz="4" w:space="0" w:color="auto"/>
            </w:tcBorders>
            <w:shd w:val="clear" w:color="auto" w:fill="auto"/>
            <w:noWrap/>
            <w:vAlign w:val="center"/>
            <w:hideMark/>
          </w:tcPr>
          <w:p w:rsidR="00B84211" w:rsidRPr="00C775B4" w:rsidRDefault="00141ED0" w:rsidP="00C54F41">
            <w:pPr>
              <w:spacing w:after="0" w:line="240" w:lineRule="auto"/>
              <w:ind w:left="567" w:hanging="567"/>
              <w:jc w:val="right"/>
              <w:rPr>
                <w:rFonts w:ascii="Times New Roman" w:eastAsia="Times New Roman" w:hAnsi="Times New Roman"/>
                <w:b/>
                <w:bCs/>
                <w:color w:val="000000"/>
                <w:lang w:val="es-ES"/>
              </w:rPr>
            </w:pPr>
            <w:r w:rsidRPr="00C775B4">
              <w:rPr>
                <w:rFonts w:ascii="Times New Roman" w:eastAsia="Times New Roman" w:hAnsi="Times New Roman"/>
                <w:color w:val="000000"/>
                <w:lang w:val="es-ES"/>
              </w:rPr>
              <w:t>5%</w:t>
            </w:r>
            <w:r w:rsidR="007B3237" w:rsidRPr="00C775B4">
              <w:rPr>
                <w:rFonts w:ascii="Times New Roman" w:eastAsia="Times New Roman" w:hAnsi="Times New Roman"/>
                <w:color w:val="000000"/>
                <w:lang w:val="es-ES"/>
              </w:rPr>
              <w:t xml:space="preserve"> </w:t>
            </w:r>
          </w:p>
        </w:tc>
        <w:tc>
          <w:tcPr>
            <w:tcW w:w="2693" w:type="dxa"/>
            <w:tcBorders>
              <w:top w:val="nil"/>
              <w:left w:val="nil"/>
              <w:bottom w:val="nil"/>
              <w:right w:val="nil"/>
            </w:tcBorders>
            <w:shd w:val="clear" w:color="auto" w:fill="auto"/>
            <w:noWrap/>
            <w:vAlign w:val="center"/>
            <w:hideMark/>
          </w:tcPr>
          <w:p w:rsidR="00B84211" w:rsidRPr="00C775B4" w:rsidRDefault="00141ED0" w:rsidP="00460F68">
            <w:pPr>
              <w:pStyle w:val="Entabla"/>
              <w:rPr>
                <w:b/>
                <w:bCs/>
              </w:rPr>
            </w:pPr>
            <w:r w:rsidRPr="00C775B4">
              <w:t>Oficina de Planificación</w:t>
            </w:r>
          </w:p>
        </w:tc>
      </w:tr>
      <w:tr w:rsidR="00B53D28" w:rsidRPr="00C775B4" w:rsidTr="00141ED0">
        <w:trPr>
          <w:trHeight w:val="280"/>
        </w:trPr>
        <w:tc>
          <w:tcPr>
            <w:tcW w:w="567" w:type="dxa"/>
            <w:tcBorders>
              <w:top w:val="nil"/>
              <w:left w:val="nil"/>
              <w:bottom w:val="nil"/>
              <w:right w:val="nil"/>
            </w:tcBorders>
            <w:shd w:val="clear" w:color="auto" w:fill="auto"/>
            <w:noWrap/>
          </w:tcPr>
          <w:p w:rsidR="00B53D28" w:rsidRPr="00C775B4" w:rsidRDefault="00141ED0"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5</w:t>
            </w:r>
          </w:p>
        </w:tc>
        <w:tc>
          <w:tcPr>
            <w:tcW w:w="3828" w:type="dxa"/>
            <w:tcBorders>
              <w:top w:val="nil"/>
              <w:left w:val="nil"/>
              <w:bottom w:val="nil"/>
              <w:right w:val="single" w:sz="4" w:space="0" w:color="auto"/>
            </w:tcBorders>
            <w:shd w:val="clear" w:color="auto" w:fill="auto"/>
            <w:noWrap/>
            <w:vAlign w:val="center"/>
          </w:tcPr>
          <w:p w:rsidR="00B53D28" w:rsidRPr="00C775B4" w:rsidRDefault="00141ED0" w:rsidP="000A166A">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 xml:space="preserve">Demora en </w:t>
            </w:r>
            <w:r w:rsidR="00C775B4" w:rsidRPr="00C775B4">
              <w:rPr>
                <w:rFonts w:ascii="Times New Roman" w:eastAsia="Times New Roman" w:hAnsi="Times New Roman"/>
                <w:color w:val="000000"/>
                <w:lang w:val="es-ES"/>
              </w:rPr>
              <w:t>meses de</w:t>
            </w:r>
            <w:r w:rsidRPr="00C775B4">
              <w:rPr>
                <w:rFonts w:ascii="Times New Roman" w:eastAsia="Times New Roman" w:hAnsi="Times New Roman"/>
                <w:color w:val="000000"/>
                <w:lang w:val="es-ES"/>
              </w:rPr>
              <w:t xml:space="preserve"> la implementación de refuerzos</w:t>
            </w:r>
          </w:p>
        </w:tc>
        <w:tc>
          <w:tcPr>
            <w:tcW w:w="1417" w:type="dxa"/>
            <w:tcBorders>
              <w:top w:val="nil"/>
              <w:left w:val="nil"/>
              <w:bottom w:val="nil"/>
              <w:right w:val="single" w:sz="4" w:space="0" w:color="auto"/>
            </w:tcBorders>
            <w:shd w:val="clear" w:color="auto" w:fill="auto"/>
            <w:noWrap/>
            <w:vAlign w:val="center"/>
          </w:tcPr>
          <w:p w:rsidR="00B53D28" w:rsidRPr="00C775B4" w:rsidRDefault="000A166A" w:rsidP="00C54F41">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3</w:t>
            </w:r>
          </w:p>
        </w:tc>
        <w:tc>
          <w:tcPr>
            <w:tcW w:w="2693" w:type="dxa"/>
            <w:tcBorders>
              <w:top w:val="nil"/>
              <w:left w:val="nil"/>
              <w:bottom w:val="nil"/>
              <w:right w:val="nil"/>
            </w:tcBorders>
            <w:shd w:val="clear" w:color="auto" w:fill="auto"/>
            <w:noWrap/>
            <w:vAlign w:val="center"/>
          </w:tcPr>
          <w:p w:rsidR="00B53D28" w:rsidRPr="00C775B4" w:rsidRDefault="00460F68" w:rsidP="00EF1461">
            <w:pPr>
              <w:pStyle w:val="Entabla"/>
            </w:pPr>
            <w:r w:rsidRPr="00C775B4">
              <w:t>Proyección del Programa</w:t>
            </w:r>
          </w:p>
        </w:tc>
      </w:tr>
      <w:tr w:rsidR="007B3237" w:rsidRPr="00C775B4" w:rsidTr="00141ED0">
        <w:trPr>
          <w:trHeight w:val="280"/>
        </w:trPr>
        <w:tc>
          <w:tcPr>
            <w:tcW w:w="567" w:type="dxa"/>
            <w:tcBorders>
              <w:top w:val="nil"/>
              <w:left w:val="nil"/>
              <w:bottom w:val="nil"/>
              <w:right w:val="nil"/>
            </w:tcBorders>
            <w:shd w:val="clear" w:color="auto" w:fill="auto"/>
            <w:noWrap/>
            <w:hideMark/>
          </w:tcPr>
          <w:p w:rsidR="00B84211" w:rsidRPr="00C775B4" w:rsidRDefault="00141ED0"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6</w:t>
            </w:r>
          </w:p>
        </w:tc>
        <w:tc>
          <w:tcPr>
            <w:tcW w:w="3828" w:type="dxa"/>
            <w:tcBorders>
              <w:top w:val="nil"/>
              <w:left w:val="nil"/>
              <w:bottom w:val="nil"/>
              <w:right w:val="single" w:sz="4" w:space="0" w:color="auto"/>
            </w:tcBorders>
            <w:shd w:val="clear" w:color="auto" w:fill="auto"/>
            <w:noWrap/>
            <w:vAlign w:val="center"/>
            <w:hideMark/>
          </w:tcPr>
          <w:p w:rsidR="00B84211" w:rsidRPr="00C775B4" w:rsidRDefault="00141ED0" w:rsidP="000A166A">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Beneficios anuales por ahorro de refuerzos miles USD</w:t>
            </w:r>
          </w:p>
        </w:tc>
        <w:tc>
          <w:tcPr>
            <w:tcW w:w="1417" w:type="dxa"/>
            <w:tcBorders>
              <w:top w:val="nil"/>
              <w:left w:val="nil"/>
              <w:bottom w:val="nil"/>
              <w:right w:val="single" w:sz="4" w:space="0" w:color="auto"/>
            </w:tcBorders>
            <w:shd w:val="clear" w:color="auto" w:fill="auto"/>
            <w:noWrap/>
            <w:vAlign w:val="center"/>
            <w:hideMark/>
          </w:tcPr>
          <w:p w:rsidR="00B84211" w:rsidRPr="00C775B4" w:rsidRDefault="001A2AD5" w:rsidP="001A2AD5">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2</w:t>
            </w:r>
            <w:r w:rsidR="000A166A" w:rsidRPr="00C775B4">
              <w:rPr>
                <w:rFonts w:ascii="Times New Roman" w:eastAsia="Times New Roman" w:hAnsi="Times New Roman"/>
                <w:color w:val="000000"/>
                <w:lang w:val="es-ES"/>
              </w:rPr>
              <w:t>.</w:t>
            </w:r>
            <w:r>
              <w:rPr>
                <w:rFonts w:ascii="Times New Roman" w:eastAsia="Times New Roman" w:hAnsi="Times New Roman"/>
                <w:color w:val="000000"/>
                <w:lang w:val="es-ES"/>
              </w:rPr>
              <w:t>0</w:t>
            </w:r>
            <w:r w:rsidR="006E114B">
              <w:rPr>
                <w:rFonts w:ascii="Times New Roman" w:eastAsia="Times New Roman" w:hAnsi="Times New Roman"/>
                <w:color w:val="000000"/>
                <w:lang w:val="es-ES"/>
              </w:rPr>
              <w:t>5</w:t>
            </w:r>
            <w:r>
              <w:rPr>
                <w:rFonts w:ascii="Times New Roman" w:eastAsia="Times New Roman" w:hAnsi="Times New Roman"/>
                <w:color w:val="000000"/>
                <w:lang w:val="es-ES"/>
              </w:rPr>
              <w:t>6</w:t>
            </w:r>
          </w:p>
        </w:tc>
        <w:tc>
          <w:tcPr>
            <w:tcW w:w="2693" w:type="dxa"/>
            <w:tcBorders>
              <w:top w:val="nil"/>
              <w:left w:val="nil"/>
              <w:bottom w:val="nil"/>
              <w:right w:val="nil"/>
            </w:tcBorders>
            <w:shd w:val="clear" w:color="auto" w:fill="auto"/>
            <w:noWrap/>
            <w:vAlign w:val="center"/>
            <w:hideMark/>
          </w:tcPr>
          <w:p w:rsidR="00B84211" w:rsidRPr="00C775B4" w:rsidRDefault="001E1015" w:rsidP="000A166A">
            <w:pPr>
              <w:spacing w:after="0" w:line="240" w:lineRule="auto"/>
              <w:ind w:left="567" w:hanging="567"/>
              <w:rPr>
                <w:rFonts w:ascii="Times New Roman" w:eastAsia="Times New Roman" w:hAnsi="Times New Roman"/>
                <w:b/>
                <w:bCs/>
                <w:color w:val="000000"/>
                <w:lang w:val="es-ES"/>
              </w:rPr>
            </w:pPr>
            <w:r w:rsidRPr="00C775B4">
              <w:rPr>
                <w:rFonts w:ascii="Times New Roman" w:eastAsia="Times New Roman" w:hAnsi="Times New Roman"/>
                <w:color w:val="000000"/>
                <w:lang w:val="es-ES"/>
              </w:rPr>
              <w:t>(</w:t>
            </w:r>
            <w:r w:rsidR="00EF1461" w:rsidRPr="00C775B4">
              <w:rPr>
                <w:rFonts w:ascii="Times New Roman" w:eastAsia="Times New Roman" w:hAnsi="Times New Roman"/>
                <w:color w:val="000000"/>
                <w:lang w:val="es-ES"/>
              </w:rPr>
              <w:t>1</w:t>
            </w:r>
            <w:r w:rsidRPr="00C775B4">
              <w:rPr>
                <w:rFonts w:ascii="Times New Roman" w:eastAsia="Times New Roman" w:hAnsi="Times New Roman"/>
                <w:color w:val="000000"/>
                <w:lang w:val="es-ES"/>
              </w:rPr>
              <w:t>)*(</w:t>
            </w:r>
            <w:r w:rsidR="00693534" w:rsidRPr="00C775B4">
              <w:rPr>
                <w:rFonts w:ascii="Times New Roman" w:eastAsia="Times New Roman" w:hAnsi="Times New Roman"/>
                <w:color w:val="000000"/>
                <w:lang w:val="es-ES"/>
              </w:rPr>
              <w:t>2</w:t>
            </w:r>
            <w:r w:rsidR="00B630E4" w:rsidRPr="00C775B4">
              <w:rPr>
                <w:rFonts w:ascii="Times New Roman" w:eastAsia="Times New Roman" w:hAnsi="Times New Roman"/>
                <w:color w:val="000000"/>
                <w:lang w:val="es-ES"/>
              </w:rPr>
              <w:t>)</w:t>
            </w:r>
            <w:r w:rsidR="00141ED0" w:rsidRPr="00C775B4">
              <w:rPr>
                <w:rFonts w:ascii="Times New Roman" w:eastAsia="Times New Roman" w:hAnsi="Times New Roman"/>
                <w:color w:val="000000"/>
                <w:lang w:val="es-ES"/>
              </w:rPr>
              <w:t>*</w:t>
            </w:r>
            <w:r w:rsidR="00EF1461" w:rsidRPr="00C775B4">
              <w:rPr>
                <w:rFonts w:ascii="Times New Roman" w:eastAsia="Times New Roman" w:hAnsi="Times New Roman"/>
                <w:color w:val="000000"/>
                <w:lang w:val="es-ES"/>
              </w:rPr>
              <w:t>(3</w:t>
            </w:r>
            <w:r w:rsidR="00693534" w:rsidRPr="00C775B4">
              <w:rPr>
                <w:rFonts w:ascii="Times New Roman" w:eastAsia="Times New Roman" w:hAnsi="Times New Roman"/>
                <w:color w:val="000000"/>
                <w:lang w:val="es-ES"/>
              </w:rPr>
              <w:t>)*(4)</w:t>
            </w:r>
            <w:r w:rsidR="00141ED0" w:rsidRPr="00C775B4">
              <w:rPr>
                <w:rFonts w:ascii="Times New Roman" w:eastAsia="Times New Roman" w:hAnsi="Times New Roman"/>
                <w:color w:val="000000"/>
                <w:lang w:val="es-ES"/>
              </w:rPr>
              <w:t>*(5)/</w:t>
            </w:r>
            <w:r w:rsidR="000A166A" w:rsidRPr="00C775B4">
              <w:rPr>
                <w:rFonts w:ascii="Times New Roman" w:eastAsia="Times New Roman" w:hAnsi="Times New Roman"/>
                <w:color w:val="000000"/>
                <w:lang w:val="es-ES"/>
              </w:rPr>
              <w:t>1</w:t>
            </w:r>
            <w:r w:rsidR="00141ED0" w:rsidRPr="00C775B4">
              <w:rPr>
                <w:rFonts w:ascii="Times New Roman" w:eastAsia="Times New Roman" w:hAnsi="Times New Roman"/>
                <w:color w:val="000000"/>
                <w:lang w:val="es-ES"/>
              </w:rPr>
              <w:t>2</w:t>
            </w:r>
          </w:p>
        </w:tc>
      </w:tr>
      <w:tr w:rsidR="00460F68" w:rsidRPr="00C775B4" w:rsidTr="00141ED0">
        <w:trPr>
          <w:trHeight w:val="280"/>
        </w:trPr>
        <w:tc>
          <w:tcPr>
            <w:tcW w:w="567" w:type="dxa"/>
            <w:tcBorders>
              <w:top w:val="nil"/>
              <w:left w:val="nil"/>
              <w:bottom w:val="nil"/>
              <w:right w:val="nil"/>
            </w:tcBorders>
            <w:shd w:val="clear" w:color="auto" w:fill="auto"/>
            <w:noWrap/>
          </w:tcPr>
          <w:p w:rsidR="00460F68" w:rsidRPr="00C775B4" w:rsidRDefault="00141ED0"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7</w:t>
            </w:r>
          </w:p>
        </w:tc>
        <w:tc>
          <w:tcPr>
            <w:tcW w:w="3828" w:type="dxa"/>
            <w:tcBorders>
              <w:top w:val="nil"/>
              <w:left w:val="nil"/>
              <w:bottom w:val="nil"/>
              <w:right w:val="single" w:sz="4" w:space="0" w:color="auto"/>
            </w:tcBorders>
            <w:shd w:val="clear" w:color="auto" w:fill="auto"/>
            <w:noWrap/>
            <w:vAlign w:val="center"/>
          </w:tcPr>
          <w:p w:rsidR="00460F68" w:rsidRPr="00C775B4" w:rsidRDefault="00141ED0" w:rsidP="00EF1461">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Sueldo Promedio Sector Público USD</w:t>
            </w:r>
          </w:p>
        </w:tc>
        <w:tc>
          <w:tcPr>
            <w:tcW w:w="1417" w:type="dxa"/>
            <w:tcBorders>
              <w:top w:val="nil"/>
              <w:left w:val="nil"/>
              <w:bottom w:val="nil"/>
              <w:right w:val="single" w:sz="4" w:space="0" w:color="auto"/>
            </w:tcBorders>
            <w:shd w:val="clear" w:color="auto" w:fill="auto"/>
            <w:noWrap/>
            <w:vAlign w:val="center"/>
          </w:tcPr>
          <w:p w:rsidR="00460F68" w:rsidRPr="00C775B4" w:rsidRDefault="00141ED0" w:rsidP="009C2917">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45.000</w:t>
            </w:r>
          </w:p>
        </w:tc>
        <w:tc>
          <w:tcPr>
            <w:tcW w:w="2693" w:type="dxa"/>
            <w:tcBorders>
              <w:top w:val="nil"/>
              <w:left w:val="nil"/>
              <w:bottom w:val="nil"/>
              <w:right w:val="nil"/>
            </w:tcBorders>
            <w:shd w:val="clear" w:color="auto" w:fill="auto"/>
            <w:noWrap/>
            <w:vAlign w:val="center"/>
          </w:tcPr>
          <w:p w:rsidR="00460F68" w:rsidRPr="00C775B4" w:rsidRDefault="00460F68" w:rsidP="00693534">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Datos del Programa</w:t>
            </w:r>
          </w:p>
        </w:tc>
      </w:tr>
      <w:tr w:rsidR="00141ED0" w:rsidRPr="00C775B4" w:rsidTr="00141ED0">
        <w:trPr>
          <w:trHeight w:val="280"/>
        </w:trPr>
        <w:tc>
          <w:tcPr>
            <w:tcW w:w="567" w:type="dxa"/>
            <w:tcBorders>
              <w:top w:val="nil"/>
              <w:left w:val="nil"/>
              <w:bottom w:val="nil"/>
              <w:right w:val="nil"/>
            </w:tcBorders>
            <w:shd w:val="clear" w:color="auto" w:fill="auto"/>
            <w:noWrap/>
          </w:tcPr>
          <w:p w:rsidR="00141ED0" w:rsidRPr="00C775B4" w:rsidRDefault="00141ED0"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8</w:t>
            </w:r>
          </w:p>
        </w:tc>
        <w:tc>
          <w:tcPr>
            <w:tcW w:w="3828" w:type="dxa"/>
            <w:tcBorders>
              <w:top w:val="nil"/>
              <w:left w:val="nil"/>
              <w:bottom w:val="nil"/>
              <w:right w:val="single" w:sz="4" w:space="0" w:color="auto"/>
            </w:tcBorders>
            <w:shd w:val="clear" w:color="auto" w:fill="auto"/>
            <w:noWrap/>
            <w:vAlign w:val="center"/>
          </w:tcPr>
          <w:p w:rsidR="00141ED0" w:rsidRPr="00C775B4" w:rsidRDefault="000A166A" w:rsidP="00EF1461">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Leyes Sociales</w:t>
            </w:r>
          </w:p>
        </w:tc>
        <w:tc>
          <w:tcPr>
            <w:tcW w:w="1417" w:type="dxa"/>
            <w:tcBorders>
              <w:top w:val="nil"/>
              <w:left w:val="nil"/>
              <w:bottom w:val="nil"/>
              <w:right w:val="single" w:sz="4" w:space="0" w:color="auto"/>
            </w:tcBorders>
            <w:shd w:val="clear" w:color="auto" w:fill="auto"/>
            <w:noWrap/>
            <w:vAlign w:val="center"/>
          </w:tcPr>
          <w:p w:rsidR="00141ED0" w:rsidRPr="00C775B4" w:rsidRDefault="00141ED0" w:rsidP="000A166A">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2</w:t>
            </w:r>
            <w:r w:rsidR="000A166A" w:rsidRPr="00C775B4">
              <w:rPr>
                <w:rFonts w:ascii="Times New Roman" w:eastAsia="Times New Roman" w:hAnsi="Times New Roman"/>
                <w:color w:val="000000"/>
                <w:lang w:val="es-ES"/>
              </w:rPr>
              <w:t>5%</w:t>
            </w:r>
          </w:p>
        </w:tc>
        <w:tc>
          <w:tcPr>
            <w:tcW w:w="2693" w:type="dxa"/>
            <w:tcBorders>
              <w:top w:val="nil"/>
              <w:left w:val="nil"/>
              <w:bottom w:val="nil"/>
              <w:right w:val="nil"/>
            </w:tcBorders>
            <w:shd w:val="clear" w:color="auto" w:fill="auto"/>
            <w:noWrap/>
            <w:vAlign w:val="center"/>
          </w:tcPr>
          <w:p w:rsidR="00141ED0" w:rsidRPr="00C775B4" w:rsidRDefault="00141ED0" w:rsidP="00693534">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Datos del Programa</w:t>
            </w:r>
          </w:p>
        </w:tc>
      </w:tr>
      <w:tr w:rsidR="00141ED0" w:rsidRPr="00C775B4" w:rsidTr="00141ED0">
        <w:trPr>
          <w:trHeight w:val="280"/>
        </w:trPr>
        <w:tc>
          <w:tcPr>
            <w:tcW w:w="567" w:type="dxa"/>
            <w:tcBorders>
              <w:top w:val="nil"/>
              <w:left w:val="nil"/>
              <w:bottom w:val="nil"/>
              <w:right w:val="nil"/>
            </w:tcBorders>
            <w:shd w:val="clear" w:color="auto" w:fill="auto"/>
            <w:noWrap/>
          </w:tcPr>
          <w:p w:rsidR="00141ED0" w:rsidRPr="00C775B4" w:rsidRDefault="00141ED0" w:rsidP="00141ED0">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9</w:t>
            </w:r>
          </w:p>
        </w:tc>
        <w:tc>
          <w:tcPr>
            <w:tcW w:w="3828" w:type="dxa"/>
            <w:tcBorders>
              <w:top w:val="nil"/>
              <w:left w:val="nil"/>
              <w:bottom w:val="nil"/>
              <w:right w:val="single" w:sz="4" w:space="0" w:color="auto"/>
            </w:tcBorders>
            <w:shd w:val="clear" w:color="auto" w:fill="auto"/>
            <w:noWrap/>
            <w:vAlign w:val="center"/>
          </w:tcPr>
          <w:p w:rsidR="00141ED0" w:rsidRPr="00C775B4" w:rsidRDefault="000A166A" w:rsidP="00EF1461">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Trámites de refuerzos 2013</w:t>
            </w:r>
          </w:p>
        </w:tc>
        <w:tc>
          <w:tcPr>
            <w:tcW w:w="1417" w:type="dxa"/>
            <w:tcBorders>
              <w:top w:val="nil"/>
              <w:left w:val="nil"/>
              <w:bottom w:val="nil"/>
              <w:right w:val="single" w:sz="4" w:space="0" w:color="auto"/>
            </w:tcBorders>
            <w:shd w:val="clear" w:color="auto" w:fill="auto"/>
            <w:noWrap/>
            <w:vAlign w:val="center"/>
          </w:tcPr>
          <w:p w:rsidR="00141ED0" w:rsidRPr="00C775B4" w:rsidRDefault="000A166A" w:rsidP="000A166A">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229</w:t>
            </w:r>
          </w:p>
        </w:tc>
        <w:tc>
          <w:tcPr>
            <w:tcW w:w="2693" w:type="dxa"/>
            <w:tcBorders>
              <w:top w:val="nil"/>
              <w:left w:val="nil"/>
              <w:bottom w:val="nil"/>
              <w:right w:val="nil"/>
            </w:tcBorders>
            <w:shd w:val="clear" w:color="auto" w:fill="auto"/>
            <w:noWrap/>
            <w:vAlign w:val="center"/>
          </w:tcPr>
          <w:p w:rsidR="00141ED0" w:rsidRPr="00C775B4" w:rsidRDefault="00141ED0" w:rsidP="00693534">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Proyección del Programa</w:t>
            </w:r>
          </w:p>
        </w:tc>
      </w:tr>
      <w:tr w:rsidR="00141ED0" w:rsidRPr="00C775B4" w:rsidTr="00141ED0">
        <w:trPr>
          <w:trHeight w:val="280"/>
        </w:trPr>
        <w:tc>
          <w:tcPr>
            <w:tcW w:w="567" w:type="dxa"/>
            <w:tcBorders>
              <w:top w:val="nil"/>
              <w:left w:val="nil"/>
              <w:bottom w:val="nil"/>
              <w:right w:val="nil"/>
            </w:tcBorders>
            <w:shd w:val="clear" w:color="auto" w:fill="auto"/>
            <w:noWrap/>
          </w:tcPr>
          <w:p w:rsidR="00141ED0" w:rsidRPr="00C775B4" w:rsidRDefault="00141ED0" w:rsidP="00141ED0">
            <w:pPr>
              <w:spacing w:after="0" w:line="240" w:lineRule="auto"/>
              <w:rPr>
                <w:rFonts w:ascii="Times New Roman" w:eastAsia="Times New Roman" w:hAnsi="Times New Roman"/>
                <w:color w:val="000000"/>
                <w:lang w:val="es-ES"/>
              </w:rPr>
            </w:pPr>
            <w:r w:rsidRPr="00C775B4">
              <w:rPr>
                <w:rFonts w:ascii="Times New Roman" w:eastAsia="Times New Roman" w:hAnsi="Times New Roman"/>
                <w:color w:val="000000"/>
                <w:lang w:val="es-ES"/>
              </w:rPr>
              <w:t>10</w:t>
            </w:r>
          </w:p>
        </w:tc>
        <w:tc>
          <w:tcPr>
            <w:tcW w:w="3828" w:type="dxa"/>
            <w:tcBorders>
              <w:top w:val="nil"/>
              <w:left w:val="nil"/>
              <w:bottom w:val="nil"/>
              <w:right w:val="single" w:sz="4" w:space="0" w:color="auto"/>
            </w:tcBorders>
            <w:shd w:val="clear" w:color="auto" w:fill="auto"/>
            <w:noWrap/>
            <w:vAlign w:val="center"/>
          </w:tcPr>
          <w:p w:rsidR="00141ED0" w:rsidRPr="00C775B4" w:rsidRDefault="000A166A" w:rsidP="000A166A">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Reducción de Trámites</w:t>
            </w:r>
            <w:r w:rsidRPr="00C775B4" w:rsidDel="000A166A">
              <w:rPr>
                <w:rFonts w:ascii="Times New Roman" w:eastAsia="Times New Roman" w:hAnsi="Times New Roman"/>
                <w:color w:val="000000"/>
                <w:lang w:val="es-ES"/>
              </w:rPr>
              <w:t xml:space="preserve"> </w:t>
            </w:r>
          </w:p>
        </w:tc>
        <w:tc>
          <w:tcPr>
            <w:tcW w:w="1417" w:type="dxa"/>
            <w:tcBorders>
              <w:top w:val="nil"/>
              <w:left w:val="nil"/>
              <w:bottom w:val="nil"/>
              <w:right w:val="single" w:sz="4" w:space="0" w:color="auto"/>
            </w:tcBorders>
            <w:shd w:val="clear" w:color="auto" w:fill="auto"/>
            <w:noWrap/>
            <w:vAlign w:val="center"/>
          </w:tcPr>
          <w:p w:rsidR="00141ED0" w:rsidRPr="00C775B4" w:rsidRDefault="006E114B" w:rsidP="006E114B">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50</w:t>
            </w:r>
            <w:r w:rsidR="000A166A" w:rsidRPr="00C775B4">
              <w:rPr>
                <w:rFonts w:ascii="Times New Roman" w:eastAsia="Times New Roman" w:hAnsi="Times New Roman"/>
                <w:color w:val="000000"/>
                <w:lang w:val="es-ES"/>
              </w:rPr>
              <w:t>%</w:t>
            </w:r>
          </w:p>
        </w:tc>
        <w:tc>
          <w:tcPr>
            <w:tcW w:w="2693" w:type="dxa"/>
            <w:tcBorders>
              <w:top w:val="nil"/>
              <w:left w:val="nil"/>
              <w:bottom w:val="nil"/>
              <w:right w:val="nil"/>
            </w:tcBorders>
            <w:shd w:val="clear" w:color="auto" w:fill="auto"/>
            <w:noWrap/>
            <w:vAlign w:val="center"/>
          </w:tcPr>
          <w:p w:rsidR="00141ED0" w:rsidRPr="00C775B4" w:rsidRDefault="00141ED0" w:rsidP="00693534">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Datos del Programa</w:t>
            </w:r>
          </w:p>
        </w:tc>
      </w:tr>
      <w:tr w:rsidR="00141ED0" w:rsidRPr="00C775B4" w:rsidTr="00141ED0">
        <w:trPr>
          <w:trHeight w:val="280"/>
        </w:trPr>
        <w:tc>
          <w:tcPr>
            <w:tcW w:w="567" w:type="dxa"/>
            <w:tcBorders>
              <w:top w:val="nil"/>
              <w:left w:val="nil"/>
              <w:bottom w:val="nil"/>
              <w:right w:val="nil"/>
            </w:tcBorders>
            <w:shd w:val="clear" w:color="auto" w:fill="auto"/>
            <w:noWrap/>
          </w:tcPr>
          <w:p w:rsidR="00141ED0" w:rsidRPr="00C775B4" w:rsidRDefault="00141ED0" w:rsidP="00141ED0">
            <w:pPr>
              <w:spacing w:after="0" w:line="240" w:lineRule="auto"/>
              <w:rPr>
                <w:rFonts w:ascii="Times New Roman" w:eastAsia="Times New Roman" w:hAnsi="Times New Roman"/>
                <w:color w:val="000000"/>
                <w:lang w:val="es-ES"/>
              </w:rPr>
            </w:pPr>
            <w:r w:rsidRPr="00C775B4">
              <w:rPr>
                <w:rFonts w:ascii="Times New Roman" w:eastAsia="Times New Roman" w:hAnsi="Times New Roman"/>
                <w:color w:val="000000"/>
                <w:lang w:val="es-ES"/>
              </w:rPr>
              <w:t>11</w:t>
            </w:r>
          </w:p>
        </w:tc>
        <w:tc>
          <w:tcPr>
            <w:tcW w:w="3828" w:type="dxa"/>
            <w:tcBorders>
              <w:top w:val="nil"/>
              <w:left w:val="nil"/>
              <w:bottom w:val="nil"/>
              <w:right w:val="single" w:sz="4" w:space="0" w:color="auto"/>
            </w:tcBorders>
            <w:shd w:val="clear" w:color="auto" w:fill="auto"/>
            <w:noWrap/>
            <w:vAlign w:val="center"/>
          </w:tcPr>
          <w:p w:rsidR="00141ED0" w:rsidRPr="00C775B4" w:rsidRDefault="000A166A" w:rsidP="00EF1461">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Días-hombre necesarios por Trámite</w:t>
            </w:r>
            <w:r w:rsidRPr="00C775B4" w:rsidDel="000A166A">
              <w:rPr>
                <w:rFonts w:ascii="Times New Roman" w:eastAsia="Times New Roman" w:hAnsi="Times New Roman"/>
                <w:color w:val="000000"/>
                <w:lang w:val="es-ES"/>
              </w:rPr>
              <w:t xml:space="preserve"> </w:t>
            </w:r>
          </w:p>
        </w:tc>
        <w:tc>
          <w:tcPr>
            <w:tcW w:w="1417" w:type="dxa"/>
            <w:tcBorders>
              <w:top w:val="nil"/>
              <w:left w:val="nil"/>
              <w:bottom w:val="nil"/>
              <w:right w:val="single" w:sz="4" w:space="0" w:color="auto"/>
            </w:tcBorders>
            <w:shd w:val="clear" w:color="auto" w:fill="auto"/>
            <w:noWrap/>
            <w:vAlign w:val="center"/>
          </w:tcPr>
          <w:p w:rsidR="00141ED0" w:rsidRPr="00C775B4" w:rsidRDefault="000A166A" w:rsidP="000A166A">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24</w:t>
            </w:r>
          </w:p>
        </w:tc>
        <w:tc>
          <w:tcPr>
            <w:tcW w:w="2693" w:type="dxa"/>
            <w:tcBorders>
              <w:top w:val="nil"/>
              <w:left w:val="nil"/>
              <w:bottom w:val="nil"/>
              <w:right w:val="nil"/>
            </w:tcBorders>
            <w:shd w:val="clear" w:color="auto" w:fill="auto"/>
            <w:noWrap/>
            <w:vAlign w:val="center"/>
          </w:tcPr>
          <w:p w:rsidR="00141ED0" w:rsidRPr="00C775B4" w:rsidRDefault="00141ED0" w:rsidP="00693534">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Datos del Programa</w:t>
            </w:r>
          </w:p>
        </w:tc>
      </w:tr>
      <w:tr w:rsidR="00141ED0" w:rsidRPr="00C775B4" w:rsidTr="00141ED0">
        <w:trPr>
          <w:trHeight w:val="280"/>
        </w:trPr>
        <w:tc>
          <w:tcPr>
            <w:tcW w:w="567" w:type="dxa"/>
            <w:tcBorders>
              <w:top w:val="nil"/>
              <w:left w:val="nil"/>
              <w:bottom w:val="nil"/>
              <w:right w:val="nil"/>
            </w:tcBorders>
            <w:shd w:val="clear" w:color="auto" w:fill="auto"/>
            <w:noWrap/>
          </w:tcPr>
          <w:p w:rsidR="00141ED0" w:rsidRPr="00C775B4" w:rsidRDefault="00141ED0" w:rsidP="00141ED0">
            <w:pPr>
              <w:spacing w:after="0" w:line="240" w:lineRule="auto"/>
              <w:rPr>
                <w:rFonts w:ascii="Times New Roman" w:eastAsia="Times New Roman" w:hAnsi="Times New Roman"/>
                <w:color w:val="000000"/>
                <w:lang w:val="es-ES"/>
              </w:rPr>
            </w:pPr>
            <w:r w:rsidRPr="00C775B4">
              <w:rPr>
                <w:rFonts w:ascii="Times New Roman" w:eastAsia="Times New Roman" w:hAnsi="Times New Roman"/>
                <w:color w:val="000000"/>
                <w:lang w:val="es-ES"/>
              </w:rPr>
              <w:t>12</w:t>
            </w:r>
          </w:p>
        </w:tc>
        <w:tc>
          <w:tcPr>
            <w:tcW w:w="3828" w:type="dxa"/>
            <w:tcBorders>
              <w:top w:val="nil"/>
              <w:left w:val="nil"/>
              <w:bottom w:val="nil"/>
              <w:right w:val="single" w:sz="4" w:space="0" w:color="auto"/>
            </w:tcBorders>
            <w:shd w:val="clear" w:color="auto" w:fill="auto"/>
            <w:noWrap/>
            <w:vAlign w:val="center"/>
          </w:tcPr>
          <w:p w:rsidR="00141ED0" w:rsidRPr="00C775B4" w:rsidRDefault="00141ED0" w:rsidP="000A166A">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Beneficios Anuales por ahorro se salarios miles USD</w:t>
            </w:r>
          </w:p>
        </w:tc>
        <w:tc>
          <w:tcPr>
            <w:tcW w:w="1417" w:type="dxa"/>
            <w:tcBorders>
              <w:top w:val="nil"/>
              <w:left w:val="nil"/>
              <w:bottom w:val="nil"/>
              <w:right w:val="single" w:sz="4" w:space="0" w:color="auto"/>
            </w:tcBorders>
            <w:shd w:val="clear" w:color="auto" w:fill="auto"/>
            <w:noWrap/>
            <w:vAlign w:val="center"/>
          </w:tcPr>
          <w:p w:rsidR="00141ED0" w:rsidRPr="00C775B4" w:rsidRDefault="00365578" w:rsidP="000A166A">
            <w:pPr>
              <w:spacing w:after="0" w:line="240" w:lineRule="auto"/>
              <w:ind w:left="567" w:hanging="567"/>
              <w:jc w:val="right"/>
              <w:rPr>
                <w:rFonts w:ascii="Times New Roman" w:eastAsia="Times New Roman" w:hAnsi="Times New Roman"/>
                <w:color w:val="000000"/>
                <w:lang w:val="es-ES"/>
              </w:rPr>
            </w:pPr>
            <w:r w:rsidRPr="00C775B4">
              <w:rPr>
                <w:rFonts w:ascii="Times New Roman" w:eastAsia="Times New Roman" w:hAnsi="Times New Roman"/>
                <w:color w:val="000000"/>
                <w:lang w:val="es-ES"/>
              </w:rPr>
              <w:t>7</w:t>
            </w:r>
            <w:r w:rsidR="000A166A" w:rsidRPr="00C775B4">
              <w:rPr>
                <w:rFonts w:ascii="Times New Roman" w:eastAsia="Times New Roman" w:hAnsi="Times New Roman"/>
                <w:color w:val="000000"/>
                <w:lang w:val="es-ES"/>
              </w:rPr>
              <w:t>03</w:t>
            </w:r>
          </w:p>
        </w:tc>
        <w:tc>
          <w:tcPr>
            <w:tcW w:w="2693" w:type="dxa"/>
            <w:tcBorders>
              <w:top w:val="nil"/>
              <w:left w:val="nil"/>
              <w:bottom w:val="nil"/>
              <w:right w:val="nil"/>
            </w:tcBorders>
            <w:shd w:val="clear" w:color="auto" w:fill="auto"/>
            <w:noWrap/>
            <w:vAlign w:val="center"/>
          </w:tcPr>
          <w:p w:rsidR="00141ED0" w:rsidRPr="00C775B4" w:rsidRDefault="00365578" w:rsidP="00365578">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(7)*(</w:t>
            </w:r>
            <w:r w:rsidR="00E736EA" w:rsidRPr="00C775B4">
              <w:rPr>
                <w:rFonts w:ascii="Times New Roman" w:eastAsia="Times New Roman" w:hAnsi="Times New Roman"/>
                <w:color w:val="000000"/>
                <w:lang w:val="es-ES"/>
              </w:rPr>
              <w:t>1+</w:t>
            </w:r>
            <w:r w:rsidRPr="00C775B4">
              <w:rPr>
                <w:rFonts w:ascii="Times New Roman" w:eastAsia="Times New Roman" w:hAnsi="Times New Roman"/>
                <w:color w:val="000000"/>
                <w:lang w:val="es-ES"/>
              </w:rPr>
              <w:t>8)*(9)*(10*(11)/264</w:t>
            </w:r>
          </w:p>
        </w:tc>
      </w:tr>
      <w:tr w:rsidR="00460F68" w:rsidRPr="00C775B4" w:rsidTr="00141ED0">
        <w:trPr>
          <w:trHeight w:val="293"/>
        </w:trPr>
        <w:tc>
          <w:tcPr>
            <w:tcW w:w="567" w:type="dxa"/>
            <w:tcBorders>
              <w:top w:val="nil"/>
              <w:left w:val="nil"/>
              <w:bottom w:val="nil"/>
              <w:right w:val="nil"/>
            </w:tcBorders>
            <w:shd w:val="clear" w:color="auto" w:fill="auto"/>
            <w:noWrap/>
          </w:tcPr>
          <w:p w:rsidR="00460F68" w:rsidRPr="00C775B4" w:rsidRDefault="00141ED0" w:rsidP="00365578">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1</w:t>
            </w:r>
            <w:r w:rsidR="00365578" w:rsidRPr="00C775B4">
              <w:rPr>
                <w:rFonts w:ascii="Times New Roman" w:eastAsia="Times New Roman" w:hAnsi="Times New Roman"/>
                <w:color w:val="000000"/>
                <w:lang w:val="es-ES"/>
              </w:rPr>
              <w:t>3</w:t>
            </w:r>
          </w:p>
        </w:tc>
        <w:tc>
          <w:tcPr>
            <w:tcW w:w="3828" w:type="dxa"/>
            <w:tcBorders>
              <w:top w:val="nil"/>
              <w:left w:val="nil"/>
              <w:bottom w:val="nil"/>
              <w:right w:val="single" w:sz="4" w:space="0" w:color="auto"/>
            </w:tcBorders>
            <w:shd w:val="clear" w:color="auto" w:fill="auto"/>
            <w:noWrap/>
            <w:vAlign w:val="center"/>
          </w:tcPr>
          <w:p w:rsidR="00460F68" w:rsidRPr="00C775B4" w:rsidRDefault="00460F68" w:rsidP="000A166A">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Beneficios Anuales miles USD</w:t>
            </w:r>
          </w:p>
        </w:tc>
        <w:tc>
          <w:tcPr>
            <w:tcW w:w="1417" w:type="dxa"/>
            <w:tcBorders>
              <w:top w:val="nil"/>
              <w:left w:val="nil"/>
              <w:bottom w:val="nil"/>
              <w:right w:val="single" w:sz="4" w:space="0" w:color="auto"/>
            </w:tcBorders>
            <w:shd w:val="clear" w:color="auto" w:fill="auto"/>
            <w:noWrap/>
            <w:vAlign w:val="center"/>
          </w:tcPr>
          <w:p w:rsidR="00460F68" w:rsidRPr="00C775B4" w:rsidRDefault="006E114B" w:rsidP="006E114B">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2</w:t>
            </w:r>
            <w:r w:rsidR="00365578" w:rsidRPr="00C775B4">
              <w:rPr>
                <w:rFonts w:ascii="Times New Roman" w:eastAsia="Times New Roman" w:hAnsi="Times New Roman"/>
                <w:color w:val="000000"/>
                <w:lang w:val="es-ES"/>
              </w:rPr>
              <w:t>,</w:t>
            </w:r>
            <w:r>
              <w:rPr>
                <w:rFonts w:ascii="Times New Roman" w:eastAsia="Times New Roman" w:hAnsi="Times New Roman"/>
                <w:color w:val="000000"/>
                <w:lang w:val="es-ES"/>
              </w:rPr>
              <w:t>554</w:t>
            </w:r>
          </w:p>
        </w:tc>
        <w:tc>
          <w:tcPr>
            <w:tcW w:w="2693" w:type="dxa"/>
            <w:tcBorders>
              <w:top w:val="nil"/>
              <w:left w:val="nil"/>
              <w:bottom w:val="nil"/>
              <w:right w:val="nil"/>
            </w:tcBorders>
            <w:shd w:val="clear" w:color="auto" w:fill="auto"/>
            <w:noWrap/>
            <w:vAlign w:val="center"/>
          </w:tcPr>
          <w:p w:rsidR="00460F68" w:rsidRPr="00C775B4" w:rsidRDefault="00460F68" w:rsidP="00365578">
            <w:pPr>
              <w:spacing w:after="0" w:line="240" w:lineRule="auto"/>
              <w:ind w:left="567" w:hanging="567"/>
              <w:rPr>
                <w:rFonts w:ascii="Times New Roman" w:eastAsia="Times New Roman" w:hAnsi="Times New Roman"/>
                <w:color w:val="000000"/>
                <w:lang w:val="es-ES"/>
              </w:rPr>
            </w:pPr>
            <w:r w:rsidRPr="00C775B4">
              <w:rPr>
                <w:rFonts w:ascii="Times New Roman" w:eastAsia="Times New Roman" w:hAnsi="Times New Roman"/>
                <w:color w:val="000000"/>
                <w:lang w:val="es-ES"/>
              </w:rPr>
              <w:t>(</w:t>
            </w:r>
            <w:r w:rsidR="00365578" w:rsidRPr="00C775B4">
              <w:rPr>
                <w:rFonts w:ascii="Times New Roman" w:eastAsia="Times New Roman" w:hAnsi="Times New Roman"/>
                <w:color w:val="000000"/>
                <w:lang w:val="es-ES"/>
              </w:rPr>
              <w:t>6</w:t>
            </w:r>
            <w:r w:rsidRPr="00C775B4">
              <w:rPr>
                <w:rFonts w:ascii="Times New Roman" w:eastAsia="Times New Roman" w:hAnsi="Times New Roman"/>
                <w:color w:val="000000"/>
                <w:lang w:val="es-ES"/>
              </w:rPr>
              <w:t>)</w:t>
            </w:r>
            <w:r w:rsidR="00365578" w:rsidRPr="00C775B4">
              <w:rPr>
                <w:rFonts w:ascii="Times New Roman" w:eastAsia="Times New Roman" w:hAnsi="Times New Roman"/>
                <w:color w:val="000000"/>
                <w:lang w:val="es-ES"/>
              </w:rPr>
              <w:t>+</w:t>
            </w:r>
            <w:r w:rsidRPr="00C775B4">
              <w:rPr>
                <w:rFonts w:ascii="Times New Roman" w:eastAsia="Times New Roman" w:hAnsi="Times New Roman"/>
                <w:color w:val="000000"/>
                <w:lang w:val="es-ES"/>
              </w:rPr>
              <w:t>(</w:t>
            </w:r>
            <w:r w:rsidR="00365578" w:rsidRPr="00C775B4">
              <w:rPr>
                <w:rFonts w:ascii="Times New Roman" w:eastAsia="Times New Roman" w:hAnsi="Times New Roman"/>
                <w:color w:val="000000"/>
                <w:lang w:val="es-ES"/>
              </w:rPr>
              <w:t>12</w:t>
            </w:r>
            <w:r w:rsidRPr="00C775B4">
              <w:rPr>
                <w:rFonts w:ascii="Times New Roman" w:eastAsia="Times New Roman" w:hAnsi="Times New Roman"/>
                <w:color w:val="000000"/>
                <w:lang w:val="es-ES"/>
              </w:rPr>
              <w:t>)</w:t>
            </w:r>
          </w:p>
        </w:tc>
      </w:tr>
    </w:tbl>
    <w:p w:rsidR="00B84211" w:rsidRPr="00C775B4" w:rsidRDefault="00B84211" w:rsidP="00F50CE0">
      <w:pPr>
        <w:spacing w:after="0" w:line="480" w:lineRule="auto"/>
        <w:jc w:val="both"/>
        <w:rPr>
          <w:rFonts w:ascii="Times New Roman" w:hAnsi="Times New Roman"/>
          <w:b/>
          <w:sz w:val="24"/>
          <w:szCs w:val="24"/>
          <w:lang w:val="es-ES"/>
        </w:rPr>
      </w:pPr>
    </w:p>
    <w:p w:rsidR="00B84211" w:rsidRPr="00C775B4" w:rsidRDefault="00474B5D" w:rsidP="00A1566C">
      <w:pPr>
        <w:pStyle w:val="ListParagraph"/>
        <w:numPr>
          <w:ilvl w:val="0"/>
          <w:numId w:val="17"/>
        </w:numPr>
        <w:spacing w:after="0" w:line="480" w:lineRule="auto"/>
        <w:jc w:val="both"/>
        <w:rPr>
          <w:rFonts w:ascii="Times New Roman" w:hAnsi="Times New Roman"/>
          <w:b/>
          <w:sz w:val="24"/>
          <w:szCs w:val="24"/>
          <w:lang w:val="es-ES"/>
        </w:rPr>
      </w:pPr>
      <w:r w:rsidRPr="00C775B4">
        <w:rPr>
          <w:rFonts w:ascii="Times New Roman" w:hAnsi="Times New Roman"/>
          <w:b/>
          <w:sz w:val="24"/>
          <w:szCs w:val="24"/>
          <w:lang w:val="es-ES"/>
        </w:rPr>
        <w:t xml:space="preserve"> Resultados, </w:t>
      </w:r>
      <w:r w:rsidR="00714298" w:rsidRPr="00C775B4">
        <w:rPr>
          <w:rFonts w:ascii="Times New Roman" w:hAnsi="Times New Roman"/>
          <w:b/>
          <w:sz w:val="24"/>
          <w:szCs w:val="24"/>
          <w:lang w:val="es-ES"/>
        </w:rPr>
        <w:t>análisis</w:t>
      </w:r>
      <w:r w:rsidR="00FA3356" w:rsidRPr="00C775B4">
        <w:rPr>
          <w:rFonts w:ascii="Times New Roman" w:hAnsi="Times New Roman"/>
          <w:b/>
          <w:sz w:val="24"/>
          <w:szCs w:val="24"/>
          <w:lang w:val="es-ES"/>
        </w:rPr>
        <w:t xml:space="preserve"> de sensibilidad</w:t>
      </w:r>
      <w:r w:rsidRPr="00C775B4">
        <w:rPr>
          <w:rFonts w:ascii="Times New Roman" w:hAnsi="Times New Roman"/>
          <w:b/>
          <w:sz w:val="24"/>
          <w:szCs w:val="24"/>
          <w:lang w:val="es-ES"/>
        </w:rPr>
        <w:t xml:space="preserve"> y </w:t>
      </w:r>
      <w:r w:rsidR="00714298" w:rsidRPr="00C775B4">
        <w:rPr>
          <w:rFonts w:ascii="Times New Roman" w:hAnsi="Times New Roman"/>
          <w:b/>
          <w:sz w:val="24"/>
          <w:szCs w:val="24"/>
          <w:lang w:val="es-ES"/>
        </w:rPr>
        <w:t>discusión</w:t>
      </w:r>
    </w:p>
    <w:p w:rsidR="00B84211" w:rsidRPr="00C775B4" w:rsidRDefault="00FA3356" w:rsidP="007E6104">
      <w:pPr>
        <w:pStyle w:val="Paragraph"/>
        <w:numPr>
          <w:ilvl w:val="1"/>
          <w:numId w:val="18"/>
        </w:numPr>
        <w:spacing w:before="0" w:after="0" w:line="480" w:lineRule="auto"/>
        <w:ind w:left="567" w:hanging="567"/>
        <w:rPr>
          <w:szCs w:val="24"/>
        </w:rPr>
      </w:pPr>
      <w:r w:rsidRPr="00C775B4">
        <w:rPr>
          <w:szCs w:val="24"/>
        </w:rPr>
        <w:t xml:space="preserve">Debido a la </w:t>
      </w:r>
      <w:r w:rsidR="00845A0D" w:rsidRPr="00C775B4">
        <w:rPr>
          <w:szCs w:val="24"/>
        </w:rPr>
        <w:t>importancia del supuesto</w:t>
      </w:r>
      <w:r w:rsidRPr="00C775B4">
        <w:rPr>
          <w:szCs w:val="24"/>
        </w:rPr>
        <w:t xml:space="preserve"> </w:t>
      </w:r>
      <w:r w:rsidR="00845A0D" w:rsidRPr="00C775B4">
        <w:rPr>
          <w:szCs w:val="24"/>
        </w:rPr>
        <w:t>del porcentaje de eficiencia</w:t>
      </w:r>
      <w:r w:rsidRPr="00C775B4">
        <w:rPr>
          <w:szCs w:val="24"/>
        </w:rPr>
        <w:t>, presentamo</w:t>
      </w:r>
      <w:r w:rsidR="00845A0D" w:rsidRPr="00C775B4">
        <w:rPr>
          <w:szCs w:val="24"/>
        </w:rPr>
        <w:t xml:space="preserve">s los resultados en paralelo del análisis de sensibilidad, en donde se incluyen dos escenarios alternativos al </w:t>
      </w:r>
      <w:r w:rsidR="00414834" w:rsidRPr="00C775B4">
        <w:rPr>
          <w:szCs w:val="24"/>
        </w:rPr>
        <w:t xml:space="preserve">escenario </w:t>
      </w:r>
      <w:r w:rsidR="00845A0D" w:rsidRPr="00C775B4">
        <w:rPr>
          <w:szCs w:val="24"/>
        </w:rPr>
        <w:t>base (uno conservador y otro favorable),</w:t>
      </w:r>
      <w:r w:rsidR="009918CD" w:rsidRPr="00C775B4">
        <w:rPr>
          <w:szCs w:val="24"/>
        </w:rPr>
        <w:t xml:space="preserve"> en la Tabla </w:t>
      </w:r>
      <w:r w:rsidR="0054751A" w:rsidRPr="00C775B4">
        <w:rPr>
          <w:szCs w:val="24"/>
        </w:rPr>
        <w:t>2</w:t>
      </w:r>
      <w:r w:rsidRPr="00C775B4">
        <w:rPr>
          <w:szCs w:val="24"/>
        </w:rPr>
        <w:t>.</w:t>
      </w:r>
    </w:p>
    <w:tbl>
      <w:tblPr>
        <w:tblW w:w="8647" w:type="dxa"/>
        <w:tblInd w:w="675" w:type="dxa"/>
        <w:tblLayout w:type="fixed"/>
        <w:tblLook w:val="04A0" w:firstRow="1" w:lastRow="0" w:firstColumn="1" w:lastColumn="0" w:noHBand="0" w:noVBand="1"/>
      </w:tblPr>
      <w:tblGrid>
        <w:gridCol w:w="1843"/>
        <w:gridCol w:w="1701"/>
        <w:gridCol w:w="1559"/>
        <w:gridCol w:w="1560"/>
        <w:gridCol w:w="1134"/>
        <w:gridCol w:w="850"/>
      </w:tblGrid>
      <w:tr w:rsidR="00BB26A9" w:rsidRPr="00C775B4" w:rsidTr="00A603AC">
        <w:trPr>
          <w:trHeight w:val="300"/>
        </w:trPr>
        <w:tc>
          <w:tcPr>
            <w:tcW w:w="7797" w:type="dxa"/>
            <w:gridSpan w:val="5"/>
            <w:tcBorders>
              <w:top w:val="nil"/>
              <w:left w:val="nil"/>
              <w:bottom w:val="single" w:sz="4" w:space="0" w:color="auto"/>
              <w:right w:val="nil"/>
            </w:tcBorders>
            <w:shd w:val="clear" w:color="auto" w:fill="auto"/>
            <w:vAlign w:val="center"/>
            <w:hideMark/>
          </w:tcPr>
          <w:p w:rsidR="00B84211" w:rsidRPr="00C775B4" w:rsidRDefault="008C25C2" w:rsidP="0054751A">
            <w:pPr>
              <w:pStyle w:val="TituloTabla"/>
              <w:rPr>
                <w:b w:val="0"/>
              </w:rPr>
            </w:pPr>
            <w:r w:rsidRPr="00C775B4">
              <w:t xml:space="preserve">Tabla </w:t>
            </w:r>
            <w:r w:rsidR="0054751A" w:rsidRPr="00C775B4">
              <w:t>2</w:t>
            </w:r>
            <w:r w:rsidRPr="00C775B4">
              <w:t>. Costo-beneficio y escenarios</w:t>
            </w:r>
          </w:p>
        </w:tc>
        <w:tc>
          <w:tcPr>
            <w:tcW w:w="850" w:type="dxa"/>
            <w:tcBorders>
              <w:top w:val="nil"/>
              <w:left w:val="nil"/>
              <w:bottom w:val="single" w:sz="4" w:space="0" w:color="auto"/>
              <w:right w:val="nil"/>
            </w:tcBorders>
            <w:shd w:val="clear" w:color="auto" w:fill="auto"/>
          </w:tcPr>
          <w:p w:rsidR="00B84211" w:rsidRPr="0061033D" w:rsidRDefault="00B84211" w:rsidP="007E6104">
            <w:pPr>
              <w:pStyle w:val="Entabla"/>
              <w:rPr>
                <w:b/>
              </w:rPr>
            </w:pPr>
          </w:p>
        </w:tc>
      </w:tr>
      <w:tr w:rsidR="00BB26A9" w:rsidRPr="00C775B4" w:rsidTr="00C14659">
        <w:trPr>
          <w:trHeight w:val="720"/>
        </w:trPr>
        <w:tc>
          <w:tcPr>
            <w:tcW w:w="1843" w:type="dxa"/>
            <w:tcBorders>
              <w:top w:val="nil"/>
              <w:left w:val="nil"/>
              <w:bottom w:val="single" w:sz="4" w:space="0" w:color="auto"/>
              <w:right w:val="nil"/>
            </w:tcBorders>
            <w:shd w:val="clear" w:color="auto" w:fill="auto"/>
            <w:noWrap/>
            <w:vAlign w:val="center"/>
            <w:hideMark/>
          </w:tcPr>
          <w:p w:rsidR="00B84211" w:rsidRPr="0061033D" w:rsidRDefault="00B84211" w:rsidP="007E6104">
            <w:pPr>
              <w:pStyle w:val="Entabla"/>
              <w:rPr>
                <w:b/>
              </w:rPr>
            </w:pPr>
          </w:p>
        </w:tc>
        <w:tc>
          <w:tcPr>
            <w:tcW w:w="1701" w:type="dxa"/>
            <w:tcBorders>
              <w:top w:val="nil"/>
              <w:left w:val="nil"/>
              <w:bottom w:val="single" w:sz="4" w:space="0" w:color="auto"/>
              <w:right w:val="nil"/>
            </w:tcBorders>
            <w:shd w:val="clear" w:color="auto" w:fill="auto"/>
            <w:vAlign w:val="center"/>
            <w:hideMark/>
          </w:tcPr>
          <w:p w:rsidR="00B84211" w:rsidRPr="00C775B4" w:rsidRDefault="008C25C2" w:rsidP="007E6104">
            <w:pPr>
              <w:pStyle w:val="Entabla"/>
              <w:rPr>
                <w:b/>
              </w:rPr>
            </w:pPr>
            <w:r w:rsidRPr="00C775B4">
              <w:rPr>
                <w:b/>
              </w:rPr>
              <w:t>VP Costos (USD)</w:t>
            </w:r>
          </w:p>
        </w:tc>
        <w:tc>
          <w:tcPr>
            <w:tcW w:w="1559" w:type="dxa"/>
            <w:tcBorders>
              <w:top w:val="nil"/>
              <w:left w:val="nil"/>
              <w:bottom w:val="single" w:sz="4" w:space="0" w:color="auto"/>
              <w:right w:val="nil"/>
            </w:tcBorders>
            <w:shd w:val="clear" w:color="auto" w:fill="auto"/>
            <w:vAlign w:val="center"/>
            <w:hideMark/>
          </w:tcPr>
          <w:p w:rsidR="00B84211" w:rsidRPr="00C775B4" w:rsidRDefault="008C25C2" w:rsidP="007E6104">
            <w:pPr>
              <w:pStyle w:val="Entabla"/>
              <w:rPr>
                <w:b/>
              </w:rPr>
            </w:pPr>
            <w:r w:rsidRPr="00C775B4">
              <w:rPr>
                <w:b/>
              </w:rPr>
              <w:t>VP Beneficios</w:t>
            </w:r>
            <w:r w:rsidR="00A603AC" w:rsidRPr="00C775B4">
              <w:rPr>
                <w:b/>
              </w:rPr>
              <w:t xml:space="preserve"> </w:t>
            </w:r>
          </w:p>
          <w:p w:rsidR="00B84211" w:rsidRPr="00C775B4" w:rsidRDefault="008C25C2" w:rsidP="007E6104">
            <w:pPr>
              <w:pStyle w:val="Entabla"/>
              <w:rPr>
                <w:b/>
              </w:rPr>
            </w:pPr>
            <w:r w:rsidRPr="00C775B4">
              <w:rPr>
                <w:b/>
              </w:rPr>
              <w:t>(USD)</w:t>
            </w:r>
          </w:p>
        </w:tc>
        <w:tc>
          <w:tcPr>
            <w:tcW w:w="1560" w:type="dxa"/>
            <w:tcBorders>
              <w:top w:val="nil"/>
              <w:left w:val="nil"/>
              <w:bottom w:val="single" w:sz="4" w:space="0" w:color="auto"/>
              <w:right w:val="nil"/>
            </w:tcBorders>
            <w:shd w:val="clear" w:color="auto" w:fill="auto"/>
            <w:vAlign w:val="center"/>
            <w:hideMark/>
          </w:tcPr>
          <w:p w:rsidR="00B84211" w:rsidRPr="00C775B4" w:rsidRDefault="008C25C2" w:rsidP="007E6104">
            <w:pPr>
              <w:pStyle w:val="Entabla"/>
              <w:rPr>
                <w:b/>
              </w:rPr>
            </w:pPr>
            <w:r w:rsidRPr="00C775B4">
              <w:rPr>
                <w:b/>
              </w:rPr>
              <w:t>Valor Presente Neto (USD)</w:t>
            </w:r>
          </w:p>
        </w:tc>
        <w:tc>
          <w:tcPr>
            <w:tcW w:w="1134" w:type="dxa"/>
            <w:tcBorders>
              <w:top w:val="nil"/>
              <w:left w:val="nil"/>
              <w:bottom w:val="single" w:sz="4" w:space="0" w:color="auto"/>
              <w:right w:val="nil"/>
            </w:tcBorders>
            <w:shd w:val="clear" w:color="auto" w:fill="auto"/>
            <w:vAlign w:val="center"/>
            <w:hideMark/>
          </w:tcPr>
          <w:p w:rsidR="00B84211" w:rsidRPr="00C775B4" w:rsidRDefault="008C25C2" w:rsidP="007E6104">
            <w:pPr>
              <w:pStyle w:val="Entabla"/>
              <w:rPr>
                <w:b/>
              </w:rPr>
            </w:pPr>
            <w:r w:rsidRPr="00C775B4">
              <w:rPr>
                <w:b/>
              </w:rPr>
              <w:t>Razón Beneficio/Costo</w:t>
            </w:r>
          </w:p>
        </w:tc>
        <w:tc>
          <w:tcPr>
            <w:tcW w:w="850" w:type="dxa"/>
            <w:tcBorders>
              <w:top w:val="nil"/>
              <w:left w:val="nil"/>
              <w:bottom w:val="single" w:sz="4" w:space="0" w:color="auto"/>
              <w:right w:val="nil"/>
            </w:tcBorders>
            <w:shd w:val="clear" w:color="auto" w:fill="auto"/>
            <w:vAlign w:val="center"/>
          </w:tcPr>
          <w:p w:rsidR="00B84211" w:rsidRPr="00C775B4" w:rsidRDefault="008C25C2" w:rsidP="007E6104">
            <w:pPr>
              <w:pStyle w:val="Entabla"/>
              <w:rPr>
                <w:b/>
              </w:rPr>
            </w:pPr>
            <w:r w:rsidRPr="00C775B4">
              <w:rPr>
                <w:b/>
              </w:rPr>
              <w:t>T</w:t>
            </w:r>
            <w:r w:rsidR="00BB26A9" w:rsidRPr="00C775B4">
              <w:rPr>
                <w:b/>
              </w:rPr>
              <w:t>IR</w:t>
            </w:r>
          </w:p>
          <w:p w:rsidR="00B84211" w:rsidRPr="00C775B4" w:rsidRDefault="008C25C2" w:rsidP="007E6104">
            <w:pPr>
              <w:pStyle w:val="Entabla"/>
              <w:rPr>
                <w:b/>
              </w:rPr>
            </w:pPr>
            <w:r w:rsidRPr="00C775B4">
              <w:rPr>
                <w:b/>
              </w:rPr>
              <w:t>Social</w:t>
            </w:r>
          </w:p>
        </w:tc>
      </w:tr>
      <w:tr w:rsidR="00BB26A9" w:rsidRPr="00C775B4" w:rsidTr="00C14659">
        <w:trPr>
          <w:trHeight w:val="300"/>
        </w:trPr>
        <w:tc>
          <w:tcPr>
            <w:tcW w:w="1843" w:type="dxa"/>
            <w:tcBorders>
              <w:top w:val="nil"/>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Escenario 1-Base</w:t>
            </w:r>
            <w:r w:rsidR="00997547" w:rsidRPr="0061033D">
              <w:rPr>
                <w:b/>
              </w:rPr>
              <w:t xml:space="preserve"> 12%</w:t>
            </w:r>
          </w:p>
        </w:tc>
        <w:tc>
          <w:tcPr>
            <w:tcW w:w="1701" w:type="dxa"/>
            <w:tcBorders>
              <w:top w:val="nil"/>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1559" w:type="dxa"/>
            <w:tcBorders>
              <w:top w:val="nil"/>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1560" w:type="dxa"/>
            <w:tcBorders>
              <w:top w:val="nil"/>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1134" w:type="dxa"/>
            <w:tcBorders>
              <w:top w:val="nil"/>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850" w:type="dxa"/>
            <w:tcBorders>
              <w:top w:val="nil"/>
              <w:left w:val="nil"/>
              <w:bottom w:val="single" w:sz="4" w:space="0" w:color="auto"/>
              <w:right w:val="nil"/>
            </w:tcBorders>
            <w:shd w:val="clear" w:color="auto" w:fill="auto"/>
          </w:tcPr>
          <w:p w:rsidR="00B84211" w:rsidRPr="0061033D" w:rsidRDefault="00B84211" w:rsidP="007E6104">
            <w:pPr>
              <w:pStyle w:val="Entabla"/>
              <w:rPr>
                <w:b/>
              </w:rPr>
            </w:pPr>
          </w:p>
        </w:tc>
      </w:tr>
      <w:tr w:rsidR="00BB26A9" w:rsidRPr="00C775B4" w:rsidTr="00C14659">
        <w:trPr>
          <w:trHeight w:val="300"/>
        </w:trPr>
        <w:tc>
          <w:tcPr>
            <w:tcW w:w="1843" w:type="dxa"/>
            <w:tcBorders>
              <w:top w:val="nil"/>
              <w:left w:val="nil"/>
              <w:bottom w:val="nil"/>
              <w:right w:val="nil"/>
            </w:tcBorders>
            <w:shd w:val="clear" w:color="auto" w:fill="auto"/>
            <w:noWrap/>
            <w:vAlign w:val="center"/>
          </w:tcPr>
          <w:p w:rsidR="00B84211" w:rsidRPr="00C775B4" w:rsidRDefault="008C25C2" w:rsidP="007E6104">
            <w:pPr>
              <w:pStyle w:val="Entabla"/>
            </w:pPr>
            <w:r w:rsidRPr="00C775B4">
              <w:t>Total</w:t>
            </w:r>
          </w:p>
        </w:tc>
        <w:tc>
          <w:tcPr>
            <w:tcW w:w="1701" w:type="dxa"/>
            <w:tcBorders>
              <w:top w:val="nil"/>
              <w:left w:val="nil"/>
              <w:bottom w:val="nil"/>
              <w:right w:val="nil"/>
            </w:tcBorders>
            <w:shd w:val="clear" w:color="auto" w:fill="auto"/>
            <w:noWrap/>
            <w:vAlign w:val="center"/>
          </w:tcPr>
          <w:p w:rsidR="00B84211" w:rsidRPr="00C775B4" w:rsidRDefault="00E736EA" w:rsidP="00F51A48">
            <w:pPr>
              <w:pStyle w:val="Entabla"/>
            </w:pPr>
            <w:r w:rsidRPr="00C775B4">
              <w:t>12</w:t>
            </w:r>
            <w:r w:rsidR="00F51A48">
              <w:t>.</w:t>
            </w:r>
            <w:r w:rsidRPr="00C775B4">
              <w:t>427</w:t>
            </w:r>
            <w:r w:rsidR="00F51A48">
              <w:t>.</w:t>
            </w:r>
            <w:r w:rsidRPr="00C775B4">
              <w:t>31</w:t>
            </w:r>
            <w:r w:rsidR="006E114B">
              <w:t>5</w:t>
            </w:r>
          </w:p>
        </w:tc>
        <w:tc>
          <w:tcPr>
            <w:tcW w:w="1559" w:type="dxa"/>
            <w:tcBorders>
              <w:top w:val="nil"/>
              <w:left w:val="nil"/>
              <w:bottom w:val="nil"/>
              <w:right w:val="nil"/>
            </w:tcBorders>
            <w:shd w:val="clear" w:color="auto" w:fill="auto"/>
            <w:noWrap/>
            <w:vAlign w:val="center"/>
          </w:tcPr>
          <w:p w:rsidR="00B84211" w:rsidRPr="00C775B4" w:rsidRDefault="00F51A48" w:rsidP="00F51A48">
            <w:pPr>
              <w:pStyle w:val="Entabla"/>
            </w:pPr>
            <w:r>
              <w:t>14.283.640</w:t>
            </w:r>
          </w:p>
        </w:tc>
        <w:tc>
          <w:tcPr>
            <w:tcW w:w="1560" w:type="dxa"/>
            <w:tcBorders>
              <w:top w:val="nil"/>
              <w:left w:val="nil"/>
              <w:bottom w:val="nil"/>
              <w:right w:val="nil"/>
            </w:tcBorders>
            <w:shd w:val="clear" w:color="auto" w:fill="auto"/>
            <w:noWrap/>
            <w:vAlign w:val="center"/>
          </w:tcPr>
          <w:p w:rsidR="00B84211" w:rsidRPr="00C775B4" w:rsidRDefault="00F51A48" w:rsidP="006E114B">
            <w:pPr>
              <w:pStyle w:val="Entabla"/>
            </w:pPr>
            <w:r>
              <w:t>1.856.325</w:t>
            </w:r>
            <w:r w:rsidR="00E736EA" w:rsidRPr="00C775B4">
              <w:t>-</w:t>
            </w:r>
          </w:p>
        </w:tc>
        <w:tc>
          <w:tcPr>
            <w:tcW w:w="1134" w:type="dxa"/>
            <w:tcBorders>
              <w:top w:val="nil"/>
              <w:left w:val="nil"/>
              <w:bottom w:val="nil"/>
              <w:right w:val="nil"/>
            </w:tcBorders>
            <w:shd w:val="clear" w:color="auto" w:fill="auto"/>
            <w:noWrap/>
            <w:vAlign w:val="center"/>
          </w:tcPr>
          <w:p w:rsidR="00B84211" w:rsidRPr="00C775B4" w:rsidRDefault="00F51A48" w:rsidP="006E114B">
            <w:pPr>
              <w:pStyle w:val="Entabla"/>
            </w:pPr>
            <w:r>
              <w:t>1,15</w:t>
            </w:r>
          </w:p>
        </w:tc>
        <w:tc>
          <w:tcPr>
            <w:tcW w:w="850" w:type="dxa"/>
            <w:tcBorders>
              <w:top w:val="nil"/>
              <w:left w:val="nil"/>
              <w:bottom w:val="nil"/>
              <w:right w:val="nil"/>
            </w:tcBorders>
            <w:shd w:val="clear" w:color="auto" w:fill="auto"/>
            <w:vAlign w:val="center"/>
          </w:tcPr>
          <w:p w:rsidR="00B84211" w:rsidRPr="00C775B4" w:rsidRDefault="006E114B" w:rsidP="00F51A48">
            <w:pPr>
              <w:pStyle w:val="Entabla"/>
            </w:pPr>
            <w:r>
              <w:t>1</w:t>
            </w:r>
            <w:r w:rsidR="00F51A48">
              <w:t>5</w:t>
            </w:r>
            <w:r w:rsidR="00E736EA" w:rsidRPr="00C775B4">
              <w:t>,</w:t>
            </w:r>
            <w:r w:rsidR="00F51A48">
              <w:t>9</w:t>
            </w:r>
            <w:r w:rsidR="008C25C2" w:rsidRPr="00C775B4">
              <w:t>%</w:t>
            </w:r>
          </w:p>
        </w:tc>
      </w:tr>
      <w:tr w:rsidR="00BB26A9" w:rsidRPr="00C775B4" w:rsidTr="00C14659">
        <w:trPr>
          <w:trHeight w:val="300"/>
        </w:trPr>
        <w:tc>
          <w:tcPr>
            <w:tcW w:w="1843" w:type="dxa"/>
            <w:tcBorders>
              <w:top w:val="single" w:sz="4" w:space="0" w:color="auto"/>
              <w:left w:val="nil"/>
              <w:bottom w:val="single" w:sz="4" w:space="0" w:color="auto"/>
              <w:right w:val="nil"/>
            </w:tcBorders>
            <w:shd w:val="clear" w:color="auto" w:fill="auto"/>
            <w:noWrap/>
            <w:vAlign w:val="center"/>
            <w:hideMark/>
          </w:tcPr>
          <w:p w:rsidR="00B84211" w:rsidRPr="0061033D" w:rsidRDefault="008C25C2" w:rsidP="00997547">
            <w:pPr>
              <w:pStyle w:val="Entabla"/>
              <w:rPr>
                <w:b/>
              </w:rPr>
            </w:pPr>
            <w:r w:rsidRPr="0061033D">
              <w:rPr>
                <w:b/>
              </w:rPr>
              <w:t>Escenario 2-</w:t>
            </w:r>
            <w:r w:rsidR="00997547" w:rsidRPr="0061033D">
              <w:rPr>
                <w:b/>
              </w:rPr>
              <w:t>Base 5%</w:t>
            </w:r>
          </w:p>
        </w:tc>
        <w:tc>
          <w:tcPr>
            <w:tcW w:w="1701" w:type="dxa"/>
            <w:tcBorders>
              <w:top w:val="single" w:sz="4" w:space="0" w:color="auto"/>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1559" w:type="dxa"/>
            <w:tcBorders>
              <w:top w:val="single" w:sz="4" w:space="0" w:color="auto"/>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1560" w:type="dxa"/>
            <w:tcBorders>
              <w:top w:val="single" w:sz="4" w:space="0" w:color="auto"/>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1134" w:type="dxa"/>
            <w:tcBorders>
              <w:top w:val="single" w:sz="4" w:space="0" w:color="auto"/>
              <w:left w:val="nil"/>
              <w:bottom w:val="single" w:sz="4" w:space="0" w:color="auto"/>
              <w:right w:val="nil"/>
            </w:tcBorders>
            <w:shd w:val="clear" w:color="auto" w:fill="auto"/>
            <w:noWrap/>
            <w:vAlign w:val="center"/>
            <w:hideMark/>
          </w:tcPr>
          <w:p w:rsidR="00B84211" w:rsidRPr="0061033D" w:rsidRDefault="008C25C2" w:rsidP="007E6104">
            <w:pPr>
              <w:pStyle w:val="Entabla"/>
              <w:rPr>
                <w:b/>
              </w:rPr>
            </w:pPr>
            <w:r w:rsidRPr="0061033D">
              <w:rPr>
                <w:b/>
              </w:rPr>
              <w:t> </w:t>
            </w:r>
          </w:p>
        </w:tc>
        <w:tc>
          <w:tcPr>
            <w:tcW w:w="850" w:type="dxa"/>
            <w:tcBorders>
              <w:top w:val="single" w:sz="4" w:space="0" w:color="auto"/>
              <w:left w:val="nil"/>
              <w:bottom w:val="single" w:sz="4" w:space="0" w:color="auto"/>
              <w:right w:val="nil"/>
            </w:tcBorders>
            <w:shd w:val="clear" w:color="auto" w:fill="auto"/>
          </w:tcPr>
          <w:p w:rsidR="00B84211" w:rsidRPr="0061033D" w:rsidRDefault="00B84211" w:rsidP="007E6104">
            <w:pPr>
              <w:pStyle w:val="Entabla"/>
              <w:rPr>
                <w:b/>
              </w:rPr>
            </w:pPr>
          </w:p>
        </w:tc>
      </w:tr>
      <w:tr w:rsidR="00BB26A9" w:rsidRPr="00C775B4" w:rsidTr="00C14659">
        <w:trPr>
          <w:trHeight w:val="300"/>
        </w:trPr>
        <w:tc>
          <w:tcPr>
            <w:tcW w:w="1843" w:type="dxa"/>
            <w:tcBorders>
              <w:top w:val="nil"/>
              <w:left w:val="nil"/>
              <w:bottom w:val="nil"/>
              <w:right w:val="nil"/>
            </w:tcBorders>
            <w:shd w:val="clear" w:color="auto" w:fill="auto"/>
            <w:noWrap/>
            <w:vAlign w:val="center"/>
          </w:tcPr>
          <w:p w:rsidR="00B84211" w:rsidRPr="00C775B4" w:rsidRDefault="008C25C2" w:rsidP="007E6104">
            <w:pPr>
              <w:pStyle w:val="Entabla"/>
            </w:pPr>
            <w:r w:rsidRPr="00C775B4">
              <w:t>Total</w:t>
            </w:r>
          </w:p>
        </w:tc>
        <w:tc>
          <w:tcPr>
            <w:tcW w:w="1701" w:type="dxa"/>
            <w:tcBorders>
              <w:top w:val="nil"/>
              <w:left w:val="nil"/>
              <w:bottom w:val="nil"/>
              <w:right w:val="nil"/>
            </w:tcBorders>
            <w:shd w:val="clear" w:color="auto" w:fill="auto"/>
            <w:noWrap/>
            <w:vAlign w:val="center"/>
          </w:tcPr>
          <w:p w:rsidR="00B84211" w:rsidRPr="00C775B4" w:rsidRDefault="00E736EA" w:rsidP="00C779FC">
            <w:pPr>
              <w:pStyle w:val="Entabla"/>
            </w:pPr>
            <w:r w:rsidRPr="00C775B4">
              <w:t>14,315,52</w:t>
            </w:r>
            <w:r w:rsidR="006E114B">
              <w:t>7</w:t>
            </w:r>
          </w:p>
        </w:tc>
        <w:tc>
          <w:tcPr>
            <w:tcW w:w="1559" w:type="dxa"/>
            <w:tcBorders>
              <w:top w:val="nil"/>
              <w:left w:val="nil"/>
              <w:bottom w:val="nil"/>
              <w:right w:val="nil"/>
            </w:tcBorders>
            <w:shd w:val="clear" w:color="auto" w:fill="auto"/>
            <w:noWrap/>
            <w:vAlign w:val="center"/>
          </w:tcPr>
          <w:p w:rsidR="00B84211" w:rsidRPr="00C775B4" w:rsidRDefault="00F51A48" w:rsidP="00F51A48">
            <w:pPr>
              <w:pStyle w:val="Entabla"/>
            </w:pPr>
            <w:r>
              <w:t>22.097.982</w:t>
            </w:r>
          </w:p>
        </w:tc>
        <w:tc>
          <w:tcPr>
            <w:tcW w:w="1560" w:type="dxa"/>
            <w:tcBorders>
              <w:top w:val="nil"/>
              <w:left w:val="nil"/>
              <w:bottom w:val="nil"/>
              <w:right w:val="nil"/>
            </w:tcBorders>
            <w:shd w:val="clear" w:color="auto" w:fill="auto"/>
            <w:noWrap/>
            <w:vAlign w:val="center"/>
          </w:tcPr>
          <w:p w:rsidR="00B84211" w:rsidRPr="00C775B4" w:rsidRDefault="00F51A48" w:rsidP="007E6104">
            <w:pPr>
              <w:pStyle w:val="Entabla"/>
            </w:pPr>
            <w:r>
              <w:t>7.782.455</w:t>
            </w:r>
          </w:p>
        </w:tc>
        <w:tc>
          <w:tcPr>
            <w:tcW w:w="1134" w:type="dxa"/>
            <w:tcBorders>
              <w:top w:val="nil"/>
              <w:left w:val="nil"/>
              <w:bottom w:val="nil"/>
              <w:right w:val="nil"/>
            </w:tcBorders>
            <w:shd w:val="clear" w:color="auto" w:fill="auto"/>
            <w:noWrap/>
            <w:vAlign w:val="center"/>
          </w:tcPr>
          <w:p w:rsidR="00B84211" w:rsidRPr="00C775B4" w:rsidRDefault="00D2420F" w:rsidP="00F51A48">
            <w:pPr>
              <w:pStyle w:val="Entabla"/>
            </w:pPr>
            <w:r w:rsidRPr="00C775B4">
              <w:t>1,</w:t>
            </w:r>
            <w:r w:rsidR="00F51A48">
              <w:t>54</w:t>
            </w:r>
          </w:p>
        </w:tc>
        <w:tc>
          <w:tcPr>
            <w:tcW w:w="850" w:type="dxa"/>
            <w:tcBorders>
              <w:top w:val="nil"/>
              <w:left w:val="nil"/>
              <w:bottom w:val="nil"/>
              <w:right w:val="nil"/>
            </w:tcBorders>
            <w:shd w:val="clear" w:color="auto" w:fill="auto"/>
            <w:vAlign w:val="center"/>
          </w:tcPr>
          <w:p w:rsidR="00B84211" w:rsidRPr="00C775B4" w:rsidRDefault="00F51A48" w:rsidP="008A0ACE">
            <w:pPr>
              <w:pStyle w:val="Entabla"/>
            </w:pPr>
            <w:r>
              <w:t>15,9</w:t>
            </w:r>
            <w:r w:rsidR="008C25C2" w:rsidRPr="00C775B4">
              <w:t>%</w:t>
            </w:r>
          </w:p>
        </w:tc>
      </w:tr>
      <w:tr w:rsidR="00BB26A9" w:rsidRPr="00C775B4" w:rsidTr="00C14659">
        <w:trPr>
          <w:trHeight w:val="287"/>
        </w:trPr>
        <w:tc>
          <w:tcPr>
            <w:tcW w:w="1843" w:type="dxa"/>
            <w:tcBorders>
              <w:top w:val="single" w:sz="4" w:space="0" w:color="auto"/>
              <w:left w:val="nil"/>
              <w:bottom w:val="single" w:sz="4" w:space="0" w:color="auto"/>
              <w:right w:val="nil"/>
            </w:tcBorders>
            <w:shd w:val="clear" w:color="auto" w:fill="auto"/>
            <w:vAlign w:val="center"/>
          </w:tcPr>
          <w:p w:rsidR="00B84211" w:rsidRPr="0061033D" w:rsidRDefault="008C25C2" w:rsidP="0053306A">
            <w:pPr>
              <w:pStyle w:val="Entabla"/>
              <w:rPr>
                <w:b/>
              </w:rPr>
            </w:pPr>
            <w:r w:rsidRPr="0061033D">
              <w:rPr>
                <w:b/>
              </w:rPr>
              <w:t>Escenario 3-</w:t>
            </w:r>
            <w:r w:rsidR="0053306A" w:rsidRPr="0061033D">
              <w:rPr>
                <w:b/>
              </w:rPr>
              <w:t>Conservador</w:t>
            </w:r>
            <w:r w:rsidR="008A0ACE">
              <w:rPr>
                <w:b/>
              </w:rPr>
              <w:t xml:space="preserve"> 12%</w:t>
            </w:r>
          </w:p>
        </w:tc>
        <w:tc>
          <w:tcPr>
            <w:tcW w:w="1701" w:type="dxa"/>
            <w:tcBorders>
              <w:top w:val="single" w:sz="4" w:space="0" w:color="auto"/>
              <w:left w:val="nil"/>
              <w:bottom w:val="single" w:sz="4" w:space="0" w:color="auto"/>
              <w:right w:val="nil"/>
            </w:tcBorders>
            <w:shd w:val="clear" w:color="auto" w:fill="auto"/>
            <w:noWrap/>
            <w:vAlign w:val="center"/>
          </w:tcPr>
          <w:p w:rsidR="00B84211" w:rsidRPr="0061033D" w:rsidRDefault="008C25C2" w:rsidP="007E6104">
            <w:pPr>
              <w:pStyle w:val="Entabla"/>
              <w:rPr>
                <w:b/>
              </w:rPr>
            </w:pPr>
            <w:r w:rsidRPr="0061033D">
              <w:rPr>
                <w:b/>
              </w:rPr>
              <w:t> </w:t>
            </w:r>
          </w:p>
        </w:tc>
        <w:tc>
          <w:tcPr>
            <w:tcW w:w="1559" w:type="dxa"/>
            <w:tcBorders>
              <w:top w:val="single" w:sz="4" w:space="0" w:color="auto"/>
              <w:left w:val="nil"/>
              <w:bottom w:val="single" w:sz="4" w:space="0" w:color="auto"/>
              <w:right w:val="nil"/>
            </w:tcBorders>
            <w:shd w:val="clear" w:color="auto" w:fill="auto"/>
            <w:noWrap/>
            <w:vAlign w:val="center"/>
          </w:tcPr>
          <w:p w:rsidR="00B84211" w:rsidRPr="0061033D" w:rsidRDefault="008C25C2" w:rsidP="007E6104">
            <w:pPr>
              <w:pStyle w:val="Entabla"/>
              <w:rPr>
                <w:b/>
              </w:rPr>
            </w:pPr>
            <w:r w:rsidRPr="0061033D">
              <w:rPr>
                <w:b/>
              </w:rPr>
              <w:t> </w:t>
            </w:r>
          </w:p>
        </w:tc>
        <w:tc>
          <w:tcPr>
            <w:tcW w:w="1560" w:type="dxa"/>
            <w:tcBorders>
              <w:top w:val="single" w:sz="4" w:space="0" w:color="auto"/>
              <w:left w:val="nil"/>
              <w:bottom w:val="single" w:sz="4" w:space="0" w:color="auto"/>
              <w:right w:val="nil"/>
            </w:tcBorders>
            <w:shd w:val="clear" w:color="auto" w:fill="auto"/>
            <w:noWrap/>
            <w:vAlign w:val="center"/>
          </w:tcPr>
          <w:p w:rsidR="00B84211" w:rsidRPr="0061033D" w:rsidRDefault="008C25C2" w:rsidP="007E6104">
            <w:pPr>
              <w:pStyle w:val="Entabla"/>
              <w:rPr>
                <w:b/>
              </w:rPr>
            </w:pPr>
            <w:r w:rsidRPr="0061033D">
              <w:rPr>
                <w:b/>
              </w:rPr>
              <w:t> </w:t>
            </w:r>
          </w:p>
        </w:tc>
        <w:tc>
          <w:tcPr>
            <w:tcW w:w="1134" w:type="dxa"/>
            <w:tcBorders>
              <w:top w:val="single" w:sz="4" w:space="0" w:color="auto"/>
              <w:left w:val="nil"/>
              <w:bottom w:val="single" w:sz="4" w:space="0" w:color="auto"/>
              <w:right w:val="nil"/>
            </w:tcBorders>
            <w:shd w:val="clear" w:color="auto" w:fill="auto"/>
            <w:noWrap/>
            <w:vAlign w:val="center"/>
          </w:tcPr>
          <w:p w:rsidR="00B84211" w:rsidRPr="0061033D" w:rsidRDefault="008C25C2" w:rsidP="007E6104">
            <w:pPr>
              <w:pStyle w:val="Entabla"/>
              <w:rPr>
                <w:b/>
              </w:rPr>
            </w:pPr>
            <w:r w:rsidRPr="0061033D">
              <w:rPr>
                <w:b/>
              </w:rPr>
              <w:t> </w:t>
            </w:r>
          </w:p>
        </w:tc>
        <w:tc>
          <w:tcPr>
            <w:tcW w:w="850" w:type="dxa"/>
            <w:tcBorders>
              <w:top w:val="single" w:sz="4" w:space="0" w:color="auto"/>
              <w:left w:val="nil"/>
              <w:bottom w:val="single" w:sz="4" w:space="0" w:color="auto"/>
              <w:right w:val="nil"/>
            </w:tcBorders>
            <w:shd w:val="clear" w:color="auto" w:fill="auto"/>
          </w:tcPr>
          <w:p w:rsidR="00B84211" w:rsidRPr="0061033D" w:rsidRDefault="00B84211" w:rsidP="007E6104">
            <w:pPr>
              <w:pStyle w:val="Entabla"/>
              <w:rPr>
                <w:b/>
              </w:rPr>
            </w:pPr>
          </w:p>
        </w:tc>
      </w:tr>
      <w:tr w:rsidR="00BB26A9" w:rsidRPr="00C775B4" w:rsidTr="00C14659">
        <w:trPr>
          <w:trHeight w:val="300"/>
        </w:trPr>
        <w:tc>
          <w:tcPr>
            <w:tcW w:w="1843" w:type="dxa"/>
            <w:tcBorders>
              <w:top w:val="nil"/>
              <w:left w:val="nil"/>
              <w:bottom w:val="nil"/>
              <w:right w:val="nil"/>
            </w:tcBorders>
            <w:shd w:val="clear" w:color="auto" w:fill="auto"/>
            <w:noWrap/>
            <w:vAlign w:val="center"/>
          </w:tcPr>
          <w:p w:rsidR="00B84211" w:rsidRPr="00C775B4" w:rsidRDefault="008C25C2" w:rsidP="007E6104">
            <w:pPr>
              <w:pStyle w:val="Entabla"/>
            </w:pPr>
            <w:r w:rsidRPr="00C775B4">
              <w:t>Total</w:t>
            </w:r>
          </w:p>
        </w:tc>
        <w:tc>
          <w:tcPr>
            <w:tcW w:w="1701" w:type="dxa"/>
            <w:tcBorders>
              <w:top w:val="nil"/>
              <w:left w:val="nil"/>
              <w:bottom w:val="nil"/>
              <w:right w:val="nil"/>
            </w:tcBorders>
            <w:shd w:val="clear" w:color="auto" w:fill="auto"/>
            <w:noWrap/>
            <w:vAlign w:val="center"/>
          </w:tcPr>
          <w:p w:rsidR="00B84211" w:rsidRPr="00C775B4" w:rsidRDefault="00327AB6" w:rsidP="00C779FC">
            <w:pPr>
              <w:pStyle w:val="Entabla"/>
            </w:pPr>
            <w:r w:rsidRPr="00C775B4">
              <w:t>12.831.05</w:t>
            </w:r>
            <w:r w:rsidR="002E11AD">
              <w:t>0</w:t>
            </w:r>
          </w:p>
        </w:tc>
        <w:tc>
          <w:tcPr>
            <w:tcW w:w="1559" w:type="dxa"/>
            <w:tcBorders>
              <w:top w:val="nil"/>
              <w:left w:val="nil"/>
              <w:bottom w:val="nil"/>
              <w:right w:val="nil"/>
            </w:tcBorders>
            <w:shd w:val="clear" w:color="auto" w:fill="auto"/>
            <w:noWrap/>
            <w:vAlign w:val="center"/>
          </w:tcPr>
          <w:p w:rsidR="00B84211" w:rsidRPr="00C775B4" w:rsidRDefault="00F51A48">
            <w:pPr>
              <w:pStyle w:val="Entabla"/>
            </w:pPr>
            <w:r>
              <w:t>12.855.276</w:t>
            </w:r>
          </w:p>
        </w:tc>
        <w:tc>
          <w:tcPr>
            <w:tcW w:w="1560" w:type="dxa"/>
            <w:tcBorders>
              <w:top w:val="nil"/>
              <w:left w:val="nil"/>
              <w:bottom w:val="nil"/>
              <w:right w:val="nil"/>
            </w:tcBorders>
            <w:shd w:val="clear" w:color="auto" w:fill="auto"/>
            <w:noWrap/>
            <w:vAlign w:val="center"/>
          </w:tcPr>
          <w:p w:rsidR="00B84211" w:rsidRPr="00C775B4" w:rsidRDefault="00F51A48" w:rsidP="00F51A48">
            <w:pPr>
              <w:pStyle w:val="Entabla"/>
            </w:pPr>
            <w:r>
              <w:t>24.226</w:t>
            </w:r>
          </w:p>
        </w:tc>
        <w:tc>
          <w:tcPr>
            <w:tcW w:w="1134" w:type="dxa"/>
            <w:tcBorders>
              <w:top w:val="nil"/>
              <w:left w:val="nil"/>
              <w:bottom w:val="nil"/>
              <w:right w:val="nil"/>
            </w:tcBorders>
            <w:shd w:val="clear" w:color="auto" w:fill="auto"/>
            <w:noWrap/>
            <w:vAlign w:val="center"/>
          </w:tcPr>
          <w:p w:rsidR="00B84211" w:rsidRPr="00C775B4" w:rsidRDefault="00F51A48">
            <w:pPr>
              <w:pStyle w:val="Entabla"/>
            </w:pPr>
            <w:r>
              <w:t>1,0</w:t>
            </w:r>
          </w:p>
        </w:tc>
        <w:tc>
          <w:tcPr>
            <w:tcW w:w="850" w:type="dxa"/>
            <w:tcBorders>
              <w:top w:val="nil"/>
              <w:left w:val="nil"/>
              <w:bottom w:val="nil"/>
              <w:right w:val="nil"/>
            </w:tcBorders>
            <w:shd w:val="clear" w:color="auto" w:fill="auto"/>
            <w:vAlign w:val="center"/>
          </w:tcPr>
          <w:p w:rsidR="00B84211" w:rsidRPr="00C775B4" w:rsidRDefault="00F51A48">
            <w:pPr>
              <w:pStyle w:val="Entabla"/>
            </w:pPr>
            <w:r>
              <w:t>12,0</w:t>
            </w:r>
            <w:r w:rsidR="008C25C2" w:rsidRPr="00C775B4">
              <w:t>%</w:t>
            </w:r>
          </w:p>
        </w:tc>
      </w:tr>
      <w:tr w:rsidR="00327AB6" w:rsidRPr="00C775B4" w:rsidTr="00C14659">
        <w:trPr>
          <w:trHeight w:val="300"/>
        </w:trPr>
        <w:tc>
          <w:tcPr>
            <w:tcW w:w="1843" w:type="dxa"/>
            <w:tcBorders>
              <w:top w:val="nil"/>
              <w:left w:val="nil"/>
              <w:bottom w:val="nil"/>
              <w:right w:val="nil"/>
            </w:tcBorders>
            <w:shd w:val="clear" w:color="auto" w:fill="auto"/>
            <w:noWrap/>
            <w:vAlign w:val="center"/>
          </w:tcPr>
          <w:p w:rsidR="00327AB6" w:rsidRPr="00C775B4" w:rsidRDefault="00327AB6" w:rsidP="007E6104">
            <w:pPr>
              <w:pStyle w:val="Entabla"/>
            </w:pPr>
          </w:p>
        </w:tc>
        <w:tc>
          <w:tcPr>
            <w:tcW w:w="1701" w:type="dxa"/>
            <w:tcBorders>
              <w:top w:val="nil"/>
              <w:left w:val="nil"/>
              <w:bottom w:val="nil"/>
              <w:right w:val="nil"/>
            </w:tcBorders>
            <w:shd w:val="clear" w:color="auto" w:fill="auto"/>
            <w:noWrap/>
            <w:vAlign w:val="center"/>
          </w:tcPr>
          <w:p w:rsidR="00327AB6" w:rsidRPr="00C775B4" w:rsidRDefault="00327AB6" w:rsidP="007E6104">
            <w:pPr>
              <w:pStyle w:val="Entabla"/>
            </w:pPr>
          </w:p>
        </w:tc>
        <w:tc>
          <w:tcPr>
            <w:tcW w:w="1559" w:type="dxa"/>
            <w:tcBorders>
              <w:top w:val="nil"/>
              <w:left w:val="nil"/>
              <w:bottom w:val="nil"/>
              <w:right w:val="nil"/>
            </w:tcBorders>
            <w:shd w:val="clear" w:color="auto" w:fill="auto"/>
            <w:noWrap/>
            <w:vAlign w:val="center"/>
          </w:tcPr>
          <w:p w:rsidR="00327AB6" w:rsidRPr="00C775B4" w:rsidRDefault="00327AB6" w:rsidP="007E6104">
            <w:pPr>
              <w:pStyle w:val="Entabla"/>
            </w:pPr>
          </w:p>
        </w:tc>
        <w:tc>
          <w:tcPr>
            <w:tcW w:w="1560" w:type="dxa"/>
            <w:tcBorders>
              <w:top w:val="nil"/>
              <w:left w:val="nil"/>
              <w:bottom w:val="nil"/>
              <w:right w:val="nil"/>
            </w:tcBorders>
            <w:shd w:val="clear" w:color="auto" w:fill="auto"/>
            <w:noWrap/>
            <w:vAlign w:val="center"/>
          </w:tcPr>
          <w:p w:rsidR="00327AB6" w:rsidRPr="00C775B4" w:rsidRDefault="00327AB6" w:rsidP="007E6104">
            <w:pPr>
              <w:pStyle w:val="Entabla"/>
            </w:pPr>
          </w:p>
        </w:tc>
        <w:tc>
          <w:tcPr>
            <w:tcW w:w="1134" w:type="dxa"/>
            <w:tcBorders>
              <w:top w:val="nil"/>
              <w:left w:val="nil"/>
              <w:bottom w:val="nil"/>
              <w:right w:val="nil"/>
            </w:tcBorders>
            <w:shd w:val="clear" w:color="auto" w:fill="auto"/>
            <w:noWrap/>
            <w:vAlign w:val="center"/>
          </w:tcPr>
          <w:p w:rsidR="00327AB6" w:rsidRPr="00C775B4" w:rsidRDefault="00327AB6" w:rsidP="00327AB6">
            <w:pPr>
              <w:pStyle w:val="Entabla"/>
            </w:pPr>
          </w:p>
        </w:tc>
        <w:tc>
          <w:tcPr>
            <w:tcW w:w="850" w:type="dxa"/>
            <w:tcBorders>
              <w:top w:val="nil"/>
              <w:left w:val="nil"/>
              <w:bottom w:val="nil"/>
              <w:right w:val="nil"/>
            </w:tcBorders>
            <w:shd w:val="clear" w:color="auto" w:fill="auto"/>
            <w:vAlign w:val="center"/>
          </w:tcPr>
          <w:p w:rsidR="00327AB6" w:rsidRPr="00C775B4" w:rsidRDefault="00327AB6" w:rsidP="00C60479">
            <w:pPr>
              <w:pStyle w:val="Entabla"/>
            </w:pPr>
          </w:p>
        </w:tc>
      </w:tr>
      <w:tr w:rsidR="00327AB6" w:rsidRPr="00C775B4" w:rsidTr="00F03323">
        <w:trPr>
          <w:trHeight w:val="287"/>
        </w:trPr>
        <w:tc>
          <w:tcPr>
            <w:tcW w:w="1843" w:type="dxa"/>
            <w:tcBorders>
              <w:top w:val="single" w:sz="4" w:space="0" w:color="auto"/>
              <w:left w:val="nil"/>
              <w:bottom w:val="single" w:sz="4" w:space="0" w:color="auto"/>
              <w:right w:val="nil"/>
            </w:tcBorders>
            <w:shd w:val="clear" w:color="auto" w:fill="auto"/>
            <w:vAlign w:val="center"/>
          </w:tcPr>
          <w:p w:rsidR="00327AB6" w:rsidRPr="0061033D" w:rsidRDefault="00327AB6" w:rsidP="00327AB6">
            <w:pPr>
              <w:pStyle w:val="Entabla"/>
              <w:rPr>
                <w:b/>
              </w:rPr>
            </w:pPr>
            <w:r w:rsidRPr="0061033D">
              <w:rPr>
                <w:b/>
              </w:rPr>
              <w:t>Escenario 4-Favorable</w:t>
            </w:r>
          </w:p>
        </w:tc>
        <w:tc>
          <w:tcPr>
            <w:tcW w:w="1701" w:type="dxa"/>
            <w:tcBorders>
              <w:top w:val="single" w:sz="4" w:space="0" w:color="auto"/>
              <w:left w:val="nil"/>
              <w:bottom w:val="single" w:sz="4" w:space="0" w:color="auto"/>
              <w:right w:val="nil"/>
            </w:tcBorders>
            <w:shd w:val="clear" w:color="auto" w:fill="auto"/>
            <w:noWrap/>
            <w:vAlign w:val="center"/>
          </w:tcPr>
          <w:p w:rsidR="00327AB6" w:rsidRPr="0061033D" w:rsidRDefault="00327AB6" w:rsidP="00F03323">
            <w:pPr>
              <w:pStyle w:val="Entabla"/>
              <w:rPr>
                <w:b/>
              </w:rPr>
            </w:pPr>
            <w:r w:rsidRPr="0061033D">
              <w:rPr>
                <w:b/>
              </w:rPr>
              <w:t> </w:t>
            </w:r>
          </w:p>
        </w:tc>
        <w:tc>
          <w:tcPr>
            <w:tcW w:w="1559" w:type="dxa"/>
            <w:tcBorders>
              <w:top w:val="single" w:sz="4" w:space="0" w:color="auto"/>
              <w:left w:val="nil"/>
              <w:bottom w:val="single" w:sz="4" w:space="0" w:color="auto"/>
              <w:right w:val="nil"/>
            </w:tcBorders>
            <w:shd w:val="clear" w:color="auto" w:fill="auto"/>
            <w:noWrap/>
            <w:vAlign w:val="center"/>
          </w:tcPr>
          <w:p w:rsidR="00327AB6" w:rsidRPr="0061033D" w:rsidRDefault="00327AB6" w:rsidP="00F03323">
            <w:pPr>
              <w:pStyle w:val="Entabla"/>
              <w:rPr>
                <w:b/>
              </w:rPr>
            </w:pPr>
            <w:r w:rsidRPr="0061033D">
              <w:rPr>
                <w:b/>
              </w:rPr>
              <w:t> </w:t>
            </w:r>
          </w:p>
        </w:tc>
        <w:tc>
          <w:tcPr>
            <w:tcW w:w="1560" w:type="dxa"/>
            <w:tcBorders>
              <w:top w:val="single" w:sz="4" w:space="0" w:color="auto"/>
              <w:left w:val="nil"/>
              <w:bottom w:val="single" w:sz="4" w:space="0" w:color="auto"/>
              <w:right w:val="nil"/>
            </w:tcBorders>
            <w:shd w:val="clear" w:color="auto" w:fill="auto"/>
            <w:noWrap/>
            <w:vAlign w:val="center"/>
          </w:tcPr>
          <w:p w:rsidR="00327AB6" w:rsidRPr="0061033D" w:rsidRDefault="00327AB6" w:rsidP="00F03323">
            <w:pPr>
              <w:pStyle w:val="Entabla"/>
              <w:rPr>
                <w:b/>
              </w:rPr>
            </w:pPr>
            <w:r w:rsidRPr="0061033D">
              <w:rPr>
                <w:b/>
              </w:rPr>
              <w:t> </w:t>
            </w:r>
          </w:p>
        </w:tc>
        <w:tc>
          <w:tcPr>
            <w:tcW w:w="1134" w:type="dxa"/>
            <w:tcBorders>
              <w:top w:val="single" w:sz="4" w:space="0" w:color="auto"/>
              <w:left w:val="nil"/>
              <w:bottom w:val="single" w:sz="4" w:space="0" w:color="auto"/>
              <w:right w:val="nil"/>
            </w:tcBorders>
            <w:shd w:val="clear" w:color="auto" w:fill="auto"/>
            <w:noWrap/>
            <w:vAlign w:val="center"/>
          </w:tcPr>
          <w:p w:rsidR="00327AB6" w:rsidRPr="0061033D" w:rsidRDefault="00327AB6" w:rsidP="00F03323">
            <w:pPr>
              <w:pStyle w:val="Entabla"/>
              <w:rPr>
                <w:b/>
              </w:rPr>
            </w:pPr>
            <w:r w:rsidRPr="0061033D">
              <w:rPr>
                <w:b/>
              </w:rPr>
              <w:t> </w:t>
            </w:r>
          </w:p>
        </w:tc>
        <w:tc>
          <w:tcPr>
            <w:tcW w:w="850" w:type="dxa"/>
            <w:tcBorders>
              <w:top w:val="single" w:sz="4" w:space="0" w:color="auto"/>
              <w:left w:val="nil"/>
              <w:bottom w:val="single" w:sz="4" w:space="0" w:color="auto"/>
              <w:right w:val="nil"/>
            </w:tcBorders>
            <w:shd w:val="clear" w:color="auto" w:fill="auto"/>
          </w:tcPr>
          <w:p w:rsidR="00327AB6" w:rsidRPr="0061033D" w:rsidRDefault="00327AB6" w:rsidP="00F03323">
            <w:pPr>
              <w:pStyle w:val="Entabla"/>
              <w:rPr>
                <w:b/>
              </w:rPr>
            </w:pPr>
          </w:p>
        </w:tc>
      </w:tr>
      <w:tr w:rsidR="00327AB6" w:rsidRPr="00C775B4" w:rsidTr="00F03323">
        <w:trPr>
          <w:trHeight w:val="300"/>
        </w:trPr>
        <w:tc>
          <w:tcPr>
            <w:tcW w:w="1843" w:type="dxa"/>
            <w:tcBorders>
              <w:top w:val="nil"/>
              <w:left w:val="nil"/>
              <w:bottom w:val="nil"/>
              <w:right w:val="nil"/>
            </w:tcBorders>
            <w:shd w:val="clear" w:color="auto" w:fill="auto"/>
            <w:noWrap/>
            <w:vAlign w:val="center"/>
          </w:tcPr>
          <w:p w:rsidR="00327AB6" w:rsidRPr="00C775B4" w:rsidRDefault="00327AB6" w:rsidP="00F03323">
            <w:pPr>
              <w:pStyle w:val="Entabla"/>
            </w:pPr>
            <w:r w:rsidRPr="00C775B4">
              <w:t>Total</w:t>
            </w:r>
          </w:p>
        </w:tc>
        <w:tc>
          <w:tcPr>
            <w:tcW w:w="1701" w:type="dxa"/>
            <w:tcBorders>
              <w:top w:val="nil"/>
              <w:left w:val="nil"/>
              <w:bottom w:val="nil"/>
              <w:right w:val="nil"/>
            </w:tcBorders>
            <w:shd w:val="clear" w:color="auto" w:fill="auto"/>
            <w:noWrap/>
            <w:vAlign w:val="center"/>
          </w:tcPr>
          <w:p w:rsidR="00327AB6" w:rsidRPr="00C775B4" w:rsidRDefault="005F3ABE" w:rsidP="006948B1">
            <w:pPr>
              <w:pStyle w:val="Entabla"/>
            </w:pPr>
            <w:r>
              <w:t>12.023.580</w:t>
            </w:r>
          </w:p>
        </w:tc>
        <w:tc>
          <w:tcPr>
            <w:tcW w:w="1559" w:type="dxa"/>
            <w:tcBorders>
              <w:top w:val="nil"/>
              <w:left w:val="nil"/>
              <w:bottom w:val="nil"/>
              <w:right w:val="nil"/>
            </w:tcBorders>
            <w:shd w:val="clear" w:color="auto" w:fill="auto"/>
            <w:noWrap/>
            <w:vAlign w:val="center"/>
          </w:tcPr>
          <w:p w:rsidR="00327AB6" w:rsidRPr="00C775B4" w:rsidRDefault="00F51A48" w:rsidP="00F51A48">
            <w:pPr>
              <w:pStyle w:val="Entabla"/>
            </w:pPr>
            <w:r>
              <w:t>15.712.004</w:t>
            </w:r>
          </w:p>
        </w:tc>
        <w:tc>
          <w:tcPr>
            <w:tcW w:w="1560" w:type="dxa"/>
            <w:tcBorders>
              <w:top w:val="nil"/>
              <w:left w:val="nil"/>
              <w:bottom w:val="nil"/>
              <w:right w:val="nil"/>
            </w:tcBorders>
            <w:shd w:val="clear" w:color="auto" w:fill="auto"/>
            <w:noWrap/>
            <w:vAlign w:val="center"/>
          </w:tcPr>
          <w:p w:rsidR="00327AB6" w:rsidRPr="00C775B4" w:rsidRDefault="00F51A48" w:rsidP="00F51A48">
            <w:pPr>
              <w:pStyle w:val="Entabla"/>
            </w:pPr>
            <w:r>
              <w:t>3.688.424</w:t>
            </w:r>
          </w:p>
        </w:tc>
        <w:tc>
          <w:tcPr>
            <w:tcW w:w="1134" w:type="dxa"/>
            <w:tcBorders>
              <w:top w:val="nil"/>
              <w:left w:val="nil"/>
              <w:bottom w:val="nil"/>
              <w:right w:val="nil"/>
            </w:tcBorders>
            <w:shd w:val="clear" w:color="auto" w:fill="auto"/>
            <w:noWrap/>
            <w:vAlign w:val="center"/>
          </w:tcPr>
          <w:p w:rsidR="00327AB6" w:rsidRPr="00C775B4" w:rsidRDefault="00327AB6" w:rsidP="00F51A48">
            <w:pPr>
              <w:pStyle w:val="Entabla"/>
            </w:pPr>
            <w:r w:rsidRPr="00C775B4">
              <w:t>1,</w:t>
            </w:r>
            <w:r w:rsidR="00F51A48">
              <w:t>31</w:t>
            </w:r>
          </w:p>
        </w:tc>
        <w:tc>
          <w:tcPr>
            <w:tcW w:w="850" w:type="dxa"/>
            <w:tcBorders>
              <w:top w:val="nil"/>
              <w:left w:val="nil"/>
              <w:bottom w:val="nil"/>
              <w:right w:val="nil"/>
            </w:tcBorders>
            <w:shd w:val="clear" w:color="auto" w:fill="auto"/>
            <w:vAlign w:val="center"/>
          </w:tcPr>
          <w:p w:rsidR="00327AB6" w:rsidRPr="00C775B4" w:rsidRDefault="00F51A48" w:rsidP="00C779FC">
            <w:pPr>
              <w:pStyle w:val="Entabla"/>
            </w:pPr>
            <w:r>
              <w:t>19,9</w:t>
            </w:r>
            <w:r w:rsidR="00327AB6" w:rsidRPr="00C775B4">
              <w:t>%</w:t>
            </w:r>
          </w:p>
        </w:tc>
      </w:tr>
    </w:tbl>
    <w:p w:rsidR="00B84211" w:rsidRPr="00C775B4" w:rsidRDefault="00B84211" w:rsidP="007E6104">
      <w:pPr>
        <w:pStyle w:val="Paragraph"/>
        <w:numPr>
          <w:ilvl w:val="0"/>
          <w:numId w:val="0"/>
        </w:numPr>
        <w:spacing w:before="0" w:after="0" w:line="480" w:lineRule="auto"/>
        <w:ind w:left="567"/>
        <w:rPr>
          <w:szCs w:val="24"/>
        </w:rPr>
      </w:pPr>
    </w:p>
    <w:p w:rsidR="00B84211" w:rsidRPr="00C775B4" w:rsidRDefault="009D413B" w:rsidP="007E6104">
      <w:pPr>
        <w:pStyle w:val="Paragraph"/>
        <w:numPr>
          <w:ilvl w:val="1"/>
          <w:numId w:val="18"/>
        </w:numPr>
        <w:spacing w:before="0" w:after="0" w:line="480" w:lineRule="auto"/>
        <w:ind w:left="567" w:hanging="567"/>
        <w:rPr>
          <w:szCs w:val="24"/>
        </w:rPr>
      </w:pPr>
      <w:r w:rsidRPr="00C775B4">
        <w:rPr>
          <w:szCs w:val="24"/>
        </w:rPr>
        <w:t xml:space="preserve">En el </w:t>
      </w:r>
      <w:r w:rsidRPr="0061033D">
        <w:rPr>
          <w:b/>
          <w:szCs w:val="24"/>
        </w:rPr>
        <w:t>escenario base</w:t>
      </w:r>
      <w:r w:rsidR="00CF7330" w:rsidRPr="00C775B4">
        <w:rPr>
          <w:szCs w:val="24"/>
        </w:rPr>
        <w:t>,</w:t>
      </w:r>
      <w:r w:rsidRPr="00C775B4">
        <w:rPr>
          <w:szCs w:val="24"/>
        </w:rPr>
        <w:t xml:space="preserve"> la relación costo beneficio para el </w:t>
      </w:r>
      <w:r w:rsidR="00F50CE0" w:rsidRPr="00C775B4">
        <w:rPr>
          <w:szCs w:val="24"/>
        </w:rPr>
        <w:t>P</w:t>
      </w:r>
      <w:r w:rsidRPr="00C775B4">
        <w:rPr>
          <w:szCs w:val="24"/>
        </w:rPr>
        <w:t xml:space="preserve">rograma resulta ser de </w:t>
      </w:r>
      <w:r w:rsidR="00316046">
        <w:rPr>
          <w:szCs w:val="24"/>
        </w:rPr>
        <w:t>1</w:t>
      </w:r>
      <w:r w:rsidR="00E736EA" w:rsidRPr="00C775B4">
        <w:rPr>
          <w:szCs w:val="24"/>
        </w:rPr>
        <w:t>,</w:t>
      </w:r>
      <w:r w:rsidR="00F51A48">
        <w:rPr>
          <w:szCs w:val="24"/>
        </w:rPr>
        <w:t>15</w:t>
      </w:r>
      <w:r w:rsidR="00E736EA" w:rsidRPr="00C775B4">
        <w:rPr>
          <w:szCs w:val="24"/>
        </w:rPr>
        <w:t xml:space="preserve"> con la tasa de descuento </w:t>
      </w:r>
      <w:r w:rsidR="00F51A48">
        <w:rPr>
          <w:szCs w:val="24"/>
        </w:rPr>
        <w:t xml:space="preserve">estándar del Banco </w:t>
      </w:r>
      <w:r w:rsidR="00E736EA" w:rsidRPr="00C775B4">
        <w:rPr>
          <w:szCs w:val="24"/>
        </w:rPr>
        <w:t>de 12% y 1,</w:t>
      </w:r>
      <w:r w:rsidR="00F51A48">
        <w:rPr>
          <w:szCs w:val="24"/>
        </w:rPr>
        <w:t>5</w:t>
      </w:r>
      <w:r w:rsidR="00316046">
        <w:rPr>
          <w:szCs w:val="24"/>
        </w:rPr>
        <w:t>4</w:t>
      </w:r>
      <w:r w:rsidR="00E736EA" w:rsidRPr="00C775B4">
        <w:rPr>
          <w:szCs w:val="24"/>
        </w:rPr>
        <w:t xml:space="preserve"> con la tasa de descuento del gobierno </w:t>
      </w:r>
      <w:r w:rsidR="00F51A48">
        <w:rPr>
          <w:szCs w:val="24"/>
        </w:rPr>
        <w:t xml:space="preserve">de Uruguay </w:t>
      </w:r>
      <w:r w:rsidR="00E736EA" w:rsidRPr="00C775B4">
        <w:rPr>
          <w:szCs w:val="24"/>
        </w:rPr>
        <w:t>de 5%</w:t>
      </w:r>
      <w:r w:rsidR="00765476" w:rsidRPr="00C775B4">
        <w:rPr>
          <w:szCs w:val="24"/>
        </w:rPr>
        <w:t>.</w:t>
      </w:r>
      <w:r w:rsidRPr="00C775B4">
        <w:rPr>
          <w:szCs w:val="24"/>
        </w:rPr>
        <w:t>.</w:t>
      </w:r>
      <w:r w:rsidR="00494BDC" w:rsidRPr="00C775B4">
        <w:rPr>
          <w:szCs w:val="24"/>
        </w:rPr>
        <w:t xml:space="preserve"> </w:t>
      </w:r>
      <w:r w:rsidRPr="00C775B4">
        <w:rPr>
          <w:szCs w:val="24"/>
        </w:rPr>
        <w:t xml:space="preserve">La TIR social resulta ser del </w:t>
      </w:r>
      <w:r w:rsidR="00316046">
        <w:rPr>
          <w:szCs w:val="24"/>
        </w:rPr>
        <w:t>1</w:t>
      </w:r>
      <w:r w:rsidR="00F51A48">
        <w:rPr>
          <w:szCs w:val="24"/>
        </w:rPr>
        <w:t>5,9</w:t>
      </w:r>
      <w:r w:rsidR="00F50CE0" w:rsidRPr="00C775B4">
        <w:rPr>
          <w:szCs w:val="24"/>
        </w:rPr>
        <w:t xml:space="preserve">%. En este escenario </w:t>
      </w:r>
      <w:r w:rsidR="00E87AB6" w:rsidRPr="00C775B4">
        <w:rPr>
          <w:szCs w:val="24"/>
        </w:rPr>
        <w:t>se asume una reducción de refuerzos de</w:t>
      </w:r>
      <w:r w:rsidR="00316046">
        <w:rPr>
          <w:szCs w:val="24"/>
        </w:rPr>
        <w:t xml:space="preserve"> 5</w:t>
      </w:r>
      <w:r w:rsidR="00F51A48">
        <w:rPr>
          <w:szCs w:val="24"/>
        </w:rPr>
        <w:t>0</w:t>
      </w:r>
      <w:r w:rsidR="00316046">
        <w:rPr>
          <w:szCs w:val="24"/>
        </w:rPr>
        <w:t>%</w:t>
      </w:r>
      <w:r w:rsidR="00E87AB6" w:rsidRPr="00C775B4">
        <w:rPr>
          <w:szCs w:val="24"/>
        </w:rPr>
        <w:t xml:space="preserve"> </w:t>
      </w:r>
      <w:r w:rsidR="000614DA" w:rsidRPr="00C775B4">
        <w:rPr>
          <w:szCs w:val="24"/>
        </w:rPr>
        <w:t>y un</w:t>
      </w:r>
      <w:r w:rsidR="00E87AB6" w:rsidRPr="00C775B4">
        <w:rPr>
          <w:szCs w:val="24"/>
        </w:rPr>
        <w:t>a</w:t>
      </w:r>
      <w:r w:rsidR="000614DA" w:rsidRPr="00C775B4">
        <w:rPr>
          <w:szCs w:val="24"/>
        </w:rPr>
        <w:t xml:space="preserve"> </w:t>
      </w:r>
      <w:r w:rsidR="00E87AB6" w:rsidRPr="00C775B4">
        <w:rPr>
          <w:szCs w:val="24"/>
        </w:rPr>
        <w:t>reducción del</w:t>
      </w:r>
      <w:r w:rsidR="00F51A48">
        <w:rPr>
          <w:szCs w:val="24"/>
        </w:rPr>
        <w:t xml:space="preserve"> número de </w:t>
      </w:r>
      <w:r w:rsidR="00E87AB6" w:rsidRPr="00C775B4">
        <w:rPr>
          <w:szCs w:val="24"/>
        </w:rPr>
        <w:t xml:space="preserve">trámites </w:t>
      </w:r>
      <w:r w:rsidR="00F51A48">
        <w:rPr>
          <w:szCs w:val="24"/>
        </w:rPr>
        <w:t xml:space="preserve">de refuerzos </w:t>
      </w:r>
      <w:r w:rsidR="00E87AB6" w:rsidRPr="00C775B4">
        <w:rPr>
          <w:szCs w:val="24"/>
        </w:rPr>
        <w:t xml:space="preserve">del </w:t>
      </w:r>
      <w:r w:rsidR="00316046">
        <w:rPr>
          <w:szCs w:val="24"/>
        </w:rPr>
        <w:t>5</w:t>
      </w:r>
      <w:r w:rsidR="00E87AB6" w:rsidRPr="00C775B4">
        <w:rPr>
          <w:szCs w:val="24"/>
        </w:rPr>
        <w:t>0%.</w:t>
      </w:r>
      <w:r w:rsidR="000614DA" w:rsidRPr="00C775B4">
        <w:rPr>
          <w:szCs w:val="24"/>
        </w:rPr>
        <w:t xml:space="preserve"> </w:t>
      </w:r>
    </w:p>
    <w:p w:rsidR="00E23B90" w:rsidRPr="00C775B4" w:rsidRDefault="00E23B90" w:rsidP="00E23B90">
      <w:pPr>
        <w:pStyle w:val="Paragraph"/>
        <w:numPr>
          <w:ilvl w:val="0"/>
          <w:numId w:val="0"/>
        </w:numPr>
        <w:spacing w:before="0" w:after="0" w:line="480" w:lineRule="auto"/>
        <w:ind w:left="567"/>
        <w:rPr>
          <w:szCs w:val="24"/>
        </w:rPr>
      </w:pPr>
    </w:p>
    <w:p w:rsidR="00487425" w:rsidRPr="00C775B4" w:rsidRDefault="00487425" w:rsidP="00CC3953">
      <w:pPr>
        <w:pStyle w:val="Paragraph"/>
        <w:numPr>
          <w:ilvl w:val="0"/>
          <w:numId w:val="0"/>
        </w:numPr>
        <w:spacing w:before="0" w:after="0" w:line="480" w:lineRule="auto"/>
        <w:ind w:left="567"/>
        <w:rPr>
          <w:b/>
          <w:szCs w:val="24"/>
        </w:rPr>
      </w:pPr>
      <w:r w:rsidRPr="00C775B4">
        <w:rPr>
          <w:b/>
          <w:szCs w:val="24"/>
        </w:rPr>
        <w:t>Escenario Conservador</w:t>
      </w:r>
    </w:p>
    <w:p w:rsidR="00F50CE0" w:rsidRPr="00C775B4" w:rsidRDefault="00CC18C4" w:rsidP="00CC3953">
      <w:pPr>
        <w:pStyle w:val="Paragraph"/>
        <w:numPr>
          <w:ilvl w:val="0"/>
          <w:numId w:val="0"/>
        </w:numPr>
        <w:spacing w:before="0" w:after="0" w:line="480" w:lineRule="auto"/>
        <w:ind w:left="567"/>
        <w:rPr>
          <w:szCs w:val="24"/>
        </w:rPr>
      </w:pPr>
      <w:r w:rsidRPr="00C775B4">
        <w:rPr>
          <w:szCs w:val="24"/>
        </w:rPr>
        <w:t>En el escenario más conservador, donde</w:t>
      </w:r>
      <w:r w:rsidR="003714B4" w:rsidRPr="00C775B4">
        <w:rPr>
          <w:szCs w:val="24"/>
        </w:rPr>
        <w:t xml:space="preserve"> </w:t>
      </w:r>
      <w:r w:rsidR="00B01AF3" w:rsidRPr="00C775B4">
        <w:rPr>
          <w:szCs w:val="24"/>
        </w:rPr>
        <w:t xml:space="preserve">la reducción </w:t>
      </w:r>
      <w:r w:rsidR="00982805" w:rsidRPr="00C775B4">
        <w:rPr>
          <w:szCs w:val="24"/>
        </w:rPr>
        <w:t>de refuerzos es</w:t>
      </w:r>
      <w:r w:rsidR="00B01AF3" w:rsidRPr="00C775B4">
        <w:rPr>
          <w:szCs w:val="24"/>
        </w:rPr>
        <w:t xml:space="preserve"> del</w:t>
      </w:r>
      <w:r w:rsidR="003714B4" w:rsidRPr="00C775B4">
        <w:rPr>
          <w:szCs w:val="24"/>
        </w:rPr>
        <w:t xml:space="preserve"> </w:t>
      </w:r>
      <w:r w:rsidR="00F51A48">
        <w:rPr>
          <w:szCs w:val="24"/>
        </w:rPr>
        <w:t>45</w:t>
      </w:r>
      <w:r w:rsidR="003714B4" w:rsidRPr="00C775B4">
        <w:rPr>
          <w:szCs w:val="24"/>
        </w:rPr>
        <w:t>%</w:t>
      </w:r>
      <w:r w:rsidR="00E300CD">
        <w:rPr>
          <w:szCs w:val="24"/>
        </w:rPr>
        <w:t>,</w:t>
      </w:r>
      <w:r w:rsidR="00B01AF3" w:rsidRPr="00C775B4">
        <w:rPr>
          <w:szCs w:val="24"/>
        </w:rPr>
        <w:t xml:space="preserve"> </w:t>
      </w:r>
      <w:r w:rsidR="00982805" w:rsidRPr="00C775B4">
        <w:rPr>
          <w:szCs w:val="24"/>
        </w:rPr>
        <w:t>la reducción de trámites</w:t>
      </w:r>
      <w:r w:rsidR="00B01AF3" w:rsidRPr="00C775B4">
        <w:rPr>
          <w:szCs w:val="24"/>
        </w:rPr>
        <w:t xml:space="preserve"> es del </w:t>
      </w:r>
      <w:r w:rsidR="00316046">
        <w:rPr>
          <w:szCs w:val="24"/>
        </w:rPr>
        <w:t>4</w:t>
      </w:r>
      <w:r w:rsidR="00E736EA" w:rsidRPr="00C775B4">
        <w:rPr>
          <w:szCs w:val="24"/>
        </w:rPr>
        <w:t>5</w:t>
      </w:r>
      <w:r w:rsidR="00B01AF3" w:rsidRPr="00C775B4">
        <w:rPr>
          <w:szCs w:val="24"/>
        </w:rPr>
        <w:t>%</w:t>
      </w:r>
      <w:r w:rsidR="00EF592D" w:rsidRPr="00C775B4">
        <w:rPr>
          <w:szCs w:val="24"/>
        </w:rPr>
        <w:t>,</w:t>
      </w:r>
      <w:r w:rsidR="00F50CE0" w:rsidRPr="00C775B4">
        <w:rPr>
          <w:szCs w:val="24"/>
        </w:rPr>
        <w:t xml:space="preserve"> </w:t>
      </w:r>
      <w:r w:rsidR="00E300CD">
        <w:rPr>
          <w:szCs w:val="24"/>
        </w:rPr>
        <w:t xml:space="preserve">y los costos del Programa aumentan en US$ 500.000 adicionales, </w:t>
      </w:r>
      <w:r w:rsidR="00F50CE0" w:rsidRPr="00C775B4">
        <w:rPr>
          <w:szCs w:val="24"/>
        </w:rPr>
        <w:t>la</w:t>
      </w:r>
      <w:r w:rsidR="00CA6562" w:rsidRPr="00C775B4">
        <w:rPr>
          <w:szCs w:val="24"/>
        </w:rPr>
        <w:t xml:space="preserve"> </w:t>
      </w:r>
      <w:r w:rsidR="009D413B" w:rsidRPr="00C775B4">
        <w:rPr>
          <w:szCs w:val="24"/>
        </w:rPr>
        <w:t xml:space="preserve">TIR social </w:t>
      </w:r>
      <w:r w:rsidR="00F50CE0" w:rsidRPr="00C775B4">
        <w:rPr>
          <w:szCs w:val="24"/>
        </w:rPr>
        <w:t xml:space="preserve">del Programa resulta ser </w:t>
      </w:r>
      <w:r w:rsidR="009D413B" w:rsidRPr="00C775B4">
        <w:rPr>
          <w:szCs w:val="24"/>
        </w:rPr>
        <w:t xml:space="preserve">del </w:t>
      </w:r>
      <w:r w:rsidR="00F51A48">
        <w:rPr>
          <w:szCs w:val="24"/>
        </w:rPr>
        <w:t>12,0</w:t>
      </w:r>
      <w:r w:rsidR="009D413B" w:rsidRPr="00C775B4">
        <w:rPr>
          <w:szCs w:val="24"/>
        </w:rPr>
        <w:t xml:space="preserve">%. </w:t>
      </w:r>
      <w:r w:rsidR="00232169" w:rsidRPr="00C775B4">
        <w:rPr>
          <w:szCs w:val="24"/>
        </w:rPr>
        <w:t xml:space="preserve">En este escenario desfavorable, la relación costo beneficio asciende a </w:t>
      </w:r>
      <w:r w:rsidR="00F51A48">
        <w:rPr>
          <w:szCs w:val="24"/>
        </w:rPr>
        <w:t>1,</w:t>
      </w:r>
      <w:r w:rsidR="003A173E" w:rsidRPr="00C775B4">
        <w:rPr>
          <w:szCs w:val="24"/>
        </w:rPr>
        <w:t xml:space="preserve">0 con una tasa de descuento de 12% y </w:t>
      </w:r>
      <w:r w:rsidR="00E300CD">
        <w:rPr>
          <w:szCs w:val="24"/>
        </w:rPr>
        <w:t>1</w:t>
      </w:r>
      <w:r w:rsidR="003A173E" w:rsidRPr="00C775B4">
        <w:rPr>
          <w:szCs w:val="24"/>
        </w:rPr>
        <w:t>,</w:t>
      </w:r>
      <w:r w:rsidR="00F51A48">
        <w:rPr>
          <w:szCs w:val="24"/>
        </w:rPr>
        <w:t>35</w:t>
      </w:r>
      <w:r w:rsidR="003A173E" w:rsidRPr="00C775B4">
        <w:rPr>
          <w:szCs w:val="24"/>
        </w:rPr>
        <w:t xml:space="preserve"> con </w:t>
      </w:r>
      <w:r w:rsidR="00F51A48">
        <w:rPr>
          <w:szCs w:val="24"/>
        </w:rPr>
        <w:t>l</w:t>
      </w:r>
      <w:r w:rsidR="003A173E" w:rsidRPr="00C775B4">
        <w:rPr>
          <w:szCs w:val="24"/>
        </w:rPr>
        <w:t xml:space="preserve">a tasa de descuento </w:t>
      </w:r>
      <w:r w:rsidR="00F51A48">
        <w:rPr>
          <w:szCs w:val="24"/>
        </w:rPr>
        <w:t xml:space="preserve">del gobierno </w:t>
      </w:r>
      <w:r w:rsidR="003A173E" w:rsidRPr="00C775B4">
        <w:rPr>
          <w:szCs w:val="24"/>
        </w:rPr>
        <w:t>de 5%</w:t>
      </w:r>
      <w:r w:rsidR="009C18D2" w:rsidRPr="00C775B4">
        <w:rPr>
          <w:szCs w:val="24"/>
        </w:rPr>
        <w:t>.</w:t>
      </w:r>
    </w:p>
    <w:p w:rsidR="00487425" w:rsidRPr="00C775B4" w:rsidRDefault="00487425" w:rsidP="00CC3953">
      <w:pPr>
        <w:pStyle w:val="Paragraph"/>
        <w:numPr>
          <w:ilvl w:val="0"/>
          <w:numId w:val="0"/>
        </w:numPr>
        <w:spacing w:before="0" w:after="0" w:line="480" w:lineRule="auto"/>
        <w:ind w:left="567"/>
        <w:rPr>
          <w:b/>
          <w:szCs w:val="24"/>
        </w:rPr>
      </w:pPr>
      <w:r w:rsidRPr="00C775B4">
        <w:rPr>
          <w:b/>
          <w:szCs w:val="24"/>
        </w:rPr>
        <w:t>Escenario Favorable</w:t>
      </w:r>
    </w:p>
    <w:p w:rsidR="00F60BC0" w:rsidRPr="00C775B4" w:rsidRDefault="00A32B3D" w:rsidP="00F60BC0">
      <w:pPr>
        <w:pStyle w:val="Paragraph"/>
        <w:numPr>
          <w:ilvl w:val="1"/>
          <w:numId w:val="18"/>
        </w:numPr>
        <w:spacing w:before="0" w:after="0" w:line="480" w:lineRule="auto"/>
        <w:rPr>
          <w:szCs w:val="24"/>
        </w:rPr>
      </w:pPr>
      <w:r w:rsidRPr="00C775B4">
        <w:rPr>
          <w:szCs w:val="24"/>
        </w:rPr>
        <w:t xml:space="preserve">En un escenario más favorable, donde </w:t>
      </w:r>
      <w:r w:rsidR="00D604D5" w:rsidRPr="00C775B4">
        <w:rPr>
          <w:szCs w:val="24"/>
        </w:rPr>
        <w:t>la reducción de</w:t>
      </w:r>
      <w:r w:rsidR="00B01AF3" w:rsidRPr="00C775B4">
        <w:rPr>
          <w:szCs w:val="24"/>
        </w:rPr>
        <w:t xml:space="preserve"> </w:t>
      </w:r>
      <w:r w:rsidR="00D604D5" w:rsidRPr="00C775B4">
        <w:rPr>
          <w:szCs w:val="24"/>
        </w:rPr>
        <w:t>refuerzos es del</w:t>
      </w:r>
      <w:r w:rsidR="00B01AF3" w:rsidRPr="00C775B4">
        <w:rPr>
          <w:szCs w:val="24"/>
        </w:rPr>
        <w:t xml:space="preserve"> </w:t>
      </w:r>
      <w:r w:rsidR="00D604D5" w:rsidRPr="00C775B4">
        <w:rPr>
          <w:szCs w:val="24"/>
        </w:rPr>
        <w:t>5</w:t>
      </w:r>
      <w:r w:rsidR="00F51A48">
        <w:rPr>
          <w:szCs w:val="24"/>
        </w:rPr>
        <w:t>5</w:t>
      </w:r>
      <w:r w:rsidR="00B01AF3" w:rsidRPr="00C775B4">
        <w:rPr>
          <w:szCs w:val="24"/>
        </w:rPr>
        <w:t>%</w:t>
      </w:r>
      <w:r w:rsidR="00E300CD">
        <w:rPr>
          <w:szCs w:val="24"/>
        </w:rPr>
        <w:t>,</w:t>
      </w:r>
      <w:r w:rsidR="00B01AF3" w:rsidRPr="00C775B4">
        <w:rPr>
          <w:szCs w:val="24"/>
        </w:rPr>
        <w:t xml:space="preserve"> </w:t>
      </w:r>
      <w:r w:rsidR="00D604D5" w:rsidRPr="00C775B4">
        <w:rPr>
          <w:szCs w:val="24"/>
        </w:rPr>
        <w:t xml:space="preserve">la reducción del número de trámites </w:t>
      </w:r>
      <w:r w:rsidR="00316046">
        <w:rPr>
          <w:szCs w:val="24"/>
        </w:rPr>
        <w:t xml:space="preserve">de 55%, </w:t>
      </w:r>
      <w:r w:rsidR="00E300CD">
        <w:rPr>
          <w:szCs w:val="24"/>
        </w:rPr>
        <w:t>y el costo total del programa se reduce en US$</w:t>
      </w:r>
      <w:r w:rsidR="00316046">
        <w:rPr>
          <w:szCs w:val="24"/>
        </w:rPr>
        <w:t xml:space="preserve"> 500.000</w:t>
      </w:r>
      <w:r w:rsidR="00F51A48">
        <w:rPr>
          <w:szCs w:val="24"/>
        </w:rPr>
        <w:t xml:space="preserve"> con respecto al escenario base</w:t>
      </w:r>
      <w:r w:rsidR="00B01AF3" w:rsidRPr="00C775B4">
        <w:rPr>
          <w:szCs w:val="24"/>
        </w:rPr>
        <w:t xml:space="preserve">, </w:t>
      </w:r>
      <w:r w:rsidR="009A65E9" w:rsidRPr="00C775B4">
        <w:rPr>
          <w:szCs w:val="24"/>
        </w:rPr>
        <w:t>s</w:t>
      </w:r>
      <w:r w:rsidRPr="00C775B4">
        <w:rPr>
          <w:szCs w:val="24"/>
        </w:rPr>
        <w:t xml:space="preserve">e obtiene una TIR social del </w:t>
      </w:r>
      <w:r w:rsidR="00F60BC0" w:rsidRPr="00C775B4">
        <w:rPr>
          <w:szCs w:val="24"/>
        </w:rPr>
        <w:t>1</w:t>
      </w:r>
      <w:r w:rsidR="00877769">
        <w:rPr>
          <w:szCs w:val="24"/>
        </w:rPr>
        <w:t>9</w:t>
      </w:r>
      <w:r w:rsidR="00E300CD">
        <w:rPr>
          <w:szCs w:val="24"/>
        </w:rPr>
        <w:t>,</w:t>
      </w:r>
      <w:r w:rsidR="00877769">
        <w:rPr>
          <w:szCs w:val="24"/>
        </w:rPr>
        <w:t>9</w:t>
      </w:r>
      <w:r w:rsidRPr="00C775B4">
        <w:rPr>
          <w:szCs w:val="24"/>
        </w:rPr>
        <w:t>%</w:t>
      </w:r>
      <w:r w:rsidR="00C532DF" w:rsidRPr="00C775B4">
        <w:rPr>
          <w:szCs w:val="24"/>
        </w:rPr>
        <w:t xml:space="preserve">, </w:t>
      </w:r>
      <w:r w:rsidR="006F1335" w:rsidRPr="00C775B4">
        <w:rPr>
          <w:szCs w:val="24"/>
        </w:rPr>
        <w:t xml:space="preserve">con una razón costo beneficio de </w:t>
      </w:r>
      <w:r w:rsidR="00E300CD">
        <w:rPr>
          <w:szCs w:val="24"/>
        </w:rPr>
        <w:t>1</w:t>
      </w:r>
      <w:r w:rsidR="00F60BC0" w:rsidRPr="00C775B4">
        <w:rPr>
          <w:szCs w:val="24"/>
        </w:rPr>
        <w:t>,</w:t>
      </w:r>
      <w:r w:rsidR="00877769">
        <w:rPr>
          <w:szCs w:val="24"/>
        </w:rPr>
        <w:t>31</w:t>
      </w:r>
      <w:r w:rsidR="00F60BC0" w:rsidRPr="00C775B4">
        <w:rPr>
          <w:szCs w:val="24"/>
        </w:rPr>
        <w:t xml:space="preserve"> con la tasa descuento de 12% y 1,</w:t>
      </w:r>
      <w:r w:rsidR="00877769">
        <w:rPr>
          <w:szCs w:val="24"/>
        </w:rPr>
        <w:t>75</w:t>
      </w:r>
      <w:r w:rsidR="00F60BC0" w:rsidRPr="00C775B4">
        <w:rPr>
          <w:szCs w:val="24"/>
        </w:rPr>
        <w:t xml:space="preserve"> con la tasa de descuento de 5% utilizada por el Gobierno para el uso de los fondos públicos. </w:t>
      </w:r>
    </w:p>
    <w:p w:rsidR="00A83752" w:rsidRPr="0061033D" w:rsidRDefault="00A83752" w:rsidP="00EC01E1">
      <w:pPr>
        <w:pStyle w:val="Paragraph"/>
        <w:numPr>
          <w:ilvl w:val="0"/>
          <w:numId w:val="0"/>
        </w:numPr>
        <w:spacing w:before="0" w:after="0" w:line="480" w:lineRule="auto"/>
        <w:outlineLvl w:val="0"/>
        <w:rPr>
          <w:kern w:val="28"/>
          <w:szCs w:val="24"/>
        </w:rPr>
      </w:pPr>
    </w:p>
    <w:p w:rsidR="00747A62" w:rsidRPr="0061033D" w:rsidRDefault="00747A62" w:rsidP="00EC01E1">
      <w:pPr>
        <w:pStyle w:val="Paragraph"/>
        <w:numPr>
          <w:ilvl w:val="0"/>
          <w:numId w:val="0"/>
        </w:numPr>
        <w:spacing w:before="0" w:after="0" w:line="480" w:lineRule="auto"/>
        <w:outlineLvl w:val="0"/>
        <w:rPr>
          <w:kern w:val="28"/>
          <w:szCs w:val="24"/>
        </w:rPr>
      </w:pPr>
    </w:p>
    <w:sectPr w:rsidR="00747A62" w:rsidRPr="0061033D" w:rsidSect="007E6104">
      <w:footerReference w:type="default" r:id="rId10"/>
      <w:pgSz w:w="11907" w:h="16839" w:code="9"/>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6E" w:rsidRDefault="002A556E" w:rsidP="00CF5271">
      <w:pPr>
        <w:spacing w:after="0" w:line="240" w:lineRule="auto"/>
      </w:pPr>
      <w:r>
        <w:separator/>
      </w:r>
    </w:p>
  </w:endnote>
  <w:endnote w:type="continuationSeparator" w:id="0">
    <w:p w:rsidR="002A556E" w:rsidRDefault="002A556E"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03536"/>
      <w:docPartObj>
        <w:docPartGallery w:val="Page Numbers (Bottom of Page)"/>
        <w:docPartUnique/>
      </w:docPartObj>
    </w:sdtPr>
    <w:sdtEndPr/>
    <w:sdtContent>
      <w:p w:rsidR="00647ECD" w:rsidRDefault="000F5D16">
        <w:pPr>
          <w:pStyle w:val="Footer"/>
          <w:jc w:val="center"/>
        </w:pPr>
        <w:r>
          <w:fldChar w:fldCharType="begin"/>
        </w:r>
        <w:r w:rsidR="00647ECD">
          <w:instrText>PAGE   \* MERGEFORMAT</w:instrText>
        </w:r>
        <w:r>
          <w:fldChar w:fldCharType="separate"/>
        </w:r>
        <w:r w:rsidR="0061033D" w:rsidRPr="0061033D">
          <w:rPr>
            <w:noProof/>
            <w:lang w:val="es-ES"/>
          </w:rPr>
          <w:t>1</w:t>
        </w:r>
        <w:r>
          <w:rPr>
            <w:noProof/>
            <w:lang w:val="es-ES"/>
          </w:rPr>
          <w:fldChar w:fldCharType="end"/>
        </w:r>
      </w:p>
    </w:sdtContent>
  </w:sdt>
  <w:p w:rsidR="00647ECD" w:rsidRDefault="0064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6E" w:rsidRDefault="002A556E" w:rsidP="00CF5271">
      <w:pPr>
        <w:spacing w:after="0" w:line="240" w:lineRule="auto"/>
      </w:pPr>
      <w:r>
        <w:separator/>
      </w:r>
    </w:p>
  </w:footnote>
  <w:footnote w:type="continuationSeparator" w:id="0">
    <w:p w:rsidR="002A556E" w:rsidRDefault="002A556E" w:rsidP="00CF5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12558B"/>
    <w:multiLevelType w:val="multilevel"/>
    <w:tmpl w:val="05003B36"/>
    <w:lvl w:ilvl="0">
      <w:start w:val="2"/>
      <w:numFmt w:val="upperRoman"/>
      <w:lvlText w:val="%1."/>
      <w:lvlJc w:val="left"/>
      <w:pPr>
        <w:ind w:left="360" w:hanging="360"/>
      </w:pPr>
      <w:rPr>
        <w:rFonts w:hint="default"/>
      </w:rPr>
    </w:lvl>
    <w:lvl w:ilvl="1">
      <w:start w:val="29"/>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6410C7C"/>
    <w:multiLevelType w:val="multilevel"/>
    <w:tmpl w:val="963CF36C"/>
    <w:lvl w:ilvl="0">
      <w:start w:val="2"/>
      <w:numFmt w:val="upperRoman"/>
      <w:lvlText w:val="%1."/>
      <w:lvlJc w:val="left"/>
      <w:pPr>
        <w:ind w:left="360" w:hanging="360"/>
      </w:pPr>
      <w:rPr>
        <w:rFonts w:hint="default"/>
      </w:rPr>
    </w:lvl>
    <w:lvl w:ilvl="1">
      <w:start w:val="3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092D46FD"/>
    <w:multiLevelType w:val="hybridMultilevel"/>
    <w:tmpl w:val="139A7F2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B30E87"/>
    <w:multiLevelType w:val="hybridMultilevel"/>
    <w:tmpl w:val="F27E7A8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5">
    <w:nsid w:val="0D0479F0"/>
    <w:multiLevelType w:val="multilevel"/>
    <w:tmpl w:val="3DF8A7F0"/>
    <w:lvl w:ilvl="0">
      <w:start w:val="2"/>
      <w:numFmt w:val="upperRoman"/>
      <w:lvlText w:val="%1."/>
      <w:lvlJc w:val="left"/>
      <w:pPr>
        <w:ind w:left="360" w:hanging="360"/>
      </w:pPr>
      <w:rPr>
        <w:rFonts w:hint="default"/>
      </w:rPr>
    </w:lvl>
    <w:lvl w:ilvl="1">
      <w:start w:val="14"/>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0EE92EF6"/>
    <w:multiLevelType w:val="hybridMultilevel"/>
    <w:tmpl w:val="BF5223B0"/>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8">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51A134E"/>
    <w:multiLevelType w:val="hybridMultilevel"/>
    <w:tmpl w:val="DB70D110"/>
    <w:lvl w:ilvl="0" w:tplc="3A4A7F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FE6527F"/>
    <w:multiLevelType w:val="hybridMultilevel"/>
    <w:tmpl w:val="2DA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0217"/>
    <w:multiLevelType w:val="hybridMultilevel"/>
    <w:tmpl w:val="AA2A9F56"/>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4">
    <w:nsid w:val="32523458"/>
    <w:multiLevelType w:val="multilevel"/>
    <w:tmpl w:val="5AE8D1D0"/>
    <w:lvl w:ilvl="0">
      <w:start w:val="2"/>
      <w:numFmt w:val="upperRoman"/>
      <w:lvlText w:val="%1."/>
      <w:lvlJc w:val="left"/>
      <w:pPr>
        <w:ind w:left="36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99B3534"/>
    <w:multiLevelType w:val="hybridMultilevel"/>
    <w:tmpl w:val="88B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55344"/>
    <w:multiLevelType w:val="hybridMultilevel"/>
    <w:tmpl w:val="4790C17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7">
    <w:nsid w:val="3FAA1FF4"/>
    <w:multiLevelType w:val="hybridMultilevel"/>
    <w:tmpl w:val="05CCD4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077347"/>
    <w:multiLevelType w:val="multilevel"/>
    <w:tmpl w:val="59F8F138"/>
    <w:lvl w:ilvl="0">
      <w:start w:val="1"/>
      <w:numFmt w:val="upperRoman"/>
      <w:lvlText w:val="%1."/>
      <w:lvlJc w:val="left"/>
      <w:pPr>
        <w:ind w:left="360" w:hanging="360"/>
      </w:pPr>
      <w:rPr>
        <w:rFonts w:hint="default"/>
      </w:rPr>
    </w:lvl>
    <w:lvl w:ilvl="1">
      <w:start w:val="39"/>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44436E3E"/>
    <w:multiLevelType w:val="multilevel"/>
    <w:tmpl w:val="3BDEFE04"/>
    <w:styleLink w:val="LFO11"/>
    <w:lvl w:ilvl="0">
      <w:start w:val="1"/>
      <w:numFmt w:val="upperRoman"/>
      <w:lvlText w:val="%1."/>
      <w:lvlJc w:val="center"/>
      <w:pPr>
        <w:ind w:left="1440" w:firstLine="0"/>
      </w:pPr>
      <w:rPr>
        <w:rFonts w:cs="Times New Roman"/>
        <w:b/>
        <w:i w:val="0"/>
      </w:rPr>
    </w:lvl>
    <w:lvl w:ilvl="1">
      <w:start w:val="1"/>
      <w:numFmt w:val="decimal"/>
      <w:lvlText w:val="%1.%2"/>
      <w:lvlJc w:val="left"/>
      <w:pPr>
        <w:ind w:left="2448" w:hanging="1296"/>
      </w:pPr>
      <w:rPr>
        <w:rFonts w:cs="Times New Roman"/>
        <w:b w:val="0"/>
      </w:rPr>
    </w:lvl>
    <w:lvl w:ilvl="2">
      <w:start w:val="1"/>
      <w:numFmt w:val="lowerLetter"/>
      <w:lvlText w:val="%3."/>
      <w:lvlJc w:val="left"/>
      <w:pPr>
        <w:ind w:left="2304" w:hanging="432"/>
      </w:pPr>
      <w:rPr>
        <w:rFonts w:cs="Times New Roman"/>
        <w:b w:val="0"/>
      </w:rPr>
    </w:lvl>
    <w:lvl w:ilvl="3">
      <w:start w:val="1"/>
      <w:numFmt w:val="lowerRoman"/>
      <w:lvlText w:val="%4."/>
      <w:lvlJc w:val="right"/>
      <w:pPr>
        <w:ind w:left="2736" w:hanging="288"/>
      </w:pPr>
      <w:rPr>
        <w:rFonts w:cs="Times New Roman"/>
        <w:b w:val="0"/>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20">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22">
    <w:nsid w:val="4E892846"/>
    <w:multiLevelType w:val="hybridMultilevel"/>
    <w:tmpl w:val="F9CED9EA"/>
    <w:lvl w:ilvl="0" w:tplc="81062F4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3">
    <w:nsid w:val="515915DF"/>
    <w:multiLevelType w:val="multilevel"/>
    <w:tmpl w:val="518270AE"/>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52BC483E"/>
    <w:multiLevelType w:val="hybridMultilevel"/>
    <w:tmpl w:val="8534AD4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nsid w:val="53164ADB"/>
    <w:multiLevelType w:val="hybridMultilevel"/>
    <w:tmpl w:val="8AE8743C"/>
    <w:lvl w:ilvl="0" w:tplc="B426A0DC">
      <w:start w:val="1"/>
      <w:numFmt w:val="upperRoman"/>
      <w:lvlText w:val="%1-"/>
      <w:lvlJc w:val="left"/>
      <w:pPr>
        <w:ind w:left="1222" w:hanging="72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6">
    <w:nsid w:val="5B644567"/>
    <w:multiLevelType w:val="multilevel"/>
    <w:tmpl w:val="F68CE6CE"/>
    <w:lvl w:ilvl="0">
      <w:start w:val="2"/>
      <w:numFmt w:val="upperRoman"/>
      <w:lvlText w:val="%1."/>
      <w:lvlJc w:val="left"/>
      <w:pPr>
        <w:ind w:left="360" w:hanging="360"/>
      </w:pPr>
      <w:rPr>
        <w:rFonts w:hint="default"/>
      </w:rPr>
    </w:lvl>
    <w:lvl w:ilvl="1">
      <w:start w:val="1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E506BF0"/>
    <w:multiLevelType w:val="hybridMultilevel"/>
    <w:tmpl w:val="35C4F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316066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67E34CED"/>
    <w:multiLevelType w:val="hybridMultilevel"/>
    <w:tmpl w:val="E1E8079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6F031FC0"/>
    <w:multiLevelType w:val="multilevel"/>
    <w:tmpl w:val="97D2EBFA"/>
    <w:lvl w:ilvl="0">
      <w:start w:val="2"/>
      <w:numFmt w:val="upperRoman"/>
      <w:lvlText w:val="%1."/>
      <w:lvlJc w:val="left"/>
      <w:pPr>
        <w:ind w:left="360" w:hanging="360"/>
      </w:pPr>
      <w:rPr>
        <w:rFonts w:hint="default"/>
      </w:rPr>
    </w:lvl>
    <w:lvl w:ilvl="1">
      <w:start w:val="39"/>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3"/>
  </w:num>
  <w:num w:numId="2">
    <w:abstractNumId w:val="15"/>
  </w:num>
  <w:num w:numId="3">
    <w:abstractNumId w:val="12"/>
  </w:num>
  <w:num w:numId="4">
    <w:abstractNumId w:val="6"/>
  </w:num>
  <w:num w:numId="5">
    <w:abstractNumId w:val="1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14"/>
  </w:num>
  <w:num w:numId="15">
    <w:abstractNumId w:val="3"/>
  </w:num>
  <w:num w:numId="16">
    <w:abstractNumId w:val="26"/>
  </w:num>
  <w:num w:numId="17">
    <w:abstractNumId w:val="9"/>
  </w:num>
  <w:num w:numId="18">
    <w:abstractNumId w:val="8"/>
  </w:num>
  <w:num w:numId="19">
    <w:abstractNumId w:val="13"/>
  </w:num>
  <w:num w:numId="20">
    <w:abstractNumId w:val="28"/>
  </w:num>
  <w:num w:numId="21">
    <w:abstractNumId w:val="20"/>
  </w:num>
  <w:num w:numId="22">
    <w:abstractNumId w:val="16"/>
  </w:num>
  <w:num w:numId="23">
    <w:abstractNumId w:val="25"/>
  </w:num>
  <w:num w:numId="24">
    <w:abstractNumId w:val="6"/>
  </w:num>
  <w:num w:numId="25">
    <w:abstractNumId w:val="17"/>
  </w:num>
  <w:num w:numId="26">
    <w:abstractNumId w:val="10"/>
  </w:num>
  <w:num w:numId="27">
    <w:abstractNumId w:val="22"/>
  </w:num>
  <w:num w:numId="28">
    <w:abstractNumId w:val="21"/>
  </w:num>
  <w:num w:numId="29">
    <w:abstractNumId w:val="29"/>
  </w:num>
  <w:num w:numId="30">
    <w:abstractNumId w:val="30"/>
  </w:num>
  <w:num w:numId="31">
    <w:abstractNumId w:val="1"/>
  </w:num>
  <w:num w:numId="32">
    <w:abstractNumId w:val="2"/>
  </w:num>
  <w:num w:numId="33">
    <w:abstractNumId w:val="18"/>
  </w:num>
  <w:num w:numId="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4"/>
  </w:num>
  <w:num w:numId="37">
    <w:abstractNumId w:val="7"/>
  </w:num>
  <w:num w:numId="38">
    <w:abstractNumId w:val="5"/>
  </w:num>
  <w:num w:numId="39">
    <w:abstractNumId w:val="27"/>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0033"/>
    <w:rsid w:val="0000578A"/>
    <w:rsid w:val="00005EDC"/>
    <w:rsid w:val="00010E91"/>
    <w:rsid w:val="00011434"/>
    <w:rsid w:val="000117CA"/>
    <w:rsid w:val="00012B9A"/>
    <w:rsid w:val="00013021"/>
    <w:rsid w:val="0001439F"/>
    <w:rsid w:val="00014B7A"/>
    <w:rsid w:val="000156EF"/>
    <w:rsid w:val="00015C84"/>
    <w:rsid w:val="000163C5"/>
    <w:rsid w:val="0002367A"/>
    <w:rsid w:val="0002382F"/>
    <w:rsid w:val="00023DC1"/>
    <w:rsid w:val="00024850"/>
    <w:rsid w:val="000250B3"/>
    <w:rsid w:val="00027BD0"/>
    <w:rsid w:val="00030267"/>
    <w:rsid w:val="00030B76"/>
    <w:rsid w:val="00031E1C"/>
    <w:rsid w:val="00040932"/>
    <w:rsid w:val="00040F7F"/>
    <w:rsid w:val="000435C2"/>
    <w:rsid w:val="000447E8"/>
    <w:rsid w:val="0004549A"/>
    <w:rsid w:val="00045FAD"/>
    <w:rsid w:val="0005034C"/>
    <w:rsid w:val="0005267A"/>
    <w:rsid w:val="00055C95"/>
    <w:rsid w:val="00057937"/>
    <w:rsid w:val="00057E88"/>
    <w:rsid w:val="00060365"/>
    <w:rsid w:val="000614DA"/>
    <w:rsid w:val="000615C6"/>
    <w:rsid w:val="00062917"/>
    <w:rsid w:val="0006373A"/>
    <w:rsid w:val="00065851"/>
    <w:rsid w:val="0006705A"/>
    <w:rsid w:val="0007214A"/>
    <w:rsid w:val="000722A4"/>
    <w:rsid w:val="00072EAB"/>
    <w:rsid w:val="00073D06"/>
    <w:rsid w:val="00077C4D"/>
    <w:rsid w:val="00080C5C"/>
    <w:rsid w:val="00080F7E"/>
    <w:rsid w:val="00081DC4"/>
    <w:rsid w:val="00084A43"/>
    <w:rsid w:val="00086A1C"/>
    <w:rsid w:val="00086C0F"/>
    <w:rsid w:val="000918F4"/>
    <w:rsid w:val="00094F89"/>
    <w:rsid w:val="00095862"/>
    <w:rsid w:val="00096255"/>
    <w:rsid w:val="00097D91"/>
    <w:rsid w:val="000A005B"/>
    <w:rsid w:val="000A166A"/>
    <w:rsid w:val="000A2537"/>
    <w:rsid w:val="000A254F"/>
    <w:rsid w:val="000A44EC"/>
    <w:rsid w:val="000A474D"/>
    <w:rsid w:val="000A57B1"/>
    <w:rsid w:val="000A6211"/>
    <w:rsid w:val="000A69B7"/>
    <w:rsid w:val="000A7FC3"/>
    <w:rsid w:val="000B0A43"/>
    <w:rsid w:val="000B0C63"/>
    <w:rsid w:val="000B389F"/>
    <w:rsid w:val="000B3A68"/>
    <w:rsid w:val="000B3F73"/>
    <w:rsid w:val="000B6483"/>
    <w:rsid w:val="000C17DD"/>
    <w:rsid w:val="000C46A7"/>
    <w:rsid w:val="000C46E0"/>
    <w:rsid w:val="000C6E12"/>
    <w:rsid w:val="000D3602"/>
    <w:rsid w:val="000D3AFA"/>
    <w:rsid w:val="000D575B"/>
    <w:rsid w:val="000D64EC"/>
    <w:rsid w:val="000D6C2A"/>
    <w:rsid w:val="000D7B3F"/>
    <w:rsid w:val="000E08D9"/>
    <w:rsid w:val="000E505C"/>
    <w:rsid w:val="000E5B7C"/>
    <w:rsid w:val="000E5FFA"/>
    <w:rsid w:val="000F4BF7"/>
    <w:rsid w:val="000F4C37"/>
    <w:rsid w:val="000F5806"/>
    <w:rsid w:val="000F5D16"/>
    <w:rsid w:val="00100AB6"/>
    <w:rsid w:val="001024FC"/>
    <w:rsid w:val="00107A6D"/>
    <w:rsid w:val="00110CE8"/>
    <w:rsid w:val="00111647"/>
    <w:rsid w:val="001127C4"/>
    <w:rsid w:val="00112CE5"/>
    <w:rsid w:val="0011395A"/>
    <w:rsid w:val="001143E4"/>
    <w:rsid w:val="001144BE"/>
    <w:rsid w:val="00117D42"/>
    <w:rsid w:val="00120318"/>
    <w:rsid w:val="00123F4E"/>
    <w:rsid w:val="001246EE"/>
    <w:rsid w:val="0012509D"/>
    <w:rsid w:val="0012683F"/>
    <w:rsid w:val="00126F3F"/>
    <w:rsid w:val="00132D5C"/>
    <w:rsid w:val="0013499E"/>
    <w:rsid w:val="00135419"/>
    <w:rsid w:val="00135879"/>
    <w:rsid w:val="00140173"/>
    <w:rsid w:val="00141ED0"/>
    <w:rsid w:val="001423A3"/>
    <w:rsid w:val="001439C9"/>
    <w:rsid w:val="00146B6D"/>
    <w:rsid w:val="001472FC"/>
    <w:rsid w:val="0015295A"/>
    <w:rsid w:val="0015534D"/>
    <w:rsid w:val="00155361"/>
    <w:rsid w:val="00156D2A"/>
    <w:rsid w:val="0016092D"/>
    <w:rsid w:val="001633BC"/>
    <w:rsid w:val="00163675"/>
    <w:rsid w:val="0016597C"/>
    <w:rsid w:val="00166F59"/>
    <w:rsid w:val="00167B44"/>
    <w:rsid w:val="00170F5E"/>
    <w:rsid w:val="00171377"/>
    <w:rsid w:val="001720BB"/>
    <w:rsid w:val="00173607"/>
    <w:rsid w:val="00173B6F"/>
    <w:rsid w:val="00174B82"/>
    <w:rsid w:val="001767D4"/>
    <w:rsid w:val="00177C3F"/>
    <w:rsid w:val="00182F7A"/>
    <w:rsid w:val="00183F9E"/>
    <w:rsid w:val="00184F99"/>
    <w:rsid w:val="0018538F"/>
    <w:rsid w:val="001865CF"/>
    <w:rsid w:val="00187201"/>
    <w:rsid w:val="001A2AD5"/>
    <w:rsid w:val="001A631D"/>
    <w:rsid w:val="001A7BB1"/>
    <w:rsid w:val="001B02F9"/>
    <w:rsid w:val="001B0A90"/>
    <w:rsid w:val="001B5785"/>
    <w:rsid w:val="001B6084"/>
    <w:rsid w:val="001C0414"/>
    <w:rsid w:val="001C268B"/>
    <w:rsid w:val="001C2F21"/>
    <w:rsid w:val="001C3DCA"/>
    <w:rsid w:val="001D28A0"/>
    <w:rsid w:val="001D40EA"/>
    <w:rsid w:val="001D419B"/>
    <w:rsid w:val="001D7ADC"/>
    <w:rsid w:val="001D7F81"/>
    <w:rsid w:val="001E0AA0"/>
    <w:rsid w:val="001E1015"/>
    <w:rsid w:val="001E150A"/>
    <w:rsid w:val="001F0D61"/>
    <w:rsid w:val="001F36D4"/>
    <w:rsid w:val="001F5569"/>
    <w:rsid w:val="00200D80"/>
    <w:rsid w:val="00201A8D"/>
    <w:rsid w:val="00203219"/>
    <w:rsid w:val="00203AA9"/>
    <w:rsid w:val="00204652"/>
    <w:rsid w:val="00205916"/>
    <w:rsid w:val="00207204"/>
    <w:rsid w:val="0021056E"/>
    <w:rsid w:val="00212AE0"/>
    <w:rsid w:val="00215D5A"/>
    <w:rsid w:val="002168BA"/>
    <w:rsid w:val="00217F46"/>
    <w:rsid w:val="002216F9"/>
    <w:rsid w:val="002217F5"/>
    <w:rsid w:val="00224144"/>
    <w:rsid w:val="00224867"/>
    <w:rsid w:val="002306A0"/>
    <w:rsid w:val="002308DC"/>
    <w:rsid w:val="00230968"/>
    <w:rsid w:val="0023096C"/>
    <w:rsid w:val="00232169"/>
    <w:rsid w:val="002341D5"/>
    <w:rsid w:val="002363CE"/>
    <w:rsid w:val="002366E5"/>
    <w:rsid w:val="0023775E"/>
    <w:rsid w:val="00240208"/>
    <w:rsid w:val="00245F30"/>
    <w:rsid w:val="002463B2"/>
    <w:rsid w:val="0025036F"/>
    <w:rsid w:val="002523AA"/>
    <w:rsid w:val="00252502"/>
    <w:rsid w:val="00253B58"/>
    <w:rsid w:val="0025778E"/>
    <w:rsid w:val="00260D92"/>
    <w:rsid w:val="00261879"/>
    <w:rsid w:val="00263BC4"/>
    <w:rsid w:val="00265B09"/>
    <w:rsid w:val="00266113"/>
    <w:rsid w:val="0027433B"/>
    <w:rsid w:val="002743B9"/>
    <w:rsid w:val="002743F5"/>
    <w:rsid w:val="00276369"/>
    <w:rsid w:val="00277D36"/>
    <w:rsid w:val="00277E59"/>
    <w:rsid w:val="00286534"/>
    <w:rsid w:val="002873E1"/>
    <w:rsid w:val="0029622F"/>
    <w:rsid w:val="00296F07"/>
    <w:rsid w:val="002979CE"/>
    <w:rsid w:val="002A075A"/>
    <w:rsid w:val="002A1FC4"/>
    <w:rsid w:val="002A2073"/>
    <w:rsid w:val="002A21EA"/>
    <w:rsid w:val="002A4399"/>
    <w:rsid w:val="002A45C2"/>
    <w:rsid w:val="002A556E"/>
    <w:rsid w:val="002B18ED"/>
    <w:rsid w:val="002B2363"/>
    <w:rsid w:val="002B31BC"/>
    <w:rsid w:val="002B59C1"/>
    <w:rsid w:val="002B6B10"/>
    <w:rsid w:val="002B7111"/>
    <w:rsid w:val="002C1CD6"/>
    <w:rsid w:val="002C3AEE"/>
    <w:rsid w:val="002C5167"/>
    <w:rsid w:val="002C54E7"/>
    <w:rsid w:val="002C571F"/>
    <w:rsid w:val="002D29C7"/>
    <w:rsid w:val="002D4369"/>
    <w:rsid w:val="002D4E00"/>
    <w:rsid w:val="002D63D4"/>
    <w:rsid w:val="002D6F93"/>
    <w:rsid w:val="002D7156"/>
    <w:rsid w:val="002D7584"/>
    <w:rsid w:val="002D7864"/>
    <w:rsid w:val="002D78F7"/>
    <w:rsid w:val="002E11AD"/>
    <w:rsid w:val="002E1368"/>
    <w:rsid w:val="002E147E"/>
    <w:rsid w:val="002E2141"/>
    <w:rsid w:val="002E4202"/>
    <w:rsid w:val="002E4618"/>
    <w:rsid w:val="002E6B84"/>
    <w:rsid w:val="002E6BE0"/>
    <w:rsid w:val="002E7C5D"/>
    <w:rsid w:val="002E7D19"/>
    <w:rsid w:val="002F1652"/>
    <w:rsid w:val="002F1A99"/>
    <w:rsid w:val="002F27CA"/>
    <w:rsid w:val="002F4237"/>
    <w:rsid w:val="002F50C6"/>
    <w:rsid w:val="002F607A"/>
    <w:rsid w:val="002F7EA4"/>
    <w:rsid w:val="00300939"/>
    <w:rsid w:val="00300D75"/>
    <w:rsid w:val="0030518D"/>
    <w:rsid w:val="00305FBE"/>
    <w:rsid w:val="00307417"/>
    <w:rsid w:val="003129AE"/>
    <w:rsid w:val="00313961"/>
    <w:rsid w:val="00316046"/>
    <w:rsid w:val="003208FA"/>
    <w:rsid w:val="0032279A"/>
    <w:rsid w:val="00323CBD"/>
    <w:rsid w:val="00323F4D"/>
    <w:rsid w:val="0032488E"/>
    <w:rsid w:val="00327543"/>
    <w:rsid w:val="00327AB6"/>
    <w:rsid w:val="003311E6"/>
    <w:rsid w:val="00332AA0"/>
    <w:rsid w:val="003332AB"/>
    <w:rsid w:val="003376DF"/>
    <w:rsid w:val="0034132F"/>
    <w:rsid w:val="00341701"/>
    <w:rsid w:val="00343381"/>
    <w:rsid w:val="003436D1"/>
    <w:rsid w:val="00350002"/>
    <w:rsid w:val="003501B6"/>
    <w:rsid w:val="0035041C"/>
    <w:rsid w:val="00356AD0"/>
    <w:rsid w:val="00356FCF"/>
    <w:rsid w:val="00357556"/>
    <w:rsid w:val="00357790"/>
    <w:rsid w:val="00360C5E"/>
    <w:rsid w:val="00362D8A"/>
    <w:rsid w:val="00364F9A"/>
    <w:rsid w:val="0036507D"/>
    <w:rsid w:val="00365153"/>
    <w:rsid w:val="00365578"/>
    <w:rsid w:val="003714B4"/>
    <w:rsid w:val="00376FC1"/>
    <w:rsid w:val="003805D2"/>
    <w:rsid w:val="00381F8D"/>
    <w:rsid w:val="003826EE"/>
    <w:rsid w:val="003834A8"/>
    <w:rsid w:val="00384560"/>
    <w:rsid w:val="00386B8A"/>
    <w:rsid w:val="003905EE"/>
    <w:rsid w:val="0039137B"/>
    <w:rsid w:val="00392749"/>
    <w:rsid w:val="00392B9C"/>
    <w:rsid w:val="00392EF8"/>
    <w:rsid w:val="00393C04"/>
    <w:rsid w:val="00395746"/>
    <w:rsid w:val="00395F8D"/>
    <w:rsid w:val="003970BE"/>
    <w:rsid w:val="003A04DA"/>
    <w:rsid w:val="003A068D"/>
    <w:rsid w:val="003A0E30"/>
    <w:rsid w:val="003A173E"/>
    <w:rsid w:val="003A3D54"/>
    <w:rsid w:val="003A453B"/>
    <w:rsid w:val="003A4F00"/>
    <w:rsid w:val="003A70D6"/>
    <w:rsid w:val="003A76B5"/>
    <w:rsid w:val="003B0030"/>
    <w:rsid w:val="003B0AAC"/>
    <w:rsid w:val="003B386A"/>
    <w:rsid w:val="003B3BC6"/>
    <w:rsid w:val="003C0446"/>
    <w:rsid w:val="003C08A4"/>
    <w:rsid w:val="003C0E3B"/>
    <w:rsid w:val="003C286E"/>
    <w:rsid w:val="003C3C2F"/>
    <w:rsid w:val="003C531B"/>
    <w:rsid w:val="003C64D3"/>
    <w:rsid w:val="003C64E0"/>
    <w:rsid w:val="003D091D"/>
    <w:rsid w:val="003D182A"/>
    <w:rsid w:val="003D308B"/>
    <w:rsid w:val="003D469B"/>
    <w:rsid w:val="003D4E74"/>
    <w:rsid w:val="003D5EC2"/>
    <w:rsid w:val="003D6624"/>
    <w:rsid w:val="003D7F8D"/>
    <w:rsid w:val="003E3C6A"/>
    <w:rsid w:val="003E494A"/>
    <w:rsid w:val="003E61DA"/>
    <w:rsid w:val="003E71C0"/>
    <w:rsid w:val="003F0640"/>
    <w:rsid w:val="003F7517"/>
    <w:rsid w:val="003F76E1"/>
    <w:rsid w:val="00402721"/>
    <w:rsid w:val="00403432"/>
    <w:rsid w:val="00406444"/>
    <w:rsid w:val="00406498"/>
    <w:rsid w:val="004078AA"/>
    <w:rsid w:val="00414834"/>
    <w:rsid w:val="00415D21"/>
    <w:rsid w:val="00420840"/>
    <w:rsid w:val="004210C5"/>
    <w:rsid w:val="00422863"/>
    <w:rsid w:val="00423EB8"/>
    <w:rsid w:val="00424539"/>
    <w:rsid w:val="004249B4"/>
    <w:rsid w:val="0042561E"/>
    <w:rsid w:val="0042581D"/>
    <w:rsid w:val="00426736"/>
    <w:rsid w:val="0042796B"/>
    <w:rsid w:val="00431689"/>
    <w:rsid w:val="0043368E"/>
    <w:rsid w:val="00435054"/>
    <w:rsid w:val="0043555F"/>
    <w:rsid w:val="004421F2"/>
    <w:rsid w:val="00442B47"/>
    <w:rsid w:val="00445382"/>
    <w:rsid w:val="004463E8"/>
    <w:rsid w:val="00447402"/>
    <w:rsid w:val="004478AE"/>
    <w:rsid w:val="00450BC1"/>
    <w:rsid w:val="00451B0C"/>
    <w:rsid w:val="00455A69"/>
    <w:rsid w:val="00455B45"/>
    <w:rsid w:val="00456A59"/>
    <w:rsid w:val="004605A7"/>
    <w:rsid w:val="00460F68"/>
    <w:rsid w:val="004616E7"/>
    <w:rsid w:val="004617EA"/>
    <w:rsid w:val="0046186B"/>
    <w:rsid w:val="00462308"/>
    <w:rsid w:val="00464FD1"/>
    <w:rsid w:val="004652EF"/>
    <w:rsid w:val="00467669"/>
    <w:rsid w:val="00470D03"/>
    <w:rsid w:val="0047251F"/>
    <w:rsid w:val="00473037"/>
    <w:rsid w:val="00473371"/>
    <w:rsid w:val="00473E76"/>
    <w:rsid w:val="00474B5D"/>
    <w:rsid w:val="004807B4"/>
    <w:rsid w:val="00483327"/>
    <w:rsid w:val="00484351"/>
    <w:rsid w:val="00484DB6"/>
    <w:rsid w:val="004857AE"/>
    <w:rsid w:val="004862B0"/>
    <w:rsid w:val="004869E4"/>
    <w:rsid w:val="00487425"/>
    <w:rsid w:val="00487558"/>
    <w:rsid w:val="004876EE"/>
    <w:rsid w:val="00487742"/>
    <w:rsid w:val="0049291F"/>
    <w:rsid w:val="00493FE5"/>
    <w:rsid w:val="0049433A"/>
    <w:rsid w:val="00494BDC"/>
    <w:rsid w:val="00494E6E"/>
    <w:rsid w:val="00495C1F"/>
    <w:rsid w:val="0049738C"/>
    <w:rsid w:val="004975A2"/>
    <w:rsid w:val="004A1160"/>
    <w:rsid w:val="004A2F7B"/>
    <w:rsid w:val="004A7491"/>
    <w:rsid w:val="004B371F"/>
    <w:rsid w:val="004B3A59"/>
    <w:rsid w:val="004B3A79"/>
    <w:rsid w:val="004B451F"/>
    <w:rsid w:val="004B4A7A"/>
    <w:rsid w:val="004B52C3"/>
    <w:rsid w:val="004B5559"/>
    <w:rsid w:val="004B7A5A"/>
    <w:rsid w:val="004C1201"/>
    <w:rsid w:val="004C19AB"/>
    <w:rsid w:val="004C3C2F"/>
    <w:rsid w:val="004C3FBA"/>
    <w:rsid w:val="004C43FE"/>
    <w:rsid w:val="004C613C"/>
    <w:rsid w:val="004C7D80"/>
    <w:rsid w:val="004D0522"/>
    <w:rsid w:val="004D0A04"/>
    <w:rsid w:val="004D2C56"/>
    <w:rsid w:val="004D396D"/>
    <w:rsid w:val="004D3E6C"/>
    <w:rsid w:val="004D4BD0"/>
    <w:rsid w:val="004D5EFD"/>
    <w:rsid w:val="004D5F1D"/>
    <w:rsid w:val="004D6A36"/>
    <w:rsid w:val="004E084F"/>
    <w:rsid w:val="004E20F6"/>
    <w:rsid w:val="004E3F85"/>
    <w:rsid w:val="004E4612"/>
    <w:rsid w:val="004E4981"/>
    <w:rsid w:val="004E4DAC"/>
    <w:rsid w:val="004F08F8"/>
    <w:rsid w:val="004F3763"/>
    <w:rsid w:val="004F4C0D"/>
    <w:rsid w:val="004F5B95"/>
    <w:rsid w:val="004F6CED"/>
    <w:rsid w:val="00500101"/>
    <w:rsid w:val="00503448"/>
    <w:rsid w:val="0050552A"/>
    <w:rsid w:val="00505CE7"/>
    <w:rsid w:val="0050796D"/>
    <w:rsid w:val="005117E4"/>
    <w:rsid w:val="00514048"/>
    <w:rsid w:val="0052321D"/>
    <w:rsid w:val="0052640E"/>
    <w:rsid w:val="0052734A"/>
    <w:rsid w:val="00527A94"/>
    <w:rsid w:val="0053084E"/>
    <w:rsid w:val="00530CB6"/>
    <w:rsid w:val="00531850"/>
    <w:rsid w:val="00531FC8"/>
    <w:rsid w:val="0053306A"/>
    <w:rsid w:val="005345AD"/>
    <w:rsid w:val="00535F75"/>
    <w:rsid w:val="005365B2"/>
    <w:rsid w:val="00536B0A"/>
    <w:rsid w:val="0053746A"/>
    <w:rsid w:val="005406EA"/>
    <w:rsid w:val="00540CE0"/>
    <w:rsid w:val="00541132"/>
    <w:rsid w:val="0054153B"/>
    <w:rsid w:val="005444A9"/>
    <w:rsid w:val="005472A2"/>
    <w:rsid w:val="0054751A"/>
    <w:rsid w:val="0054785D"/>
    <w:rsid w:val="005525E3"/>
    <w:rsid w:val="00553641"/>
    <w:rsid w:val="00555355"/>
    <w:rsid w:val="0055695F"/>
    <w:rsid w:val="00556A21"/>
    <w:rsid w:val="00556E87"/>
    <w:rsid w:val="00560CD8"/>
    <w:rsid w:val="00561458"/>
    <w:rsid w:val="00562F67"/>
    <w:rsid w:val="00564A23"/>
    <w:rsid w:val="00565115"/>
    <w:rsid w:val="005657FD"/>
    <w:rsid w:val="00572725"/>
    <w:rsid w:val="005733C4"/>
    <w:rsid w:val="0057752B"/>
    <w:rsid w:val="00581D67"/>
    <w:rsid w:val="005820FB"/>
    <w:rsid w:val="00582BAA"/>
    <w:rsid w:val="005855F5"/>
    <w:rsid w:val="00585D0A"/>
    <w:rsid w:val="00585DBC"/>
    <w:rsid w:val="00585E7B"/>
    <w:rsid w:val="005907BE"/>
    <w:rsid w:val="00591D6A"/>
    <w:rsid w:val="005922B4"/>
    <w:rsid w:val="00594670"/>
    <w:rsid w:val="00594C97"/>
    <w:rsid w:val="00596C8E"/>
    <w:rsid w:val="005A14BF"/>
    <w:rsid w:val="005A44FF"/>
    <w:rsid w:val="005A4675"/>
    <w:rsid w:val="005A62B7"/>
    <w:rsid w:val="005A729A"/>
    <w:rsid w:val="005B4203"/>
    <w:rsid w:val="005B552B"/>
    <w:rsid w:val="005B61D4"/>
    <w:rsid w:val="005B7D48"/>
    <w:rsid w:val="005C25A0"/>
    <w:rsid w:val="005C4489"/>
    <w:rsid w:val="005C769A"/>
    <w:rsid w:val="005D1407"/>
    <w:rsid w:val="005D1BF1"/>
    <w:rsid w:val="005D1FF0"/>
    <w:rsid w:val="005D430F"/>
    <w:rsid w:val="005D4979"/>
    <w:rsid w:val="005D58EE"/>
    <w:rsid w:val="005D61CC"/>
    <w:rsid w:val="005D6FE2"/>
    <w:rsid w:val="005E0AC0"/>
    <w:rsid w:val="005E12BF"/>
    <w:rsid w:val="005E1BF9"/>
    <w:rsid w:val="005E2C6A"/>
    <w:rsid w:val="005E393C"/>
    <w:rsid w:val="005E3B8C"/>
    <w:rsid w:val="005E51D4"/>
    <w:rsid w:val="005E6BF5"/>
    <w:rsid w:val="005F075B"/>
    <w:rsid w:val="005F2399"/>
    <w:rsid w:val="005F3ABE"/>
    <w:rsid w:val="005F6FA6"/>
    <w:rsid w:val="005F7A38"/>
    <w:rsid w:val="0060241A"/>
    <w:rsid w:val="00602B69"/>
    <w:rsid w:val="00606FC3"/>
    <w:rsid w:val="0061033D"/>
    <w:rsid w:val="00610781"/>
    <w:rsid w:val="00611904"/>
    <w:rsid w:val="00615AA5"/>
    <w:rsid w:val="006225CF"/>
    <w:rsid w:val="00630148"/>
    <w:rsid w:val="006333A4"/>
    <w:rsid w:val="00633D23"/>
    <w:rsid w:val="00637A31"/>
    <w:rsid w:val="0064058B"/>
    <w:rsid w:val="00641DCD"/>
    <w:rsid w:val="00643CF0"/>
    <w:rsid w:val="00644464"/>
    <w:rsid w:val="00644B26"/>
    <w:rsid w:val="00644BD2"/>
    <w:rsid w:val="0064567E"/>
    <w:rsid w:val="00647ECD"/>
    <w:rsid w:val="00650041"/>
    <w:rsid w:val="00650062"/>
    <w:rsid w:val="00652A91"/>
    <w:rsid w:val="00654679"/>
    <w:rsid w:val="00655149"/>
    <w:rsid w:val="00655622"/>
    <w:rsid w:val="00656301"/>
    <w:rsid w:val="00661C9D"/>
    <w:rsid w:val="0066373D"/>
    <w:rsid w:val="006705E4"/>
    <w:rsid w:val="00673804"/>
    <w:rsid w:val="00674CA7"/>
    <w:rsid w:val="0067514B"/>
    <w:rsid w:val="00676A1C"/>
    <w:rsid w:val="0068043E"/>
    <w:rsid w:val="00682E42"/>
    <w:rsid w:val="00686499"/>
    <w:rsid w:val="00687A6D"/>
    <w:rsid w:val="006901EF"/>
    <w:rsid w:val="00690EF5"/>
    <w:rsid w:val="00691245"/>
    <w:rsid w:val="006920F7"/>
    <w:rsid w:val="00693534"/>
    <w:rsid w:val="00693EDE"/>
    <w:rsid w:val="0069414B"/>
    <w:rsid w:val="00694696"/>
    <w:rsid w:val="006948B1"/>
    <w:rsid w:val="00695E2F"/>
    <w:rsid w:val="006970B1"/>
    <w:rsid w:val="006A1D50"/>
    <w:rsid w:val="006A2923"/>
    <w:rsid w:val="006A2F52"/>
    <w:rsid w:val="006A3973"/>
    <w:rsid w:val="006A4D9B"/>
    <w:rsid w:val="006A6F3A"/>
    <w:rsid w:val="006A7086"/>
    <w:rsid w:val="006B2EE6"/>
    <w:rsid w:val="006B4A02"/>
    <w:rsid w:val="006C6081"/>
    <w:rsid w:val="006C6185"/>
    <w:rsid w:val="006C74D3"/>
    <w:rsid w:val="006D2177"/>
    <w:rsid w:val="006D2F82"/>
    <w:rsid w:val="006D4733"/>
    <w:rsid w:val="006E114B"/>
    <w:rsid w:val="006E23DC"/>
    <w:rsid w:val="006E3238"/>
    <w:rsid w:val="006E4B83"/>
    <w:rsid w:val="006E4C85"/>
    <w:rsid w:val="006E56CD"/>
    <w:rsid w:val="006F1335"/>
    <w:rsid w:val="006F1DBA"/>
    <w:rsid w:val="006F5BA4"/>
    <w:rsid w:val="006F7FCE"/>
    <w:rsid w:val="0070240E"/>
    <w:rsid w:val="00706FAB"/>
    <w:rsid w:val="0070703D"/>
    <w:rsid w:val="007113A9"/>
    <w:rsid w:val="00714298"/>
    <w:rsid w:val="0071464D"/>
    <w:rsid w:val="007156F1"/>
    <w:rsid w:val="0072034B"/>
    <w:rsid w:val="007207F3"/>
    <w:rsid w:val="007233D8"/>
    <w:rsid w:val="00723F82"/>
    <w:rsid w:val="00724814"/>
    <w:rsid w:val="00726740"/>
    <w:rsid w:val="00727D7D"/>
    <w:rsid w:val="0073491B"/>
    <w:rsid w:val="00735129"/>
    <w:rsid w:val="0073585A"/>
    <w:rsid w:val="00735B51"/>
    <w:rsid w:val="00737A5A"/>
    <w:rsid w:val="00737E64"/>
    <w:rsid w:val="007421EB"/>
    <w:rsid w:val="00742F6D"/>
    <w:rsid w:val="00745C05"/>
    <w:rsid w:val="00746A2E"/>
    <w:rsid w:val="00747A62"/>
    <w:rsid w:val="00753456"/>
    <w:rsid w:val="00753A4E"/>
    <w:rsid w:val="007548CD"/>
    <w:rsid w:val="00754F54"/>
    <w:rsid w:val="0076009F"/>
    <w:rsid w:val="00761160"/>
    <w:rsid w:val="0076199C"/>
    <w:rsid w:val="00762226"/>
    <w:rsid w:val="00764181"/>
    <w:rsid w:val="00765476"/>
    <w:rsid w:val="00771C06"/>
    <w:rsid w:val="0077209E"/>
    <w:rsid w:val="0077338B"/>
    <w:rsid w:val="00775EDE"/>
    <w:rsid w:val="00781F2B"/>
    <w:rsid w:val="00783D86"/>
    <w:rsid w:val="00786DDF"/>
    <w:rsid w:val="0078704A"/>
    <w:rsid w:val="00787D25"/>
    <w:rsid w:val="0079324F"/>
    <w:rsid w:val="00794002"/>
    <w:rsid w:val="00794A2B"/>
    <w:rsid w:val="007A1860"/>
    <w:rsid w:val="007A2BF3"/>
    <w:rsid w:val="007A2EB7"/>
    <w:rsid w:val="007A3E89"/>
    <w:rsid w:val="007A4DEC"/>
    <w:rsid w:val="007A5122"/>
    <w:rsid w:val="007A5AB1"/>
    <w:rsid w:val="007B3205"/>
    <w:rsid w:val="007B3237"/>
    <w:rsid w:val="007B5A16"/>
    <w:rsid w:val="007B610C"/>
    <w:rsid w:val="007C00FA"/>
    <w:rsid w:val="007C0A5D"/>
    <w:rsid w:val="007C10BC"/>
    <w:rsid w:val="007C3FE6"/>
    <w:rsid w:val="007C5385"/>
    <w:rsid w:val="007C6AC0"/>
    <w:rsid w:val="007C6EC6"/>
    <w:rsid w:val="007D03A1"/>
    <w:rsid w:val="007D396A"/>
    <w:rsid w:val="007D7037"/>
    <w:rsid w:val="007E059C"/>
    <w:rsid w:val="007E05E0"/>
    <w:rsid w:val="007E0EDD"/>
    <w:rsid w:val="007E2918"/>
    <w:rsid w:val="007E4510"/>
    <w:rsid w:val="007E6104"/>
    <w:rsid w:val="007E6BEA"/>
    <w:rsid w:val="007F0085"/>
    <w:rsid w:val="007F1482"/>
    <w:rsid w:val="007F3457"/>
    <w:rsid w:val="007F5638"/>
    <w:rsid w:val="007F5F25"/>
    <w:rsid w:val="00800DFF"/>
    <w:rsid w:val="00802A5A"/>
    <w:rsid w:val="00803086"/>
    <w:rsid w:val="00803677"/>
    <w:rsid w:val="008049F9"/>
    <w:rsid w:val="00804A5A"/>
    <w:rsid w:val="00812835"/>
    <w:rsid w:val="00813877"/>
    <w:rsid w:val="00813CCF"/>
    <w:rsid w:val="00814B33"/>
    <w:rsid w:val="008160A7"/>
    <w:rsid w:val="00816159"/>
    <w:rsid w:val="0081697B"/>
    <w:rsid w:val="00820714"/>
    <w:rsid w:val="00821327"/>
    <w:rsid w:val="00821A94"/>
    <w:rsid w:val="00823012"/>
    <w:rsid w:val="0082652B"/>
    <w:rsid w:val="00830578"/>
    <w:rsid w:val="008342BD"/>
    <w:rsid w:val="008420C0"/>
    <w:rsid w:val="008421E0"/>
    <w:rsid w:val="00844712"/>
    <w:rsid w:val="00845A0D"/>
    <w:rsid w:val="00845DA1"/>
    <w:rsid w:val="00847203"/>
    <w:rsid w:val="00850F9E"/>
    <w:rsid w:val="00851537"/>
    <w:rsid w:val="008531B3"/>
    <w:rsid w:val="00853632"/>
    <w:rsid w:val="008544A7"/>
    <w:rsid w:val="008545AC"/>
    <w:rsid w:val="008565FD"/>
    <w:rsid w:val="00857E5B"/>
    <w:rsid w:val="00860164"/>
    <w:rsid w:val="008612C1"/>
    <w:rsid w:val="0086359C"/>
    <w:rsid w:val="008655A5"/>
    <w:rsid w:val="00867419"/>
    <w:rsid w:val="00872416"/>
    <w:rsid w:val="00872ACC"/>
    <w:rsid w:val="00872DDA"/>
    <w:rsid w:val="00873423"/>
    <w:rsid w:val="00877769"/>
    <w:rsid w:val="00882279"/>
    <w:rsid w:val="00882457"/>
    <w:rsid w:val="00890E4A"/>
    <w:rsid w:val="00890F73"/>
    <w:rsid w:val="00891479"/>
    <w:rsid w:val="00891BA0"/>
    <w:rsid w:val="00892643"/>
    <w:rsid w:val="008944F0"/>
    <w:rsid w:val="008964CD"/>
    <w:rsid w:val="00896682"/>
    <w:rsid w:val="00896E57"/>
    <w:rsid w:val="008A0563"/>
    <w:rsid w:val="008A0ACE"/>
    <w:rsid w:val="008A0F20"/>
    <w:rsid w:val="008A17D7"/>
    <w:rsid w:val="008A367D"/>
    <w:rsid w:val="008A3DC6"/>
    <w:rsid w:val="008A4318"/>
    <w:rsid w:val="008A4F02"/>
    <w:rsid w:val="008A63BB"/>
    <w:rsid w:val="008A7E16"/>
    <w:rsid w:val="008B12CE"/>
    <w:rsid w:val="008B459C"/>
    <w:rsid w:val="008B4FC8"/>
    <w:rsid w:val="008B69F9"/>
    <w:rsid w:val="008B7AB8"/>
    <w:rsid w:val="008C25C2"/>
    <w:rsid w:val="008C2D30"/>
    <w:rsid w:val="008C7A94"/>
    <w:rsid w:val="008D0D1F"/>
    <w:rsid w:val="008D249D"/>
    <w:rsid w:val="008D3D73"/>
    <w:rsid w:val="008D4059"/>
    <w:rsid w:val="008D5551"/>
    <w:rsid w:val="008E0408"/>
    <w:rsid w:val="008E3746"/>
    <w:rsid w:val="008E3EE0"/>
    <w:rsid w:val="008E522D"/>
    <w:rsid w:val="008E72AB"/>
    <w:rsid w:val="008E7C3E"/>
    <w:rsid w:val="008F115E"/>
    <w:rsid w:val="008F1C90"/>
    <w:rsid w:val="008F4543"/>
    <w:rsid w:val="008F47C0"/>
    <w:rsid w:val="008F68AE"/>
    <w:rsid w:val="00900812"/>
    <w:rsid w:val="00907BAE"/>
    <w:rsid w:val="00911C97"/>
    <w:rsid w:val="00914524"/>
    <w:rsid w:val="0091507A"/>
    <w:rsid w:val="00915BD2"/>
    <w:rsid w:val="00916829"/>
    <w:rsid w:val="00920841"/>
    <w:rsid w:val="00920A10"/>
    <w:rsid w:val="00920B6A"/>
    <w:rsid w:val="00920CA6"/>
    <w:rsid w:val="00921462"/>
    <w:rsid w:val="0092321C"/>
    <w:rsid w:val="0092482A"/>
    <w:rsid w:val="00925598"/>
    <w:rsid w:val="00925E70"/>
    <w:rsid w:val="0092631B"/>
    <w:rsid w:val="00926C85"/>
    <w:rsid w:val="00927096"/>
    <w:rsid w:val="009307E2"/>
    <w:rsid w:val="00930885"/>
    <w:rsid w:val="00932AF4"/>
    <w:rsid w:val="009332ED"/>
    <w:rsid w:val="00934177"/>
    <w:rsid w:val="009343CE"/>
    <w:rsid w:val="00934A94"/>
    <w:rsid w:val="009370D5"/>
    <w:rsid w:val="00937224"/>
    <w:rsid w:val="00937C74"/>
    <w:rsid w:val="00940623"/>
    <w:rsid w:val="00941AE5"/>
    <w:rsid w:val="009423CA"/>
    <w:rsid w:val="00942E03"/>
    <w:rsid w:val="00946BAC"/>
    <w:rsid w:val="00953137"/>
    <w:rsid w:val="0095645D"/>
    <w:rsid w:val="00961843"/>
    <w:rsid w:val="00961A68"/>
    <w:rsid w:val="00961D7D"/>
    <w:rsid w:val="00961FAB"/>
    <w:rsid w:val="00962BB2"/>
    <w:rsid w:val="00962D5E"/>
    <w:rsid w:val="0096316F"/>
    <w:rsid w:val="00965CEF"/>
    <w:rsid w:val="00966650"/>
    <w:rsid w:val="009666E7"/>
    <w:rsid w:val="00967D93"/>
    <w:rsid w:val="00972C35"/>
    <w:rsid w:val="00974805"/>
    <w:rsid w:val="00975398"/>
    <w:rsid w:val="00975FC6"/>
    <w:rsid w:val="009776F0"/>
    <w:rsid w:val="00977940"/>
    <w:rsid w:val="00980792"/>
    <w:rsid w:val="00980972"/>
    <w:rsid w:val="00981783"/>
    <w:rsid w:val="00982805"/>
    <w:rsid w:val="00982BD1"/>
    <w:rsid w:val="00983703"/>
    <w:rsid w:val="009859C5"/>
    <w:rsid w:val="00990A2D"/>
    <w:rsid w:val="009918CD"/>
    <w:rsid w:val="00991F14"/>
    <w:rsid w:val="00991FB6"/>
    <w:rsid w:val="00992C30"/>
    <w:rsid w:val="00993463"/>
    <w:rsid w:val="00993B65"/>
    <w:rsid w:val="00997547"/>
    <w:rsid w:val="009A4966"/>
    <w:rsid w:val="009A4A07"/>
    <w:rsid w:val="009A5E1A"/>
    <w:rsid w:val="009A65E9"/>
    <w:rsid w:val="009B04E7"/>
    <w:rsid w:val="009B0F27"/>
    <w:rsid w:val="009B370F"/>
    <w:rsid w:val="009B4C36"/>
    <w:rsid w:val="009C18D2"/>
    <w:rsid w:val="009C1FD6"/>
    <w:rsid w:val="009C2917"/>
    <w:rsid w:val="009C65AC"/>
    <w:rsid w:val="009D0CF9"/>
    <w:rsid w:val="009D173F"/>
    <w:rsid w:val="009D40C4"/>
    <w:rsid w:val="009D413B"/>
    <w:rsid w:val="009D42E9"/>
    <w:rsid w:val="009D4D7F"/>
    <w:rsid w:val="009D50EA"/>
    <w:rsid w:val="009D5338"/>
    <w:rsid w:val="009D7700"/>
    <w:rsid w:val="009E022D"/>
    <w:rsid w:val="009E028C"/>
    <w:rsid w:val="009E3F16"/>
    <w:rsid w:val="009E4ACB"/>
    <w:rsid w:val="009E6A82"/>
    <w:rsid w:val="009F09D0"/>
    <w:rsid w:val="009F58A4"/>
    <w:rsid w:val="009F72C1"/>
    <w:rsid w:val="009F7935"/>
    <w:rsid w:val="00A00FF6"/>
    <w:rsid w:val="00A0126B"/>
    <w:rsid w:val="00A01685"/>
    <w:rsid w:val="00A0230B"/>
    <w:rsid w:val="00A0259C"/>
    <w:rsid w:val="00A0293B"/>
    <w:rsid w:val="00A03792"/>
    <w:rsid w:val="00A04200"/>
    <w:rsid w:val="00A04CB3"/>
    <w:rsid w:val="00A14CEE"/>
    <w:rsid w:val="00A1566C"/>
    <w:rsid w:val="00A1699D"/>
    <w:rsid w:val="00A172F8"/>
    <w:rsid w:val="00A1751E"/>
    <w:rsid w:val="00A20D2B"/>
    <w:rsid w:val="00A257D9"/>
    <w:rsid w:val="00A26883"/>
    <w:rsid w:val="00A32B3D"/>
    <w:rsid w:val="00A33C47"/>
    <w:rsid w:val="00A35086"/>
    <w:rsid w:val="00A433A3"/>
    <w:rsid w:val="00A460A1"/>
    <w:rsid w:val="00A47BDF"/>
    <w:rsid w:val="00A549A0"/>
    <w:rsid w:val="00A54F3E"/>
    <w:rsid w:val="00A550A8"/>
    <w:rsid w:val="00A56605"/>
    <w:rsid w:val="00A603AC"/>
    <w:rsid w:val="00A608E4"/>
    <w:rsid w:val="00A61DE9"/>
    <w:rsid w:val="00A62FF6"/>
    <w:rsid w:val="00A66C13"/>
    <w:rsid w:val="00A72576"/>
    <w:rsid w:val="00A74324"/>
    <w:rsid w:val="00A76FBF"/>
    <w:rsid w:val="00A77092"/>
    <w:rsid w:val="00A81295"/>
    <w:rsid w:val="00A813DF"/>
    <w:rsid w:val="00A81CE3"/>
    <w:rsid w:val="00A82D67"/>
    <w:rsid w:val="00A83752"/>
    <w:rsid w:val="00A84ECC"/>
    <w:rsid w:val="00A855AD"/>
    <w:rsid w:val="00A860A0"/>
    <w:rsid w:val="00A864B0"/>
    <w:rsid w:val="00A87A33"/>
    <w:rsid w:val="00A90AEF"/>
    <w:rsid w:val="00A93CD2"/>
    <w:rsid w:val="00A93FC3"/>
    <w:rsid w:val="00A9449D"/>
    <w:rsid w:val="00A95476"/>
    <w:rsid w:val="00A955A2"/>
    <w:rsid w:val="00A9787E"/>
    <w:rsid w:val="00A978AC"/>
    <w:rsid w:val="00A97B69"/>
    <w:rsid w:val="00A97E3C"/>
    <w:rsid w:val="00AA0BF9"/>
    <w:rsid w:val="00AA1166"/>
    <w:rsid w:val="00AA5C3E"/>
    <w:rsid w:val="00AA7352"/>
    <w:rsid w:val="00AB1713"/>
    <w:rsid w:val="00AB2757"/>
    <w:rsid w:val="00AB2BA1"/>
    <w:rsid w:val="00AB4B14"/>
    <w:rsid w:val="00AB64BE"/>
    <w:rsid w:val="00AB6CD8"/>
    <w:rsid w:val="00AC07DB"/>
    <w:rsid w:val="00AC0A66"/>
    <w:rsid w:val="00AC13A6"/>
    <w:rsid w:val="00AC466A"/>
    <w:rsid w:val="00AC5430"/>
    <w:rsid w:val="00AD0FC3"/>
    <w:rsid w:val="00AD23EB"/>
    <w:rsid w:val="00AD3B25"/>
    <w:rsid w:val="00AD4BFC"/>
    <w:rsid w:val="00AD73E4"/>
    <w:rsid w:val="00AD7D22"/>
    <w:rsid w:val="00AE0F64"/>
    <w:rsid w:val="00AE1E4C"/>
    <w:rsid w:val="00AE3564"/>
    <w:rsid w:val="00AE58EE"/>
    <w:rsid w:val="00AE6DE6"/>
    <w:rsid w:val="00AE7557"/>
    <w:rsid w:val="00AF4DCA"/>
    <w:rsid w:val="00AF70F4"/>
    <w:rsid w:val="00AF7D8C"/>
    <w:rsid w:val="00B000F6"/>
    <w:rsid w:val="00B00914"/>
    <w:rsid w:val="00B01AF3"/>
    <w:rsid w:val="00B01B77"/>
    <w:rsid w:val="00B04792"/>
    <w:rsid w:val="00B05BE1"/>
    <w:rsid w:val="00B12527"/>
    <w:rsid w:val="00B15E5E"/>
    <w:rsid w:val="00B166BF"/>
    <w:rsid w:val="00B2552C"/>
    <w:rsid w:val="00B27409"/>
    <w:rsid w:val="00B30804"/>
    <w:rsid w:val="00B31AC1"/>
    <w:rsid w:val="00B31C08"/>
    <w:rsid w:val="00B327D1"/>
    <w:rsid w:val="00B33466"/>
    <w:rsid w:val="00B3348B"/>
    <w:rsid w:val="00B33F2C"/>
    <w:rsid w:val="00B35BC5"/>
    <w:rsid w:val="00B365D7"/>
    <w:rsid w:val="00B37B5D"/>
    <w:rsid w:val="00B41B79"/>
    <w:rsid w:val="00B436A7"/>
    <w:rsid w:val="00B44A5B"/>
    <w:rsid w:val="00B44DED"/>
    <w:rsid w:val="00B5091F"/>
    <w:rsid w:val="00B5093D"/>
    <w:rsid w:val="00B517AE"/>
    <w:rsid w:val="00B52224"/>
    <w:rsid w:val="00B53D28"/>
    <w:rsid w:val="00B62558"/>
    <w:rsid w:val="00B630E4"/>
    <w:rsid w:val="00B63B95"/>
    <w:rsid w:val="00B675FC"/>
    <w:rsid w:val="00B67967"/>
    <w:rsid w:val="00B74B48"/>
    <w:rsid w:val="00B77242"/>
    <w:rsid w:val="00B80436"/>
    <w:rsid w:val="00B80BC4"/>
    <w:rsid w:val="00B80DCB"/>
    <w:rsid w:val="00B84170"/>
    <w:rsid w:val="00B84211"/>
    <w:rsid w:val="00B84846"/>
    <w:rsid w:val="00B84935"/>
    <w:rsid w:val="00B90D94"/>
    <w:rsid w:val="00B91090"/>
    <w:rsid w:val="00B937D9"/>
    <w:rsid w:val="00B93BAE"/>
    <w:rsid w:val="00B94BCF"/>
    <w:rsid w:val="00B966FD"/>
    <w:rsid w:val="00B97D21"/>
    <w:rsid w:val="00BA0115"/>
    <w:rsid w:val="00BA2275"/>
    <w:rsid w:val="00BA263C"/>
    <w:rsid w:val="00BA2700"/>
    <w:rsid w:val="00BA6CE0"/>
    <w:rsid w:val="00BA6EAC"/>
    <w:rsid w:val="00BB1949"/>
    <w:rsid w:val="00BB26A9"/>
    <w:rsid w:val="00BB51DD"/>
    <w:rsid w:val="00BB6E97"/>
    <w:rsid w:val="00BB78BA"/>
    <w:rsid w:val="00BC01D6"/>
    <w:rsid w:val="00BC03A6"/>
    <w:rsid w:val="00BC212A"/>
    <w:rsid w:val="00BC232B"/>
    <w:rsid w:val="00BC2797"/>
    <w:rsid w:val="00BC3EE3"/>
    <w:rsid w:val="00BC43C4"/>
    <w:rsid w:val="00BC635B"/>
    <w:rsid w:val="00BC6CE8"/>
    <w:rsid w:val="00BC71F0"/>
    <w:rsid w:val="00BC7E94"/>
    <w:rsid w:val="00BD5D60"/>
    <w:rsid w:val="00BD5D9B"/>
    <w:rsid w:val="00BD6299"/>
    <w:rsid w:val="00BE2AA0"/>
    <w:rsid w:val="00BE31DE"/>
    <w:rsid w:val="00BE3F32"/>
    <w:rsid w:val="00BE4543"/>
    <w:rsid w:val="00BE4820"/>
    <w:rsid w:val="00BE762A"/>
    <w:rsid w:val="00BF32A4"/>
    <w:rsid w:val="00BF3D88"/>
    <w:rsid w:val="00BF4BF9"/>
    <w:rsid w:val="00BF5A48"/>
    <w:rsid w:val="00BF7239"/>
    <w:rsid w:val="00BF7BCB"/>
    <w:rsid w:val="00C01BC9"/>
    <w:rsid w:val="00C04A88"/>
    <w:rsid w:val="00C0546D"/>
    <w:rsid w:val="00C05A30"/>
    <w:rsid w:val="00C05CBC"/>
    <w:rsid w:val="00C06015"/>
    <w:rsid w:val="00C071A9"/>
    <w:rsid w:val="00C115D2"/>
    <w:rsid w:val="00C125F7"/>
    <w:rsid w:val="00C13665"/>
    <w:rsid w:val="00C14659"/>
    <w:rsid w:val="00C1484C"/>
    <w:rsid w:val="00C14D67"/>
    <w:rsid w:val="00C14EFA"/>
    <w:rsid w:val="00C15D8B"/>
    <w:rsid w:val="00C1665B"/>
    <w:rsid w:val="00C22A4D"/>
    <w:rsid w:val="00C23152"/>
    <w:rsid w:val="00C2366A"/>
    <w:rsid w:val="00C23DDB"/>
    <w:rsid w:val="00C24CB3"/>
    <w:rsid w:val="00C25CE5"/>
    <w:rsid w:val="00C27FA0"/>
    <w:rsid w:val="00C319BC"/>
    <w:rsid w:val="00C32A84"/>
    <w:rsid w:val="00C34460"/>
    <w:rsid w:val="00C355F9"/>
    <w:rsid w:val="00C36786"/>
    <w:rsid w:val="00C40814"/>
    <w:rsid w:val="00C45B91"/>
    <w:rsid w:val="00C46051"/>
    <w:rsid w:val="00C477F4"/>
    <w:rsid w:val="00C47DEE"/>
    <w:rsid w:val="00C47DEF"/>
    <w:rsid w:val="00C50195"/>
    <w:rsid w:val="00C5211C"/>
    <w:rsid w:val="00C52307"/>
    <w:rsid w:val="00C53279"/>
    <w:rsid w:val="00C532DF"/>
    <w:rsid w:val="00C54F41"/>
    <w:rsid w:val="00C55882"/>
    <w:rsid w:val="00C577C1"/>
    <w:rsid w:val="00C578B0"/>
    <w:rsid w:val="00C60479"/>
    <w:rsid w:val="00C627C5"/>
    <w:rsid w:val="00C63D35"/>
    <w:rsid w:val="00C650E5"/>
    <w:rsid w:val="00C66157"/>
    <w:rsid w:val="00C66239"/>
    <w:rsid w:val="00C67595"/>
    <w:rsid w:val="00C71725"/>
    <w:rsid w:val="00C71A4D"/>
    <w:rsid w:val="00C721C5"/>
    <w:rsid w:val="00C775B4"/>
    <w:rsid w:val="00C779FC"/>
    <w:rsid w:val="00C82BAF"/>
    <w:rsid w:val="00C8418E"/>
    <w:rsid w:val="00C846E4"/>
    <w:rsid w:val="00C85A38"/>
    <w:rsid w:val="00C87956"/>
    <w:rsid w:val="00C87A29"/>
    <w:rsid w:val="00C92E6F"/>
    <w:rsid w:val="00C9352C"/>
    <w:rsid w:val="00C9392E"/>
    <w:rsid w:val="00C957C4"/>
    <w:rsid w:val="00C9681A"/>
    <w:rsid w:val="00CA176C"/>
    <w:rsid w:val="00CA2349"/>
    <w:rsid w:val="00CA565D"/>
    <w:rsid w:val="00CA6562"/>
    <w:rsid w:val="00CA6DA4"/>
    <w:rsid w:val="00CA72C8"/>
    <w:rsid w:val="00CA7F7D"/>
    <w:rsid w:val="00CB4273"/>
    <w:rsid w:val="00CB4E36"/>
    <w:rsid w:val="00CB53E6"/>
    <w:rsid w:val="00CB5CCB"/>
    <w:rsid w:val="00CB7E8F"/>
    <w:rsid w:val="00CB7E91"/>
    <w:rsid w:val="00CC18C4"/>
    <w:rsid w:val="00CC22E0"/>
    <w:rsid w:val="00CC3953"/>
    <w:rsid w:val="00CC5225"/>
    <w:rsid w:val="00CC64BF"/>
    <w:rsid w:val="00CD02A4"/>
    <w:rsid w:val="00CD0C4B"/>
    <w:rsid w:val="00CD3ED4"/>
    <w:rsid w:val="00CD5FF8"/>
    <w:rsid w:val="00CD66BA"/>
    <w:rsid w:val="00CE5086"/>
    <w:rsid w:val="00CE7D0F"/>
    <w:rsid w:val="00CF015C"/>
    <w:rsid w:val="00CF146D"/>
    <w:rsid w:val="00CF2DD8"/>
    <w:rsid w:val="00CF3A39"/>
    <w:rsid w:val="00CF5271"/>
    <w:rsid w:val="00CF60DF"/>
    <w:rsid w:val="00CF7330"/>
    <w:rsid w:val="00D00C63"/>
    <w:rsid w:val="00D00D89"/>
    <w:rsid w:val="00D03452"/>
    <w:rsid w:val="00D0461E"/>
    <w:rsid w:val="00D04E6E"/>
    <w:rsid w:val="00D05B59"/>
    <w:rsid w:val="00D05DFB"/>
    <w:rsid w:val="00D07137"/>
    <w:rsid w:val="00D103FA"/>
    <w:rsid w:val="00D106A1"/>
    <w:rsid w:val="00D13462"/>
    <w:rsid w:val="00D13AAB"/>
    <w:rsid w:val="00D2112D"/>
    <w:rsid w:val="00D226F4"/>
    <w:rsid w:val="00D2420F"/>
    <w:rsid w:val="00D30299"/>
    <w:rsid w:val="00D332FF"/>
    <w:rsid w:val="00D3688C"/>
    <w:rsid w:val="00D42405"/>
    <w:rsid w:val="00D50779"/>
    <w:rsid w:val="00D50E32"/>
    <w:rsid w:val="00D54711"/>
    <w:rsid w:val="00D54DA0"/>
    <w:rsid w:val="00D55F59"/>
    <w:rsid w:val="00D571CD"/>
    <w:rsid w:val="00D604D5"/>
    <w:rsid w:val="00D60630"/>
    <w:rsid w:val="00D62A83"/>
    <w:rsid w:val="00D63057"/>
    <w:rsid w:val="00D64D02"/>
    <w:rsid w:val="00D7219E"/>
    <w:rsid w:val="00D74199"/>
    <w:rsid w:val="00D778E1"/>
    <w:rsid w:val="00D8256F"/>
    <w:rsid w:val="00D82D04"/>
    <w:rsid w:val="00D873E2"/>
    <w:rsid w:val="00D87D38"/>
    <w:rsid w:val="00D91720"/>
    <w:rsid w:val="00D92085"/>
    <w:rsid w:val="00D929E6"/>
    <w:rsid w:val="00D9571A"/>
    <w:rsid w:val="00D96F65"/>
    <w:rsid w:val="00D973E5"/>
    <w:rsid w:val="00DA03C6"/>
    <w:rsid w:val="00DA0515"/>
    <w:rsid w:val="00DA353D"/>
    <w:rsid w:val="00DA42C2"/>
    <w:rsid w:val="00DA4A02"/>
    <w:rsid w:val="00DA4EAC"/>
    <w:rsid w:val="00DA6C88"/>
    <w:rsid w:val="00DA7B73"/>
    <w:rsid w:val="00DB04A9"/>
    <w:rsid w:val="00DB0AC0"/>
    <w:rsid w:val="00DB1E63"/>
    <w:rsid w:val="00DB1E70"/>
    <w:rsid w:val="00DB2945"/>
    <w:rsid w:val="00DB4774"/>
    <w:rsid w:val="00DB55CC"/>
    <w:rsid w:val="00DB6A84"/>
    <w:rsid w:val="00DC111A"/>
    <w:rsid w:val="00DC1C77"/>
    <w:rsid w:val="00DC2972"/>
    <w:rsid w:val="00DC451D"/>
    <w:rsid w:val="00DC4A76"/>
    <w:rsid w:val="00DD0124"/>
    <w:rsid w:val="00DD4545"/>
    <w:rsid w:val="00DD5F33"/>
    <w:rsid w:val="00DE0CB5"/>
    <w:rsid w:val="00DE0EDB"/>
    <w:rsid w:val="00DE4343"/>
    <w:rsid w:val="00DE4381"/>
    <w:rsid w:val="00DE45F3"/>
    <w:rsid w:val="00DE5A93"/>
    <w:rsid w:val="00DE5E12"/>
    <w:rsid w:val="00DE67E6"/>
    <w:rsid w:val="00DF01D2"/>
    <w:rsid w:val="00DF08EA"/>
    <w:rsid w:val="00DF33B8"/>
    <w:rsid w:val="00DF3C59"/>
    <w:rsid w:val="00DF5014"/>
    <w:rsid w:val="00DF712D"/>
    <w:rsid w:val="00E0052C"/>
    <w:rsid w:val="00E01B5E"/>
    <w:rsid w:val="00E034AD"/>
    <w:rsid w:val="00E0395C"/>
    <w:rsid w:val="00E05BAC"/>
    <w:rsid w:val="00E05FCF"/>
    <w:rsid w:val="00E0652C"/>
    <w:rsid w:val="00E075D7"/>
    <w:rsid w:val="00E07792"/>
    <w:rsid w:val="00E100A9"/>
    <w:rsid w:val="00E12856"/>
    <w:rsid w:val="00E13251"/>
    <w:rsid w:val="00E15B0C"/>
    <w:rsid w:val="00E1680F"/>
    <w:rsid w:val="00E1793E"/>
    <w:rsid w:val="00E20373"/>
    <w:rsid w:val="00E208D2"/>
    <w:rsid w:val="00E2153E"/>
    <w:rsid w:val="00E21DC0"/>
    <w:rsid w:val="00E22658"/>
    <w:rsid w:val="00E22A0C"/>
    <w:rsid w:val="00E22BFA"/>
    <w:rsid w:val="00E23B5D"/>
    <w:rsid w:val="00E23B90"/>
    <w:rsid w:val="00E24CC2"/>
    <w:rsid w:val="00E25A0A"/>
    <w:rsid w:val="00E25C4D"/>
    <w:rsid w:val="00E261D6"/>
    <w:rsid w:val="00E300CD"/>
    <w:rsid w:val="00E3050A"/>
    <w:rsid w:val="00E30A56"/>
    <w:rsid w:val="00E3177A"/>
    <w:rsid w:val="00E31FCD"/>
    <w:rsid w:val="00E325DB"/>
    <w:rsid w:val="00E338D8"/>
    <w:rsid w:val="00E36C31"/>
    <w:rsid w:val="00E4066B"/>
    <w:rsid w:val="00E44BC2"/>
    <w:rsid w:val="00E512F7"/>
    <w:rsid w:val="00E52118"/>
    <w:rsid w:val="00E522DD"/>
    <w:rsid w:val="00E52A02"/>
    <w:rsid w:val="00E557A8"/>
    <w:rsid w:val="00E56253"/>
    <w:rsid w:val="00E57C9B"/>
    <w:rsid w:val="00E60F8D"/>
    <w:rsid w:val="00E61986"/>
    <w:rsid w:val="00E61E99"/>
    <w:rsid w:val="00E62F03"/>
    <w:rsid w:val="00E67426"/>
    <w:rsid w:val="00E709CF"/>
    <w:rsid w:val="00E70C96"/>
    <w:rsid w:val="00E71EE4"/>
    <w:rsid w:val="00E72531"/>
    <w:rsid w:val="00E736EA"/>
    <w:rsid w:val="00E75009"/>
    <w:rsid w:val="00E750DC"/>
    <w:rsid w:val="00E76D3C"/>
    <w:rsid w:val="00E80A7B"/>
    <w:rsid w:val="00E87AB6"/>
    <w:rsid w:val="00E9266B"/>
    <w:rsid w:val="00E937A6"/>
    <w:rsid w:val="00E94D1A"/>
    <w:rsid w:val="00E9507C"/>
    <w:rsid w:val="00E96630"/>
    <w:rsid w:val="00E97233"/>
    <w:rsid w:val="00EA153D"/>
    <w:rsid w:val="00EA3A74"/>
    <w:rsid w:val="00EA3C7B"/>
    <w:rsid w:val="00EA5AB9"/>
    <w:rsid w:val="00EA62A9"/>
    <w:rsid w:val="00EA6DE8"/>
    <w:rsid w:val="00EB0ED7"/>
    <w:rsid w:val="00EB2191"/>
    <w:rsid w:val="00EB21E9"/>
    <w:rsid w:val="00EB3481"/>
    <w:rsid w:val="00EB7535"/>
    <w:rsid w:val="00EB7821"/>
    <w:rsid w:val="00EC01E1"/>
    <w:rsid w:val="00EC0C69"/>
    <w:rsid w:val="00EC1595"/>
    <w:rsid w:val="00EC17E2"/>
    <w:rsid w:val="00EC494D"/>
    <w:rsid w:val="00EC4EF0"/>
    <w:rsid w:val="00EC7258"/>
    <w:rsid w:val="00ED23E9"/>
    <w:rsid w:val="00ED3D81"/>
    <w:rsid w:val="00ED4CEF"/>
    <w:rsid w:val="00ED575B"/>
    <w:rsid w:val="00ED5D18"/>
    <w:rsid w:val="00EE0318"/>
    <w:rsid w:val="00EE39AF"/>
    <w:rsid w:val="00EE5D02"/>
    <w:rsid w:val="00EE6148"/>
    <w:rsid w:val="00EE7C33"/>
    <w:rsid w:val="00EF0196"/>
    <w:rsid w:val="00EF10FB"/>
    <w:rsid w:val="00EF1461"/>
    <w:rsid w:val="00EF592D"/>
    <w:rsid w:val="00EF5AB0"/>
    <w:rsid w:val="00EF7A1B"/>
    <w:rsid w:val="00EF7F66"/>
    <w:rsid w:val="00F01653"/>
    <w:rsid w:val="00F025D9"/>
    <w:rsid w:val="00F039DF"/>
    <w:rsid w:val="00F0446A"/>
    <w:rsid w:val="00F05CE4"/>
    <w:rsid w:val="00F062DC"/>
    <w:rsid w:val="00F07DCE"/>
    <w:rsid w:val="00F10A0B"/>
    <w:rsid w:val="00F156F5"/>
    <w:rsid w:val="00F171DA"/>
    <w:rsid w:val="00F178E2"/>
    <w:rsid w:val="00F2161B"/>
    <w:rsid w:val="00F35EFB"/>
    <w:rsid w:val="00F40502"/>
    <w:rsid w:val="00F407E2"/>
    <w:rsid w:val="00F412C8"/>
    <w:rsid w:val="00F423FB"/>
    <w:rsid w:val="00F43063"/>
    <w:rsid w:val="00F4692D"/>
    <w:rsid w:val="00F50CE0"/>
    <w:rsid w:val="00F50D3D"/>
    <w:rsid w:val="00F51A48"/>
    <w:rsid w:val="00F57611"/>
    <w:rsid w:val="00F57E3E"/>
    <w:rsid w:val="00F60BC0"/>
    <w:rsid w:val="00F62F2A"/>
    <w:rsid w:val="00F65C7B"/>
    <w:rsid w:val="00F65CEE"/>
    <w:rsid w:val="00F6741C"/>
    <w:rsid w:val="00F67CDA"/>
    <w:rsid w:val="00F70B80"/>
    <w:rsid w:val="00F71CF0"/>
    <w:rsid w:val="00F72B00"/>
    <w:rsid w:val="00F7338E"/>
    <w:rsid w:val="00F7751C"/>
    <w:rsid w:val="00F80206"/>
    <w:rsid w:val="00F8090C"/>
    <w:rsid w:val="00F822B6"/>
    <w:rsid w:val="00F82303"/>
    <w:rsid w:val="00F83868"/>
    <w:rsid w:val="00F84141"/>
    <w:rsid w:val="00F841EB"/>
    <w:rsid w:val="00F8625B"/>
    <w:rsid w:val="00F8691D"/>
    <w:rsid w:val="00F877F9"/>
    <w:rsid w:val="00F9183B"/>
    <w:rsid w:val="00F91CCC"/>
    <w:rsid w:val="00F955E2"/>
    <w:rsid w:val="00FA3356"/>
    <w:rsid w:val="00FA3871"/>
    <w:rsid w:val="00FA6C39"/>
    <w:rsid w:val="00FA76AF"/>
    <w:rsid w:val="00FB0227"/>
    <w:rsid w:val="00FB19B7"/>
    <w:rsid w:val="00FB1C2D"/>
    <w:rsid w:val="00FB2394"/>
    <w:rsid w:val="00FB31DF"/>
    <w:rsid w:val="00FB67F8"/>
    <w:rsid w:val="00FB6E81"/>
    <w:rsid w:val="00FB7E51"/>
    <w:rsid w:val="00FC1D84"/>
    <w:rsid w:val="00FC51E7"/>
    <w:rsid w:val="00FC6601"/>
    <w:rsid w:val="00FD2FC9"/>
    <w:rsid w:val="00FD3666"/>
    <w:rsid w:val="00FD5FB9"/>
    <w:rsid w:val="00FD68F7"/>
    <w:rsid w:val="00FD764A"/>
    <w:rsid w:val="00FE01C3"/>
    <w:rsid w:val="00FE0824"/>
    <w:rsid w:val="00FE2B21"/>
    <w:rsid w:val="00FE3694"/>
    <w:rsid w:val="00FE3831"/>
    <w:rsid w:val="00FE4470"/>
    <w:rsid w:val="00FE4942"/>
    <w:rsid w:val="00FE5501"/>
    <w:rsid w:val="00FE6672"/>
    <w:rsid w:val="00FF1BB3"/>
    <w:rsid w:val="00FF1EA7"/>
    <w:rsid w:val="00FF3EFC"/>
    <w:rsid w:val="00FF564A"/>
    <w:rsid w:val="00FF5E4E"/>
    <w:rsid w:val="00FF5E57"/>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numbering" w:customStyle="1" w:styleId="LFO11">
    <w:name w:val="LFO11"/>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numbering" w:customStyle="1" w:styleId="LFO11">
    <w:name w:val="LFO1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325">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1014763473">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BB5EF39DCD20F4CBE4949984162BE2A" ma:contentTypeVersion="0" ma:contentTypeDescription="A content type to manage public (operations) IDB documents" ma:contentTypeScope="" ma:versionID="5ca743f81c8f6f0baa52ba41231615e6">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39093002</IDBDocs_x0020_Number>
    <Document_x0020_Author xmlns="9c571b2f-e523-4ab2-ba2e-09e151a03ef4">Fernandez, Roberto</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UR-L1098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Proposal&lt;/USER_STAGE&gt;&lt;PD_OBJ_TYPE&gt;0&lt;/PD_OBJ_TYPE&gt;&lt;MAKERECORD&gt;N&lt;/MAKERECORD&gt;&lt;PD_FILEPT_NO&gt;PO-UR-L1098-Anl&lt;/PD_FILEPT_NO&gt;&lt;/Data&gt;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8050981C-0474-4A78-907F-A6D4E0C3BE4B}"/>
</file>

<file path=customXml/itemProps2.xml><?xml version="1.0" encoding="utf-8"?>
<ds:datastoreItem xmlns:ds="http://schemas.openxmlformats.org/officeDocument/2006/customXml" ds:itemID="{ECC3DDAF-FE75-4CBB-8213-0E49BB867405}"/>
</file>

<file path=customXml/itemProps3.xml><?xml version="1.0" encoding="utf-8"?>
<ds:datastoreItem xmlns:ds="http://schemas.openxmlformats.org/officeDocument/2006/customXml" ds:itemID="{E9AA6C5E-A427-4DD7-94F5-5D3582E64DDA}"/>
</file>

<file path=customXml/itemProps4.xml><?xml version="1.0" encoding="utf-8"?>
<ds:datastoreItem xmlns:ds="http://schemas.openxmlformats.org/officeDocument/2006/customXml" ds:itemID="{E99A68F5-4724-456E-B9B7-B1CDC711762B}"/>
</file>

<file path=customXml/itemProps5.xml><?xml version="1.0" encoding="utf-8"?>
<ds:datastoreItem xmlns:ds="http://schemas.openxmlformats.org/officeDocument/2006/customXml" ds:itemID="{28071AAD-6B06-4B10-B5A1-838E9D71600B}"/>
</file>

<file path=customXml/itemProps6.xml><?xml version="1.0" encoding="utf-8"?>
<ds:datastoreItem xmlns:ds="http://schemas.openxmlformats.org/officeDocument/2006/customXml" ds:itemID="{3251409F-7E73-4FD3-B170-8C34B44B2EFA}"/>
</file>

<file path=customXml/itemProps7.xml><?xml version="1.0" encoding="utf-8"?>
<ds:datastoreItem xmlns:ds="http://schemas.openxmlformats.org/officeDocument/2006/customXml" ds:itemID="{6B81D3E1-14FE-4893-A806-22DED1EAE6BD}"/>
</file>

<file path=docProps/app.xml><?xml version="1.0" encoding="utf-8"?>
<Properties xmlns="http://schemas.openxmlformats.org/officeDocument/2006/extended-properties" xmlns:vt="http://schemas.openxmlformats.org/officeDocument/2006/docPropsVTypes">
  <Template>Normal.dotm</Template>
  <TotalTime>1</TotalTime>
  <Pages>3</Pages>
  <Words>2274</Words>
  <Characters>12967</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Económica del programa </dc:title>
  <dc:creator>Gibbons</dc:creator>
  <cp:lastModifiedBy>Melissa</cp:lastModifiedBy>
  <cp:revision>3</cp:revision>
  <cp:lastPrinted>2012-04-19T20:57:00Z</cp:lastPrinted>
  <dcterms:created xsi:type="dcterms:W3CDTF">2014-11-03T18:03:00Z</dcterms:created>
  <dcterms:modified xsi:type="dcterms:W3CDTF">2014-11-03T18:03:00Z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0x01010046CF21643EE8D14686A648AA6DAD0892008BB5EF39DCD20F4CBE4949984162BE2A</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