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77" w:rsidRPr="00DE1677" w:rsidRDefault="00DE1677" w:rsidP="00DE1677">
      <w:pPr>
        <w:pStyle w:val="Paragraph"/>
        <w:numPr>
          <w:ilvl w:val="0"/>
          <w:numId w:val="0"/>
        </w:numPr>
        <w:spacing w:before="0" w:after="0"/>
        <w:jc w:val="center"/>
        <w:rPr>
          <w:b/>
          <w:szCs w:val="24"/>
          <w:lang w:val="es-ES"/>
        </w:rPr>
      </w:pPr>
      <w:bookmarkStart w:id="0" w:name="_GoBack"/>
      <w:bookmarkEnd w:id="0"/>
      <w:r w:rsidRPr="00DE1677">
        <w:rPr>
          <w:b/>
          <w:bCs/>
          <w:szCs w:val="24"/>
          <w:lang w:val="es-ES"/>
        </w:rPr>
        <w:t>Estrategia Ambiental y Social (ESS)</w:t>
      </w:r>
    </w:p>
    <w:p w:rsidR="00DE1677" w:rsidRPr="00DE1677" w:rsidRDefault="00DE1677" w:rsidP="00DE1677">
      <w:pPr>
        <w:pStyle w:val="ListParagraph"/>
        <w:numPr>
          <w:ilvl w:val="0"/>
          <w:numId w:val="5"/>
        </w:numPr>
        <w:suppressAutoHyphens/>
        <w:autoSpaceDE w:val="0"/>
        <w:autoSpaceDN w:val="0"/>
        <w:ind w:left="360" w:hanging="360"/>
        <w:contextualSpacing w:val="0"/>
        <w:textAlignment w:val="baseline"/>
      </w:pPr>
      <w:r w:rsidRPr="00DE1677">
        <w:rPr>
          <w:b/>
        </w:rPr>
        <w:t>Overview</w:t>
      </w:r>
    </w:p>
    <w:p w:rsidR="00DE1677" w:rsidRPr="00DE1677" w:rsidRDefault="00DE1677" w:rsidP="00DE1677">
      <w:pPr>
        <w:numPr>
          <w:ilvl w:val="1"/>
          <w:numId w:val="6"/>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bCs/>
          <w:szCs w:val="24"/>
        </w:rPr>
        <w:t>The project’s objective is to support the financing of small and medium producers of agricultural products (“SMPs”) in Ecuador, with special focus on the agricultural sector, including both livestock and crops.  Palm oil would be roughly 15% of the portfolio focus. SCF/FMK and OMJ/OMJ have identified Banco de Guayaquil (BG) as a strategic partner to achieve this goal, and will provide a senior unsecured loan of US$75 million (US$10 million from OMJ, US$40 million from SCF, and US$25 million from the China Co-Financing Fund).</w:t>
      </w:r>
      <w:r w:rsidRPr="00DE1677">
        <w:rPr>
          <w:rFonts w:ascii="Times New Roman" w:hAnsi="Times New Roman" w:cs="Times New Roman"/>
          <w:szCs w:val="24"/>
        </w:rPr>
        <w:t xml:space="preserve">    </w:t>
      </w:r>
    </w:p>
    <w:p w:rsidR="00DE1677" w:rsidRPr="00DE1677" w:rsidRDefault="00DE1677" w:rsidP="00DE1677">
      <w:pPr>
        <w:numPr>
          <w:ilvl w:val="1"/>
          <w:numId w:val="6"/>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szCs w:val="24"/>
        </w:rPr>
        <w:t xml:space="preserve">Coordination between these two private sector windows will allow IDB to provide Ecuador’s second largest commercial bank with a dedicated agribusiness line.  The use of funds will be directed towards working capital loans.  Coupled with this loan will be the possible provision of technical assistance through a number of specific local corporate partners with the aim to support producers in increasing productivity and accessing new markets. La </w:t>
      </w:r>
      <w:proofErr w:type="spellStart"/>
      <w:r w:rsidRPr="00DE1677">
        <w:rPr>
          <w:rFonts w:ascii="Times New Roman" w:hAnsi="Times New Roman" w:cs="Times New Roman"/>
          <w:szCs w:val="24"/>
        </w:rPr>
        <w:t>Fabril</w:t>
      </w:r>
      <w:proofErr w:type="spellEnd"/>
      <w:r w:rsidRPr="00DE1677">
        <w:rPr>
          <w:rFonts w:ascii="Times New Roman" w:hAnsi="Times New Roman" w:cs="Times New Roman"/>
          <w:szCs w:val="24"/>
        </w:rPr>
        <w:t xml:space="preserve"> S.A., a producer of refined vegetable oils, has been identified as one such partner in its capacity as a supply chain buyer of raw palm oil, and exporter of finished product.</w:t>
      </w:r>
      <w:r w:rsidRPr="00DE1677">
        <w:rPr>
          <w:rStyle w:val="FootnoteReference"/>
          <w:rFonts w:ascii="Times New Roman" w:hAnsi="Times New Roman" w:cs="Times New Roman"/>
          <w:szCs w:val="24"/>
        </w:rPr>
        <w:footnoteReference w:id="1"/>
      </w:r>
      <w:r w:rsidRPr="00DE1677">
        <w:rPr>
          <w:rFonts w:ascii="Times New Roman" w:hAnsi="Times New Roman" w:cs="Times New Roman"/>
          <w:szCs w:val="24"/>
        </w:rPr>
        <w:t xml:space="preserve"> </w:t>
      </w:r>
    </w:p>
    <w:p w:rsidR="00DE1677" w:rsidRPr="00DE1677" w:rsidRDefault="00DE1677" w:rsidP="00DE1677">
      <w:pPr>
        <w:autoSpaceDE w:val="0"/>
        <w:jc w:val="both"/>
        <w:rPr>
          <w:rFonts w:ascii="Times New Roman" w:hAnsi="Times New Roman" w:cs="Times New Roman"/>
          <w:b/>
          <w:bCs/>
          <w:color w:val="000000"/>
          <w:szCs w:val="24"/>
        </w:rPr>
      </w:pPr>
    </w:p>
    <w:p w:rsidR="00DE1677" w:rsidRPr="00DE1677" w:rsidRDefault="00DE1677" w:rsidP="00DE1677">
      <w:pPr>
        <w:pStyle w:val="ListParagraph"/>
        <w:numPr>
          <w:ilvl w:val="0"/>
          <w:numId w:val="5"/>
        </w:numPr>
        <w:suppressAutoHyphens/>
        <w:autoSpaceDE w:val="0"/>
        <w:autoSpaceDN w:val="0"/>
        <w:ind w:left="360" w:hanging="360"/>
        <w:contextualSpacing w:val="0"/>
        <w:textAlignment w:val="baseline"/>
        <w:rPr>
          <w:b/>
          <w:bCs/>
          <w:color w:val="000000"/>
        </w:rPr>
      </w:pPr>
      <w:r w:rsidRPr="00DE1677">
        <w:rPr>
          <w:b/>
          <w:bCs/>
          <w:color w:val="000000"/>
        </w:rPr>
        <w:t>Environmental and Social Impacts and Risks</w:t>
      </w:r>
    </w:p>
    <w:p w:rsidR="00DE1677" w:rsidRPr="00DE1677" w:rsidRDefault="00DE1677" w:rsidP="00DE1677">
      <w:pPr>
        <w:pStyle w:val="ListParagraph"/>
        <w:numPr>
          <w:ilvl w:val="1"/>
          <w:numId w:val="7"/>
        </w:numPr>
        <w:autoSpaceDE w:val="0"/>
        <w:autoSpaceDN w:val="0"/>
        <w:ind w:left="540" w:hanging="540"/>
        <w:contextualSpacing w:val="0"/>
        <w:jc w:val="both"/>
      </w:pPr>
      <w:r w:rsidRPr="00DE1677">
        <w:t>Based upon the nature of this operation to support SMPs with a focus on agriculture, and particularly palm oil, sub-loan supported activities are likely to have direct, indirect and potentially cumulative environmental, social, health and safety and labor (ESHS) impacts and risks are likely to be moderate to significant . To that end, specific environmental due diligence is required. The potential key ESHS and labor risks and impacts associated with this operation are those related to the specific ESHS and labor risks and impacts related to lending in the agricultural sector financed by BG with the proposed financing. These could entail (i) environmental credit and reputation risks to BG, (ii) risk associated with BG’s facilities and practices, (iii) direct impacts associated with loans to SMPs, and (iv) IDB reputation risks associated with the impact of other operations and/or financing by BG and its strategic partners, particularly in the palm oil industry.</w:t>
      </w:r>
    </w:p>
    <w:p w:rsidR="00DE1677" w:rsidRPr="00DE1677" w:rsidRDefault="00DE1677" w:rsidP="00DE1677">
      <w:pPr>
        <w:pStyle w:val="ListParagraph"/>
        <w:numPr>
          <w:ilvl w:val="1"/>
          <w:numId w:val="7"/>
        </w:numPr>
        <w:autoSpaceDE w:val="0"/>
        <w:autoSpaceDN w:val="0"/>
        <w:ind w:left="540" w:hanging="540"/>
        <w:contextualSpacing w:val="0"/>
        <w:jc w:val="both"/>
      </w:pPr>
      <w:r w:rsidRPr="00DE1677">
        <w:rPr>
          <w:i/>
          <w:color w:val="000000"/>
        </w:rPr>
        <w:t>Environmental credit risks:</w:t>
      </w:r>
      <w:r w:rsidRPr="00DE1677">
        <w:rPr>
          <w:color w:val="000000"/>
        </w:rPr>
        <w:t xml:space="preserve"> Environmental credit risks refer to potential negative effects on </w:t>
      </w:r>
      <w:r w:rsidRPr="00DE1677">
        <w:t>BG</w:t>
      </w:r>
      <w:r w:rsidRPr="00DE1677">
        <w:rPr>
          <w:color w:val="000000"/>
        </w:rPr>
        <w:t xml:space="preserve"> because of:</w:t>
      </w:r>
      <w:r w:rsidRPr="00DE1677">
        <w:t xml:space="preserve"> risk of an eventual non-repayment of sub-loan due to environmental and social issues (e.g. law suits, fines, </w:t>
      </w:r>
      <w:proofErr w:type="spellStart"/>
      <w:r w:rsidRPr="00DE1677">
        <w:t>etc</w:t>
      </w:r>
      <w:proofErr w:type="spellEnd"/>
      <w:r w:rsidRPr="00DE1677">
        <w:t>) associated with its loans.</w:t>
      </w:r>
    </w:p>
    <w:p w:rsidR="00DE1677" w:rsidRPr="00DE1677" w:rsidRDefault="00DE1677" w:rsidP="00DE1677">
      <w:pPr>
        <w:pStyle w:val="ListParagraph"/>
        <w:numPr>
          <w:ilvl w:val="1"/>
          <w:numId w:val="7"/>
        </w:numPr>
        <w:autoSpaceDE w:val="0"/>
        <w:autoSpaceDN w:val="0"/>
        <w:ind w:left="540" w:hanging="540"/>
        <w:contextualSpacing w:val="0"/>
        <w:jc w:val="both"/>
      </w:pPr>
      <w:r w:rsidRPr="00DE1677">
        <w:rPr>
          <w:i/>
        </w:rPr>
        <w:t xml:space="preserve">Risks associated with BG Facilities and Practices. </w:t>
      </w:r>
      <w:r w:rsidRPr="00DE1677">
        <w:t xml:space="preserve">Are the </w:t>
      </w:r>
      <w:r w:rsidRPr="00DE1677">
        <w:rPr>
          <w:color w:val="000000"/>
        </w:rPr>
        <w:t xml:space="preserve">risks associated with BG’s (i) facilities and operations, such as environmental liabilities in their offices due to asbestos, lead paint, etc. or employees having occupational health and safety problems due to working conditions (e.g. inadequate emergency preparedness, lack of fire exits, etc. (ii) </w:t>
      </w:r>
      <w:r w:rsidRPr="00DE1677">
        <w:t>BG’s</w:t>
      </w:r>
      <w:r w:rsidRPr="00DE1677">
        <w:rPr>
          <w:color w:val="000000"/>
        </w:rPr>
        <w:t xml:space="preserve"> finance application and analysis process that is not equitable, fair, and unbiased in terms of social factors (e.g. gender, age, ethnicity, or cultural heritage, etc.); and (iii) significantly deficient labor practices.</w:t>
      </w:r>
    </w:p>
    <w:p w:rsidR="00DE1677" w:rsidRPr="00DE1677" w:rsidRDefault="00DE1677" w:rsidP="00DE1677">
      <w:pPr>
        <w:pStyle w:val="ListParagraph"/>
        <w:rPr>
          <w:i/>
          <w:iCs/>
        </w:rPr>
      </w:pPr>
    </w:p>
    <w:p w:rsidR="00DE1677" w:rsidRPr="00DE1677" w:rsidRDefault="00DE1677" w:rsidP="00DE1677">
      <w:pPr>
        <w:pStyle w:val="ListParagraph"/>
        <w:numPr>
          <w:ilvl w:val="1"/>
          <w:numId w:val="7"/>
        </w:numPr>
        <w:autoSpaceDE w:val="0"/>
        <w:autoSpaceDN w:val="0"/>
        <w:ind w:left="540" w:hanging="540"/>
        <w:contextualSpacing w:val="0"/>
        <w:jc w:val="both"/>
      </w:pPr>
      <w:r w:rsidRPr="00DE1677">
        <w:rPr>
          <w:i/>
          <w:iCs/>
        </w:rPr>
        <w:lastRenderedPageBreak/>
        <w:t xml:space="preserve">Direct impacts associated with loans to SMPs: </w:t>
      </w:r>
      <w:r w:rsidRPr="00DE1677">
        <w:t>The Partnership may generate primarily moderate to significant negative social and environmental impacts associated with loans to SMPs in the agricultural sector.</w:t>
      </w:r>
      <w:r w:rsidRPr="00DE1677">
        <w:rPr>
          <w:rStyle w:val="FootnoteReference"/>
        </w:rPr>
        <w:footnoteReference w:id="2"/>
      </w:r>
      <w:r w:rsidRPr="00DE1677">
        <w:t xml:space="preserve"> The type and extent of impacts will vary depending on the amount of loans to be extended and on the type of activities to be financed. Specific environmental, social, health and safety (ESHS) and labor impacts and risks related to SME loans in agriculture and palm oil can include i) habitat conversion and degradation; ii) poor land use/contaminated land; iii) stress/contamination of water resources; iv) waste management and disposal; v) use of migratory, informal or underage labor; vi) pesticide use and agrochemical management. The assessment of social and environmental impacts for each loan will be the responsibility of BG, and managed through the development and implementation of an Environmental and Social Management System. In the context of a corporate partner, such as La </w:t>
      </w:r>
      <w:proofErr w:type="spellStart"/>
      <w:r w:rsidRPr="00DE1677">
        <w:t>Fabril</w:t>
      </w:r>
      <w:proofErr w:type="spellEnd"/>
      <w:r w:rsidRPr="00DE1677">
        <w:t xml:space="preserve">, these impacts may additionally be managed through La </w:t>
      </w:r>
      <w:proofErr w:type="spellStart"/>
      <w:r w:rsidRPr="00DE1677">
        <w:t>Fabril’s</w:t>
      </w:r>
      <w:proofErr w:type="spellEnd"/>
      <w:r w:rsidRPr="00DE1677">
        <w:t xml:space="preserve"> ESMS. Early indication suggests La </w:t>
      </w:r>
      <w:proofErr w:type="spellStart"/>
      <w:r w:rsidRPr="00DE1677">
        <w:t>Fabril</w:t>
      </w:r>
      <w:proofErr w:type="spellEnd"/>
      <w:r w:rsidRPr="00DE1677">
        <w:t xml:space="preserve"> has worked with Ecuador’s Ministry of Environment on a certification program that addresses environmental and social risk issues in the agroindustry sector.  La </w:t>
      </w:r>
      <w:proofErr w:type="spellStart"/>
      <w:r w:rsidRPr="00DE1677">
        <w:t>Fabril</w:t>
      </w:r>
      <w:proofErr w:type="spellEnd"/>
      <w:r w:rsidRPr="00DE1677">
        <w:t xml:space="preserve"> is also a member of the Roundtable on Sustainable Palm Oil (RSPO) and the certification status of their facilities and supply chain will be the subject of due diligence.</w:t>
      </w:r>
    </w:p>
    <w:p w:rsidR="00DE1677" w:rsidRPr="00DE1677" w:rsidRDefault="00DE1677" w:rsidP="00DE1677">
      <w:pPr>
        <w:numPr>
          <w:ilvl w:val="1"/>
          <w:numId w:val="7"/>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i/>
          <w:color w:val="000000"/>
          <w:szCs w:val="24"/>
        </w:rPr>
        <w:t xml:space="preserve">Reputational risks. </w:t>
      </w:r>
      <w:r w:rsidRPr="00DE1677">
        <w:rPr>
          <w:rFonts w:ascii="Times New Roman" w:hAnsi="Times New Roman" w:cs="Times New Roman"/>
          <w:color w:val="000000"/>
          <w:szCs w:val="24"/>
        </w:rPr>
        <w:t xml:space="preserve">Reputational risks are associated with </w:t>
      </w:r>
      <w:r w:rsidRPr="00DE1677">
        <w:rPr>
          <w:rFonts w:ascii="Times New Roman" w:hAnsi="Times New Roman" w:cs="Times New Roman"/>
          <w:szCs w:val="24"/>
        </w:rPr>
        <w:t>BG’s</w:t>
      </w:r>
      <w:r w:rsidRPr="00DE1677">
        <w:rPr>
          <w:rFonts w:ascii="Times New Roman" w:hAnsi="Times New Roman" w:cs="Times New Roman"/>
          <w:color w:val="000000"/>
          <w:szCs w:val="24"/>
        </w:rPr>
        <w:t xml:space="preserve"> involvement in projects, companies or activities considered unacceptable to the IDB and/or that will face significant public opposition or concerns, such as inappropriate development location or ESHS management practices. There may also be reputational risks associated with palm oil and other agribusiness industry in general, and with the activities or practices of strategic partners. </w:t>
      </w:r>
    </w:p>
    <w:p w:rsidR="00DE1677" w:rsidRPr="00DE1677" w:rsidRDefault="00DE1677" w:rsidP="00DE1677">
      <w:pPr>
        <w:numPr>
          <w:ilvl w:val="1"/>
          <w:numId w:val="7"/>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color w:val="000000"/>
          <w:szCs w:val="24"/>
        </w:rPr>
        <w:t>These risks may be minimal to significant and will be assessed during due diligence, which in this case will include a review of the strategic partners and the supply chain to the extent appropriate.</w:t>
      </w:r>
    </w:p>
    <w:p w:rsidR="00DE1677" w:rsidRPr="00DE1677" w:rsidRDefault="00DE1677" w:rsidP="00DE1677">
      <w:pPr>
        <w:autoSpaceDE w:val="0"/>
        <w:jc w:val="both"/>
        <w:rPr>
          <w:rFonts w:ascii="Times New Roman" w:hAnsi="Times New Roman" w:cs="Times New Roman"/>
          <w:szCs w:val="24"/>
        </w:rPr>
      </w:pPr>
    </w:p>
    <w:p w:rsidR="00DE1677" w:rsidRPr="00DE1677" w:rsidRDefault="00DE1677" w:rsidP="00DE1677">
      <w:pPr>
        <w:pStyle w:val="ListParagraph"/>
        <w:numPr>
          <w:ilvl w:val="0"/>
          <w:numId w:val="5"/>
        </w:numPr>
        <w:suppressAutoHyphens/>
        <w:autoSpaceDE w:val="0"/>
        <w:autoSpaceDN w:val="0"/>
        <w:ind w:left="540" w:hanging="540"/>
        <w:contextualSpacing w:val="0"/>
        <w:textAlignment w:val="baseline"/>
      </w:pPr>
      <w:r w:rsidRPr="00DE1677">
        <w:rPr>
          <w:b/>
          <w:bCs/>
          <w:color w:val="000000"/>
        </w:rPr>
        <w:t>Status and Compliance</w:t>
      </w:r>
    </w:p>
    <w:p w:rsidR="00DE1677" w:rsidRPr="00DE1677" w:rsidRDefault="00DE1677" w:rsidP="00DE1677">
      <w:pPr>
        <w:pStyle w:val="ListParagraph"/>
        <w:numPr>
          <w:ilvl w:val="1"/>
          <w:numId w:val="8"/>
        </w:numPr>
        <w:autoSpaceDE w:val="0"/>
        <w:autoSpaceDN w:val="0"/>
        <w:ind w:left="540" w:hanging="540"/>
        <w:contextualSpacing w:val="0"/>
        <w:jc w:val="both"/>
      </w:pPr>
      <w:r w:rsidRPr="00DE1677">
        <w:t xml:space="preserve">Given that this is a financial intermediary and based on Directive B.13 of the Environment and Safeguards Compliance Policy (OP-703), this transaction is not categorized. Given the nature of the sub-loans the risk level is likely to be FI-3. </w:t>
      </w:r>
    </w:p>
    <w:p w:rsidR="00DE1677" w:rsidRPr="00DE1677" w:rsidRDefault="00DE1677" w:rsidP="00DE1677">
      <w:pPr>
        <w:autoSpaceDE w:val="0"/>
        <w:rPr>
          <w:rFonts w:ascii="Times New Roman" w:hAnsi="Times New Roman" w:cs="Times New Roman"/>
          <w:color w:val="000000"/>
          <w:szCs w:val="24"/>
        </w:rPr>
      </w:pPr>
    </w:p>
    <w:p w:rsidR="00DE1677" w:rsidRPr="00DE1677" w:rsidRDefault="00DE1677" w:rsidP="00DE1677">
      <w:pPr>
        <w:autoSpaceDE w:val="0"/>
        <w:jc w:val="both"/>
        <w:rPr>
          <w:rFonts w:ascii="Times New Roman" w:hAnsi="Times New Roman" w:cs="Times New Roman"/>
          <w:b/>
          <w:bCs/>
          <w:color w:val="000000"/>
          <w:szCs w:val="24"/>
        </w:rPr>
      </w:pPr>
      <w:r w:rsidRPr="00DE1677">
        <w:rPr>
          <w:rFonts w:ascii="Times New Roman" w:hAnsi="Times New Roman" w:cs="Times New Roman"/>
          <w:b/>
          <w:bCs/>
          <w:color w:val="000000"/>
          <w:szCs w:val="24"/>
        </w:rPr>
        <w:t xml:space="preserve">IV. Strategy for Environmental and Social Due Diligence </w:t>
      </w:r>
    </w:p>
    <w:p w:rsidR="00DE1677" w:rsidRPr="00DE1677" w:rsidRDefault="00DE1677" w:rsidP="00DE1677">
      <w:pPr>
        <w:numPr>
          <w:ilvl w:val="1"/>
          <w:numId w:val="9"/>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szCs w:val="24"/>
        </w:rPr>
        <w:t>As per the IDB Environment and Safeguards Compliance Policy and Guidelines, and as part of its due diligence process, the Bank will assess BG’s capacity for environmental and social risk management. During this process the Bank will establish whether appropriate procedures are in place to assess and manage the potential environmental risks and impacts associated with sub-loans in agriculture and palm oil. The IDB will ensure that appropriate and feasible ESHS and labor requirements, including capacity building, in the form of an Environmental and Social Management System (ESMS), tailored to the particular needs of the Partnership, are included in the legal agreements.</w:t>
      </w:r>
    </w:p>
    <w:p w:rsidR="00DE1677" w:rsidRPr="00DE1677" w:rsidRDefault="00DE1677" w:rsidP="00DE1677">
      <w:pPr>
        <w:numPr>
          <w:ilvl w:val="1"/>
          <w:numId w:val="9"/>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szCs w:val="24"/>
        </w:rPr>
        <w:lastRenderedPageBreak/>
        <w:t xml:space="preserve">As IDB’s proceeds will be used to support the portfolio in palm oil and agribusiness and the role to be played by strategic partners such as La </w:t>
      </w:r>
      <w:proofErr w:type="spellStart"/>
      <w:r w:rsidRPr="00DE1677">
        <w:rPr>
          <w:rFonts w:ascii="Times New Roman" w:hAnsi="Times New Roman" w:cs="Times New Roman"/>
          <w:szCs w:val="24"/>
        </w:rPr>
        <w:t>Fabril</w:t>
      </w:r>
      <w:proofErr w:type="spellEnd"/>
      <w:r w:rsidRPr="00DE1677">
        <w:rPr>
          <w:rFonts w:ascii="Times New Roman" w:hAnsi="Times New Roman" w:cs="Times New Roman"/>
          <w:szCs w:val="24"/>
        </w:rPr>
        <w:t xml:space="preserve"> in this operation, the ESDD will cover identified partners and supply chain and the ESMS may include special procedures for IDB ESDD of future partners and supply chains as they become known. </w:t>
      </w:r>
    </w:p>
    <w:p w:rsidR="00DE1677" w:rsidRPr="00DE1677" w:rsidRDefault="00DE1677" w:rsidP="00DE1677">
      <w:pPr>
        <w:numPr>
          <w:ilvl w:val="1"/>
          <w:numId w:val="9"/>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szCs w:val="24"/>
        </w:rPr>
        <w:t xml:space="preserve">The environmental and social due diligence required for this partnership will comprise the following steps: </w:t>
      </w:r>
    </w:p>
    <w:p w:rsidR="00DE1677" w:rsidRPr="00DE1677" w:rsidRDefault="00DE1677" w:rsidP="00DE1677">
      <w:pPr>
        <w:pStyle w:val="subpar"/>
        <w:numPr>
          <w:ilvl w:val="2"/>
          <w:numId w:val="9"/>
        </w:numPr>
        <w:autoSpaceDN w:val="0"/>
        <w:spacing w:before="0" w:after="0"/>
        <w:ind w:left="1080" w:hanging="360"/>
        <w:outlineLvl w:val="9"/>
        <w:rPr>
          <w:szCs w:val="24"/>
        </w:rPr>
      </w:pPr>
      <w:r w:rsidRPr="00DE1677">
        <w:rPr>
          <w:szCs w:val="24"/>
        </w:rPr>
        <w:t>An identification of any environmental, social and occupational safety and labor related liabilities in BG’s facilities and operations and, if required, an assessment of the adequacy of action plans to properly resolve them.</w:t>
      </w:r>
    </w:p>
    <w:p w:rsidR="00DE1677" w:rsidRPr="00DE1677" w:rsidRDefault="00DE1677" w:rsidP="00DE1677">
      <w:pPr>
        <w:pStyle w:val="subpar"/>
        <w:numPr>
          <w:ilvl w:val="2"/>
          <w:numId w:val="9"/>
        </w:numPr>
        <w:autoSpaceDN w:val="0"/>
        <w:spacing w:before="0" w:after="0"/>
        <w:ind w:left="1080" w:hanging="360"/>
        <w:outlineLvl w:val="9"/>
        <w:rPr>
          <w:szCs w:val="24"/>
        </w:rPr>
      </w:pPr>
      <w:r w:rsidRPr="00DE1677">
        <w:rPr>
          <w:szCs w:val="24"/>
        </w:rPr>
        <w:t>An assessment of BG’s compliance status with the applicable country environmental, social, health and safety, and labor regulatory requirements as well as with any relevant conventions and treaties which have been ratified by Ecuador;</w:t>
      </w:r>
    </w:p>
    <w:p w:rsidR="00DE1677" w:rsidRPr="00DE1677" w:rsidRDefault="00DE1677" w:rsidP="00DE1677">
      <w:pPr>
        <w:pStyle w:val="subpar"/>
        <w:numPr>
          <w:ilvl w:val="2"/>
          <w:numId w:val="9"/>
        </w:numPr>
        <w:autoSpaceDN w:val="0"/>
        <w:spacing w:before="0" w:after="0"/>
        <w:ind w:left="1080" w:hanging="360"/>
        <w:outlineLvl w:val="9"/>
        <w:rPr>
          <w:szCs w:val="24"/>
        </w:rPr>
      </w:pPr>
      <w:r w:rsidRPr="00DE1677">
        <w:rPr>
          <w:szCs w:val="24"/>
        </w:rPr>
        <w:t xml:space="preserve">An assessment of BG’s procedures to ensure that its loan, finance application and analysis process is equitable, fair, and unbiased in terms of social factors (e.g. age, gender, cultural heritage, </w:t>
      </w:r>
      <w:proofErr w:type="spellStart"/>
      <w:r w:rsidRPr="00DE1677">
        <w:rPr>
          <w:szCs w:val="24"/>
        </w:rPr>
        <w:t>etc</w:t>
      </w:r>
      <w:proofErr w:type="spellEnd"/>
      <w:r w:rsidRPr="00DE1677">
        <w:rPr>
          <w:szCs w:val="24"/>
        </w:rPr>
        <w:t>).</w:t>
      </w:r>
    </w:p>
    <w:p w:rsidR="00DE1677" w:rsidRPr="00DE1677" w:rsidRDefault="00DE1677" w:rsidP="00DE1677">
      <w:pPr>
        <w:pStyle w:val="subpar"/>
        <w:numPr>
          <w:ilvl w:val="2"/>
          <w:numId w:val="9"/>
        </w:numPr>
        <w:autoSpaceDE w:val="0"/>
        <w:autoSpaceDN w:val="0"/>
        <w:spacing w:before="0" w:after="0"/>
        <w:ind w:left="1080" w:hanging="360"/>
        <w:outlineLvl w:val="9"/>
        <w:rPr>
          <w:szCs w:val="24"/>
        </w:rPr>
      </w:pPr>
      <w:r w:rsidRPr="00DE1677">
        <w:rPr>
          <w:szCs w:val="24"/>
        </w:rPr>
        <w:t>An assessment of BG’s actual and pipeline clients with primary focus in the agriculture and palm oil sectors, to establish potential reputational risks associated with BG’s involvement in projects, companies or activities considered unacceptable to the IDB; and specific ESHS and labor impacts and risks related to investment in certain sectors, likely to be financed under the Partnership.</w:t>
      </w:r>
    </w:p>
    <w:p w:rsidR="00DE1677" w:rsidRPr="00DE1677" w:rsidRDefault="00DE1677" w:rsidP="00DE1677">
      <w:pPr>
        <w:pStyle w:val="subpar"/>
        <w:numPr>
          <w:ilvl w:val="2"/>
          <w:numId w:val="9"/>
        </w:numPr>
        <w:autoSpaceDE w:val="0"/>
        <w:autoSpaceDN w:val="0"/>
        <w:spacing w:before="0" w:after="0"/>
        <w:ind w:left="1080" w:hanging="360"/>
        <w:outlineLvl w:val="9"/>
        <w:rPr>
          <w:szCs w:val="24"/>
        </w:rPr>
      </w:pPr>
      <w:r w:rsidRPr="00DE1677">
        <w:rPr>
          <w:szCs w:val="24"/>
        </w:rPr>
        <w:t>An evaluation of the current credit appraisal, approval and monitoring procedures in place to manage ESHS and labor liabilities, impacts and risks associated with BG’s portfolio as well as an assessment of BG’s capacity in terms of environmental and social risk management.</w:t>
      </w:r>
    </w:p>
    <w:p w:rsidR="00DE1677" w:rsidRPr="00DE1677" w:rsidRDefault="00DE1677" w:rsidP="00DE1677">
      <w:pPr>
        <w:pStyle w:val="subpar"/>
        <w:numPr>
          <w:ilvl w:val="2"/>
          <w:numId w:val="9"/>
        </w:numPr>
        <w:autoSpaceDE w:val="0"/>
        <w:autoSpaceDN w:val="0"/>
        <w:spacing w:before="0" w:after="0"/>
        <w:ind w:left="1080" w:hanging="360"/>
        <w:outlineLvl w:val="9"/>
        <w:rPr>
          <w:szCs w:val="24"/>
        </w:rPr>
      </w:pPr>
      <w:r w:rsidRPr="00DE1677">
        <w:rPr>
          <w:szCs w:val="24"/>
        </w:rPr>
        <w:t>An evaluation of corporate partners’ ESHS and labor practices including supply chain management and a review of an indicative sample of potential sub-borrower projects with respect to: (i) identifying potential direct, indirect and cumulative ESHS and labor impacts of typical projects; (ii) evaluating sample ESMPs and ESMS systems and certification programs, particularly those involved in the purchase, production and export of palm oil products, their adherence to national laws and regulations and internationally recognized good practice standards, such as the Roundtable on Sustainable Palm Oil (RSPO) and other industry standards as applicable .</w:t>
      </w:r>
    </w:p>
    <w:p w:rsidR="00DE1677" w:rsidRPr="00DE1677" w:rsidRDefault="00DE1677" w:rsidP="00DE1677">
      <w:pPr>
        <w:pStyle w:val="subpar"/>
        <w:numPr>
          <w:ilvl w:val="2"/>
          <w:numId w:val="9"/>
        </w:numPr>
        <w:autoSpaceDE w:val="0"/>
        <w:autoSpaceDN w:val="0"/>
        <w:spacing w:before="0" w:after="0"/>
        <w:ind w:left="1080" w:hanging="360"/>
        <w:outlineLvl w:val="9"/>
        <w:rPr>
          <w:szCs w:val="24"/>
        </w:rPr>
      </w:pPr>
      <w:r w:rsidRPr="00DE1677">
        <w:rPr>
          <w:szCs w:val="24"/>
        </w:rPr>
        <w:t>A review of the characteristics and geographic location and concentration of targeted small producers to determine if there are cumulative impacts, vulnerabilities or other risks that require specific mitigation measures as part of the ESMS or otherwise.</w:t>
      </w:r>
    </w:p>
    <w:p w:rsidR="00DE1677" w:rsidRPr="00DE1677" w:rsidRDefault="00DE1677" w:rsidP="00DE1677">
      <w:pPr>
        <w:numPr>
          <w:ilvl w:val="1"/>
          <w:numId w:val="9"/>
        </w:numPr>
        <w:autoSpaceDE w:val="0"/>
        <w:autoSpaceDN w:val="0"/>
        <w:spacing w:after="0" w:line="240" w:lineRule="auto"/>
        <w:ind w:left="540" w:hanging="540"/>
        <w:jc w:val="both"/>
        <w:rPr>
          <w:rFonts w:ascii="Times New Roman" w:hAnsi="Times New Roman" w:cs="Times New Roman"/>
          <w:szCs w:val="24"/>
        </w:rPr>
      </w:pPr>
      <w:r w:rsidRPr="00DE1677">
        <w:rPr>
          <w:rFonts w:ascii="Times New Roman" w:hAnsi="Times New Roman" w:cs="Times New Roman"/>
          <w:szCs w:val="24"/>
        </w:rPr>
        <w:t xml:space="preserve">The results of the due diligence will be presented in an Environmental and Social Management Report and summarized in the Loan Proposal to establish the environmental, social, health and safety, and labor requirements for the Partnership. </w:t>
      </w:r>
    </w:p>
    <w:p w:rsidR="00FA03B8" w:rsidRPr="00DE1677" w:rsidRDefault="00FA03B8">
      <w:pPr>
        <w:rPr>
          <w:rFonts w:ascii="Times New Roman" w:hAnsi="Times New Roman" w:cs="Times New Roman"/>
        </w:rPr>
      </w:pPr>
    </w:p>
    <w:sectPr w:rsidR="00FA03B8" w:rsidRPr="00DE1677" w:rsidSect="00DE76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0C" w:rsidRDefault="00A3670C" w:rsidP="004107FC">
      <w:pPr>
        <w:spacing w:after="0" w:line="240" w:lineRule="auto"/>
      </w:pPr>
      <w:r>
        <w:separator/>
      </w:r>
    </w:p>
  </w:endnote>
  <w:endnote w:type="continuationSeparator" w:id="0">
    <w:p w:rsidR="00A3670C" w:rsidRDefault="00A3670C" w:rsidP="004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0C" w:rsidRDefault="00A3670C" w:rsidP="004107FC">
      <w:pPr>
        <w:spacing w:after="0" w:line="240" w:lineRule="auto"/>
      </w:pPr>
      <w:r>
        <w:separator/>
      </w:r>
    </w:p>
  </w:footnote>
  <w:footnote w:type="continuationSeparator" w:id="0">
    <w:p w:rsidR="00A3670C" w:rsidRDefault="00A3670C" w:rsidP="004107FC">
      <w:pPr>
        <w:spacing w:after="0" w:line="240" w:lineRule="auto"/>
      </w:pPr>
      <w:r>
        <w:continuationSeparator/>
      </w:r>
    </w:p>
  </w:footnote>
  <w:footnote w:id="1">
    <w:p w:rsidR="00DE1677" w:rsidRDefault="00DE1677" w:rsidP="00DE1677">
      <w:pPr>
        <w:pStyle w:val="FootnoteText"/>
        <w:tabs>
          <w:tab w:val="left" w:pos="540"/>
        </w:tabs>
        <w:ind w:left="540" w:hanging="540"/>
        <w:jc w:val="both"/>
      </w:pPr>
      <w:r>
        <w:rPr>
          <w:rStyle w:val="FootnoteReference"/>
        </w:rPr>
        <w:footnoteRef/>
      </w:r>
      <w:r>
        <w:t xml:space="preserve"> </w:t>
      </w:r>
      <w:r>
        <w:rPr>
          <w:lang w:val="en-US"/>
        </w:rPr>
        <w:tab/>
      </w:r>
      <w:r>
        <w:t xml:space="preserve">La </w:t>
      </w:r>
      <w:proofErr w:type="spellStart"/>
      <w:r>
        <w:t>Fabril</w:t>
      </w:r>
      <w:proofErr w:type="spellEnd"/>
      <w:r>
        <w:t xml:space="preserve"> is an Ecuadorian company with a diversified production line of both consumer and industrial products for domestic and international markets.  More information at </w:t>
      </w:r>
      <w:r w:rsidRPr="00BF2196">
        <w:t>http://www.lafabril.com.ec/alm_portada.php</w:t>
      </w:r>
    </w:p>
  </w:footnote>
  <w:footnote w:id="2">
    <w:p w:rsidR="00DE1677" w:rsidRDefault="00DE1677" w:rsidP="00DE1677">
      <w:pPr>
        <w:pStyle w:val="FootnoteText"/>
        <w:tabs>
          <w:tab w:val="left" w:pos="540"/>
        </w:tabs>
      </w:pPr>
      <w:r>
        <w:rPr>
          <w:rStyle w:val="FootnoteReference"/>
        </w:rPr>
        <w:footnoteRef/>
      </w:r>
      <w:r>
        <w:t xml:space="preserve"> </w:t>
      </w:r>
      <w:r>
        <w:rPr>
          <w:lang w:val="en-US"/>
        </w:rPr>
        <w:tab/>
      </w:r>
      <w:r>
        <w:t>Sub-loans will not be in excess of US$500K.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D35AD894"/>
    <w:lvl w:ilvl="0">
      <w:start w:val="1"/>
      <w:numFmt w:val="upperRoman"/>
      <w:lvlRestart w:val="0"/>
      <w:pStyle w:val="Chapter"/>
      <w:lvlText w:val="%1."/>
      <w:lvlJc w:val="center"/>
      <w:pPr>
        <w:tabs>
          <w:tab w:val="num" w:pos="3240"/>
        </w:tabs>
        <w:ind w:left="2592" w:firstLine="288"/>
      </w:pPr>
      <w:rPr>
        <w:b/>
        <w:i w:val="0"/>
      </w:rPr>
    </w:lvl>
    <w:lvl w:ilvl="1">
      <w:start w:val="1"/>
      <w:numFmt w:val="decimal"/>
      <w:pStyle w:val="Paragraph"/>
      <w:isLgl/>
      <w:lvlText w:val="%1.%2"/>
      <w:lvlJc w:val="left"/>
      <w:pPr>
        <w:tabs>
          <w:tab w:val="num" w:pos="8136"/>
        </w:tabs>
        <w:ind w:left="8136" w:hanging="1296"/>
      </w:pPr>
      <w:rPr>
        <w:b w:val="0"/>
      </w:rPr>
    </w:lvl>
    <w:lvl w:ilvl="2">
      <w:start w:val="1"/>
      <w:numFmt w:val="lowerLetter"/>
      <w:pStyle w:val="subpar"/>
      <w:lvlText w:val="%3."/>
      <w:lvlJc w:val="left"/>
      <w:pPr>
        <w:tabs>
          <w:tab w:val="num" w:pos="2484"/>
        </w:tabs>
        <w:ind w:left="2484" w:hanging="432"/>
      </w:pPr>
      <w:rPr>
        <w:lang w:val="es-ES"/>
      </w:rPr>
    </w:lvl>
    <w:lvl w:ilvl="3">
      <w:start w:val="1"/>
      <w:numFmt w:val="lowerRoman"/>
      <w:pStyle w:val="SubSubPar"/>
      <w:lvlText w:val="%4."/>
      <w:lvlJc w:val="right"/>
      <w:pPr>
        <w:tabs>
          <w:tab w:val="num" w:pos="2916"/>
        </w:tabs>
        <w:ind w:left="2916" w:hanging="288"/>
      </w:pPr>
    </w:lvl>
    <w:lvl w:ilvl="4">
      <w:start w:val="1"/>
      <w:numFmt w:val="decimal"/>
      <w:lvlText w:val="%1.%2.%3.%4.%5"/>
      <w:lvlJc w:val="left"/>
      <w:pPr>
        <w:ind w:left="2340" w:hanging="1008"/>
      </w:pPr>
    </w:lvl>
    <w:lvl w:ilvl="5">
      <w:start w:val="1"/>
      <w:numFmt w:val="decimal"/>
      <w:lvlText w:val="%1.%2.%3.%4.%5.%6"/>
      <w:lvlJc w:val="left"/>
      <w:pPr>
        <w:ind w:left="2484" w:hanging="1152"/>
      </w:pPr>
    </w:lvl>
    <w:lvl w:ilvl="6">
      <w:start w:val="1"/>
      <w:numFmt w:val="decimal"/>
      <w:lvlText w:val="%1.%2.%3.%4.%5.%6.%7"/>
      <w:lvlJc w:val="left"/>
      <w:pPr>
        <w:ind w:left="2628" w:hanging="1296"/>
      </w:pPr>
    </w:lvl>
    <w:lvl w:ilvl="7">
      <w:start w:val="1"/>
      <w:numFmt w:val="decimal"/>
      <w:lvlText w:val="%1.%2.%3.%4.%5.%6.%7.%8"/>
      <w:lvlJc w:val="left"/>
      <w:pPr>
        <w:ind w:left="2772" w:hanging="1440"/>
      </w:pPr>
    </w:lvl>
    <w:lvl w:ilvl="8">
      <w:start w:val="1"/>
      <w:numFmt w:val="decimal"/>
      <w:lvlText w:val="%1.%2.%3.%4.%5.%6.%7.%8.%9"/>
      <w:lvlJc w:val="left"/>
      <w:pPr>
        <w:ind w:left="2916" w:hanging="1584"/>
      </w:pPr>
    </w:lvl>
  </w:abstractNum>
  <w:abstractNum w:abstractNumId="1">
    <w:nsid w:val="29C9389D"/>
    <w:multiLevelType w:val="multilevel"/>
    <w:tmpl w:val="5FC2FE2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AB771F1"/>
    <w:multiLevelType w:val="multilevel"/>
    <w:tmpl w:val="151C2CDE"/>
    <w:lvl w:ilvl="0">
      <w:start w:val="4"/>
      <w:numFmt w:val="decimal"/>
      <w:lvlText w:val="%1"/>
      <w:lvlJc w:val="left"/>
      <w:pPr>
        <w:ind w:left="360" w:hanging="360"/>
      </w:pPr>
    </w:lvl>
    <w:lvl w:ilvl="1">
      <w:start w:val="1"/>
      <w:numFmt w:val="decimal"/>
      <w:lvlText w:val="%1.%2"/>
      <w:lvlJc w:val="left"/>
      <w:pPr>
        <w:ind w:left="4860" w:hanging="360"/>
      </w:pPr>
    </w:lvl>
    <w:lvl w:ilvl="2">
      <w:start w:val="1"/>
      <w:numFmt w:val="lowerLetter"/>
      <w:lvlText w:val="%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3C806A4"/>
    <w:multiLevelType w:val="multilevel"/>
    <w:tmpl w:val="02DC03F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4CA63F16"/>
    <w:multiLevelType w:val="multilevel"/>
    <w:tmpl w:val="C14CF9A2"/>
    <w:lvl w:ilvl="0">
      <w:start w:val="1"/>
      <w:numFmt w:val="upperRoman"/>
      <w:lvlText w:val="%1."/>
      <w:lvlJc w:val="left"/>
      <w:pPr>
        <w:ind w:left="1080" w:hanging="720"/>
      </w:pPr>
      <w:rPr>
        <w:b/>
        <w:color w:val="000000"/>
      </w:rPr>
    </w:lvl>
    <w:lvl w:ilvl="1">
      <w:start w:val="1"/>
      <w:numFmt w:val="decimal"/>
      <w:lvlText w:val="%2.1."/>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4D41F3"/>
    <w:multiLevelType w:val="multilevel"/>
    <w:tmpl w:val="879E54E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93"/>
    <w:rsid w:val="00075720"/>
    <w:rsid w:val="00077C84"/>
    <w:rsid w:val="00307DEF"/>
    <w:rsid w:val="004107FC"/>
    <w:rsid w:val="004A7BDE"/>
    <w:rsid w:val="004B4513"/>
    <w:rsid w:val="005B55C1"/>
    <w:rsid w:val="006118F2"/>
    <w:rsid w:val="00684193"/>
    <w:rsid w:val="006A6E0F"/>
    <w:rsid w:val="00770E9D"/>
    <w:rsid w:val="008135C7"/>
    <w:rsid w:val="008633E2"/>
    <w:rsid w:val="00886579"/>
    <w:rsid w:val="008E5B01"/>
    <w:rsid w:val="00955172"/>
    <w:rsid w:val="009E364D"/>
    <w:rsid w:val="009E5B31"/>
    <w:rsid w:val="00A3670C"/>
    <w:rsid w:val="00A92CC5"/>
    <w:rsid w:val="00B94C39"/>
    <w:rsid w:val="00CE69FE"/>
    <w:rsid w:val="00DE1677"/>
    <w:rsid w:val="00DE7625"/>
    <w:rsid w:val="00E8456D"/>
    <w:rsid w:val="00EE5AFA"/>
    <w:rsid w:val="00F00880"/>
    <w:rsid w:val="00FA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Desc">
    <w:name w:val="AbbrDesc"/>
    <w:basedOn w:val="Normal"/>
    <w:rsid w:val="00684193"/>
    <w:pPr>
      <w:tabs>
        <w:tab w:val="left" w:pos="3060"/>
      </w:tabs>
      <w:spacing w:after="0" w:line="240" w:lineRule="auto"/>
      <w:jc w:val="both"/>
    </w:pPr>
    <w:rPr>
      <w:rFonts w:ascii="Times New Roman" w:eastAsia="Times New Roman" w:hAnsi="Times New Roman" w:cs="Times New Roman"/>
      <w:sz w:val="24"/>
      <w:szCs w:val="20"/>
    </w:rPr>
  </w:style>
  <w:style w:type="paragraph" w:customStyle="1" w:styleId="Chapter">
    <w:name w:val="Chapter"/>
    <w:basedOn w:val="Normal"/>
    <w:next w:val="Normal"/>
    <w:rsid w:val="00684193"/>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x-none" w:eastAsia="x-none"/>
    </w:rPr>
  </w:style>
  <w:style w:type="paragraph" w:customStyle="1" w:styleId="Paragraph">
    <w:name w:val="Paragraph"/>
    <w:aliases w:val="p,PARAGRAPH,PG,pa,at,paragraph"/>
    <w:basedOn w:val="BodyTextIndent"/>
    <w:link w:val="ParagraphChar"/>
    <w:rsid w:val="00684193"/>
    <w:pPr>
      <w:numPr>
        <w:ilvl w:val="1"/>
        <w:numId w:val="1"/>
      </w:numPr>
      <w:spacing w:before="120" w:line="240" w:lineRule="auto"/>
      <w:jc w:val="both"/>
      <w:outlineLvl w:val="1"/>
    </w:pPr>
    <w:rPr>
      <w:rFonts w:ascii="Times New Roman" w:eastAsia="Times New Roman" w:hAnsi="Times New Roman" w:cs="Times New Roman"/>
      <w:sz w:val="24"/>
      <w:szCs w:val="20"/>
      <w:lang w:val="x-none" w:eastAsia="x-none"/>
    </w:rPr>
  </w:style>
  <w:style w:type="paragraph" w:customStyle="1" w:styleId="subpar">
    <w:name w:val="subpar"/>
    <w:basedOn w:val="BodyTextIndent3"/>
    <w:rsid w:val="00684193"/>
    <w:pPr>
      <w:numPr>
        <w:ilvl w:val="2"/>
        <w:numId w:val="1"/>
      </w:numPr>
      <w:tabs>
        <w:tab w:val="clear" w:pos="2484"/>
        <w:tab w:val="num" w:pos="360"/>
      </w:tabs>
      <w:spacing w:before="120" w:line="240" w:lineRule="auto"/>
      <w:ind w:left="360"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684193"/>
    <w:pPr>
      <w:numPr>
        <w:ilvl w:val="3"/>
      </w:numPr>
      <w:tabs>
        <w:tab w:val="clear" w:pos="2916"/>
        <w:tab w:val="left" w:pos="0"/>
        <w:tab w:val="num" w:pos="360"/>
      </w:tabs>
    </w:pPr>
  </w:style>
  <w:style w:type="character" w:customStyle="1" w:styleId="ParagraphChar">
    <w:name w:val="Paragraph Char"/>
    <w:link w:val="Paragraph"/>
    <w:rsid w:val="00684193"/>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iPriority w:val="99"/>
    <w:semiHidden/>
    <w:unhideWhenUsed/>
    <w:rsid w:val="00684193"/>
    <w:pPr>
      <w:spacing w:after="120"/>
      <w:ind w:left="360"/>
    </w:pPr>
  </w:style>
  <w:style w:type="character" w:customStyle="1" w:styleId="BodyTextIndentChar">
    <w:name w:val="Body Text Indent Char"/>
    <w:basedOn w:val="DefaultParagraphFont"/>
    <w:link w:val="BodyTextIndent"/>
    <w:uiPriority w:val="99"/>
    <w:semiHidden/>
    <w:rsid w:val="00684193"/>
  </w:style>
  <w:style w:type="paragraph" w:styleId="BodyTextIndent3">
    <w:name w:val="Body Text Indent 3"/>
    <w:basedOn w:val="Normal"/>
    <w:link w:val="BodyTextIndent3Char"/>
    <w:uiPriority w:val="99"/>
    <w:semiHidden/>
    <w:unhideWhenUsed/>
    <w:rsid w:val="006841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4193"/>
    <w:rPr>
      <w:sz w:val="16"/>
      <w:szCs w:val="16"/>
    </w:rPr>
  </w:style>
  <w:style w:type="paragraph" w:styleId="EndnoteText">
    <w:name w:val="endnote text"/>
    <w:basedOn w:val="Normal"/>
    <w:link w:val="EndnoteTextChar"/>
    <w:uiPriority w:val="99"/>
    <w:semiHidden/>
    <w:unhideWhenUsed/>
    <w:rsid w:val="00F008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0880"/>
    <w:rPr>
      <w:rFonts w:ascii="Times New Roman" w:eastAsia="Times New Roman" w:hAnsi="Times New Roman" w:cs="Times New Roman"/>
      <w:sz w:val="20"/>
      <w:szCs w:val="20"/>
    </w:rPr>
  </w:style>
  <w:style w:type="character" w:styleId="EndnoteReference">
    <w:name w:val="endnote reference"/>
    <w:uiPriority w:val="99"/>
    <w:semiHidden/>
    <w:unhideWhenUsed/>
    <w:rsid w:val="00F00880"/>
    <w:rPr>
      <w:vertAlign w:val="superscript"/>
    </w:rPr>
  </w:style>
  <w:style w:type="paragraph" w:styleId="FootnoteText">
    <w:name w:val="footnote text"/>
    <w:aliases w:val="F,Style 25"/>
    <w:basedOn w:val="Normal"/>
    <w:link w:val="FootnoteTextChar"/>
    <w:uiPriority w:val="99"/>
    <w:rsid w:val="006118F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 Char,Style 25 Char"/>
    <w:basedOn w:val="DefaultParagraphFont"/>
    <w:link w:val="FootnoteText"/>
    <w:uiPriority w:val="99"/>
    <w:rsid w:val="006118F2"/>
    <w:rPr>
      <w:rFonts w:ascii="Times New Roman" w:eastAsia="Times New Roman" w:hAnsi="Times New Roman" w:cs="Times New Roman"/>
      <w:sz w:val="20"/>
      <w:szCs w:val="20"/>
      <w:lang w:val="x-none" w:eastAsia="x-none"/>
    </w:rPr>
  </w:style>
  <w:style w:type="character" w:styleId="Hyperlink">
    <w:name w:val="Hyperlink"/>
    <w:uiPriority w:val="99"/>
    <w:rsid w:val="006118F2"/>
    <w:rPr>
      <w:color w:val="0000FF"/>
      <w:u w:val="single"/>
    </w:rPr>
  </w:style>
  <w:style w:type="character" w:styleId="FootnoteReference">
    <w:name w:val="footnote reference"/>
    <w:aliases w:val="Style 24"/>
    <w:uiPriority w:val="99"/>
    <w:rsid w:val="006118F2"/>
    <w:rPr>
      <w:vertAlign w:val="superscript"/>
    </w:rPr>
  </w:style>
  <w:style w:type="paragraph" w:styleId="BalloonText">
    <w:name w:val="Balloon Text"/>
    <w:basedOn w:val="Normal"/>
    <w:link w:val="BalloonTextChar"/>
    <w:uiPriority w:val="99"/>
    <w:semiHidden/>
    <w:unhideWhenUsed/>
    <w:rsid w:val="0061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2"/>
    <w:rPr>
      <w:rFonts w:ascii="Tahoma" w:hAnsi="Tahoma" w:cs="Tahoma"/>
      <w:sz w:val="16"/>
      <w:szCs w:val="16"/>
    </w:rPr>
  </w:style>
  <w:style w:type="character" w:styleId="CommentReference">
    <w:name w:val="annotation reference"/>
    <w:basedOn w:val="DefaultParagraphFont"/>
    <w:uiPriority w:val="99"/>
    <w:semiHidden/>
    <w:unhideWhenUsed/>
    <w:rsid w:val="006A6E0F"/>
    <w:rPr>
      <w:sz w:val="16"/>
      <w:szCs w:val="16"/>
    </w:rPr>
  </w:style>
  <w:style w:type="paragraph" w:styleId="CommentText">
    <w:name w:val="annotation text"/>
    <w:basedOn w:val="Normal"/>
    <w:link w:val="CommentTextChar"/>
    <w:uiPriority w:val="99"/>
    <w:semiHidden/>
    <w:unhideWhenUsed/>
    <w:rsid w:val="006A6E0F"/>
    <w:pPr>
      <w:spacing w:line="240" w:lineRule="auto"/>
    </w:pPr>
    <w:rPr>
      <w:sz w:val="20"/>
      <w:szCs w:val="20"/>
    </w:rPr>
  </w:style>
  <w:style w:type="character" w:customStyle="1" w:styleId="CommentTextChar">
    <w:name w:val="Comment Text Char"/>
    <w:basedOn w:val="DefaultParagraphFont"/>
    <w:link w:val="CommentText"/>
    <w:uiPriority w:val="99"/>
    <w:semiHidden/>
    <w:rsid w:val="006A6E0F"/>
    <w:rPr>
      <w:sz w:val="20"/>
      <w:szCs w:val="20"/>
    </w:rPr>
  </w:style>
  <w:style w:type="paragraph" w:styleId="CommentSubject">
    <w:name w:val="annotation subject"/>
    <w:basedOn w:val="CommentText"/>
    <w:next w:val="CommentText"/>
    <w:link w:val="CommentSubjectChar"/>
    <w:uiPriority w:val="99"/>
    <w:semiHidden/>
    <w:unhideWhenUsed/>
    <w:rsid w:val="006A6E0F"/>
    <w:rPr>
      <w:b/>
      <w:bCs/>
    </w:rPr>
  </w:style>
  <w:style w:type="character" w:customStyle="1" w:styleId="CommentSubjectChar">
    <w:name w:val="Comment Subject Char"/>
    <w:basedOn w:val="CommentTextChar"/>
    <w:link w:val="CommentSubject"/>
    <w:uiPriority w:val="99"/>
    <w:semiHidden/>
    <w:rsid w:val="006A6E0F"/>
    <w:rPr>
      <w:b/>
      <w:bCs/>
      <w:sz w:val="20"/>
      <w:szCs w:val="20"/>
    </w:rPr>
  </w:style>
  <w:style w:type="paragraph" w:styleId="ListParagraph">
    <w:name w:val="List Paragraph"/>
    <w:basedOn w:val="Normal"/>
    <w:uiPriority w:val="34"/>
    <w:qFormat/>
    <w:rsid w:val="00DE1677"/>
    <w:pPr>
      <w:spacing w:after="0" w:line="240" w:lineRule="auto"/>
      <w:ind w:left="720"/>
      <w:contextualSpacing/>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Desc">
    <w:name w:val="AbbrDesc"/>
    <w:basedOn w:val="Normal"/>
    <w:rsid w:val="00684193"/>
    <w:pPr>
      <w:tabs>
        <w:tab w:val="left" w:pos="3060"/>
      </w:tabs>
      <w:spacing w:after="0" w:line="240" w:lineRule="auto"/>
      <w:jc w:val="both"/>
    </w:pPr>
    <w:rPr>
      <w:rFonts w:ascii="Times New Roman" w:eastAsia="Times New Roman" w:hAnsi="Times New Roman" w:cs="Times New Roman"/>
      <w:sz w:val="24"/>
      <w:szCs w:val="20"/>
    </w:rPr>
  </w:style>
  <w:style w:type="paragraph" w:customStyle="1" w:styleId="Chapter">
    <w:name w:val="Chapter"/>
    <w:basedOn w:val="Normal"/>
    <w:next w:val="Normal"/>
    <w:rsid w:val="00684193"/>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x-none" w:eastAsia="x-none"/>
    </w:rPr>
  </w:style>
  <w:style w:type="paragraph" w:customStyle="1" w:styleId="Paragraph">
    <w:name w:val="Paragraph"/>
    <w:aliases w:val="p,PARAGRAPH,PG,pa,at,paragraph"/>
    <w:basedOn w:val="BodyTextIndent"/>
    <w:link w:val="ParagraphChar"/>
    <w:rsid w:val="00684193"/>
    <w:pPr>
      <w:numPr>
        <w:ilvl w:val="1"/>
        <w:numId w:val="1"/>
      </w:numPr>
      <w:spacing w:before="120" w:line="240" w:lineRule="auto"/>
      <w:jc w:val="both"/>
      <w:outlineLvl w:val="1"/>
    </w:pPr>
    <w:rPr>
      <w:rFonts w:ascii="Times New Roman" w:eastAsia="Times New Roman" w:hAnsi="Times New Roman" w:cs="Times New Roman"/>
      <w:sz w:val="24"/>
      <w:szCs w:val="20"/>
      <w:lang w:val="x-none" w:eastAsia="x-none"/>
    </w:rPr>
  </w:style>
  <w:style w:type="paragraph" w:customStyle="1" w:styleId="subpar">
    <w:name w:val="subpar"/>
    <w:basedOn w:val="BodyTextIndent3"/>
    <w:rsid w:val="00684193"/>
    <w:pPr>
      <w:numPr>
        <w:ilvl w:val="2"/>
        <w:numId w:val="1"/>
      </w:numPr>
      <w:tabs>
        <w:tab w:val="clear" w:pos="2484"/>
        <w:tab w:val="num" w:pos="360"/>
      </w:tabs>
      <w:spacing w:before="120" w:line="240" w:lineRule="auto"/>
      <w:ind w:left="360"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684193"/>
    <w:pPr>
      <w:numPr>
        <w:ilvl w:val="3"/>
      </w:numPr>
      <w:tabs>
        <w:tab w:val="clear" w:pos="2916"/>
        <w:tab w:val="left" w:pos="0"/>
        <w:tab w:val="num" w:pos="360"/>
      </w:tabs>
    </w:pPr>
  </w:style>
  <w:style w:type="character" w:customStyle="1" w:styleId="ParagraphChar">
    <w:name w:val="Paragraph Char"/>
    <w:link w:val="Paragraph"/>
    <w:rsid w:val="00684193"/>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iPriority w:val="99"/>
    <w:semiHidden/>
    <w:unhideWhenUsed/>
    <w:rsid w:val="00684193"/>
    <w:pPr>
      <w:spacing w:after="120"/>
      <w:ind w:left="360"/>
    </w:pPr>
  </w:style>
  <w:style w:type="character" w:customStyle="1" w:styleId="BodyTextIndentChar">
    <w:name w:val="Body Text Indent Char"/>
    <w:basedOn w:val="DefaultParagraphFont"/>
    <w:link w:val="BodyTextIndent"/>
    <w:uiPriority w:val="99"/>
    <w:semiHidden/>
    <w:rsid w:val="00684193"/>
  </w:style>
  <w:style w:type="paragraph" w:styleId="BodyTextIndent3">
    <w:name w:val="Body Text Indent 3"/>
    <w:basedOn w:val="Normal"/>
    <w:link w:val="BodyTextIndent3Char"/>
    <w:uiPriority w:val="99"/>
    <w:semiHidden/>
    <w:unhideWhenUsed/>
    <w:rsid w:val="006841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4193"/>
    <w:rPr>
      <w:sz w:val="16"/>
      <w:szCs w:val="16"/>
    </w:rPr>
  </w:style>
  <w:style w:type="paragraph" w:styleId="EndnoteText">
    <w:name w:val="endnote text"/>
    <w:basedOn w:val="Normal"/>
    <w:link w:val="EndnoteTextChar"/>
    <w:uiPriority w:val="99"/>
    <w:semiHidden/>
    <w:unhideWhenUsed/>
    <w:rsid w:val="00F008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0880"/>
    <w:rPr>
      <w:rFonts w:ascii="Times New Roman" w:eastAsia="Times New Roman" w:hAnsi="Times New Roman" w:cs="Times New Roman"/>
      <w:sz w:val="20"/>
      <w:szCs w:val="20"/>
    </w:rPr>
  </w:style>
  <w:style w:type="character" w:styleId="EndnoteReference">
    <w:name w:val="endnote reference"/>
    <w:uiPriority w:val="99"/>
    <w:semiHidden/>
    <w:unhideWhenUsed/>
    <w:rsid w:val="00F00880"/>
    <w:rPr>
      <w:vertAlign w:val="superscript"/>
    </w:rPr>
  </w:style>
  <w:style w:type="paragraph" w:styleId="FootnoteText">
    <w:name w:val="footnote text"/>
    <w:aliases w:val="F,Style 25"/>
    <w:basedOn w:val="Normal"/>
    <w:link w:val="FootnoteTextChar"/>
    <w:uiPriority w:val="99"/>
    <w:rsid w:val="006118F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 Char,Style 25 Char"/>
    <w:basedOn w:val="DefaultParagraphFont"/>
    <w:link w:val="FootnoteText"/>
    <w:uiPriority w:val="99"/>
    <w:rsid w:val="006118F2"/>
    <w:rPr>
      <w:rFonts w:ascii="Times New Roman" w:eastAsia="Times New Roman" w:hAnsi="Times New Roman" w:cs="Times New Roman"/>
      <w:sz w:val="20"/>
      <w:szCs w:val="20"/>
      <w:lang w:val="x-none" w:eastAsia="x-none"/>
    </w:rPr>
  </w:style>
  <w:style w:type="character" w:styleId="Hyperlink">
    <w:name w:val="Hyperlink"/>
    <w:uiPriority w:val="99"/>
    <w:rsid w:val="006118F2"/>
    <w:rPr>
      <w:color w:val="0000FF"/>
      <w:u w:val="single"/>
    </w:rPr>
  </w:style>
  <w:style w:type="character" w:styleId="FootnoteReference">
    <w:name w:val="footnote reference"/>
    <w:aliases w:val="Style 24"/>
    <w:uiPriority w:val="99"/>
    <w:rsid w:val="006118F2"/>
    <w:rPr>
      <w:vertAlign w:val="superscript"/>
    </w:rPr>
  </w:style>
  <w:style w:type="paragraph" w:styleId="BalloonText">
    <w:name w:val="Balloon Text"/>
    <w:basedOn w:val="Normal"/>
    <w:link w:val="BalloonTextChar"/>
    <w:uiPriority w:val="99"/>
    <w:semiHidden/>
    <w:unhideWhenUsed/>
    <w:rsid w:val="0061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2"/>
    <w:rPr>
      <w:rFonts w:ascii="Tahoma" w:hAnsi="Tahoma" w:cs="Tahoma"/>
      <w:sz w:val="16"/>
      <w:szCs w:val="16"/>
    </w:rPr>
  </w:style>
  <w:style w:type="character" w:styleId="CommentReference">
    <w:name w:val="annotation reference"/>
    <w:basedOn w:val="DefaultParagraphFont"/>
    <w:uiPriority w:val="99"/>
    <w:semiHidden/>
    <w:unhideWhenUsed/>
    <w:rsid w:val="006A6E0F"/>
    <w:rPr>
      <w:sz w:val="16"/>
      <w:szCs w:val="16"/>
    </w:rPr>
  </w:style>
  <w:style w:type="paragraph" w:styleId="CommentText">
    <w:name w:val="annotation text"/>
    <w:basedOn w:val="Normal"/>
    <w:link w:val="CommentTextChar"/>
    <w:uiPriority w:val="99"/>
    <w:semiHidden/>
    <w:unhideWhenUsed/>
    <w:rsid w:val="006A6E0F"/>
    <w:pPr>
      <w:spacing w:line="240" w:lineRule="auto"/>
    </w:pPr>
    <w:rPr>
      <w:sz w:val="20"/>
      <w:szCs w:val="20"/>
    </w:rPr>
  </w:style>
  <w:style w:type="character" w:customStyle="1" w:styleId="CommentTextChar">
    <w:name w:val="Comment Text Char"/>
    <w:basedOn w:val="DefaultParagraphFont"/>
    <w:link w:val="CommentText"/>
    <w:uiPriority w:val="99"/>
    <w:semiHidden/>
    <w:rsid w:val="006A6E0F"/>
    <w:rPr>
      <w:sz w:val="20"/>
      <w:szCs w:val="20"/>
    </w:rPr>
  </w:style>
  <w:style w:type="paragraph" w:styleId="CommentSubject">
    <w:name w:val="annotation subject"/>
    <w:basedOn w:val="CommentText"/>
    <w:next w:val="CommentText"/>
    <w:link w:val="CommentSubjectChar"/>
    <w:uiPriority w:val="99"/>
    <w:semiHidden/>
    <w:unhideWhenUsed/>
    <w:rsid w:val="006A6E0F"/>
    <w:rPr>
      <w:b/>
      <w:bCs/>
    </w:rPr>
  </w:style>
  <w:style w:type="character" w:customStyle="1" w:styleId="CommentSubjectChar">
    <w:name w:val="Comment Subject Char"/>
    <w:basedOn w:val="CommentTextChar"/>
    <w:link w:val="CommentSubject"/>
    <w:uiPriority w:val="99"/>
    <w:semiHidden/>
    <w:rsid w:val="006A6E0F"/>
    <w:rPr>
      <w:b/>
      <w:bCs/>
      <w:sz w:val="20"/>
      <w:szCs w:val="20"/>
    </w:rPr>
  </w:style>
  <w:style w:type="paragraph" w:styleId="ListParagraph">
    <w:name w:val="List Paragraph"/>
    <w:basedOn w:val="Normal"/>
    <w:uiPriority w:val="34"/>
    <w:qFormat/>
    <w:rsid w:val="00DE1677"/>
    <w:pPr>
      <w:spacing w:after="0" w:line="240" w:lineRule="auto"/>
      <w:ind w:left="720"/>
      <w:contextualSpacing/>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38797904</IDBDocs_x0020_Number>
    <TaxCatchAll xmlns="cdc7663a-08f0-4737-9e8c-148ce897a09c">
      <Value>11</Value>
      <Value>10</Value>
      <Value>32</Value>
    </TaxCatchAll>
    <Phase xmlns="cdc7663a-08f0-4737-9e8c-148ce897a09c" xsi:nil="true"/>
    <SISCOR_x0020_Number xmlns="cdc7663a-08f0-4737-9e8c-148ce897a09c" xsi:nil="true"/>
    <Division_x0020_or_x0020_Unit xmlns="cdc7663a-08f0-4737-9e8c-148ce897a09c">SCF/FMK</Division_x0020_or_x0020_Unit>
    <Approval_x0020_Number xmlns="cdc7663a-08f0-4737-9e8c-148ce897a09c" xsi:nil="true"/>
    <Document_x0020_Author xmlns="cdc7663a-08f0-4737-9e8c-148ce897a09c">Hauer Carrillo, Carla Gabriela</Document_x0020_Author>
    <Fiscal_x0020_Year_x0020_IDB xmlns="cdc7663a-08f0-4737-9e8c-148ce897a09c">2014</Fiscal_x0020_Year_x0020_IDB>
    <Other_x0020_Author xmlns="cdc7663a-08f0-4737-9e8c-148ce897a09c" xsi:nil="true"/>
    <Project_x0020_Number xmlns="cdc7663a-08f0-4737-9e8c-148ce897a09c">EC-L1137,EC-L1138</Project_x0020_Number>
    <Package_x0020_Code xmlns="cdc7663a-08f0-4737-9e8c-148ce897a09c" xsi:nil="true"/>
    <Key_x0020_Document xmlns="cdc7663a-08f0-4737-9e8c-148ce897a09c">false</Key_x0020_Document>
    <Migration_x0020_Info xmlns="cdc7663a-08f0-4737-9e8c-148ce897a09c">&lt;div class="ExternalClass5E32BD2B92EE46B39A82D46863E7259D"&gt;MS WORDESSEnvironmental &amp;amp; Social Strategies0N&lt;/div&gt;</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EZSHARE-1219897816-1349</_dlc_DocId>
    <_dlc_DocIdUrl xmlns="cdc7663a-08f0-4737-9e8c-148ce897a09c">
      <Url>https://idbg.sharepoint.com/teams/EZ-EC-LON/EC-L1137/_layouts/15/DocIdRedir.aspx?ID=EZSHARE-1219897816-1349</Url>
      <Description>EZSHARE-1219897816-1349</Description>
    </_dlc_DocIdUrl>
    <Abstract xmlns="cdc7663a-08f0-4737-9e8c-148ce897a09c" xsi:nil="true"/>
    <Disclosure_x0020_Activity xmlns="cdc7663a-08f0-4737-9e8c-148ce897a09c">Environmental and Social Strategies</Disclosure_x0020_Activity>
    <Region xmlns="cdc7663a-08f0-4737-9e8c-148ce897a09c" xsi:nil="true"/>
    <Webtopic xmlns="cdc7663a-08f0-4737-9e8c-148ce897a09c">Financial and Capital Markets;Small and Medium Enterprise</Webtopic>
    <Publishing_x0020_House xmlns="cdc7663a-08f0-4737-9e8c-148ce897a09c" xsi:nil="true"/>
    <Disclosed xmlns="cdc7663a-08f0-4737-9e8c-148ce897a09c">true</Disclosed>
    <KP_x0020_Topics xmlns="cdc7663a-08f0-4737-9e8c-148ce897a09c" xsi:nil="true"/>
    <Editor1 xmlns="cdc7663a-08f0-4737-9e8c-148ce897a09c" xsi:nil="true"/>
    <Publication_x0020_Type xmlns="cdc7663a-08f0-4737-9e8c-148ce897a09c" xsi:nil="true"/>
    <Issue_x0020_Date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FF5E59669BF374986EB33C51B432735" ma:contentTypeVersion="2591" ma:contentTypeDescription="A content type to manage public (operations) IDB documents" ma:contentTypeScope="" ma:versionID="49c0c6eee4080bc994d323fbd3eafb34">
  <xsd:schema xmlns:xsd="http://www.w3.org/2001/XMLSchema" xmlns:xs="http://www.w3.org/2001/XMLSchema" xmlns:p="http://schemas.microsoft.com/office/2006/metadata/properties" xmlns:ns2="cdc7663a-08f0-4737-9e8c-148ce897a09c" targetNamespace="http://schemas.microsoft.com/office/2006/metadata/properties" ma:root="true" ma:fieldsID="822b809317172024eb160cbb52ce57e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548A3391-CE6F-4D23-8EE3-B8579ADAFF2E}"/>
</file>

<file path=customXml/itemProps2.xml><?xml version="1.0" encoding="utf-8"?>
<ds:datastoreItem xmlns:ds="http://schemas.openxmlformats.org/officeDocument/2006/customXml" ds:itemID="{2266F81D-C28A-480A-B987-8CAD5D2F1D9C}"/>
</file>

<file path=customXml/itemProps3.xml><?xml version="1.0" encoding="utf-8"?>
<ds:datastoreItem xmlns:ds="http://schemas.openxmlformats.org/officeDocument/2006/customXml" ds:itemID="{6425C575-5CEF-41B1-9D5C-E3AB47F17C0B}"/>
</file>

<file path=customXml/itemProps4.xml><?xml version="1.0" encoding="utf-8"?>
<ds:datastoreItem xmlns:ds="http://schemas.openxmlformats.org/officeDocument/2006/customXml" ds:itemID="{2C5160E2-FA9F-41DF-B871-23B3962809E2}"/>
</file>

<file path=customXml/itemProps5.xml><?xml version="1.0" encoding="utf-8"?>
<ds:datastoreItem xmlns:ds="http://schemas.openxmlformats.org/officeDocument/2006/customXml" ds:itemID="{44CAEAA3-9943-4A63-AE66-621390671CB0}"/>
</file>

<file path=customXml/itemProps6.xml><?xml version="1.0" encoding="utf-8"?>
<ds:datastoreItem xmlns:ds="http://schemas.openxmlformats.org/officeDocument/2006/customXml" ds:itemID="{A321A1E4-0E6C-4A7B-964F-2458814A25C2}"/>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FInance for Small and Medium Prodrucer (Guayaquil) - ESS</dc:title>
  <dc:creator>Inter-American Development Bank</dc:creator>
  <cp:keywords/>
  <cp:lastModifiedBy>Inter-American Development Bank</cp:lastModifiedBy>
  <cp:revision>2</cp:revision>
  <cp:lastPrinted>2014-05-05T19:29:00Z</cp:lastPrinted>
  <dcterms:created xsi:type="dcterms:W3CDTF">2014-05-15T15:53:00Z</dcterms:created>
  <dcterms:modified xsi:type="dcterms:W3CDTF">2014-05-15T15:53:00Z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gFAAbtDMpgn6UhqgtrBt+CeJ5sopAF15tMOdEY1q3fiQ3imMH6SjuQTVhm7IMvalwxzyWy+jkUuIJasv
Jy4PRcKXXc0nj8RyKZQBZNCuFEBlyYquKI/k7aY1rTIP5k//2BWXHciNi5k+JlX7wrKjzAGQU+g4
8ZI7bkrPrZajMOdRmxkTooBdAmOAdRXPPr+oa5dMJGoO1A4qteE5Ni0p2FwHncUzEMET1jvQ6Rj3
bcU2gQUvJ1AbvX4fc</vt:lpwstr>
  </property>
  <property fmtid="{D5CDD505-2E9C-101B-9397-08002B2CF9AE}" pid="3" name="MAIL_MSG_ID2">
    <vt:lpwstr>k/5rSqYn0XmtF09YZ91KI6LKQGXim26gQPwSMaNlZ3QzJ3ahDDL26W+8M51
rBhGYxhAaU++dlk4lopUeYKeloqqyTI16DX5qQ==</vt:lpwstr>
  </property>
  <property fmtid="{D5CDD505-2E9C-101B-9397-08002B2CF9AE}" pid="4" name="RESPONSE_SENDER_NAME">
    <vt:lpwstr>ABAAJXrvhtoYpC4BBlwF3v+jVUSXewlBME7KqjBbvLV5x1m9BD3wM82yguwSE+FKbege</vt:lpwstr>
  </property>
  <property fmtid="{D5CDD505-2E9C-101B-9397-08002B2CF9AE}" pid="5" name="EMAIL_OWNER_ADDRESS">
    <vt:lpwstr>sAAAE9kkUq3pEoLxshcz5RZ13QkXBR9VvxFEVyuxa/LaRms=</vt:lpwstr>
  </property>
  <property fmtid="{D5CDD505-2E9C-101B-9397-08002B2CF9AE}" pid="6" name="ContentTypeId">
    <vt:lpwstr>0x0101001A458A224826124E8B45B1D613300CFC000FF5E59669BF374986EB33C51B432735</vt:lpwstr>
  </property>
  <property fmtid="{D5CDD505-2E9C-101B-9397-08002B2CF9AE}" pid="7" name="TaxKeyword">
    <vt:lpwstr/>
  </property>
  <property fmtid="{D5CDD505-2E9C-101B-9397-08002B2CF9AE}" pid="8" name="Sub_x002d_Sector">
    <vt:lpwstr/>
  </property>
  <property fmtid="{D5CDD505-2E9C-101B-9397-08002B2CF9AE}" pid="9" name="TaxKeywordTaxHTField">
    <vt:lpwstr/>
  </property>
  <property fmtid="{D5CDD505-2E9C-101B-9397-08002B2CF9AE}" pid="10" name="Series Operations IDB">
    <vt:lpwstr>11;#Unclassified|a6dff32e-d477-44cd-a56b-85efe9e0a56c</vt:lpwstr>
  </property>
  <property fmtid="{D5CDD505-2E9C-101B-9397-08002B2CF9AE}" pid="12" name="Country">
    <vt:lpwstr>32;#Ecuador|8f163189-00fa-4e7c-827d-28fb5798781c</vt:lpwstr>
  </property>
  <property fmtid="{D5CDD505-2E9C-101B-9397-08002B2CF9AE}" pid="13" name="Fund IDB">
    <vt:lpwstr/>
  </property>
  <property fmtid="{D5CDD505-2E9C-101B-9397-08002B2CF9AE}" pid="14" name="To:">
    <vt:lpwstr/>
  </property>
  <property fmtid="{D5CDD505-2E9C-101B-9397-08002B2CF9AE}" pid="15" name="From:">
    <vt:lpwstr/>
  </property>
  <property fmtid="{D5CDD505-2E9C-101B-9397-08002B2CF9AE}" pid="16" name="Sector IDB">
    <vt:lpwstr/>
  </property>
  <property fmtid="{D5CDD505-2E9C-101B-9397-08002B2CF9AE}" pid="17" name="Function Operations IDB">
    <vt:lpwstr>10;#IDBDocs|cca77002-e150-4b2d-ab1f-1d7a7cdcae16</vt:lpwstr>
  </property>
  <property fmtid="{D5CDD505-2E9C-101B-9397-08002B2CF9AE}" pid="18" name="Sub-Sector">
    <vt:lpwstr/>
  </property>
  <property fmtid="{D5CDD505-2E9C-101B-9397-08002B2CF9AE}" pid="19" name="_dlc_DocIdItemGuid">
    <vt:lpwstr>c83b24a6-97ba-4410-a624-12f12d8b31e5</vt:lpwstr>
  </property>
</Properties>
</file>