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92" w:rsidRDefault="00AC3692">
      <w:pPr>
        <w:rPr>
          <w:rFonts w:ascii="Arial" w:hAnsi="Arial" w:cs="Arial"/>
          <w:b/>
          <w:bCs/>
          <w:sz w:val="36"/>
          <w:szCs w:val="22"/>
        </w:rPr>
      </w:pPr>
    </w:p>
    <w:p w:rsidR="003C23CB" w:rsidRDefault="005004E7" w:rsidP="003C23CB">
      <w:pPr>
        <w:pStyle w:val="Title"/>
        <w:spacing w:after="0" w:line="240" w:lineRule="auto"/>
        <w:rPr>
          <w:sz w:val="36"/>
        </w:rPr>
      </w:pPr>
      <w:r>
        <w:rPr>
          <w:sz w:val="36"/>
        </w:rPr>
        <w:t>INFORME</w:t>
      </w:r>
    </w:p>
    <w:p w:rsidR="00BE1993" w:rsidRDefault="00BE1993" w:rsidP="003C23CB">
      <w:pPr>
        <w:pStyle w:val="Title"/>
        <w:spacing w:after="0" w:line="240" w:lineRule="auto"/>
        <w:rPr>
          <w:sz w:val="36"/>
        </w:rPr>
      </w:pPr>
    </w:p>
    <w:p w:rsidR="00BE1993" w:rsidRDefault="00BE1993" w:rsidP="003C23CB">
      <w:pPr>
        <w:pStyle w:val="Title"/>
        <w:spacing w:after="0" w:line="240" w:lineRule="auto"/>
        <w:rPr>
          <w:sz w:val="36"/>
        </w:rPr>
      </w:pPr>
    </w:p>
    <w:p w:rsidR="003C23CB" w:rsidRDefault="003C23CB" w:rsidP="003C23CB">
      <w:pPr>
        <w:pStyle w:val="Title"/>
        <w:spacing w:after="0" w:line="240" w:lineRule="auto"/>
        <w:rPr>
          <w:sz w:val="36"/>
        </w:rPr>
      </w:pPr>
    </w:p>
    <w:p w:rsidR="003C23CB" w:rsidRDefault="003C23CB" w:rsidP="003C23CB">
      <w:pPr>
        <w:pStyle w:val="Title"/>
        <w:spacing w:after="0" w:line="240" w:lineRule="auto"/>
        <w:rPr>
          <w:sz w:val="36"/>
        </w:rPr>
      </w:pPr>
    </w:p>
    <w:p w:rsidR="000F285D" w:rsidRDefault="000F285D" w:rsidP="003C23CB">
      <w:pPr>
        <w:pStyle w:val="Title"/>
        <w:spacing w:after="0" w:line="240" w:lineRule="auto"/>
        <w:rPr>
          <w:sz w:val="36"/>
        </w:rPr>
      </w:pPr>
      <w:r>
        <w:rPr>
          <w:sz w:val="36"/>
        </w:rPr>
        <w:t xml:space="preserve">EVALUACION SOCIOECONOMICA DEL PROYECTO DE </w:t>
      </w:r>
      <w:r w:rsidR="00952469">
        <w:rPr>
          <w:sz w:val="36"/>
        </w:rPr>
        <w:t xml:space="preserve">CONSTRUCCION DEL </w:t>
      </w:r>
      <w:r>
        <w:rPr>
          <w:sz w:val="36"/>
        </w:rPr>
        <w:t xml:space="preserve">HOSPITAL </w:t>
      </w:r>
      <w:r w:rsidR="00EC7628">
        <w:rPr>
          <w:sz w:val="36"/>
        </w:rPr>
        <w:t>ALTO SUR – EL ALTO</w:t>
      </w:r>
      <w:r w:rsidR="00952469">
        <w:rPr>
          <w:sz w:val="36"/>
        </w:rPr>
        <w:t xml:space="preserve"> </w:t>
      </w:r>
      <w:r w:rsidR="00AB7ED8">
        <w:rPr>
          <w:sz w:val="36"/>
        </w:rPr>
        <w:t>–</w:t>
      </w:r>
      <w:r w:rsidR="00952469">
        <w:rPr>
          <w:sz w:val="36"/>
        </w:rPr>
        <w:t xml:space="preserve"> BOLIVIA</w:t>
      </w:r>
    </w:p>
    <w:p w:rsidR="00AB7ED8" w:rsidRDefault="00AB7ED8" w:rsidP="003C23CB">
      <w:pPr>
        <w:pStyle w:val="Title"/>
        <w:spacing w:after="0" w:line="240" w:lineRule="auto"/>
        <w:rPr>
          <w:sz w:val="36"/>
        </w:rPr>
      </w:pPr>
    </w:p>
    <w:p w:rsidR="00AB7ED8" w:rsidRDefault="001A012C" w:rsidP="00107258">
      <w:pPr>
        <w:pStyle w:val="Title"/>
        <w:spacing w:before="100" w:beforeAutospacing="1" w:after="100" w:afterAutospacing="1" w:line="240" w:lineRule="auto"/>
        <w:rPr>
          <w:szCs w:val="24"/>
        </w:rPr>
      </w:pPr>
      <w:r w:rsidRPr="00107258">
        <w:rPr>
          <w:szCs w:val="24"/>
        </w:rPr>
        <w:t xml:space="preserve">Programa </w:t>
      </w:r>
      <w:r w:rsidR="00107258" w:rsidRPr="00107258">
        <w:rPr>
          <w:szCs w:val="24"/>
        </w:rPr>
        <w:t>BO-L1082</w:t>
      </w:r>
      <w:r w:rsidR="00107258">
        <w:rPr>
          <w:szCs w:val="24"/>
        </w:rPr>
        <w:t>/</w:t>
      </w:r>
      <w:r w:rsidR="00107258" w:rsidRPr="00107258">
        <w:rPr>
          <w:szCs w:val="24"/>
        </w:rPr>
        <w:t>BO-T1187</w:t>
      </w:r>
    </w:p>
    <w:p w:rsidR="00AB7ED8" w:rsidRDefault="00AB7ED8" w:rsidP="000F285D">
      <w:pPr>
        <w:pStyle w:val="Title"/>
        <w:spacing w:before="100" w:beforeAutospacing="1" w:after="100" w:afterAutospacing="1" w:line="240" w:lineRule="auto"/>
        <w:rPr>
          <w:szCs w:val="24"/>
        </w:rPr>
      </w:pPr>
    </w:p>
    <w:p w:rsidR="000F285D" w:rsidRDefault="000F285D" w:rsidP="000F285D">
      <w:pPr>
        <w:pStyle w:val="Title"/>
        <w:spacing w:before="100" w:beforeAutospacing="1" w:after="100" w:afterAutospacing="1" w:line="240" w:lineRule="auto"/>
        <w:rPr>
          <w:szCs w:val="24"/>
        </w:rPr>
      </w:pPr>
      <w:r>
        <w:rPr>
          <w:szCs w:val="24"/>
        </w:rPr>
        <w:t>Estudio realizado para el Banco Interamericano de Desarrollo</w:t>
      </w:r>
    </w:p>
    <w:p w:rsidR="000F285D" w:rsidRPr="005004E7" w:rsidRDefault="000F285D" w:rsidP="000F285D">
      <w:pPr>
        <w:pStyle w:val="Title"/>
        <w:spacing w:before="100" w:beforeAutospacing="1" w:after="100" w:afterAutospacing="1" w:line="240" w:lineRule="auto"/>
        <w:rPr>
          <w:szCs w:val="24"/>
          <w:lang w:val="es-ES_tradnl"/>
        </w:rPr>
      </w:pPr>
      <w:r w:rsidRPr="005004E7">
        <w:rPr>
          <w:szCs w:val="24"/>
          <w:lang w:val="es-ES_tradnl"/>
        </w:rPr>
        <w:t>BID</w:t>
      </w:r>
    </w:p>
    <w:p w:rsidR="000F285D" w:rsidRPr="005004E7" w:rsidRDefault="000F285D" w:rsidP="000F285D">
      <w:pPr>
        <w:pStyle w:val="Title"/>
        <w:spacing w:before="100" w:beforeAutospacing="1" w:after="100" w:afterAutospacing="1" w:line="240" w:lineRule="auto"/>
        <w:rPr>
          <w:szCs w:val="24"/>
          <w:lang w:val="es-ES_tradnl"/>
        </w:rPr>
      </w:pPr>
    </w:p>
    <w:p w:rsidR="00F107FC" w:rsidRPr="005004E7" w:rsidRDefault="00F107FC" w:rsidP="000F285D">
      <w:pPr>
        <w:pStyle w:val="Title"/>
        <w:spacing w:before="100" w:beforeAutospacing="1" w:after="100" w:afterAutospacing="1" w:line="240" w:lineRule="auto"/>
        <w:rPr>
          <w:szCs w:val="24"/>
          <w:lang w:val="es-ES_tradnl"/>
        </w:rPr>
      </w:pPr>
    </w:p>
    <w:p w:rsidR="00F107FC" w:rsidRPr="005004E7" w:rsidRDefault="00F107FC" w:rsidP="000F285D">
      <w:pPr>
        <w:pStyle w:val="Title"/>
        <w:spacing w:before="100" w:beforeAutospacing="1" w:after="100" w:afterAutospacing="1" w:line="240" w:lineRule="auto"/>
        <w:rPr>
          <w:szCs w:val="24"/>
          <w:lang w:val="es-ES_tradnl"/>
        </w:rPr>
      </w:pPr>
    </w:p>
    <w:p w:rsidR="000F285D" w:rsidRPr="005004E7" w:rsidRDefault="000F285D" w:rsidP="00F107FC">
      <w:pPr>
        <w:pStyle w:val="Title"/>
        <w:spacing w:after="0" w:line="240" w:lineRule="auto"/>
        <w:ind w:left="0"/>
        <w:rPr>
          <w:sz w:val="20"/>
          <w:lang w:val="es-ES_tradnl"/>
        </w:rPr>
      </w:pPr>
      <w:r w:rsidRPr="005004E7">
        <w:rPr>
          <w:sz w:val="20"/>
          <w:lang w:val="es-ES_tradnl"/>
        </w:rPr>
        <w:t>Ciro Ibáñez Gericke</w:t>
      </w:r>
    </w:p>
    <w:p w:rsidR="000F285D" w:rsidRPr="005004E7" w:rsidRDefault="000F285D" w:rsidP="00F107FC">
      <w:pPr>
        <w:pStyle w:val="Title"/>
        <w:spacing w:after="0" w:line="240" w:lineRule="auto"/>
        <w:ind w:left="0"/>
        <w:rPr>
          <w:sz w:val="20"/>
          <w:lang w:val="es-ES_tradnl"/>
        </w:rPr>
      </w:pPr>
      <w:r w:rsidRPr="005004E7">
        <w:rPr>
          <w:sz w:val="20"/>
          <w:lang w:val="es-ES_tradnl"/>
        </w:rPr>
        <w:t>Economista Consultor</w:t>
      </w:r>
    </w:p>
    <w:p w:rsidR="000F285D" w:rsidRPr="005004E7" w:rsidRDefault="000F285D" w:rsidP="000F285D">
      <w:pPr>
        <w:pStyle w:val="Title"/>
        <w:spacing w:after="240" w:line="240" w:lineRule="auto"/>
        <w:jc w:val="right"/>
        <w:rPr>
          <w:sz w:val="36"/>
          <w:lang w:val="es-ES_tradnl"/>
        </w:rPr>
      </w:pPr>
    </w:p>
    <w:p w:rsidR="000F285D" w:rsidRPr="005004E7" w:rsidRDefault="000F285D" w:rsidP="000F285D">
      <w:pPr>
        <w:pStyle w:val="Title"/>
        <w:spacing w:after="240" w:line="240" w:lineRule="auto"/>
        <w:jc w:val="right"/>
        <w:rPr>
          <w:sz w:val="36"/>
          <w:lang w:val="es-ES_tradnl"/>
        </w:rPr>
      </w:pPr>
    </w:p>
    <w:p w:rsidR="00F107FC" w:rsidRPr="00170192" w:rsidRDefault="00F107FC" w:rsidP="000F285D">
      <w:pPr>
        <w:pStyle w:val="Title"/>
        <w:spacing w:after="240" w:line="240" w:lineRule="auto"/>
        <w:jc w:val="right"/>
        <w:rPr>
          <w:sz w:val="36"/>
        </w:rPr>
      </w:pPr>
    </w:p>
    <w:p w:rsidR="000F285D" w:rsidRPr="005004E7" w:rsidRDefault="00CE2002" w:rsidP="000F285D">
      <w:pPr>
        <w:pStyle w:val="Title"/>
        <w:spacing w:after="240" w:line="240" w:lineRule="auto"/>
        <w:jc w:val="right"/>
        <w:rPr>
          <w:szCs w:val="24"/>
          <w:lang w:val="es-ES_tradnl"/>
        </w:rPr>
      </w:pPr>
      <w:r>
        <w:rPr>
          <w:szCs w:val="24"/>
        </w:rPr>
        <w:t>Noviembre</w:t>
      </w:r>
      <w:r w:rsidR="000F285D" w:rsidRPr="005004E7">
        <w:rPr>
          <w:szCs w:val="24"/>
          <w:lang w:val="es-ES_tradnl"/>
        </w:rPr>
        <w:t xml:space="preserve"> 20</w:t>
      </w:r>
      <w:r w:rsidR="00EC7628" w:rsidRPr="005004E7">
        <w:rPr>
          <w:szCs w:val="24"/>
          <w:lang w:val="es-ES_tradnl"/>
        </w:rPr>
        <w:t>13</w:t>
      </w:r>
    </w:p>
    <w:p w:rsidR="00107258" w:rsidRDefault="00107258">
      <w:pPr>
        <w:rPr>
          <w:rFonts w:ascii="Arial" w:hAnsi="Arial" w:cs="Arial"/>
          <w:b/>
          <w:lang w:val="es-MX"/>
        </w:rPr>
      </w:pPr>
      <w:r>
        <w:rPr>
          <w:rFonts w:ascii="Arial" w:hAnsi="Arial" w:cs="Arial"/>
          <w:b/>
          <w:lang w:val="es-MX"/>
        </w:rPr>
        <w:br w:type="page"/>
      </w:r>
    </w:p>
    <w:p w:rsidR="00107258" w:rsidRDefault="00107258" w:rsidP="000F285D">
      <w:pPr>
        <w:jc w:val="center"/>
        <w:rPr>
          <w:rFonts w:ascii="Arial" w:hAnsi="Arial" w:cs="Arial"/>
          <w:b/>
          <w:lang w:val="es-MX"/>
        </w:rPr>
      </w:pPr>
    </w:p>
    <w:p w:rsidR="000F285D" w:rsidRDefault="000F285D" w:rsidP="000F285D">
      <w:pPr>
        <w:jc w:val="center"/>
        <w:rPr>
          <w:rFonts w:ascii="Arial" w:hAnsi="Arial" w:cs="Arial"/>
          <w:b/>
          <w:lang w:val="es-MX"/>
        </w:rPr>
      </w:pPr>
      <w:r>
        <w:rPr>
          <w:rFonts w:ascii="Arial" w:hAnsi="Arial" w:cs="Arial"/>
          <w:b/>
          <w:lang w:val="es-MX"/>
        </w:rPr>
        <w:t>RESUMEN EJECUTIVO</w:t>
      </w:r>
    </w:p>
    <w:p w:rsidR="000F285D" w:rsidRDefault="000F285D" w:rsidP="000F285D">
      <w:pPr>
        <w:jc w:val="center"/>
        <w:rPr>
          <w:rFonts w:ascii="Arial" w:hAnsi="Arial" w:cs="Arial"/>
          <w:b/>
          <w:lang w:val="es-MX"/>
        </w:rPr>
      </w:pPr>
    </w:p>
    <w:p w:rsidR="000F285D" w:rsidRPr="001259D1" w:rsidRDefault="000F285D" w:rsidP="000F285D">
      <w:pPr>
        <w:jc w:val="center"/>
        <w:rPr>
          <w:rFonts w:ascii="Arial" w:hAnsi="Arial" w:cs="Arial"/>
          <w:lang w:val="es-MX"/>
        </w:rPr>
      </w:pPr>
    </w:p>
    <w:p w:rsidR="000327C5" w:rsidRDefault="000327C5" w:rsidP="009B6BCD">
      <w:pPr>
        <w:pStyle w:val="Title"/>
        <w:spacing w:after="0"/>
        <w:jc w:val="both"/>
        <w:rPr>
          <w:rFonts w:asciiTheme="minorHAnsi" w:hAnsiTheme="minorHAnsi" w:cstheme="minorHAnsi"/>
          <w:b w:val="0"/>
          <w:sz w:val="22"/>
          <w:lang w:val="es-MX"/>
        </w:rPr>
      </w:pPr>
    </w:p>
    <w:p w:rsidR="000327C5" w:rsidRPr="009C76DB" w:rsidRDefault="000327C5" w:rsidP="000327C5">
      <w:pPr>
        <w:jc w:val="both"/>
        <w:rPr>
          <w:rFonts w:asciiTheme="minorHAnsi" w:hAnsiTheme="minorHAnsi" w:cstheme="minorHAnsi"/>
          <w:sz w:val="22"/>
        </w:rPr>
      </w:pPr>
      <w:r>
        <w:rPr>
          <w:rFonts w:asciiTheme="minorHAnsi" w:hAnsiTheme="minorHAnsi" w:cstheme="minorHAnsi"/>
          <w:sz w:val="22"/>
        </w:rPr>
        <w:t xml:space="preserve">En términos de valores privados, el monto de inversión que Bolivia solicita en calidad de préstamo asciende a </w:t>
      </w:r>
      <w:r w:rsidRPr="00CB02AD">
        <w:rPr>
          <w:rFonts w:asciiTheme="minorHAnsi" w:hAnsiTheme="minorHAnsi" w:cstheme="minorHAnsi"/>
          <w:sz w:val="22"/>
        </w:rPr>
        <w:t>48,5 millones de dólares.</w:t>
      </w:r>
      <w:r>
        <w:rPr>
          <w:rFonts w:asciiTheme="minorHAnsi" w:hAnsiTheme="minorHAnsi" w:cstheme="minorHAnsi"/>
          <w:sz w:val="22"/>
        </w:rPr>
        <w:t xml:space="preserve"> De estos,</w:t>
      </w:r>
      <w:r w:rsidRPr="00CB02AD">
        <w:rPr>
          <w:rFonts w:asciiTheme="minorHAnsi" w:hAnsiTheme="minorHAnsi" w:cstheme="minorHAnsi"/>
          <w:sz w:val="22"/>
        </w:rPr>
        <w:t xml:space="preserve"> 41,9 millones corresponden a los costos de inversión y 6,6 millones </w:t>
      </w:r>
      <w:r>
        <w:rPr>
          <w:rFonts w:asciiTheme="minorHAnsi" w:hAnsiTheme="minorHAnsi" w:cstheme="minorHAnsi"/>
          <w:sz w:val="22"/>
        </w:rPr>
        <w:t xml:space="preserve">a </w:t>
      </w:r>
      <w:r w:rsidRPr="00CB02AD">
        <w:rPr>
          <w:rFonts w:asciiTheme="minorHAnsi" w:hAnsiTheme="minorHAnsi" w:cstheme="minorHAnsi"/>
          <w:sz w:val="22"/>
        </w:rPr>
        <w:t>costos de operación</w:t>
      </w:r>
      <w:r>
        <w:rPr>
          <w:rFonts w:asciiTheme="minorHAnsi" w:hAnsiTheme="minorHAnsi" w:cstheme="minorHAnsi"/>
          <w:sz w:val="22"/>
        </w:rPr>
        <w:t>. Los beneficios sociales que se atribuyen al proyecto corresponden a aquellos que se expresan como aumento en “consumo” de prestaciones sanitarias entregadas a la población; se estiman beneficios por ahorro de costos de viaje de parte de la población por el hecho de contar, en la situación con proyecto, de la posibilidad de demandar consultas de especialidad en El Alto, y no tener que viajar a La Paz; y beneficios por ahorro de costos de viaje y otros de aquellas familias con algún familiar demandante de cirugía que, en una situación sin proyecto, tendrían que haber sido referidos a algún establecimiento hospitalario en la ciudad de La Paz.</w:t>
      </w:r>
    </w:p>
    <w:p w:rsidR="000327C5" w:rsidRDefault="000327C5" w:rsidP="009B6BCD">
      <w:pPr>
        <w:pStyle w:val="Title"/>
        <w:spacing w:after="0"/>
        <w:jc w:val="both"/>
        <w:rPr>
          <w:rFonts w:asciiTheme="minorHAnsi" w:hAnsiTheme="minorHAnsi" w:cstheme="minorHAnsi"/>
          <w:b w:val="0"/>
          <w:sz w:val="22"/>
          <w:lang w:val="es-MX"/>
        </w:rPr>
      </w:pPr>
    </w:p>
    <w:p w:rsidR="009B6BCD" w:rsidRDefault="000F285D" w:rsidP="009B6BCD">
      <w:pPr>
        <w:pStyle w:val="Title"/>
        <w:spacing w:after="0"/>
        <w:jc w:val="both"/>
        <w:rPr>
          <w:rFonts w:asciiTheme="minorHAnsi" w:hAnsiTheme="minorHAnsi" w:cstheme="minorHAnsi"/>
          <w:b w:val="0"/>
          <w:sz w:val="22"/>
          <w:lang w:val="es-MX"/>
        </w:rPr>
      </w:pPr>
      <w:r w:rsidRPr="001259D1">
        <w:rPr>
          <w:rFonts w:asciiTheme="minorHAnsi" w:hAnsiTheme="minorHAnsi" w:cstheme="minorHAnsi"/>
          <w:b w:val="0"/>
          <w:sz w:val="22"/>
          <w:lang w:val="es-MX"/>
        </w:rPr>
        <w:t>Los resultados del estudio</w:t>
      </w:r>
      <w:r w:rsidR="007A1EC9">
        <w:rPr>
          <w:rFonts w:asciiTheme="minorHAnsi" w:hAnsiTheme="minorHAnsi" w:cstheme="minorHAnsi"/>
          <w:b w:val="0"/>
          <w:sz w:val="22"/>
          <w:lang w:val="es-MX"/>
        </w:rPr>
        <w:t>,</w:t>
      </w:r>
      <w:r w:rsidRPr="001259D1">
        <w:rPr>
          <w:rFonts w:asciiTheme="minorHAnsi" w:hAnsiTheme="minorHAnsi" w:cstheme="minorHAnsi"/>
          <w:b w:val="0"/>
          <w:sz w:val="22"/>
          <w:lang w:val="es-MX"/>
        </w:rPr>
        <w:t xml:space="preserve"> a nivel de perfil</w:t>
      </w:r>
      <w:r w:rsidR="007A1EC9">
        <w:rPr>
          <w:rFonts w:asciiTheme="minorHAnsi" w:hAnsiTheme="minorHAnsi" w:cstheme="minorHAnsi"/>
          <w:b w:val="0"/>
          <w:sz w:val="22"/>
          <w:lang w:val="es-MX"/>
        </w:rPr>
        <w:t>,</w:t>
      </w:r>
      <w:r w:rsidRPr="001259D1">
        <w:rPr>
          <w:rFonts w:asciiTheme="minorHAnsi" w:hAnsiTheme="minorHAnsi" w:cstheme="minorHAnsi"/>
          <w:b w:val="0"/>
          <w:sz w:val="22"/>
          <w:lang w:val="es-MX"/>
        </w:rPr>
        <w:t xml:space="preserve"> de la evaluación socioeconómica del Proyecto “</w:t>
      </w:r>
      <w:r w:rsidR="00486F8E" w:rsidRPr="00486F8E">
        <w:rPr>
          <w:rFonts w:asciiTheme="minorHAnsi" w:hAnsiTheme="minorHAnsi" w:cstheme="minorHAnsi"/>
          <w:b w:val="0"/>
          <w:sz w:val="22"/>
        </w:rPr>
        <w:t>PROYECTO DE CONSTRUCCION DEL HOSPITAL ALTO SUR – EL ALTO – BOLIVIA</w:t>
      </w:r>
      <w:r w:rsidRPr="001259D1">
        <w:rPr>
          <w:rFonts w:asciiTheme="minorHAnsi" w:hAnsiTheme="minorHAnsi" w:cstheme="minorHAnsi"/>
          <w:b w:val="0"/>
          <w:sz w:val="22"/>
          <w:lang w:val="es-MX"/>
        </w:rPr>
        <w:t>”</w:t>
      </w:r>
      <w:r w:rsidR="001259D1">
        <w:rPr>
          <w:rFonts w:asciiTheme="minorHAnsi" w:hAnsiTheme="minorHAnsi" w:cstheme="minorHAnsi"/>
          <w:b w:val="0"/>
          <w:sz w:val="22"/>
          <w:lang w:val="es-MX"/>
        </w:rPr>
        <w:t xml:space="preserve">, </w:t>
      </w:r>
      <w:r w:rsidR="002A6D44">
        <w:rPr>
          <w:rFonts w:asciiTheme="minorHAnsi" w:hAnsiTheme="minorHAnsi" w:cstheme="minorHAnsi"/>
          <w:b w:val="0"/>
          <w:sz w:val="22"/>
          <w:lang w:val="es-MX"/>
        </w:rPr>
        <w:t>indican</w:t>
      </w:r>
      <w:r w:rsidR="001259D1">
        <w:rPr>
          <w:rFonts w:asciiTheme="minorHAnsi" w:hAnsiTheme="minorHAnsi" w:cstheme="minorHAnsi"/>
          <w:b w:val="0"/>
          <w:sz w:val="22"/>
          <w:lang w:val="es-MX"/>
        </w:rPr>
        <w:t xml:space="preserve"> que el proyecto es deseable socialmente</w:t>
      </w:r>
      <w:r w:rsidRPr="001259D1">
        <w:rPr>
          <w:rFonts w:asciiTheme="minorHAnsi" w:hAnsiTheme="minorHAnsi" w:cstheme="minorHAnsi"/>
          <w:b w:val="0"/>
          <w:sz w:val="22"/>
          <w:lang w:val="es-MX"/>
        </w:rPr>
        <w:t xml:space="preserve">. Así, en </w:t>
      </w:r>
      <w:r w:rsidR="009B6BCD">
        <w:rPr>
          <w:rFonts w:asciiTheme="minorHAnsi" w:hAnsiTheme="minorHAnsi" w:cstheme="minorHAnsi"/>
          <w:b w:val="0"/>
          <w:sz w:val="22"/>
          <w:lang w:val="es-MX"/>
        </w:rPr>
        <w:t>el escenario base</w:t>
      </w:r>
      <w:r w:rsidR="00F57D71">
        <w:rPr>
          <w:rFonts w:asciiTheme="minorHAnsi" w:hAnsiTheme="minorHAnsi" w:cstheme="minorHAnsi"/>
          <w:b w:val="0"/>
          <w:sz w:val="22"/>
          <w:lang w:val="es-MX"/>
        </w:rPr>
        <w:t xml:space="preserve">, con una tasa de descuento </w:t>
      </w:r>
      <w:r w:rsidR="00D3593C">
        <w:rPr>
          <w:rFonts w:asciiTheme="minorHAnsi" w:hAnsiTheme="minorHAnsi" w:cstheme="minorHAnsi"/>
          <w:b w:val="0"/>
          <w:sz w:val="22"/>
          <w:lang w:val="es-MX"/>
        </w:rPr>
        <w:t>social</w:t>
      </w:r>
      <w:r w:rsidR="00F57D71">
        <w:rPr>
          <w:rFonts w:asciiTheme="minorHAnsi" w:hAnsiTheme="minorHAnsi" w:cstheme="minorHAnsi"/>
          <w:b w:val="0"/>
          <w:sz w:val="22"/>
          <w:lang w:val="es-MX"/>
        </w:rPr>
        <w:t xml:space="preserve"> de 5,7%,</w:t>
      </w:r>
      <w:r w:rsidR="009B6BCD">
        <w:rPr>
          <w:rFonts w:asciiTheme="minorHAnsi" w:hAnsiTheme="minorHAnsi" w:cstheme="minorHAnsi"/>
          <w:b w:val="0"/>
          <w:sz w:val="22"/>
          <w:lang w:val="es-MX"/>
        </w:rPr>
        <w:t xml:space="preserve"> se estima</w:t>
      </w:r>
      <w:r w:rsidRPr="001259D1">
        <w:rPr>
          <w:rFonts w:asciiTheme="minorHAnsi" w:hAnsiTheme="minorHAnsi" w:cstheme="minorHAnsi"/>
          <w:b w:val="0"/>
          <w:sz w:val="22"/>
          <w:lang w:val="es-MX"/>
        </w:rPr>
        <w:t xml:space="preserve"> un Valor Actual Neto Social (VANS) </w:t>
      </w:r>
      <w:r w:rsidR="00F57D71" w:rsidRPr="00F57D71">
        <w:rPr>
          <w:rFonts w:asciiTheme="minorHAnsi" w:hAnsiTheme="minorHAnsi" w:cstheme="minorHAnsi"/>
          <w:b w:val="0"/>
          <w:sz w:val="22"/>
        </w:rPr>
        <w:t xml:space="preserve">de Bs. </w:t>
      </w:r>
      <w:r w:rsidR="00D5733B" w:rsidRPr="00D5733B">
        <w:rPr>
          <w:rFonts w:ascii="Calibri" w:hAnsi="Calibri"/>
          <w:b w:val="0"/>
          <w:color w:val="000000"/>
          <w:sz w:val="22"/>
        </w:rPr>
        <w:t>401.099.086</w:t>
      </w:r>
      <w:r w:rsidR="00F57D71" w:rsidRPr="00F57D71">
        <w:rPr>
          <w:rFonts w:asciiTheme="minorHAnsi" w:hAnsiTheme="minorHAnsi" w:cstheme="minorHAnsi"/>
          <w:b w:val="0"/>
          <w:sz w:val="22"/>
        </w:rPr>
        <w:t xml:space="preserve">. Si el proyecto se evalúa a una tasa de descuento social de 3%, el VANS es de Bs. </w:t>
      </w:r>
      <w:r w:rsidR="00D5733B" w:rsidRPr="00D5733B">
        <w:rPr>
          <w:rFonts w:ascii="Calibri" w:hAnsi="Calibri"/>
          <w:b w:val="0"/>
          <w:color w:val="000000"/>
          <w:sz w:val="22"/>
        </w:rPr>
        <w:t>636.993.514</w:t>
      </w:r>
      <w:r w:rsidR="00F57D71" w:rsidRPr="00F57D71">
        <w:rPr>
          <w:rFonts w:asciiTheme="minorHAnsi" w:hAnsiTheme="minorHAnsi" w:cstheme="minorHAnsi"/>
          <w:b w:val="0"/>
          <w:sz w:val="22"/>
        </w:rPr>
        <w:t xml:space="preserve">. </w:t>
      </w:r>
      <w:r w:rsidR="005130C6">
        <w:rPr>
          <w:rFonts w:asciiTheme="minorHAnsi" w:hAnsiTheme="minorHAnsi" w:cstheme="minorHAnsi"/>
          <w:b w:val="0"/>
          <w:sz w:val="22"/>
        </w:rPr>
        <w:t>S</w:t>
      </w:r>
      <w:r w:rsidR="00F57D71" w:rsidRPr="00F57D71">
        <w:rPr>
          <w:rFonts w:asciiTheme="minorHAnsi" w:hAnsiTheme="minorHAnsi" w:cstheme="minorHAnsi"/>
          <w:b w:val="0"/>
          <w:sz w:val="22"/>
        </w:rPr>
        <w:t>i el proyecto se evalúa</w:t>
      </w:r>
      <w:r w:rsidR="00F57D71" w:rsidRPr="00F57D71">
        <w:rPr>
          <w:rFonts w:asciiTheme="minorHAnsi" w:hAnsiTheme="minorHAnsi" w:cstheme="minorHAnsi"/>
          <w:b w:val="0"/>
          <w:sz w:val="22"/>
          <w:lang w:val="es-MX"/>
        </w:rPr>
        <w:t xml:space="preserve"> a una tasa de descuento</w:t>
      </w:r>
      <w:r w:rsidR="007A1EC9">
        <w:rPr>
          <w:rFonts w:asciiTheme="minorHAnsi" w:hAnsiTheme="minorHAnsi" w:cstheme="minorHAnsi"/>
          <w:b w:val="0"/>
          <w:sz w:val="22"/>
          <w:lang w:val="es-MX"/>
        </w:rPr>
        <w:t xml:space="preserve"> social</w:t>
      </w:r>
      <w:r w:rsidR="00F57D71" w:rsidRPr="00F57D71">
        <w:rPr>
          <w:rFonts w:asciiTheme="minorHAnsi" w:hAnsiTheme="minorHAnsi" w:cstheme="minorHAnsi"/>
          <w:b w:val="0"/>
          <w:sz w:val="22"/>
          <w:lang w:val="es-MX"/>
        </w:rPr>
        <w:t xml:space="preserve"> de 12,67%</w:t>
      </w:r>
      <w:r w:rsidR="007A1EC9">
        <w:rPr>
          <w:rStyle w:val="FootnoteReference"/>
          <w:rFonts w:asciiTheme="minorHAnsi" w:hAnsiTheme="minorHAnsi" w:cstheme="minorHAnsi"/>
          <w:b w:val="0"/>
          <w:sz w:val="22"/>
          <w:lang w:val="es-MX"/>
        </w:rPr>
        <w:footnoteReference w:id="1"/>
      </w:r>
      <w:r w:rsidR="00F57D71" w:rsidRPr="00F57D71">
        <w:rPr>
          <w:rFonts w:asciiTheme="minorHAnsi" w:hAnsiTheme="minorHAnsi" w:cstheme="minorHAnsi"/>
          <w:b w:val="0"/>
          <w:sz w:val="22"/>
          <w:lang w:val="es-MX"/>
        </w:rPr>
        <w:t xml:space="preserve">, el VANS alcanza un monto de Bs. </w:t>
      </w:r>
      <w:r w:rsidR="005130C6" w:rsidRPr="005130C6">
        <w:rPr>
          <w:rFonts w:ascii="Calibri" w:hAnsi="Calibri"/>
          <w:b w:val="0"/>
          <w:color w:val="000000"/>
          <w:sz w:val="22"/>
        </w:rPr>
        <w:t>121.983.794</w:t>
      </w:r>
      <w:r w:rsidR="005130C6">
        <w:rPr>
          <w:rFonts w:ascii="Calibri" w:hAnsi="Calibri"/>
          <w:b w:val="0"/>
          <w:color w:val="000000"/>
          <w:sz w:val="22"/>
        </w:rPr>
        <w:t xml:space="preserve">, y si la tasa de descuento social es de 12%, el VANS es de Bs. </w:t>
      </w:r>
      <w:r w:rsidR="005130C6" w:rsidRPr="005130C6">
        <w:rPr>
          <w:rFonts w:ascii="Calibri" w:hAnsi="Calibri"/>
          <w:b w:val="0"/>
          <w:color w:val="000000"/>
          <w:sz w:val="22"/>
        </w:rPr>
        <w:t>137.720.622</w:t>
      </w:r>
      <w:r w:rsidR="00F57D71" w:rsidRPr="00F57D71">
        <w:rPr>
          <w:rFonts w:asciiTheme="minorHAnsi" w:hAnsiTheme="minorHAnsi" w:cstheme="minorHAnsi"/>
          <w:b w:val="0"/>
          <w:sz w:val="22"/>
          <w:lang w:val="es-MX"/>
        </w:rPr>
        <w:t xml:space="preserve">. </w:t>
      </w:r>
      <w:r w:rsidR="00F57D71" w:rsidRPr="00F57D71">
        <w:rPr>
          <w:rFonts w:asciiTheme="minorHAnsi" w:hAnsiTheme="minorHAnsi" w:cstheme="minorHAnsi"/>
          <w:b w:val="0"/>
          <w:sz w:val="22"/>
        </w:rPr>
        <w:t>La tasa interna de retorno social es de 22</w:t>
      </w:r>
      <w:r w:rsidR="005130C6">
        <w:rPr>
          <w:rFonts w:asciiTheme="minorHAnsi" w:hAnsiTheme="minorHAnsi" w:cstheme="minorHAnsi"/>
          <w:b w:val="0"/>
          <w:sz w:val="22"/>
        </w:rPr>
        <w:t>,1</w:t>
      </w:r>
      <w:r w:rsidR="00F57D71" w:rsidRPr="00F57D71">
        <w:rPr>
          <w:rFonts w:asciiTheme="minorHAnsi" w:hAnsiTheme="minorHAnsi" w:cstheme="minorHAnsi"/>
          <w:b w:val="0"/>
          <w:sz w:val="22"/>
        </w:rPr>
        <w:t>%.</w:t>
      </w:r>
    </w:p>
    <w:p w:rsidR="009B6BCD" w:rsidRDefault="009B6BCD" w:rsidP="009B6BCD">
      <w:pPr>
        <w:pStyle w:val="Title"/>
        <w:spacing w:after="0"/>
        <w:jc w:val="both"/>
        <w:rPr>
          <w:rFonts w:asciiTheme="minorHAnsi" w:hAnsiTheme="minorHAnsi" w:cstheme="minorHAnsi"/>
          <w:b w:val="0"/>
          <w:sz w:val="22"/>
          <w:lang w:val="es-MX"/>
        </w:rPr>
      </w:pPr>
    </w:p>
    <w:p w:rsidR="00F57D71" w:rsidRDefault="005130C6" w:rsidP="00F57D71">
      <w:pPr>
        <w:jc w:val="both"/>
        <w:rPr>
          <w:rFonts w:asciiTheme="minorHAnsi" w:hAnsiTheme="minorHAnsi" w:cstheme="minorHAnsi"/>
          <w:sz w:val="22"/>
        </w:rPr>
      </w:pPr>
      <w:r>
        <w:rPr>
          <w:rFonts w:asciiTheme="minorHAnsi" w:hAnsiTheme="minorHAnsi" w:cstheme="minorHAnsi"/>
          <w:sz w:val="22"/>
        </w:rPr>
        <w:t xml:space="preserve">Al </w:t>
      </w:r>
      <w:r w:rsidR="00980AAA">
        <w:rPr>
          <w:rFonts w:asciiTheme="minorHAnsi" w:hAnsiTheme="minorHAnsi" w:cstheme="minorHAnsi"/>
          <w:sz w:val="22"/>
        </w:rPr>
        <w:t>sensibilizar</w:t>
      </w:r>
      <w:r>
        <w:rPr>
          <w:rFonts w:asciiTheme="minorHAnsi" w:hAnsiTheme="minorHAnsi" w:cstheme="minorHAnsi"/>
          <w:sz w:val="22"/>
        </w:rPr>
        <w:t xml:space="preserve"> los resultados mediante un aumento de 50% en precio de la construcción y una disminución de 10% en los precios sociales de las intervenciones sanitarias, los resultados muestran que l</w:t>
      </w:r>
      <w:r w:rsidR="00F57D71">
        <w:rPr>
          <w:rFonts w:asciiTheme="minorHAnsi" w:hAnsiTheme="minorHAnsi" w:cstheme="minorHAnsi"/>
          <w:sz w:val="22"/>
        </w:rPr>
        <w:t xml:space="preserve">a mayor disminución en el VANS alcanza un </w:t>
      </w:r>
      <w:r>
        <w:rPr>
          <w:rFonts w:asciiTheme="minorHAnsi" w:hAnsiTheme="minorHAnsi" w:cstheme="minorHAnsi"/>
          <w:sz w:val="22"/>
        </w:rPr>
        <w:t>23,</w:t>
      </w:r>
      <w:r w:rsidR="00F57D71">
        <w:rPr>
          <w:rFonts w:asciiTheme="minorHAnsi" w:hAnsiTheme="minorHAnsi" w:cstheme="minorHAnsi"/>
          <w:sz w:val="22"/>
        </w:rPr>
        <w:t xml:space="preserve">3% y se corresponde con una disminución de 10% en los precios de todas las prestaciones consideradas, lo que expresado en términos de elasticidad, nos indica que ante una disminución de 1% en los precios, el VANS disminuye </w:t>
      </w:r>
      <w:r>
        <w:rPr>
          <w:rFonts w:asciiTheme="minorHAnsi" w:hAnsiTheme="minorHAnsi" w:cstheme="minorHAnsi"/>
          <w:sz w:val="22"/>
        </w:rPr>
        <w:t>2,3</w:t>
      </w:r>
      <w:r w:rsidR="00F57D71">
        <w:rPr>
          <w:rFonts w:asciiTheme="minorHAnsi" w:hAnsiTheme="minorHAnsi" w:cstheme="minorHAnsi"/>
          <w:sz w:val="22"/>
        </w:rPr>
        <w:t>%. En el caso de un aumento de 50% en el precio del metro cuadrado de construcción, el VANS disminuye en 8,</w:t>
      </w:r>
      <w:r>
        <w:rPr>
          <w:rFonts w:asciiTheme="minorHAnsi" w:hAnsiTheme="minorHAnsi" w:cstheme="minorHAnsi"/>
          <w:sz w:val="22"/>
        </w:rPr>
        <w:t>25</w:t>
      </w:r>
      <w:r w:rsidR="00F57D71">
        <w:rPr>
          <w:rFonts w:asciiTheme="minorHAnsi" w:hAnsiTheme="minorHAnsi" w:cstheme="minorHAnsi"/>
          <w:sz w:val="22"/>
        </w:rPr>
        <w:t xml:space="preserve">%, lo que en términos de elasticidad nos dice que ante un aumento de un 1% en el precio del metro cuadrado de construcción, el VANS disminuirá en 0,17%.  </w:t>
      </w:r>
    </w:p>
    <w:p w:rsidR="00D53E10" w:rsidRDefault="00D53E10" w:rsidP="009B6BCD">
      <w:pPr>
        <w:pStyle w:val="Title"/>
        <w:spacing w:after="0"/>
        <w:jc w:val="both"/>
        <w:rPr>
          <w:rFonts w:asciiTheme="minorHAnsi" w:hAnsiTheme="minorHAnsi" w:cstheme="minorHAnsi"/>
          <w:sz w:val="22"/>
        </w:rPr>
      </w:pPr>
    </w:p>
    <w:p w:rsidR="009B6BCD" w:rsidRDefault="00D53E10" w:rsidP="009B6BCD">
      <w:pPr>
        <w:pStyle w:val="Title"/>
        <w:spacing w:after="0"/>
        <w:jc w:val="both"/>
        <w:rPr>
          <w:rFonts w:asciiTheme="minorHAnsi" w:hAnsiTheme="minorHAnsi" w:cstheme="minorHAnsi"/>
          <w:b w:val="0"/>
          <w:sz w:val="22"/>
          <w:lang w:val="es-MX"/>
        </w:rPr>
      </w:pPr>
      <w:r>
        <w:rPr>
          <w:rFonts w:asciiTheme="minorHAnsi" w:hAnsiTheme="minorHAnsi" w:cstheme="minorHAnsi"/>
          <w:b w:val="0"/>
          <w:sz w:val="22"/>
          <w:lang w:val="es-MX"/>
        </w:rPr>
        <w:t>E</w:t>
      </w:r>
      <w:r w:rsidR="0096165A">
        <w:rPr>
          <w:rFonts w:asciiTheme="minorHAnsi" w:hAnsiTheme="minorHAnsi" w:cstheme="minorHAnsi"/>
          <w:b w:val="0"/>
          <w:sz w:val="22"/>
          <w:lang w:val="es-MX"/>
        </w:rPr>
        <w:t>n consecuencia</w:t>
      </w:r>
      <w:r w:rsidR="00263536">
        <w:rPr>
          <w:rFonts w:asciiTheme="minorHAnsi" w:hAnsiTheme="minorHAnsi" w:cstheme="minorHAnsi"/>
          <w:b w:val="0"/>
          <w:sz w:val="22"/>
          <w:lang w:val="es-MX"/>
        </w:rPr>
        <w:t>,</w:t>
      </w:r>
      <w:r w:rsidR="0096165A">
        <w:rPr>
          <w:rFonts w:asciiTheme="minorHAnsi" w:hAnsiTheme="minorHAnsi" w:cstheme="minorHAnsi"/>
          <w:b w:val="0"/>
          <w:sz w:val="22"/>
          <w:lang w:val="es-MX"/>
        </w:rPr>
        <w:t xml:space="preserve"> las conclusiones del estudio dependen críticamente de dicho vector de precios. </w:t>
      </w:r>
      <w:r w:rsidR="009B6BCD">
        <w:rPr>
          <w:rFonts w:asciiTheme="minorHAnsi" w:hAnsiTheme="minorHAnsi" w:cstheme="minorHAnsi"/>
          <w:b w:val="0"/>
          <w:sz w:val="22"/>
          <w:lang w:val="es-MX"/>
        </w:rPr>
        <w:t>Una forma alternativa de interpretar estos resultados es plantear de que si el vector de precios se mantiene</w:t>
      </w:r>
      <w:r w:rsidR="007A1EC9">
        <w:rPr>
          <w:rFonts w:asciiTheme="minorHAnsi" w:hAnsiTheme="minorHAnsi" w:cstheme="minorHAnsi"/>
          <w:b w:val="0"/>
          <w:sz w:val="22"/>
          <w:lang w:val="es-MX"/>
        </w:rPr>
        <w:t xml:space="preserve"> constante</w:t>
      </w:r>
      <w:r w:rsidR="009B6BCD">
        <w:rPr>
          <w:rFonts w:asciiTheme="minorHAnsi" w:hAnsiTheme="minorHAnsi" w:cstheme="minorHAnsi"/>
          <w:b w:val="0"/>
          <w:sz w:val="22"/>
          <w:lang w:val="es-MX"/>
        </w:rPr>
        <w:t xml:space="preserve">, las conclusiones de la evaluación dependen </w:t>
      </w:r>
      <w:r w:rsidR="0096165A">
        <w:rPr>
          <w:rFonts w:asciiTheme="minorHAnsi" w:hAnsiTheme="minorHAnsi" w:cstheme="minorHAnsi"/>
          <w:b w:val="0"/>
          <w:sz w:val="22"/>
          <w:lang w:val="es-MX"/>
        </w:rPr>
        <w:t>críticamente</w:t>
      </w:r>
      <w:r w:rsidR="009B6BCD">
        <w:rPr>
          <w:rFonts w:asciiTheme="minorHAnsi" w:hAnsiTheme="minorHAnsi" w:cstheme="minorHAnsi"/>
          <w:b w:val="0"/>
          <w:sz w:val="22"/>
          <w:lang w:val="es-MX"/>
        </w:rPr>
        <w:t xml:space="preserve"> del vector de cantidades demandadas.</w:t>
      </w:r>
    </w:p>
    <w:p w:rsidR="009B6BCD" w:rsidRDefault="009B6BCD" w:rsidP="009B6BCD">
      <w:pPr>
        <w:pStyle w:val="Title"/>
        <w:spacing w:after="0"/>
        <w:jc w:val="both"/>
        <w:rPr>
          <w:rFonts w:asciiTheme="minorHAnsi" w:hAnsiTheme="minorHAnsi" w:cstheme="minorHAnsi"/>
          <w:b w:val="0"/>
          <w:sz w:val="22"/>
          <w:lang w:val="es-MX"/>
        </w:rPr>
      </w:pPr>
    </w:p>
    <w:p w:rsidR="000F285D" w:rsidRPr="005004E7" w:rsidRDefault="009B6BCD" w:rsidP="005004E7">
      <w:pPr>
        <w:pStyle w:val="Title"/>
        <w:spacing w:after="0"/>
        <w:jc w:val="both"/>
        <w:rPr>
          <w:rFonts w:asciiTheme="minorHAnsi" w:hAnsiTheme="minorHAnsi" w:cstheme="minorHAnsi"/>
          <w:b w:val="0"/>
          <w:sz w:val="22"/>
          <w:lang w:val="es-MX"/>
        </w:rPr>
      </w:pPr>
      <w:r>
        <w:rPr>
          <w:rFonts w:asciiTheme="minorHAnsi" w:hAnsiTheme="minorHAnsi" w:cstheme="minorHAnsi"/>
          <w:b w:val="0"/>
          <w:sz w:val="22"/>
          <w:lang w:val="es-MX"/>
        </w:rPr>
        <w:t>Este último punto es importante retenerlo, puesto que el supuesto fuerte que subyace a la modela</w:t>
      </w:r>
      <w:r w:rsidR="004C15FB">
        <w:rPr>
          <w:rFonts w:asciiTheme="minorHAnsi" w:hAnsiTheme="minorHAnsi" w:cstheme="minorHAnsi"/>
          <w:b w:val="0"/>
          <w:sz w:val="22"/>
          <w:lang w:val="es-MX"/>
        </w:rPr>
        <w:t>ción reali</w:t>
      </w:r>
      <w:r>
        <w:rPr>
          <w:rFonts w:asciiTheme="minorHAnsi" w:hAnsiTheme="minorHAnsi" w:cstheme="minorHAnsi"/>
          <w:b w:val="0"/>
          <w:sz w:val="22"/>
          <w:lang w:val="es-MX"/>
        </w:rPr>
        <w:t>zada</w:t>
      </w:r>
      <w:r w:rsidR="002A2E5E">
        <w:rPr>
          <w:rFonts w:asciiTheme="minorHAnsi" w:hAnsiTheme="minorHAnsi" w:cstheme="minorHAnsi"/>
          <w:b w:val="0"/>
          <w:sz w:val="22"/>
          <w:lang w:val="es-MX"/>
        </w:rPr>
        <w:t>,</w:t>
      </w:r>
      <w:r>
        <w:rPr>
          <w:rFonts w:asciiTheme="minorHAnsi" w:hAnsiTheme="minorHAnsi" w:cstheme="minorHAnsi"/>
          <w:b w:val="0"/>
          <w:sz w:val="22"/>
          <w:lang w:val="es-MX"/>
        </w:rPr>
        <w:t xml:space="preserve"> es precisamente el comportamiento de la demanda en el periodo de evaluación.</w:t>
      </w:r>
    </w:p>
    <w:p w:rsidR="00890525" w:rsidRDefault="00890525">
      <w:pPr>
        <w:rPr>
          <w:rFonts w:ascii="Arial" w:hAnsi="Arial" w:cs="Arial"/>
          <w:b/>
          <w:lang w:val="es-MX"/>
        </w:rPr>
      </w:pPr>
      <w:r>
        <w:rPr>
          <w:rFonts w:ascii="Arial" w:hAnsi="Arial" w:cs="Arial"/>
          <w:b/>
          <w:lang w:val="es-MX"/>
        </w:rPr>
        <w:br w:type="page"/>
      </w:r>
    </w:p>
    <w:p w:rsidR="000F285D" w:rsidRDefault="000F285D" w:rsidP="000F285D">
      <w:pPr>
        <w:jc w:val="center"/>
        <w:rPr>
          <w:rFonts w:ascii="Arial" w:hAnsi="Arial" w:cs="Arial"/>
          <w:b/>
          <w:lang w:val="es-MX"/>
        </w:rPr>
      </w:pPr>
      <w:r w:rsidRPr="004E4451">
        <w:rPr>
          <w:rFonts w:ascii="Arial" w:hAnsi="Arial" w:cs="Arial"/>
          <w:b/>
          <w:lang w:val="es-MX"/>
        </w:rPr>
        <w:lastRenderedPageBreak/>
        <w:t>INDICE</w:t>
      </w:r>
    </w:p>
    <w:p w:rsidR="00FB11A8" w:rsidRPr="004E4451" w:rsidRDefault="00FB11A8" w:rsidP="000F285D">
      <w:pPr>
        <w:jc w:val="center"/>
        <w:rPr>
          <w:rFonts w:ascii="Arial" w:hAnsi="Arial" w:cs="Arial"/>
          <w:b/>
          <w:lang w:val="es-MX"/>
        </w:rPr>
      </w:pPr>
    </w:p>
    <w:p w:rsidR="002B1532" w:rsidRDefault="000F285D">
      <w:pPr>
        <w:pStyle w:val="TOC1"/>
        <w:rPr>
          <w:rFonts w:eastAsiaTheme="minorEastAsia" w:cstheme="minorBidi"/>
          <w:b w:val="0"/>
          <w:bCs w:val="0"/>
          <w:i w:val="0"/>
          <w:iCs w:val="0"/>
          <w:noProof/>
          <w:sz w:val="22"/>
          <w:szCs w:val="22"/>
          <w:lang w:val="es-CL" w:eastAsia="es-CL"/>
        </w:rPr>
      </w:pPr>
      <w:r w:rsidRPr="002D0C52">
        <w:rPr>
          <w:rFonts w:cstheme="minorHAnsi"/>
          <w:i w:val="0"/>
          <w:sz w:val="22"/>
          <w:szCs w:val="22"/>
          <w:lang w:val="es-MX"/>
        </w:rPr>
        <w:fldChar w:fldCharType="begin"/>
      </w:r>
      <w:r w:rsidRPr="002D0C52">
        <w:rPr>
          <w:rFonts w:cstheme="minorHAnsi"/>
          <w:i w:val="0"/>
          <w:sz w:val="22"/>
          <w:szCs w:val="22"/>
          <w:lang w:val="es-MX"/>
        </w:rPr>
        <w:instrText xml:space="preserve"> TOC \o "1-3" \h \z \u </w:instrText>
      </w:r>
      <w:r w:rsidRPr="002D0C52">
        <w:rPr>
          <w:rFonts w:cstheme="minorHAnsi"/>
          <w:i w:val="0"/>
          <w:sz w:val="22"/>
          <w:szCs w:val="22"/>
          <w:lang w:val="es-MX"/>
        </w:rPr>
        <w:fldChar w:fldCharType="separate"/>
      </w:r>
      <w:hyperlink w:anchor="_Toc373093491" w:history="1">
        <w:r w:rsidR="002B1532" w:rsidRPr="00BC09BB">
          <w:rPr>
            <w:rStyle w:val="Hyperlink"/>
            <w:rFonts w:cstheme="minorHAnsi"/>
            <w:noProof/>
          </w:rPr>
          <w:t>1.</w:t>
        </w:r>
        <w:r w:rsidR="002B1532">
          <w:rPr>
            <w:rFonts w:eastAsiaTheme="minorEastAsia" w:cstheme="minorBidi"/>
            <w:b w:val="0"/>
            <w:bCs w:val="0"/>
            <w:i w:val="0"/>
            <w:iCs w:val="0"/>
            <w:noProof/>
            <w:sz w:val="22"/>
            <w:szCs w:val="22"/>
            <w:lang w:val="es-CL" w:eastAsia="es-CL"/>
          </w:rPr>
          <w:tab/>
        </w:r>
        <w:r w:rsidR="002B1532" w:rsidRPr="00BC09BB">
          <w:rPr>
            <w:rStyle w:val="Hyperlink"/>
            <w:rFonts w:cstheme="minorHAnsi"/>
            <w:noProof/>
          </w:rPr>
          <w:t>ORIGEN DEL PROYECTO Y OBJETIVO DEL ESTUDIO</w:t>
        </w:r>
        <w:r w:rsidR="002B1532">
          <w:rPr>
            <w:noProof/>
            <w:webHidden/>
          </w:rPr>
          <w:tab/>
        </w:r>
        <w:r w:rsidR="002B1532">
          <w:rPr>
            <w:noProof/>
            <w:webHidden/>
          </w:rPr>
          <w:fldChar w:fldCharType="begin"/>
        </w:r>
        <w:r w:rsidR="002B1532">
          <w:rPr>
            <w:noProof/>
            <w:webHidden/>
          </w:rPr>
          <w:instrText xml:space="preserve"> PAGEREF _Toc373093491 \h </w:instrText>
        </w:r>
        <w:r w:rsidR="002B1532">
          <w:rPr>
            <w:noProof/>
            <w:webHidden/>
          </w:rPr>
        </w:r>
        <w:r w:rsidR="002B1532">
          <w:rPr>
            <w:noProof/>
            <w:webHidden/>
          </w:rPr>
          <w:fldChar w:fldCharType="separate"/>
        </w:r>
        <w:r w:rsidR="002B1532">
          <w:rPr>
            <w:noProof/>
            <w:webHidden/>
          </w:rPr>
          <w:t>5</w:t>
        </w:r>
        <w:r w:rsidR="002B1532">
          <w:rPr>
            <w:noProof/>
            <w:webHidden/>
          </w:rPr>
          <w:fldChar w:fldCharType="end"/>
        </w:r>
      </w:hyperlink>
    </w:p>
    <w:p w:rsidR="002B1532" w:rsidRDefault="00E52595">
      <w:pPr>
        <w:pStyle w:val="TOC3"/>
        <w:tabs>
          <w:tab w:val="right" w:leader="underscore" w:pos="8828"/>
        </w:tabs>
        <w:rPr>
          <w:rFonts w:eastAsiaTheme="minorEastAsia" w:cstheme="minorBidi"/>
          <w:noProof/>
          <w:sz w:val="22"/>
          <w:szCs w:val="22"/>
          <w:lang w:val="es-CL" w:eastAsia="es-CL"/>
        </w:rPr>
      </w:pPr>
      <w:hyperlink w:anchor="_Toc373093492" w:history="1">
        <w:r w:rsidR="002B1532" w:rsidRPr="00BC09BB">
          <w:rPr>
            <w:rStyle w:val="Hyperlink"/>
            <w:rFonts w:cstheme="minorHAnsi"/>
            <w:b/>
            <w:noProof/>
          </w:rPr>
          <w:t>1.1 Origen del proyecto y situación problema</w:t>
        </w:r>
        <w:r w:rsidR="002B1532">
          <w:rPr>
            <w:noProof/>
            <w:webHidden/>
          </w:rPr>
          <w:tab/>
        </w:r>
        <w:r w:rsidR="002B1532">
          <w:rPr>
            <w:noProof/>
            <w:webHidden/>
          </w:rPr>
          <w:fldChar w:fldCharType="begin"/>
        </w:r>
        <w:r w:rsidR="002B1532">
          <w:rPr>
            <w:noProof/>
            <w:webHidden/>
          </w:rPr>
          <w:instrText xml:space="preserve"> PAGEREF _Toc373093492 \h </w:instrText>
        </w:r>
        <w:r w:rsidR="002B1532">
          <w:rPr>
            <w:noProof/>
            <w:webHidden/>
          </w:rPr>
        </w:r>
        <w:r w:rsidR="002B1532">
          <w:rPr>
            <w:noProof/>
            <w:webHidden/>
          </w:rPr>
          <w:fldChar w:fldCharType="separate"/>
        </w:r>
        <w:r w:rsidR="002B1532">
          <w:rPr>
            <w:noProof/>
            <w:webHidden/>
          </w:rPr>
          <w:t>5</w:t>
        </w:r>
        <w:r w:rsidR="002B1532">
          <w:rPr>
            <w:noProof/>
            <w:webHidden/>
          </w:rPr>
          <w:fldChar w:fldCharType="end"/>
        </w:r>
      </w:hyperlink>
    </w:p>
    <w:p w:rsidR="002B1532" w:rsidRDefault="00E52595">
      <w:pPr>
        <w:pStyle w:val="TOC3"/>
        <w:tabs>
          <w:tab w:val="right" w:leader="underscore" w:pos="8828"/>
        </w:tabs>
        <w:rPr>
          <w:rFonts w:eastAsiaTheme="minorEastAsia" w:cstheme="minorBidi"/>
          <w:noProof/>
          <w:sz w:val="22"/>
          <w:szCs w:val="22"/>
          <w:lang w:val="es-CL" w:eastAsia="es-CL"/>
        </w:rPr>
      </w:pPr>
      <w:hyperlink w:anchor="_Toc373093493" w:history="1">
        <w:r w:rsidR="002B1532" w:rsidRPr="00BC09BB">
          <w:rPr>
            <w:rStyle w:val="Hyperlink"/>
            <w:rFonts w:cstheme="minorHAnsi"/>
            <w:b/>
            <w:bCs/>
            <w:noProof/>
          </w:rPr>
          <w:t xml:space="preserve">1.2 </w:t>
        </w:r>
        <w:r w:rsidR="002B1532" w:rsidRPr="00BC09BB">
          <w:rPr>
            <w:rStyle w:val="Hyperlink"/>
            <w:rFonts w:cstheme="minorHAnsi"/>
            <w:b/>
            <w:noProof/>
          </w:rPr>
          <w:t>Objetivo del estudio</w:t>
        </w:r>
        <w:r w:rsidR="002B1532">
          <w:rPr>
            <w:noProof/>
            <w:webHidden/>
          </w:rPr>
          <w:tab/>
        </w:r>
        <w:r w:rsidR="002B1532">
          <w:rPr>
            <w:noProof/>
            <w:webHidden/>
          </w:rPr>
          <w:fldChar w:fldCharType="begin"/>
        </w:r>
        <w:r w:rsidR="002B1532">
          <w:rPr>
            <w:noProof/>
            <w:webHidden/>
          </w:rPr>
          <w:instrText xml:space="preserve"> PAGEREF _Toc373093493 \h </w:instrText>
        </w:r>
        <w:r w:rsidR="002B1532">
          <w:rPr>
            <w:noProof/>
            <w:webHidden/>
          </w:rPr>
        </w:r>
        <w:r w:rsidR="002B1532">
          <w:rPr>
            <w:noProof/>
            <w:webHidden/>
          </w:rPr>
          <w:fldChar w:fldCharType="separate"/>
        </w:r>
        <w:r w:rsidR="002B1532">
          <w:rPr>
            <w:noProof/>
            <w:webHidden/>
          </w:rPr>
          <w:t>5</w:t>
        </w:r>
        <w:r w:rsidR="002B1532">
          <w:rPr>
            <w:noProof/>
            <w:webHidden/>
          </w:rPr>
          <w:fldChar w:fldCharType="end"/>
        </w:r>
      </w:hyperlink>
    </w:p>
    <w:p w:rsidR="002B1532" w:rsidRDefault="00E52595">
      <w:pPr>
        <w:pStyle w:val="TOC1"/>
        <w:rPr>
          <w:rFonts w:eastAsiaTheme="minorEastAsia" w:cstheme="minorBidi"/>
          <w:b w:val="0"/>
          <w:bCs w:val="0"/>
          <w:i w:val="0"/>
          <w:iCs w:val="0"/>
          <w:noProof/>
          <w:sz w:val="22"/>
          <w:szCs w:val="22"/>
          <w:lang w:val="es-CL" w:eastAsia="es-CL"/>
        </w:rPr>
      </w:pPr>
      <w:hyperlink w:anchor="_Toc373093494" w:history="1">
        <w:r w:rsidR="002B1532" w:rsidRPr="00BC09BB">
          <w:rPr>
            <w:rStyle w:val="Hyperlink"/>
            <w:noProof/>
          </w:rPr>
          <w:t>2.</w:t>
        </w:r>
        <w:r w:rsidR="002B1532">
          <w:rPr>
            <w:rFonts w:eastAsiaTheme="minorEastAsia" w:cstheme="minorBidi"/>
            <w:b w:val="0"/>
            <w:bCs w:val="0"/>
            <w:i w:val="0"/>
            <w:iCs w:val="0"/>
            <w:noProof/>
            <w:sz w:val="22"/>
            <w:szCs w:val="22"/>
            <w:lang w:val="es-CL" w:eastAsia="es-CL"/>
          </w:rPr>
          <w:tab/>
        </w:r>
        <w:r w:rsidR="002B1532" w:rsidRPr="00BC09BB">
          <w:rPr>
            <w:rStyle w:val="Hyperlink"/>
            <w:noProof/>
          </w:rPr>
          <w:t>MODELO CONCEPTUAL PARA LA EVALUACIÓN SOCIOECONÓMICA DEL PROYECTO DE CONSTRUCCIÓN DEL HOSPITAL EL ALTO SUR (HEAS)</w:t>
        </w:r>
        <w:r w:rsidR="002B1532">
          <w:rPr>
            <w:noProof/>
            <w:webHidden/>
          </w:rPr>
          <w:tab/>
        </w:r>
        <w:r w:rsidR="002B1532">
          <w:rPr>
            <w:noProof/>
            <w:webHidden/>
          </w:rPr>
          <w:fldChar w:fldCharType="begin"/>
        </w:r>
        <w:r w:rsidR="002B1532">
          <w:rPr>
            <w:noProof/>
            <w:webHidden/>
          </w:rPr>
          <w:instrText xml:space="preserve"> PAGEREF _Toc373093494 \h </w:instrText>
        </w:r>
        <w:r w:rsidR="002B1532">
          <w:rPr>
            <w:noProof/>
            <w:webHidden/>
          </w:rPr>
        </w:r>
        <w:r w:rsidR="002B1532">
          <w:rPr>
            <w:noProof/>
            <w:webHidden/>
          </w:rPr>
          <w:fldChar w:fldCharType="separate"/>
        </w:r>
        <w:r w:rsidR="002B1532">
          <w:rPr>
            <w:noProof/>
            <w:webHidden/>
          </w:rPr>
          <w:t>6</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495" w:history="1">
        <w:r w:rsidR="002B1532" w:rsidRPr="00BC09BB">
          <w:rPr>
            <w:rStyle w:val="Hyperlink"/>
            <w:rFonts w:cstheme="minorHAnsi"/>
            <w:noProof/>
          </w:rPr>
          <w:t>2.1</w:t>
        </w:r>
        <w:r w:rsidR="002B1532">
          <w:rPr>
            <w:rFonts w:eastAsiaTheme="minorEastAsia" w:cstheme="minorBidi"/>
            <w:b w:val="0"/>
            <w:bCs w:val="0"/>
            <w:noProof/>
            <w:lang w:val="es-CL" w:eastAsia="es-CL"/>
          </w:rPr>
          <w:tab/>
        </w:r>
        <w:r w:rsidR="002B1532" w:rsidRPr="00BC09BB">
          <w:rPr>
            <w:rStyle w:val="Hyperlink"/>
            <w:rFonts w:cstheme="minorHAnsi"/>
            <w:noProof/>
          </w:rPr>
          <w:t>Acerca de la oferta potencial de prestaciones sanitarias</w:t>
        </w:r>
        <w:r w:rsidR="002B1532">
          <w:rPr>
            <w:noProof/>
            <w:webHidden/>
          </w:rPr>
          <w:tab/>
        </w:r>
        <w:r w:rsidR="002B1532">
          <w:rPr>
            <w:noProof/>
            <w:webHidden/>
          </w:rPr>
          <w:fldChar w:fldCharType="begin"/>
        </w:r>
        <w:r w:rsidR="002B1532">
          <w:rPr>
            <w:noProof/>
            <w:webHidden/>
          </w:rPr>
          <w:instrText xml:space="preserve"> PAGEREF _Toc373093495 \h </w:instrText>
        </w:r>
        <w:r w:rsidR="002B1532">
          <w:rPr>
            <w:noProof/>
            <w:webHidden/>
          </w:rPr>
        </w:r>
        <w:r w:rsidR="002B1532">
          <w:rPr>
            <w:noProof/>
            <w:webHidden/>
          </w:rPr>
          <w:fldChar w:fldCharType="separate"/>
        </w:r>
        <w:r w:rsidR="002B1532">
          <w:rPr>
            <w:noProof/>
            <w:webHidden/>
          </w:rPr>
          <w:t>9</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496" w:history="1">
        <w:r w:rsidR="002B1532" w:rsidRPr="00BC09BB">
          <w:rPr>
            <w:rStyle w:val="Hyperlink"/>
            <w:rFonts w:cstheme="minorHAnsi"/>
            <w:noProof/>
          </w:rPr>
          <w:t>2.2</w:t>
        </w:r>
        <w:r w:rsidR="002B1532">
          <w:rPr>
            <w:rFonts w:eastAsiaTheme="minorEastAsia" w:cstheme="minorBidi"/>
            <w:b w:val="0"/>
            <w:bCs w:val="0"/>
            <w:noProof/>
            <w:lang w:val="es-CL" w:eastAsia="es-CL"/>
          </w:rPr>
          <w:tab/>
        </w:r>
        <w:r w:rsidR="002B1532" w:rsidRPr="00BC09BB">
          <w:rPr>
            <w:rStyle w:val="Hyperlink"/>
            <w:rFonts w:cstheme="minorHAnsi"/>
            <w:noProof/>
          </w:rPr>
          <w:t>Acerca de la demanda de prestaciones sanitarias</w:t>
        </w:r>
        <w:r w:rsidR="002B1532">
          <w:rPr>
            <w:noProof/>
            <w:webHidden/>
          </w:rPr>
          <w:tab/>
        </w:r>
        <w:r w:rsidR="002B1532">
          <w:rPr>
            <w:noProof/>
            <w:webHidden/>
          </w:rPr>
          <w:fldChar w:fldCharType="begin"/>
        </w:r>
        <w:r w:rsidR="002B1532">
          <w:rPr>
            <w:noProof/>
            <w:webHidden/>
          </w:rPr>
          <w:instrText xml:space="preserve"> PAGEREF _Toc373093496 \h </w:instrText>
        </w:r>
        <w:r w:rsidR="002B1532">
          <w:rPr>
            <w:noProof/>
            <w:webHidden/>
          </w:rPr>
        </w:r>
        <w:r w:rsidR="002B1532">
          <w:rPr>
            <w:noProof/>
            <w:webHidden/>
          </w:rPr>
          <w:fldChar w:fldCharType="separate"/>
        </w:r>
        <w:r w:rsidR="002B1532">
          <w:rPr>
            <w:noProof/>
            <w:webHidden/>
          </w:rPr>
          <w:t>11</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497" w:history="1">
        <w:r w:rsidR="002B1532" w:rsidRPr="00BC09BB">
          <w:rPr>
            <w:rStyle w:val="Hyperlink"/>
            <w:rFonts w:cstheme="minorHAnsi"/>
            <w:noProof/>
          </w:rPr>
          <w:t>2.3</w:t>
        </w:r>
        <w:r w:rsidR="002B1532">
          <w:rPr>
            <w:rFonts w:eastAsiaTheme="minorEastAsia" w:cstheme="minorBidi"/>
            <w:b w:val="0"/>
            <w:bCs w:val="0"/>
            <w:noProof/>
            <w:lang w:val="es-CL" w:eastAsia="es-CL"/>
          </w:rPr>
          <w:tab/>
        </w:r>
        <w:r w:rsidR="002B1532" w:rsidRPr="00BC09BB">
          <w:rPr>
            <w:rStyle w:val="Hyperlink"/>
            <w:rFonts w:cstheme="minorHAnsi"/>
            <w:noProof/>
          </w:rPr>
          <w:t>Balance de oferta y demanda de prestaciones sanitarias</w:t>
        </w:r>
        <w:r w:rsidR="002B1532">
          <w:rPr>
            <w:noProof/>
            <w:webHidden/>
          </w:rPr>
          <w:tab/>
        </w:r>
        <w:r w:rsidR="002B1532">
          <w:rPr>
            <w:noProof/>
            <w:webHidden/>
          </w:rPr>
          <w:fldChar w:fldCharType="begin"/>
        </w:r>
        <w:r w:rsidR="002B1532">
          <w:rPr>
            <w:noProof/>
            <w:webHidden/>
          </w:rPr>
          <w:instrText xml:space="preserve"> PAGEREF _Toc373093497 \h </w:instrText>
        </w:r>
        <w:r w:rsidR="002B1532">
          <w:rPr>
            <w:noProof/>
            <w:webHidden/>
          </w:rPr>
        </w:r>
        <w:r w:rsidR="002B1532">
          <w:rPr>
            <w:noProof/>
            <w:webHidden/>
          </w:rPr>
          <w:fldChar w:fldCharType="separate"/>
        </w:r>
        <w:r w:rsidR="002B1532">
          <w:rPr>
            <w:noProof/>
            <w:webHidden/>
          </w:rPr>
          <w:t>13</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498" w:history="1">
        <w:r w:rsidR="002B1532" w:rsidRPr="00BC09BB">
          <w:rPr>
            <w:rStyle w:val="Hyperlink"/>
            <w:rFonts w:cstheme="minorHAnsi"/>
            <w:noProof/>
          </w:rPr>
          <w:t>2.4</w:t>
        </w:r>
        <w:r w:rsidR="002B1532">
          <w:rPr>
            <w:rFonts w:eastAsiaTheme="minorEastAsia" w:cstheme="minorBidi"/>
            <w:b w:val="0"/>
            <w:bCs w:val="0"/>
            <w:noProof/>
            <w:lang w:val="es-CL" w:eastAsia="es-CL"/>
          </w:rPr>
          <w:tab/>
        </w:r>
        <w:r w:rsidR="002B1532" w:rsidRPr="00BC09BB">
          <w:rPr>
            <w:rStyle w:val="Hyperlink"/>
            <w:rFonts w:cstheme="minorHAnsi"/>
            <w:noProof/>
          </w:rPr>
          <w:t>Valoración de costos y beneficios sociales</w:t>
        </w:r>
        <w:r w:rsidR="002B1532">
          <w:rPr>
            <w:noProof/>
            <w:webHidden/>
          </w:rPr>
          <w:tab/>
        </w:r>
        <w:r w:rsidR="002B1532">
          <w:rPr>
            <w:noProof/>
            <w:webHidden/>
          </w:rPr>
          <w:fldChar w:fldCharType="begin"/>
        </w:r>
        <w:r w:rsidR="002B1532">
          <w:rPr>
            <w:noProof/>
            <w:webHidden/>
          </w:rPr>
          <w:instrText xml:space="preserve"> PAGEREF _Toc373093498 \h </w:instrText>
        </w:r>
        <w:r w:rsidR="002B1532">
          <w:rPr>
            <w:noProof/>
            <w:webHidden/>
          </w:rPr>
        </w:r>
        <w:r w:rsidR="002B1532">
          <w:rPr>
            <w:noProof/>
            <w:webHidden/>
          </w:rPr>
          <w:fldChar w:fldCharType="separate"/>
        </w:r>
        <w:r w:rsidR="002B1532">
          <w:rPr>
            <w:noProof/>
            <w:webHidden/>
          </w:rPr>
          <w:t>15</w:t>
        </w:r>
        <w:r w:rsidR="002B1532">
          <w:rPr>
            <w:noProof/>
            <w:webHidden/>
          </w:rPr>
          <w:fldChar w:fldCharType="end"/>
        </w:r>
      </w:hyperlink>
    </w:p>
    <w:p w:rsidR="002B1532" w:rsidRDefault="00E52595">
      <w:pPr>
        <w:pStyle w:val="TOC3"/>
        <w:tabs>
          <w:tab w:val="right" w:leader="underscore" w:pos="8828"/>
        </w:tabs>
        <w:rPr>
          <w:rFonts w:eastAsiaTheme="minorEastAsia" w:cstheme="minorBidi"/>
          <w:noProof/>
          <w:sz w:val="22"/>
          <w:szCs w:val="22"/>
          <w:lang w:val="es-CL" w:eastAsia="es-CL"/>
        </w:rPr>
      </w:pPr>
      <w:hyperlink w:anchor="_Toc373093499" w:history="1">
        <w:r w:rsidR="002B1532" w:rsidRPr="00BC09BB">
          <w:rPr>
            <w:rStyle w:val="Hyperlink"/>
            <w:rFonts w:cstheme="minorHAnsi"/>
            <w:noProof/>
          </w:rPr>
          <w:t>2.4.1 Valoración de inversiones</w:t>
        </w:r>
        <w:r w:rsidR="002B1532">
          <w:rPr>
            <w:noProof/>
            <w:webHidden/>
          </w:rPr>
          <w:tab/>
        </w:r>
        <w:r w:rsidR="002B1532">
          <w:rPr>
            <w:noProof/>
            <w:webHidden/>
          </w:rPr>
          <w:fldChar w:fldCharType="begin"/>
        </w:r>
        <w:r w:rsidR="002B1532">
          <w:rPr>
            <w:noProof/>
            <w:webHidden/>
          </w:rPr>
          <w:instrText xml:space="preserve"> PAGEREF _Toc373093499 \h </w:instrText>
        </w:r>
        <w:r w:rsidR="002B1532">
          <w:rPr>
            <w:noProof/>
            <w:webHidden/>
          </w:rPr>
        </w:r>
        <w:r w:rsidR="002B1532">
          <w:rPr>
            <w:noProof/>
            <w:webHidden/>
          </w:rPr>
          <w:fldChar w:fldCharType="separate"/>
        </w:r>
        <w:r w:rsidR="002B1532">
          <w:rPr>
            <w:noProof/>
            <w:webHidden/>
          </w:rPr>
          <w:t>15</w:t>
        </w:r>
        <w:r w:rsidR="002B1532">
          <w:rPr>
            <w:noProof/>
            <w:webHidden/>
          </w:rPr>
          <w:fldChar w:fldCharType="end"/>
        </w:r>
      </w:hyperlink>
    </w:p>
    <w:p w:rsidR="002B1532" w:rsidRDefault="00E52595">
      <w:pPr>
        <w:pStyle w:val="TOC3"/>
        <w:tabs>
          <w:tab w:val="right" w:leader="underscore" w:pos="8828"/>
        </w:tabs>
        <w:rPr>
          <w:rFonts w:eastAsiaTheme="minorEastAsia" w:cstheme="minorBidi"/>
          <w:noProof/>
          <w:sz w:val="22"/>
          <w:szCs w:val="22"/>
          <w:lang w:val="es-CL" w:eastAsia="es-CL"/>
        </w:rPr>
      </w:pPr>
      <w:hyperlink w:anchor="_Toc373093500" w:history="1">
        <w:r w:rsidR="002B1532" w:rsidRPr="00BC09BB">
          <w:rPr>
            <w:rStyle w:val="Hyperlink"/>
            <w:rFonts w:cstheme="minorHAnsi"/>
            <w:noProof/>
          </w:rPr>
          <w:t>2.4.2 Valoración de costos de operación</w:t>
        </w:r>
        <w:r w:rsidR="002B1532">
          <w:rPr>
            <w:noProof/>
            <w:webHidden/>
          </w:rPr>
          <w:tab/>
        </w:r>
        <w:r w:rsidR="002B1532">
          <w:rPr>
            <w:noProof/>
            <w:webHidden/>
          </w:rPr>
          <w:fldChar w:fldCharType="begin"/>
        </w:r>
        <w:r w:rsidR="002B1532">
          <w:rPr>
            <w:noProof/>
            <w:webHidden/>
          </w:rPr>
          <w:instrText xml:space="preserve"> PAGEREF _Toc373093500 \h </w:instrText>
        </w:r>
        <w:r w:rsidR="002B1532">
          <w:rPr>
            <w:noProof/>
            <w:webHidden/>
          </w:rPr>
        </w:r>
        <w:r w:rsidR="002B1532">
          <w:rPr>
            <w:noProof/>
            <w:webHidden/>
          </w:rPr>
          <w:fldChar w:fldCharType="separate"/>
        </w:r>
        <w:r w:rsidR="002B1532">
          <w:rPr>
            <w:noProof/>
            <w:webHidden/>
          </w:rPr>
          <w:t>15</w:t>
        </w:r>
        <w:r w:rsidR="002B1532">
          <w:rPr>
            <w:noProof/>
            <w:webHidden/>
          </w:rPr>
          <w:fldChar w:fldCharType="end"/>
        </w:r>
      </w:hyperlink>
    </w:p>
    <w:p w:rsidR="002B1532" w:rsidRDefault="00E52595">
      <w:pPr>
        <w:pStyle w:val="TOC3"/>
        <w:tabs>
          <w:tab w:val="right" w:leader="underscore" w:pos="8828"/>
        </w:tabs>
        <w:rPr>
          <w:rFonts w:eastAsiaTheme="minorEastAsia" w:cstheme="minorBidi"/>
          <w:noProof/>
          <w:sz w:val="22"/>
          <w:szCs w:val="22"/>
          <w:lang w:val="es-CL" w:eastAsia="es-CL"/>
        </w:rPr>
      </w:pPr>
      <w:hyperlink w:anchor="_Toc373093501" w:history="1">
        <w:r w:rsidR="002B1532" w:rsidRPr="00BC09BB">
          <w:rPr>
            <w:rStyle w:val="Hyperlink"/>
            <w:rFonts w:cstheme="minorHAnsi"/>
            <w:noProof/>
          </w:rPr>
          <w:t>2.4.3 Valoración de beneficios</w:t>
        </w:r>
        <w:r w:rsidR="002B1532">
          <w:rPr>
            <w:noProof/>
            <w:webHidden/>
          </w:rPr>
          <w:tab/>
        </w:r>
        <w:r w:rsidR="002B1532">
          <w:rPr>
            <w:noProof/>
            <w:webHidden/>
          </w:rPr>
          <w:fldChar w:fldCharType="begin"/>
        </w:r>
        <w:r w:rsidR="002B1532">
          <w:rPr>
            <w:noProof/>
            <w:webHidden/>
          </w:rPr>
          <w:instrText xml:space="preserve"> PAGEREF _Toc373093501 \h </w:instrText>
        </w:r>
        <w:r w:rsidR="002B1532">
          <w:rPr>
            <w:noProof/>
            <w:webHidden/>
          </w:rPr>
        </w:r>
        <w:r w:rsidR="002B1532">
          <w:rPr>
            <w:noProof/>
            <w:webHidden/>
          </w:rPr>
          <w:fldChar w:fldCharType="separate"/>
        </w:r>
        <w:r w:rsidR="002B1532">
          <w:rPr>
            <w:noProof/>
            <w:webHidden/>
          </w:rPr>
          <w:t>16</w:t>
        </w:r>
        <w:r w:rsidR="002B1532">
          <w:rPr>
            <w:noProof/>
            <w:webHidden/>
          </w:rPr>
          <w:fldChar w:fldCharType="end"/>
        </w:r>
      </w:hyperlink>
    </w:p>
    <w:p w:rsidR="002B1532" w:rsidRDefault="00E52595">
      <w:pPr>
        <w:pStyle w:val="TOC1"/>
        <w:rPr>
          <w:rFonts w:eastAsiaTheme="minorEastAsia" w:cstheme="minorBidi"/>
          <w:b w:val="0"/>
          <w:bCs w:val="0"/>
          <w:i w:val="0"/>
          <w:iCs w:val="0"/>
          <w:noProof/>
          <w:sz w:val="22"/>
          <w:szCs w:val="22"/>
          <w:lang w:val="es-CL" w:eastAsia="es-CL"/>
        </w:rPr>
      </w:pPr>
      <w:hyperlink w:anchor="_Toc373093502" w:history="1">
        <w:r w:rsidR="002B1532" w:rsidRPr="00BC09BB">
          <w:rPr>
            <w:rStyle w:val="Hyperlink"/>
            <w:noProof/>
          </w:rPr>
          <w:t>3.</w:t>
        </w:r>
        <w:r w:rsidR="002B1532">
          <w:rPr>
            <w:rFonts w:eastAsiaTheme="minorEastAsia" w:cstheme="minorBidi"/>
            <w:b w:val="0"/>
            <w:bCs w:val="0"/>
            <w:i w:val="0"/>
            <w:iCs w:val="0"/>
            <w:noProof/>
            <w:sz w:val="22"/>
            <w:szCs w:val="22"/>
            <w:lang w:val="es-CL" w:eastAsia="es-CL"/>
          </w:rPr>
          <w:tab/>
        </w:r>
        <w:r w:rsidR="002B1532" w:rsidRPr="00BC09BB">
          <w:rPr>
            <w:rStyle w:val="Hyperlink"/>
            <w:noProof/>
          </w:rPr>
          <w:t>ESTIMACIÓN Y PROYECCIÓN DE DEMANDA DE SERVICIOS SANITARIOS DEL EL ALTO</w:t>
        </w:r>
        <w:r w:rsidR="002B1532">
          <w:rPr>
            <w:noProof/>
            <w:webHidden/>
          </w:rPr>
          <w:tab/>
        </w:r>
        <w:r w:rsidR="002B1532">
          <w:rPr>
            <w:noProof/>
            <w:webHidden/>
          </w:rPr>
          <w:fldChar w:fldCharType="begin"/>
        </w:r>
        <w:r w:rsidR="002B1532">
          <w:rPr>
            <w:noProof/>
            <w:webHidden/>
          </w:rPr>
          <w:instrText xml:space="preserve"> PAGEREF _Toc373093502 \h </w:instrText>
        </w:r>
        <w:r w:rsidR="002B1532">
          <w:rPr>
            <w:noProof/>
            <w:webHidden/>
          </w:rPr>
        </w:r>
        <w:r w:rsidR="002B1532">
          <w:rPr>
            <w:noProof/>
            <w:webHidden/>
          </w:rPr>
          <w:fldChar w:fldCharType="separate"/>
        </w:r>
        <w:r w:rsidR="002B1532">
          <w:rPr>
            <w:noProof/>
            <w:webHidden/>
          </w:rPr>
          <w:t>17</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03" w:history="1">
        <w:r w:rsidR="002B1532" w:rsidRPr="00BC09BB">
          <w:rPr>
            <w:rStyle w:val="Hyperlink"/>
            <w:rFonts w:cstheme="minorHAnsi"/>
            <w:noProof/>
          </w:rPr>
          <w:t>3.1</w:t>
        </w:r>
        <w:r w:rsidR="002B1532">
          <w:rPr>
            <w:rFonts w:eastAsiaTheme="minorEastAsia" w:cstheme="minorBidi"/>
            <w:b w:val="0"/>
            <w:bCs w:val="0"/>
            <w:noProof/>
            <w:lang w:val="es-CL" w:eastAsia="es-CL"/>
          </w:rPr>
          <w:tab/>
        </w:r>
        <w:r w:rsidR="002B1532" w:rsidRPr="00BC09BB">
          <w:rPr>
            <w:rStyle w:val="Hyperlink"/>
            <w:rFonts w:cstheme="minorHAnsi"/>
            <w:noProof/>
          </w:rPr>
          <w:t>Metodología general de estimación de demanda potencial de prestaciones sanitarias</w:t>
        </w:r>
        <w:r w:rsidR="002B1532">
          <w:rPr>
            <w:noProof/>
            <w:webHidden/>
          </w:rPr>
          <w:tab/>
        </w:r>
        <w:r w:rsidR="002B1532">
          <w:rPr>
            <w:noProof/>
            <w:webHidden/>
          </w:rPr>
          <w:fldChar w:fldCharType="begin"/>
        </w:r>
        <w:r w:rsidR="002B1532">
          <w:rPr>
            <w:noProof/>
            <w:webHidden/>
          </w:rPr>
          <w:instrText xml:space="preserve"> PAGEREF _Toc373093503 \h </w:instrText>
        </w:r>
        <w:r w:rsidR="002B1532">
          <w:rPr>
            <w:noProof/>
            <w:webHidden/>
          </w:rPr>
        </w:r>
        <w:r w:rsidR="002B1532">
          <w:rPr>
            <w:noProof/>
            <w:webHidden/>
          </w:rPr>
          <w:fldChar w:fldCharType="separate"/>
        </w:r>
        <w:r w:rsidR="002B1532">
          <w:rPr>
            <w:noProof/>
            <w:webHidden/>
          </w:rPr>
          <w:t>17</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04" w:history="1">
        <w:r w:rsidR="002B1532" w:rsidRPr="00BC09BB">
          <w:rPr>
            <w:rStyle w:val="Hyperlink"/>
            <w:rFonts w:cstheme="minorHAnsi"/>
            <w:noProof/>
          </w:rPr>
          <w:t>3.2</w:t>
        </w:r>
        <w:r w:rsidR="002B1532">
          <w:rPr>
            <w:rFonts w:eastAsiaTheme="minorEastAsia" w:cstheme="minorBidi"/>
            <w:b w:val="0"/>
            <w:bCs w:val="0"/>
            <w:noProof/>
            <w:lang w:val="es-CL" w:eastAsia="es-CL"/>
          </w:rPr>
          <w:tab/>
        </w:r>
        <w:r w:rsidR="002B1532" w:rsidRPr="00BC09BB">
          <w:rPr>
            <w:rStyle w:val="Hyperlink"/>
            <w:rFonts w:cstheme="minorHAnsi"/>
            <w:noProof/>
          </w:rPr>
          <w:t>Estimación de población de referencia</w:t>
        </w:r>
        <w:r w:rsidR="002B1532">
          <w:rPr>
            <w:noProof/>
            <w:webHidden/>
          </w:rPr>
          <w:tab/>
        </w:r>
        <w:r w:rsidR="002B1532">
          <w:rPr>
            <w:noProof/>
            <w:webHidden/>
          </w:rPr>
          <w:fldChar w:fldCharType="begin"/>
        </w:r>
        <w:r w:rsidR="002B1532">
          <w:rPr>
            <w:noProof/>
            <w:webHidden/>
          </w:rPr>
          <w:instrText xml:space="preserve"> PAGEREF _Toc373093504 \h </w:instrText>
        </w:r>
        <w:r w:rsidR="002B1532">
          <w:rPr>
            <w:noProof/>
            <w:webHidden/>
          </w:rPr>
        </w:r>
        <w:r w:rsidR="002B1532">
          <w:rPr>
            <w:noProof/>
            <w:webHidden/>
          </w:rPr>
          <w:fldChar w:fldCharType="separate"/>
        </w:r>
        <w:r w:rsidR="002B1532">
          <w:rPr>
            <w:noProof/>
            <w:webHidden/>
          </w:rPr>
          <w:t>18</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05" w:history="1">
        <w:r w:rsidR="002B1532" w:rsidRPr="00BC09BB">
          <w:rPr>
            <w:rStyle w:val="Hyperlink"/>
            <w:rFonts w:cstheme="minorHAnsi"/>
            <w:noProof/>
            <w:lang w:val="es-ES_tradnl"/>
          </w:rPr>
          <w:t>3.3</w:t>
        </w:r>
        <w:r w:rsidR="002B1532">
          <w:rPr>
            <w:rFonts w:eastAsiaTheme="minorEastAsia" w:cstheme="minorBidi"/>
            <w:b w:val="0"/>
            <w:bCs w:val="0"/>
            <w:noProof/>
            <w:lang w:val="es-CL" w:eastAsia="es-CL"/>
          </w:rPr>
          <w:tab/>
        </w:r>
        <w:r w:rsidR="002B1532" w:rsidRPr="00BC09BB">
          <w:rPr>
            <w:rStyle w:val="Hyperlink"/>
            <w:rFonts w:cstheme="minorHAnsi"/>
            <w:noProof/>
            <w:lang w:val="es-ES_tradnl"/>
          </w:rPr>
          <w:t>Consultas de especialidad</w:t>
        </w:r>
        <w:r w:rsidR="002B1532">
          <w:rPr>
            <w:noProof/>
            <w:webHidden/>
          </w:rPr>
          <w:tab/>
        </w:r>
        <w:r w:rsidR="002B1532">
          <w:rPr>
            <w:noProof/>
            <w:webHidden/>
          </w:rPr>
          <w:fldChar w:fldCharType="begin"/>
        </w:r>
        <w:r w:rsidR="002B1532">
          <w:rPr>
            <w:noProof/>
            <w:webHidden/>
          </w:rPr>
          <w:instrText xml:space="preserve"> PAGEREF _Toc373093505 \h </w:instrText>
        </w:r>
        <w:r w:rsidR="002B1532">
          <w:rPr>
            <w:noProof/>
            <w:webHidden/>
          </w:rPr>
        </w:r>
        <w:r w:rsidR="002B1532">
          <w:rPr>
            <w:noProof/>
            <w:webHidden/>
          </w:rPr>
          <w:fldChar w:fldCharType="separate"/>
        </w:r>
        <w:r w:rsidR="002B1532">
          <w:rPr>
            <w:noProof/>
            <w:webHidden/>
          </w:rPr>
          <w:t>19</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06" w:history="1">
        <w:r w:rsidR="002B1532" w:rsidRPr="00BC09BB">
          <w:rPr>
            <w:rStyle w:val="Hyperlink"/>
            <w:rFonts w:cstheme="minorHAnsi"/>
            <w:noProof/>
            <w:lang w:val="es-ES_tradnl"/>
          </w:rPr>
          <w:t>3.4</w:t>
        </w:r>
        <w:r w:rsidR="002B1532">
          <w:rPr>
            <w:rFonts w:eastAsiaTheme="minorEastAsia" w:cstheme="minorBidi"/>
            <w:b w:val="0"/>
            <w:bCs w:val="0"/>
            <w:noProof/>
            <w:lang w:val="es-CL" w:eastAsia="es-CL"/>
          </w:rPr>
          <w:tab/>
        </w:r>
        <w:r w:rsidR="002B1532" w:rsidRPr="00BC09BB">
          <w:rPr>
            <w:rStyle w:val="Hyperlink"/>
            <w:rFonts w:cstheme="minorHAnsi"/>
            <w:noProof/>
            <w:lang w:val="es-ES_tradnl"/>
          </w:rPr>
          <w:t>Consultas de urgencia</w:t>
        </w:r>
        <w:r w:rsidR="002B1532">
          <w:rPr>
            <w:noProof/>
            <w:webHidden/>
          </w:rPr>
          <w:tab/>
        </w:r>
        <w:r w:rsidR="002B1532">
          <w:rPr>
            <w:noProof/>
            <w:webHidden/>
          </w:rPr>
          <w:fldChar w:fldCharType="begin"/>
        </w:r>
        <w:r w:rsidR="002B1532">
          <w:rPr>
            <w:noProof/>
            <w:webHidden/>
          </w:rPr>
          <w:instrText xml:space="preserve"> PAGEREF _Toc373093506 \h </w:instrText>
        </w:r>
        <w:r w:rsidR="002B1532">
          <w:rPr>
            <w:noProof/>
            <w:webHidden/>
          </w:rPr>
        </w:r>
        <w:r w:rsidR="002B1532">
          <w:rPr>
            <w:noProof/>
            <w:webHidden/>
          </w:rPr>
          <w:fldChar w:fldCharType="separate"/>
        </w:r>
        <w:r w:rsidR="002B1532">
          <w:rPr>
            <w:noProof/>
            <w:webHidden/>
          </w:rPr>
          <w:t>20</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07" w:history="1">
        <w:r w:rsidR="002B1532" w:rsidRPr="00BC09BB">
          <w:rPr>
            <w:rStyle w:val="Hyperlink"/>
            <w:rFonts w:cstheme="minorHAnsi"/>
            <w:noProof/>
            <w:lang w:val="es-ES_tradnl"/>
          </w:rPr>
          <w:t>3.5</w:t>
        </w:r>
        <w:r w:rsidR="002B1532">
          <w:rPr>
            <w:rFonts w:eastAsiaTheme="minorEastAsia" w:cstheme="minorBidi"/>
            <w:b w:val="0"/>
            <w:bCs w:val="0"/>
            <w:noProof/>
            <w:lang w:val="es-CL" w:eastAsia="es-CL"/>
          </w:rPr>
          <w:tab/>
        </w:r>
        <w:r w:rsidR="002B1532" w:rsidRPr="00BC09BB">
          <w:rPr>
            <w:rStyle w:val="Hyperlink"/>
            <w:rFonts w:cstheme="minorHAnsi"/>
            <w:noProof/>
            <w:lang w:val="es-ES_tradnl"/>
          </w:rPr>
          <w:t>Días cama de hospitalización</w:t>
        </w:r>
        <w:r w:rsidR="002B1532">
          <w:rPr>
            <w:noProof/>
            <w:webHidden/>
          </w:rPr>
          <w:tab/>
        </w:r>
        <w:r w:rsidR="002B1532">
          <w:rPr>
            <w:noProof/>
            <w:webHidden/>
          </w:rPr>
          <w:fldChar w:fldCharType="begin"/>
        </w:r>
        <w:r w:rsidR="002B1532">
          <w:rPr>
            <w:noProof/>
            <w:webHidden/>
          </w:rPr>
          <w:instrText xml:space="preserve"> PAGEREF _Toc373093507 \h </w:instrText>
        </w:r>
        <w:r w:rsidR="002B1532">
          <w:rPr>
            <w:noProof/>
            <w:webHidden/>
          </w:rPr>
        </w:r>
        <w:r w:rsidR="002B1532">
          <w:rPr>
            <w:noProof/>
            <w:webHidden/>
          </w:rPr>
          <w:fldChar w:fldCharType="separate"/>
        </w:r>
        <w:r w:rsidR="002B1532">
          <w:rPr>
            <w:noProof/>
            <w:webHidden/>
          </w:rPr>
          <w:t>20</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08" w:history="1">
        <w:r w:rsidR="002B1532" w:rsidRPr="00BC09BB">
          <w:rPr>
            <w:rStyle w:val="Hyperlink"/>
            <w:rFonts w:cstheme="minorHAnsi"/>
            <w:noProof/>
            <w:lang w:val="es-ES_tradnl"/>
          </w:rPr>
          <w:t>3.6</w:t>
        </w:r>
        <w:r w:rsidR="002B1532">
          <w:rPr>
            <w:rFonts w:eastAsiaTheme="minorEastAsia" w:cstheme="minorBidi"/>
            <w:b w:val="0"/>
            <w:bCs w:val="0"/>
            <w:noProof/>
            <w:lang w:val="es-CL" w:eastAsia="es-CL"/>
          </w:rPr>
          <w:tab/>
        </w:r>
        <w:r w:rsidR="002B1532" w:rsidRPr="00BC09BB">
          <w:rPr>
            <w:rStyle w:val="Hyperlink"/>
            <w:rFonts w:cstheme="minorHAnsi"/>
            <w:noProof/>
            <w:lang w:val="es-ES_tradnl"/>
          </w:rPr>
          <w:t>Días cama de hospitalización destinadas a parto</w:t>
        </w:r>
        <w:r w:rsidR="002B1532">
          <w:rPr>
            <w:noProof/>
            <w:webHidden/>
          </w:rPr>
          <w:tab/>
        </w:r>
        <w:r w:rsidR="002B1532">
          <w:rPr>
            <w:noProof/>
            <w:webHidden/>
          </w:rPr>
          <w:fldChar w:fldCharType="begin"/>
        </w:r>
        <w:r w:rsidR="002B1532">
          <w:rPr>
            <w:noProof/>
            <w:webHidden/>
          </w:rPr>
          <w:instrText xml:space="preserve"> PAGEREF _Toc373093508 \h </w:instrText>
        </w:r>
        <w:r w:rsidR="002B1532">
          <w:rPr>
            <w:noProof/>
            <w:webHidden/>
          </w:rPr>
        </w:r>
        <w:r w:rsidR="002B1532">
          <w:rPr>
            <w:noProof/>
            <w:webHidden/>
          </w:rPr>
          <w:fldChar w:fldCharType="separate"/>
        </w:r>
        <w:r w:rsidR="002B1532">
          <w:rPr>
            <w:noProof/>
            <w:webHidden/>
          </w:rPr>
          <w:t>21</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09" w:history="1">
        <w:r w:rsidR="002B1532" w:rsidRPr="00BC09BB">
          <w:rPr>
            <w:rStyle w:val="Hyperlink"/>
            <w:rFonts w:cstheme="minorHAnsi"/>
            <w:noProof/>
          </w:rPr>
          <w:t>3.7</w:t>
        </w:r>
        <w:r w:rsidR="002B1532">
          <w:rPr>
            <w:rFonts w:eastAsiaTheme="minorEastAsia" w:cstheme="minorBidi"/>
            <w:b w:val="0"/>
            <w:bCs w:val="0"/>
            <w:noProof/>
            <w:lang w:val="es-CL" w:eastAsia="es-CL"/>
          </w:rPr>
          <w:tab/>
        </w:r>
        <w:r w:rsidR="002B1532" w:rsidRPr="00BC09BB">
          <w:rPr>
            <w:rStyle w:val="Hyperlink"/>
            <w:rFonts w:cstheme="minorHAnsi"/>
            <w:noProof/>
          </w:rPr>
          <w:t>Cirugías</w:t>
        </w:r>
        <w:r w:rsidR="002B1532">
          <w:rPr>
            <w:noProof/>
            <w:webHidden/>
          </w:rPr>
          <w:tab/>
        </w:r>
        <w:r w:rsidR="002B1532">
          <w:rPr>
            <w:noProof/>
            <w:webHidden/>
          </w:rPr>
          <w:fldChar w:fldCharType="begin"/>
        </w:r>
        <w:r w:rsidR="002B1532">
          <w:rPr>
            <w:noProof/>
            <w:webHidden/>
          </w:rPr>
          <w:instrText xml:space="preserve"> PAGEREF _Toc373093509 \h </w:instrText>
        </w:r>
        <w:r w:rsidR="002B1532">
          <w:rPr>
            <w:noProof/>
            <w:webHidden/>
          </w:rPr>
        </w:r>
        <w:r w:rsidR="002B1532">
          <w:rPr>
            <w:noProof/>
            <w:webHidden/>
          </w:rPr>
          <w:fldChar w:fldCharType="separate"/>
        </w:r>
        <w:r w:rsidR="002B1532">
          <w:rPr>
            <w:noProof/>
            <w:webHidden/>
          </w:rPr>
          <w:t>21</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10" w:history="1">
        <w:r w:rsidR="002B1532" w:rsidRPr="00BC09BB">
          <w:rPr>
            <w:rStyle w:val="Hyperlink"/>
            <w:rFonts w:cstheme="minorHAnsi"/>
            <w:noProof/>
          </w:rPr>
          <w:t>3.8</w:t>
        </w:r>
        <w:r w:rsidR="002B1532">
          <w:rPr>
            <w:rFonts w:eastAsiaTheme="minorEastAsia" w:cstheme="minorBidi"/>
            <w:b w:val="0"/>
            <w:bCs w:val="0"/>
            <w:noProof/>
            <w:lang w:val="es-CL" w:eastAsia="es-CL"/>
          </w:rPr>
          <w:tab/>
        </w:r>
        <w:r w:rsidR="002B1532" w:rsidRPr="00BC09BB">
          <w:rPr>
            <w:rStyle w:val="Hyperlink"/>
            <w:rFonts w:cstheme="minorHAnsi"/>
            <w:noProof/>
            <w:lang w:val="es-ES_tradnl"/>
          </w:rPr>
          <w:t>Diálisis</w:t>
        </w:r>
        <w:r w:rsidR="002B1532">
          <w:rPr>
            <w:noProof/>
            <w:webHidden/>
          </w:rPr>
          <w:tab/>
        </w:r>
        <w:r w:rsidR="002B1532">
          <w:rPr>
            <w:noProof/>
            <w:webHidden/>
          </w:rPr>
          <w:fldChar w:fldCharType="begin"/>
        </w:r>
        <w:r w:rsidR="002B1532">
          <w:rPr>
            <w:noProof/>
            <w:webHidden/>
          </w:rPr>
          <w:instrText xml:space="preserve"> PAGEREF _Toc373093510 \h </w:instrText>
        </w:r>
        <w:r w:rsidR="002B1532">
          <w:rPr>
            <w:noProof/>
            <w:webHidden/>
          </w:rPr>
        </w:r>
        <w:r w:rsidR="002B1532">
          <w:rPr>
            <w:noProof/>
            <w:webHidden/>
          </w:rPr>
          <w:fldChar w:fldCharType="separate"/>
        </w:r>
        <w:r w:rsidR="002B1532">
          <w:rPr>
            <w:noProof/>
            <w:webHidden/>
          </w:rPr>
          <w:t>23</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11" w:history="1">
        <w:r w:rsidR="002B1532" w:rsidRPr="00BC09BB">
          <w:rPr>
            <w:rStyle w:val="Hyperlink"/>
            <w:rFonts w:cstheme="minorHAnsi"/>
            <w:noProof/>
          </w:rPr>
          <w:t>3.9</w:t>
        </w:r>
        <w:r w:rsidR="002B1532">
          <w:rPr>
            <w:rFonts w:eastAsiaTheme="minorEastAsia" w:cstheme="minorBidi"/>
            <w:b w:val="0"/>
            <w:bCs w:val="0"/>
            <w:noProof/>
            <w:lang w:val="es-CL" w:eastAsia="es-CL"/>
          </w:rPr>
          <w:tab/>
        </w:r>
        <w:r w:rsidR="002B1532" w:rsidRPr="00BC09BB">
          <w:rPr>
            <w:rStyle w:val="Hyperlink"/>
            <w:rFonts w:cstheme="minorHAnsi"/>
            <w:noProof/>
            <w:lang w:val="es-ES_tradnl"/>
          </w:rPr>
          <w:t>Rayos X</w:t>
        </w:r>
        <w:r w:rsidR="002B1532">
          <w:rPr>
            <w:noProof/>
            <w:webHidden/>
          </w:rPr>
          <w:tab/>
        </w:r>
        <w:r w:rsidR="002B1532">
          <w:rPr>
            <w:noProof/>
            <w:webHidden/>
          </w:rPr>
          <w:fldChar w:fldCharType="begin"/>
        </w:r>
        <w:r w:rsidR="002B1532">
          <w:rPr>
            <w:noProof/>
            <w:webHidden/>
          </w:rPr>
          <w:instrText xml:space="preserve"> PAGEREF _Toc373093511 \h </w:instrText>
        </w:r>
        <w:r w:rsidR="002B1532">
          <w:rPr>
            <w:noProof/>
            <w:webHidden/>
          </w:rPr>
        </w:r>
        <w:r w:rsidR="002B1532">
          <w:rPr>
            <w:noProof/>
            <w:webHidden/>
          </w:rPr>
          <w:fldChar w:fldCharType="separate"/>
        </w:r>
        <w:r w:rsidR="002B1532">
          <w:rPr>
            <w:noProof/>
            <w:webHidden/>
          </w:rPr>
          <w:t>23</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12" w:history="1">
        <w:r w:rsidR="002B1532" w:rsidRPr="00BC09BB">
          <w:rPr>
            <w:rStyle w:val="Hyperlink"/>
            <w:rFonts w:cstheme="minorHAnsi"/>
            <w:noProof/>
          </w:rPr>
          <w:t>3.10</w:t>
        </w:r>
        <w:r w:rsidR="002B1532">
          <w:rPr>
            <w:rFonts w:eastAsiaTheme="minorEastAsia" w:cstheme="minorBidi"/>
            <w:b w:val="0"/>
            <w:bCs w:val="0"/>
            <w:noProof/>
            <w:lang w:val="es-CL" w:eastAsia="es-CL"/>
          </w:rPr>
          <w:tab/>
        </w:r>
        <w:r w:rsidR="002B1532" w:rsidRPr="00BC09BB">
          <w:rPr>
            <w:rStyle w:val="Hyperlink"/>
            <w:rFonts w:cstheme="minorHAnsi"/>
            <w:noProof/>
            <w:lang w:val="es-ES_tradnl"/>
          </w:rPr>
          <w:t>Endoscopía</w:t>
        </w:r>
        <w:r w:rsidR="002B1532">
          <w:rPr>
            <w:noProof/>
            <w:webHidden/>
          </w:rPr>
          <w:tab/>
        </w:r>
        <w:r w:rsidR="002B1532">
          <w:rPr>
            <w:noProof/>
            <w:webHidden/>
          </w:rPr>
          <w:fldChar w:fldCharType="begin"/>
        </w:r>
        <w:r w:rsidR="002B1532">
          <w:rPr>
            <w:noProof/>
            <w:webHidden/>
          </w:rPr>
          <w:instrText xml:space="preserve"> PAGEREF _Toc373093512 \h </w:instrText>
        </w:r>
        <w:r w:rsidR="002B1532">
          <w:rPr>
            <w:noProof/>
            <w:webHidden/>
          </w:rPr>
        </w:r>
        <w:r w:rsidR="002B1532">
          <w:rPr>
            <w:noProof/>
            <w:webHidden/>
          </w:rPr>
          <w:fldChar w:fldCharType="separate"/>
        </w:r>
        <w:r w:rsidR="002B1532">
          <w:rPr>
            <w:noProof/>
            <w:webHidden/>
          </w:rPr>
          <w:t>23</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13" w:history="1">
        <w:r w:rsidR="002B1532" w:rsidRPr="00BC09BB">
          <w:rPr>
            <w:rStyle w:val="Hyperlink"/>
            <w:rFonts w:cstheme="minorHAnsi"/>
            <w:noProof/>
          </w:rPr>
          <w:t>3.11</w:t>
        </w:r>
        <w:r w:rsidR="002B1532">
          <w:rPr>
            <w:rFonts w:eastAsiaTheme="minorEastAsia" w:cstheme="minorBidi"/>
            <w:b w:val="0"/>
            <w:bCs w:val="0"/>
            <w:noProof/>
            <w:lang w:val="es-CL" w:eastAsia="es-CL"/>
          </w:rPr>
          <w:tab/>
        </w:r>
        <w:r w:rsidR="002B1532" w:rsidRPr="00BC09BB">
          <w:rPr>
            <w:rStyle w:val="Hyperlink"/>
            <w:rFonts w:cstheme="minorHAnsi"/>
            <w:noProof/>
            <w:lang w:val="es-ES_tradnl"/>
          </w:rPr>
          <w:t>Mamografía</w:t>
        </w:r>
        <w:r w:rsidR="002B1532">
          <w:rPr>
            <w:noProof/>
            <w:webHidden/>
          </w:rPr>
          <w:tab/>
        </w:r>
        <w:r w:rsidR="002B1532">
          <w:rPr>
            <w:noProof/>
            <w:webHidden/>
          </w:rPr>
          <w:fldChar w:fldCharType="begin"/>
        </w:r>
        <w:r w:rsidR="002B1532">
          <w:rPr>
            <w:noProof/>
            <w:webHidden/>
          </w:rPr>
          <w:instrText xml:space="preserve"> PAGEREF _Toc373093513 \h </w:instrText>
        </w:r>
        <w:r w:rsidR="002B1532">
          <w:rPr>
            <w:noProof/>
            <w:webHidden/>
          </w:rPr>
        </w:r>
        <w:r w:rsidR="002B1532">
          <w:rPr>
            <w:noProof/>
            <w:webHidden/>
          </w:rPr>
          <w:fldChar w:fldCharType="separate"/>
        </w:r>
        <w:r w:rsidR="002B1532">
          <w:rPr>
            <w:noProof/>
            <w:webHidden/>
          </w:rPr>
          <w:t>24</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14" w:history="1">
        <w:r w:rsidR="002B1532" w:rsidRPr="00BC09BB">
          <w:rPr>
            <w:rStyle w:val="Hyperlink"/>
            <w:rFonts w:cstheme="minorHAnsi"/>
            <w:noProof/>
          </w:rPr>
          <w:t>3.12</w:t>
        </w:r>
        <w:r w:rsidR="002B1532">
          <w:rPr>
            <w:rFonts w:eastAsiaTheme="minorEastAsia" w:cstheme="minorBidi"/>
            <w:b w:val="0"/>
            <w:bCs w:val="0"/>
            <w:noProof/>
            <w:lang w:val="es-CL" w:eastAsia="es-CL"/>
          </w:rPr>
          <w:tab/>
        </w:r>
        <w:r w:rsidR="002B1532" w:rsidRPr="00BC09BB">
          <w:rPr>
            <w:rStyle w:val="Hyperlink"/>
            <w:rFonts w:cstheme="minorHAnsi"/>
            <w:noProof/>
            <w:lang w:val="es-ES_tradnl"/>
          </w:rPr>
          <w:t>Ecografías</w:t>
        </w:r>
        <w:r w:rsidR="002B1532">
          <w:rPr>
            <w:noProof/>
            <w:webHidden/>
          </w:rPr>
          <w:tab/>
        </w:r>
        <w:r w:rsidR="002B1532">
          <w:rPr>
            <w:noProof/>
            <w:webHidden/>
          </w:rPr>
          <w:fldChar w:fldCharType="begin"/>
        </w:r>
        <w:r w:rsidR="002B1532">
          <w:rPr>
            <w:noProof/>
            <w:webHidden/>
          </w:rPr>
          <w:instrText xml:space="preserve"> PAGEREF _Toc373093514 \h </w:instrText>
        </w:r>
        <w:r w:rsidR="002B1532">
          <w:rPr>
            <w:noProof/>
            <w:webHidden/>
          </w:rPr>
        </w:r>
        <w:r w:rsidR="002B1532">
          <w:rPr>
            <w:noProof/>
            <w:webHidden/>
          </w:rPr>
          <w:fldChar w:fldCharType="separate"/>
        </w:r>
        <w:r w:rsidR="002B1532">
          <w:rPr>
            <w:noProof/>
            <w:webHidden/>
          </w:rPr>
          <w:t>24</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15" w:history="1">
        <w:r w:rsidR="002B1532" w:rsidRPr="00BC09BB">
          <w:rPr>
            <w:rStyle w:val="Hyperlink"/>
            <w:rFonts w:cstheme="minorHAnsi"/>
            <w:noProof/>
          </w:rPr>
          <w:t>3.13</w:t>
        </w:r>
        <w:r w:rsidR="002B1532">
          <w:rPr>
            <w:rFonts w:eastAsiaTheme="minorEastAsia" w:cstheme="minorBidi"/>
            <w:b w:val="0"/>
            <w:bCs w:val="0"/>
            <w:noProof/>
            <w:lang w:val="es-CL" w:eastAsia="es-CL"/>
          </w:rPr>
          <w:tab/>
        </w:r>
        <w:r w:rsidR="002B1532" w:rsidRPr="00BC09BB">
          <w:rPr>
            <w:rStyle w:val="Hyperlink"/>
            <w:rFonts w:cstheme="minorHAnsi"/>
            <w:noProof/>
            <w:lang w:val="es-ES_tradnl"/>
          </w:rPr>
          <w:t>Tomografía</w:t>
        </w:r>
        <w:r w:rsidR="002B1532">
          <w:rPr>
            <w:noProof/>
            <w:webHidden/>
          </w:rPr>
          <w:tab/>
        </w:r>
        <w:r w:rsidR="002B1532">
          <w:rPr>
            <w:noProof/>
            <w:webHidden/>
          </w:rPr>
          <w:fldChar w:fldCharType="begin"/>
        </w:r>
        <w:r w:rsidR="002B1532">
          <w:rPr>
            <w:noProof/>
            <w:webHidden/>
          </w:rPr>
          <w:instrText xml:space="preserve"> PAGEREF _Toc373093515 \h </w:instrText>
        </w:r>
        <w:r w:rsidR="002B1532">
          <w:rPr>
            <w:noProof/>
            <w:webHidden/>
          </w:rPr>
        </w:r>
        <w:r w:rsidR="002B1532">
          <w:rPr>
            <w:noProof/>
            <w:webHidden/>
          </w:rPr>
          <w:fldChar w:fldCharType="separate"/>
        </w:r>
        <w:r w:rsidR="002B1532">
          <w:rPr>
            <w:noProof/>
            <w:webHidden/>
          </w:rPr>
          <w:t>25</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16" w:history="1">
        <w:r w:rsidR="002B1532" w:rsidRPr="00BC09BB">
          <w:rPr>
            <w:rStyle w:val="Hyperlink"/>
            <w:rFonts w:cstheme="minorHAnsi"/>
            <w:noProof/>
          </w:rPr>
          <w:t>3.14</w:t>
        </w:r>
        <w:r w:rsidR="002B1532">
          <w:rPr>
            <w:rFonts w:eastAsiaTheme="minorEastAsia" w:cstheme="minorBidi"/>
            <w:b w:val="0"/>
            <w:bCs w:val="0"/>
            <w:noProof/>
            <w:lang w:val="es-CL" w:eastAsia="es-CL"/>
          </w:rPr>
          <w:tab/>
        </w:r>
        <w:r w:rsidR="002B1532" w:rsidRPr="00BC09BB">
          <w:rPr>
            <w:rStyle w:val="Hyperlink"/>
            <w:rFonts w:cstheme="minorHAnsi"/>
            <w:noProof/>
            <w:lang w:val="es-ES_tradnl"/>
          </w:rPr>
          <w:t>Resonancia magnética</w:t>
        </w:r>
        <w:r w:rsidR="002B1532">
          <w:rPr>
            <w:noProof/>
            <w:webHidden/>
          </w:rPr>
          <w:tab/>
        </w:r>
        <w:r w:rsidR="002B1532">
          <w:rPr>
            <w:noProof/>
            <w:webHidden/>
          </w:rPr>
          <w:fldChar w:fldCharType="begin"/>
        </w:r>
        <w:r w:rsidR="002B1532">
          <w:rPr>
            <w:noProof/>
            <w:webHidden/>
          </w:rPr>
          <w:instrText xml:space="preserve"> PAGEREF _Toc373093516 \h </w:instrText>
        </w:r>
        <w:r w:rsidR="002B1532">
          <w:rPr>
            <w:noProof/>
            <w:webHidden/>
          </w:rPr>
        </w:r>
        <w:r w:rsidR="002B1532">
          <w:rPr>
            <w:noProof/>
            <w:webHidden/>
          </w:rPr>
          <w:fldChar w:fldCharType="separate"/>
        </w:r>
        <w:r w:rsidR="002B1532">
          <w:rPr>
            <w:noProof/>
            <w:webHidden/>
          </w:rPr>
          <w:t>25</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17" w:history="1">
        <w:r w:rsidR="002B1532" w:rsidRPr="00BC09BB">
          <w:rPr>
            <w:rStyle w:val="Hyperlink"/>
            <w:rFonts w:cstheme="minorHAnsi"/>
            <w:noProof/>
            <w:lang w:val="es-ES_tradnl"/>
          </w:rPr>
          <w:t>3.15</w:t>
        </w:r>
        <w:r w:rsidR="002B1532">
          <w:rPr>
            <w:rFonts w:eastAsiaTheme="minorEastAsia" w:cstheme="minorBidi"/>
            <w:b w:val="0"/>
            <w:bCs w:val="0"/>
            <w:noProof/>
            <w:lang w:val="es-CL" w:eastAsia="es-CL"/>
          </w:rPr>
          <w:tab/>
        </w:r>
        <w:r w:rsidR="002B1532" w:rsidRPr="00BC09BB">
          <w:rPr>
            <w:rStyle w:val="Hyperlink"/>
            <w:rFonts w:cstheme="minorHAnsi"/>
            <w:noProof/>
            <w:lang w:val="es-ES_tradnl"/>
          </w:rPr>
          <w:t>Radioterapia</w:t>
        </w:r>
        <w:r w:rsidR="002B1532">
          <w:rPr>
            <w:noProof/>
            <w:webHidden/>
          </w:rPr>
          <w:tab/>
        </w:r>
        <w:r w:rsidR="002B1532">
          <w:rPr>
            <w:noProof/>
            <w:webHidden/>
          </w:rPr>
          <w:fldChar w:fldCharType="begin"/>
        </w:r>
        <w:r w:rsidR="002B1532">
          <w:rPr>
            <w:noProof/>
            <w:webHidden/>
          </w:rPr>
          <w:instrText xml:space="preserve"> PAGEREF _Toc373093517 \h </w:instrText>
        </w:r>
        <w:r w:rsidR="002B1532">
          <w:rPr>
            <w:noProof/>
            <w:webHidden/>
          </w:rPr>
        </w:r>
        <w:r w:rsidR="002B1532">
          <w:rPr>
            <w:noProof/>
            <w:webHidden/>
          </w:rPr>
          <w:fldChar w:fldCharType="separate"/>
        </w:r>
        <w:r w:rsidR="002B1532">
          <w:rPr>
            <w:noProof/>
            <w:webHidden/>
          </w:rPr>
          <w:t>25</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18" w:history="1">
        <w:r w:rsidR="002B1532" w:rsidRPr="00BC09BB">
          <w:rPr>
            <w:rStyle w:val="Hyperlink"/>
            <w:rFonts w:cstheme="minorHAnsi"/>
            <w:noProof/>
            <w:lang w:val="es-ES_tradnl"/>
          </w:rPr>
          <w:t>3.16</w:t>
        </w:r>
        <w:r w:rsidR="002B1532">
          <w:rPr>
            <w:rFonts w:eastAsiaTheme="minorEastAsia" w:cstheme="minorBidi"/>
            <w:b w:val="0"/>
            <w:bCs w:val="0"/>
            <w:noProof/>
            <w:lang w:val="es-CL" w:eastAsia="es-CL"/>
          </w:rPr>
          <w:tab/>
        </w:r>
        <w:r w:rsidR="002B1532" w:rsidRPr="00BC09BB">
          <w:rPr>
            <w:rStyle w:val="Hyperlink"/>
            <w:rFonts w:cstheme="minorHAnsi"/>
            <w:noProof/>
            <w:lang w:val="es-ES_tradnl"/>
          </w:rPr>
          <w:t>Quimioterapia</w:t>
        </w:r>
        <w:r w:rsidR="002B1532">
          <w:rPr>
            <w:noProof/>
            <w:webHidden/>
          </w:rPr>
          <w:tab/>
        </w:r>
        <w:r w:rsidR="002B1532">
          <w:rPr>
            <w:noProof/>
            <w:webHidden/>
          </w:rPr>
          <w:fldChar w:fldCharType="begin"/>
        </w:r>
        <w:r w:rsidR="002B1532">
          <w:rPr>
            <w:noProof/>
            <w:webHidden/>
          </w:rPr>
          <w:instrText xml:space="preserve"> PAGEREF _Toc373093518 \h </w:instrText>
        </w:r>
        <w:r w:rsidR="002B1532">
          <w:rPr>
            <w:noProof/>
            <w:webHidden/>
          </w:rPr>
        </w:r>
        <w:r w:rsidR="002B1532">
          <w:rPr>
            <w:noProof/>
            <w:webHidden/>
          </w:rPr>
          <w:fldChar w:fldCharType="separate"/>
        </w:r>
        <w:r w:rsidR="002B1532">
          <w:rPr>
            <w:noProof/>
            <w:webHidden/>
          </w:rPr>
          <w:t>26</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19" w:history="1">
        <w:r w:rsidR="002B1532" w:rsidRPr="00BC09BB">
          <w:rPr>
            <w:rStyle w:val="Hyperlink"/>
            <w:rFonts w:cstheme="minorHAnsi"/>
            <w:noProof/>
          </w:rPr>
          <w:t>3.17</w:t>
        </w:r>
        <w:r w:rsidR="002B1532">
          <w:rPr>
            <w:rFonts w:eastAsiaTheme="minorEastAsia" w:cstheme="minorBidi"/>
            <w:b w:val="0"/>
            <w:bCs w:val="0"/>
            <w:noProof/>
            <w:lang w:val="es-CL" w:eastAsia="es-CL"/>
          </w:rPr>
          <w:tab/>
        </w:r>
        <w:r w:rsidR="002B1532" w:rsidRPr="00BC09BB">
          <w:rPr>
            <w:rStyle w:val="Hyperlink"/>
            <w:rFonts w:cstheme="minorHAnsi"/>
            <w:noProof/>
            <w:lang w:val="es-ES_tradnl"/>
          </w:rPr>
          <w:t>Braquiterapia</w:t>
        </w:r>
        <w:r w:rsidR="002B1532">
          <w:rPr>
            <w:noProof/>
            <w:webHidden/>
          </w:rPr>
          <w:tab/>
        </w:r>
        <w:r w:rsidR="002B1532">
          <w:rPr>
            <w:noProof/>
            <w:webHidden/>
          </w:rPr>
          <w:fldChar w:fldCharType="begin"/>
        </w:r>
        <w:r w:rsidR="002B1532">
          <w:rPr>
            <w:noProof/>
            <w:webHidden/>
          </w:rPr>
          <w:instrText xml:space="preserve"> PAGEREF _Toc373093519 \h </w:instrText>
        </w:r>
        <w:r w:rsidR="002B1532">
          <w:rPr>
            <w:noProof/>
            <w:webHidden/>
          </w:rPr>
        </w:r>
        <w:r w:rsidR="002B1532">
          <w:rPr>
            <w:noProof/>
            <w:webHidden/>
          </w:rPr>
          <w:fldChar w:fldCharType="separate"/>
        </w:r>
        <w:r w:rsidR="002B1532">
          <w:rPr>
            <w:noProof/>
            <w:webHidden/>
          </w:rPr>
          <w:t>27</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20" w:history="1">
        <w:r w:rsidR="002B1532" w:rsidRPr="00BC09BB">
          <w:rPr>
            <w:rStyle w:val="Hyperlink"/>
            <w:rFonts w:cstheme="minorHAnsi"/>
            <w:noProof/>
          </w:rPr>
          <w:t>3.18</w:t>
        </w:r>
        <w:r w:rsidR="002B1532">
          <w:rPr>
            <w:rFonts w:eastAsiaTheme="minorEastAsia" w:cstheme="minorBidi"/>
            <w:b w:val="0"/>
            <w:bCs w:val="0"/>
            <w:noProof/>
            <w:lang w:val="es-CL" w:eastAsia="es-CL"/>
          </w:rPr>
          <w:tab/>
        </w:r>
        <w:r w:rsidR="002B1532" w:rsidRPr="00BC09BB">
          <w:rPr>
            <w:rStyle w:val="Hyperlink"/>
            <w:rFonts w:cstheme="minorHAnsi"/>
            <w:noProof/>
          </w:rPr>
          <w:t>Estudio de medicina nuclear con Gamma cámara</w:t>
        </w:r>
        <w:r w:rsidR="002B1532">
          <w:rPr>
            <w:noProof/>
            <w:webHidden/>
          </w:rPr>
          <w:tab/>
        </w:r>
        <w:r w:rsidR="002B1532">
          <w:rPr>
            <w:noProof/>
            <w:webHidden/>
          </w:rPr>
          <w:fldChar w:fldCharType="begin"/>
        </w:r>
        <w:r w:rsidR="002B1532">
          <w:rPr>
            <w:noProof/>
            <w:webHidden/>
          </w:rPr>
          <w:instrText xml:space="preserve"> PAGEREF _Toc373093520 \h </w:instrText>
        </w:r>
        <w:r w:rsidR="002B1532">
          <w:rPr>
            <w:noProof/>
            <w:webHidden/>
          </w:rPr>
        </w:r>
        <w:r w:rsidR="002B1532">
          <w:rPr>
            <w:noProof/>
            <w:webHidden/>
          </w:rPr>
          <w:fldChar w:fldCharType="separate"/>
        </w:r>
        <w:r w:rsidR="002B1532">
          <w:rPr>
            <w:noProof/>
            <w:webHidden/>
          </w:rPr>
          <w:t>28</w:t>
        </w:r>
        <w:r w:rsidR="002B1532">
          <w:rPr>
            <w:noProof/>
            <w:webHidden/>
          </w:rPr>
          <w:fldChar w:fldCharType="end"/>
        </w:r>
      </w:hyperlink>
    </w:p>
    <w:p w:rsidR="002B1532" w:rsidRDefault="00E52595">
      <w:pPr>
        <w:pStyle w:val="TOC1"/>
        <w:rPr>
          <w:rFonts w:eastAsiaTheme="minorEastAsia" w:cstheme="minorBidi"/>
          <w:b w:val="0"/>
          <w:bCs w:val="0"/>
          <w:i w:val="0"/>
          <w:iCs w:val="0"/>
          <w:noProof/>
          <w:sz w:val="22"/>
          <w:szCs w:val="22"/>
          <w:lang w:val="es-CL" w:eastAsia="es-CL"/>
        </w:rPr>
      </w:pPr>
      <w:hyperlink w:anchor="_Toc373093521" w:history="1">
        <w:r w:rsidR="002B1532" w:rsidRPr="00BC09BB">
          <w:rPr>
            <w:rStyle w:val="Hyperlink"/>
            <w:noProof/>
          </w:rPr>
          <w:t>4.</w:t>
        </w:r>
        <w:r w:rsidR="002B1532">
          <w:rPr>
            <w:rFonts w:eastAsiaTheme="minorEastAsia" w:cstheme="minorBidi"/>
            <w:b w:val="0"/>
            <w:bCs w:val="0"/>
            <w:i w:val="0"/>
            <w:iCs w:val="0"/>
            <w:noProof/>
            <w:sz w:val="22"/>
            <w:szCs w:val="22"/>
            <w:lang w:val="es-CL" w:eastAsia="es-CL"/>
          </w:rPr>
          <w:tab/>
        </w:r>
        <w:r w:rsidR="002B1532" w:rsidRPr="00BC09BB">
          <w:rPr>
            <w:rStyle w:val="Hyperlink"/>
            <w:noProof/>
          </w:rPr>
          <w:t>OFERTA POTENCIAL SITUACIÓN SIN PROYECTO</w:t>
        </w:r>
        <w:r w:rsidR="002B1532">
          <w:rPr>
            <w:noProof/>
            <w:webHidden/>
          </w:rPr>
          <w:tab/>
        </w:r>
        <w:r w:rsidR="002B1532">
          <w:rPr>
            <w:noProof/>
            <w:webHidden/>
          </w:rPr>
          <w:fldChar w:fldCharType="begin"/>
        </w:r>
        <w:r w:rsidR="002B1532">
          <w:rPr>
            <w:noProof/>
            <w:webHidden/>
          </w:rPr>
          <w:instrText xml:space="preserve"> PAGEREF _Toc373093521 \h </w:instrText>
        </w:r>
        <w:r w:rsidR="002B1532">
          <w:rPr>
            <w:noProof/>
            <w:webHidden/>
          </w:rPr>
        </w:r>
        <w:r w:rsidR="002B1532">
          <w:rPr>
            <w:noProof/>
            <w:webHidden/>
          </w:rPr>
          <w:fldChar w:fldCharType="separate"/>
        </w:r>
        <w:r w:rsidR="002B1532">
          <w:rPr>
            <w:noProof/>
            <w:webHidden/>
          </w:rPr>
          <w:t>30</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22" w:history="1">
        <w:r w:rsidR="002B1532" w:rsidRPr="00BC09BB">
          <w:rPr>
            <w:rStyle w:val="Hyperlink"/>
            <w:noProof/>
            <w:lang w:val="es-ES_tradnl"/>
          </w:rPr>
          <w:t>4.1</w:t>
        </w:r>
        <w:r w:rsidR="002B1532">
          <w:rPr>
            <w:rFonts w:eastAsiaTheme="minorEastAsia" w:cstheme="minorBidi"/>
            <w:b w:val="0"/>
            <w:bCs w:val="0"/>
            <w:noProof/>
            <w:lang w:val="es-CL" w:eastAsia="es-CL"/>
          </w:rPr>
          <w:tab/>
        </w:r>
        <w:r w:rsidR="002B1532" w:rsidRPr="00BC09BB">
          <w:rPr>
            <w:rStyle w:val="Hyperlink"/>
            <w:noProof/>
            <w:lang w:val="es-ES_tradnl"/>
          </w:rPr>
          <w:t>Consultas de especialidad</w:t>
        </w:r>
        <w:r w:rsidR="002B1532">
          <w:rPr>
            <w:noProof/>
            <w:webHidden/>
          </w:rPr>
          <w:tab/>
        </w:r>
        <w:r w:rsidR="002B1532">
          <w:rPr>
            <w:noProof/>
            <w:webHidden/>
          </w:rPr>
          <w:fldChar w:fldCharType="begin"/>
        </w:r>
        <w:r w:rsidR="002B1532">
          <w:rPr>
            <w:noProof/>
            <w:webHidden/>
          </w:rPr>
          <w:instrText xml:space="preserve"> PAGEREF _Toc373093522 \h </w:instrText>
        </w:r>
        <w:r w:rsidR="002B1532">
          <w:rPr>
            <w:noProof/>
            <w:webHidden/>
          </w:rPr>
        </w:r>
        <w:r w:rsidR="002B1532">
          <w:rPr>
            <w:noProof/>
            <w:webHidden/>
          </w:rPr>
          <w:fldChar w:fldCharType="separate"/>
        </w:r>
        <w:r w:rsidR="002B1532">
          <w:rPr>
            <w:noProof/>
            <w:webHidden/>
          </w:rPr>
          <w:t>31</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23" w:history="1">
        <w:r w:rsidR="002B1532" w:rsidRPr="00BC09BB">
          <w:rPr>
            <w:rStyle w:val="Hyperlink"/>
            <w:noProof/>
            <w:lang w:val="es-ES_tradnl"/>
          </w:rPr>
          <w:t>4.2</w:t>
        </w:r>
        <w:r w:rsidR="002B1532">
          <w:rPr>
            <w:rFonts w:eastAsiaTheme="minorEastAsia" w:cstheme="minorBidi"/>
            <w:b w:val="0"/>
            <w:bCs w:val="0"/>
            <w:noProof/>
            <w:lang w:val="es-CL" w:eastAsia="es-CL"/>
          </w:rPr>
          <w:tab/>
        </w:r>
        <w:r w:rsidR="002B1532" w:rsidRPr="00BC09BB">
          <w:rPr>
            <w:rStyle w:val="Hyperlink"/>
            <w:noProof/>
            <w:lang w:val="es-ES_tradnl"/>
          </w:rPr>
          <w:t>Consultas de urgencia</w:t>
        </w:r>
        <w:r w:rsidR="002B1532">
          <w:rPr>
            <w:noProof/>
            <w:webHidden/>
          </w:rPr>
          <w:tab/>
        </w:r>
        <w:r w:rsidR="002B1532">
          <w:rPr>
            <w:noProof/>
            <w:webHidden/>
          </w:rPr>
          <w:fldChar w:fldCharType="begin"/>
        </w:r>
        <w:r w:rsidR="002B1532">
          <w:rPr>
            <w:noProof/>
            <w:webHidden/>
          </w:rPr>
          <w:instrText xml:space="preserve"> PAGEREF _Toc373093523 \h </w:instrText>
        </w:r>
        <w:r w:rsidR="002B1532">
          <w:rPr>
            <w:noProof/>
            <w:webHidden/>
          </w:rPr>
        </w:r>
        <w:r w:rsidR="002B1532">
          <w:rPr>
            <w:noProof/>
            <w:webHidden/>
          </w:rPr>
          <w:fldChar w:fldCharType="separate"/>
        </w:r>
        <w:r w:rsidR="002B1532">
          <w:rPr>
            <w:noProof/>
            <w:webHidden/>
          </w:rPr>
          <w:t>32</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24" w:history="1">
        <w:r w:rsidR="002B1532" w:rsidRPr="00BC09BB">
          <w:rPr>
            <w:rStyle w:val="Hyperlink"/>
            <w:noProof/>
            <w:lang w:val="es-ES_tradnl"/>
          </w:rPr>
          <w:t>4.3</w:t>
        </w:r>
        <w:r w:rsidR="002B1532">
          <w:rPr>
            <w:rFonts w:eastAsiaTheme="minorEastAsia" w:cstheme="minorBidi"/>
            <w:b w:val="0"/>
            <w:bCs w:val="0"/>
            <w:noProof/>
            <w:lang w:val="es-CL" w:eastAsia="es-CL"/>
          </w:rPr>
          <w:tab/>
        </w:r>
        <w:r w:rsidR="002B1532" w:rsidRPr="00BC09BB">
          <w:rPr>
            <w:rStyle w:val="Hyperlink"/>
            <w:noProof/>
            <w:lang w:val="es-ES_tradnl"/>
          </w:rPr>
          <w:t>Días cama de hospitalización</w:t>
        </w:r>
        <w:r w:rsidR="002B1532">
          <w:rPr>
            <w:noProof/>
            <w:webHidden/>
          </w:rPr>
          <w:tab/>
        </w:r>
        <w:r w:rsidR="002B1532">
          <w:rPr>
            <w:noProof/>
            <w:webHidden/>
          </w:rPr>
          <w:fldChar w:fldCharType="begin"/>
        </w:r>
        <w:r w:rsidR="002B1532">
          <w:rPr>
            <w:noProof/>
            <w:webHidden/>
          </w:rPr>
          <w:instrText xml:space="preserve"> PAGEREF _Toc373093524 \h </w:instrText>
        </w:r>
        <w:r w:rsidR="002B1532">
          <w:rPr>
            <w:noProof/>
            <w:webHidden/>
          </w:rPr>
        </w:r>
        <w:r w:rsidR="002B1532">
          <w:rPr>
            <w:noProof/>
            <w:webHidden/>
          </w:rPr>
          <w:fldChar w:fldCharType="separate"/>
        </w:r>
        <w:r w:rsidR="002B1532">
          <w:rPr>
            <w:noProof/>
            <w:webHidden/>
          </w:rPr>
          <w:t>32</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25" w:history="1">
        <w:r w:rsidR="002B1532" w:rsidRPr="00BC09BB">
          <w:rPr>
            <w:rStyle w:val="Hyperlink"/>
            <w:noProof/>
            <w:lang w:val="es-ES_tradnl"/>
          </w:rPr>
          <w:t>4.4</w:t>
        </w:r>
        <w:r w:rsidR="002B1532">
          <w:rPr>
            <w:rFonts w:eastAsiaTheme="minorEastAsia" w:cstheme="minorBidi"/>
            <w:b w:val="0"/>
            <w:bCs w:val="0"/>
            <w:noProof/>
            <w:lang w:val="es-CL" w:eastAsia="es-CL"/>
          </w:rPr>
          <w:tab/>
        </w:r>
        <w:r w:rsidR="002B1532" w:rsidRPr="00BC09BB">
          <w:rPr>
            <w:rStyle w:val="Hyperlink"/>
            <w:noProof/>
            <w:lang w:val="es-ES_tradnl"/>
          </w:rPr>
          <w:t>Días cama de hospitalización destinadas a parto</w:t>
        </w:r>
        <w:r w:rsidR="002B1532">
          <w:rPr>
            <w:noProof/>
            <w:webHidden/>
          </w:rPr>
          <w:tab/>
        </w:r>
        <w:r w:rsidR="002B1532">
          <w:rPr>
            <w:noProof/>
            <w:webHidden/>
          </w:rPr>
          <w:fldChar w:fldCharType="begin"/>
        </w:r>
        <w:r w:rsidR="002B1532">
          <w:rPr>
            <w:noProof/>
            <w:webHidden/>
          </w:rPr>
          <w:instrText xml:space="preserve"> PAGEREF _Toc373093525 \h </w:instrText>
        </w:r>
        <w:r w:rsidR="002B1532">
          <w:rPr>
            <w:noProof/>
            <w:webHidden/>
          </w:rPr>
        </w:r>
        <w:r w:rsidR="002B1532">
          <w:rPr>
            <w:noProof/>
            <w:webHidden/>
          </w:rPr>
          <w:fldChar w:fldCharType="separate"/>
        </w:r>
        <w:r w:rsidR="002B1532">
          <w:rPr>
            <w:noProof/>
            <w:webHidden/>
          </w:rPr>
          <w:t>33</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26" w:history="1">
        <w:r w:rsidR="002B1532" w:rsidRPr="00BC09BB">
          <w:rPr>
            <w:rStyle w:val="Hyperlink"/>
            <w:noProof/>
          </w:rPr>
          <w:t>4.5</w:t>
        </w:r>
        <w:r w:rsidR="002B1532">
          <w:rPr>
            <w:rFonts w:eastAsiaTheme="minorEastAsia" w:cstheme="minorBidi"/>
            <w:b w:val="0"/>
            <w:bCs w:val="0"/>
            <w:noProof/>
            <w:lang w:val="es-CL" w:eastAsia="es-CL"/>
          </w:rPr>
          <w:tab/>
        </w:r>
        <w:r w:rsidR="002B1532" w:rsidRPr="00BC09BB">
          <w:rPr>
            <w:rStyle w:val="Hyperlink"/>
            <w:noProof/>
          </w:rPr>
          <w:t>Quirófanos</w:t>
        </w:r>
        <w:r w:rsidR="002B1532">
          <w:rPr>
            <w:noProof/>
            <w:webHidden/>
          </w:rPr>
          <w:tab/>
        </w:r>
        <w:r w:rsidR="002B1532">
          <w:rPr>
            <w:noProof/>
            <w:webHidden/>
          </w:rPr>
          <w:fldChar w:fldCharType="begin"/>
        </w:r>
        <w:r w:rsidR="002B1532">
          <w:rPr>
            <w:noProof/>
            <w:webHidden/>
          </w:rPr>
          <w:instrText xml:space="preserve"> PAGEREF _Toc373093526 \h </w:instrText>
        </w:r>
        <w:r w:rsidR="002B1532">
          <w:rPr>
            <w:noProof/>
            <w:webHidden/>
          </w:rPr>
        </w:r>
        <w:r w:rsidR="002B1532">
          <w:rPr>
            <w:noProof/>
            <w:webHidden/>
          </w:rPr>
          <w:fldChar w:fldCharType="separate"/>
        </w:r>
        <w:r w:rsidR="002B1532">
          <w:rPr>
            <w:noProof/>
            <w:webHidden/>
          </w:rPr>
          <w:t>33</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27" w:history="1">
        <w:r w:rsidR="002B1532" w:rsidRPr="00BC09BB">
          <w:rPr>
            <w:rStyle w:val="Hyperlink"/>
            <w:noProof/>
          </w:rPr>
          <w:t>4.6</w:t>
        </w:r>
        <w:r w:rsidR="002B1532">
          <w:rPr>
            <w:rFonts w:eastAsiaTheme="minorEastAsia" w:cstheme="minorBidi"/>
            <w:b w:val="0"/>
            <w:bCs w:val="0"/>
            <w:noProof/>
            <w:lang w:val="es-CL" w:eastAsia="es-CL"/>
          </w:rPr>
          <w:tab/>
        </w:r>
        <w:r w:rsidR="002B1532" w:rsidRPr="00BC09BB">
          <w:rPr>
            <w:rStyle w:val="Hyperlink"/>
            <w:noProof/>
            <w:lang w:val="es-ES_tradnl"/>
          </w:rPr>
          <w:t>Diálisis</w:t>
        </w:r>
        <w:r w:rsidR="002B1532">
          <w:rPr>
            <w:noProof/>
            <w:webHidden/>
          </w:rPr>
          <w:tab/>
        </w:r>
        <w:r w:rsidR="002B1532">
          <w:rPr>
            <w:noProof/>
            <w:webHidden/>
          </w:rPr>
          <w:fldChar w:fldCharType="begin"/>
        </w:r>
        <w:r w:rsidR="002B1532">
          <w:rPr>
            <w:noProof/>
            <w:webHidden/>
          </w:rPr>
          <w:instrText xml:space="preserve"> PAGEREF _Toc373093527 \h </w:instrText>
        </w:r>
        <w:r w:rsidR="002B1532">
          <w:rPr>
            <w:noProof/>
            <w:webHidden/>
          </w:rPr>
        </w:r>
        <w:r w:rsidR="002B1532">
          <w:rPr>
            <w:noProof/>
            <w:webHidden/>
          </w:rPr>
          <w:fldChar w:fldCharType="separate"/>
        </w:r>
        <w:r w:rsidR="002B1532">
          <w:rPr>
            <w:noProof/>
            <w:webHidden/>
          </w:rPr>
          <w:t>34</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28" w:history="1">
        <w:r w:rsidR="002B1532" w:rsidRPr="00BC09BB">
          <w:rPr>
            <w:rStyle w:val="Hyperlink"/>
            <w:noProof/>
          </w:rPr>
          <w:t>4.7</w:t>
        </w:r>
        <w:r w:rsidR="002B1532">
          <w:rPr>
            <w:rFonts w:eastAsiaTheme="minorEastAsia" w:cstheme="minorBidi"/>
            <w:b w:val="0"/>
            <w:bCs w:val="0"/>
            <w:noProof/>
            <w:lang w:val="es-CL" w:eastAsia="es-CL"/>
          </w:rPr>
          <w:tab/>
        </w:r>
        <w:r w:rsidR="002B1532" w:rsidRPr="00BC09BB">
          <w:rPr>
            <w:rStyle w:val="Hyperlink"/>
            <w:noProof/>
            <w:lang w:val="es-ES_tradnl"/>
          </w:rPr>
          <w:t>Rayos X</w:t>
        </w:r>
        <w:r w:rsidR="002B1532">
          <w:rPr>
            <w:noProof/>
            <w:webHidden/>
          </w:rPr>
          <w:tab/>
        </w:r>
        <w:r w:rsidR="002B1532">
          <w:rPr>
            <w:noProof/>
            <w:webHidden/>
          </w:rPr>
          <w:fldChar w:fldCharType="begin"/>
        </w:r>
        <w:r w:rsidR="002B1532">
          <w:rPr>
            <w:noProof/>
            <w:webHidden/>
          </w:rPr>
          <w:instrText xml:space="preserve"> PAGEREF _Toc373093528 \h </w:instrText>
        </w:r>
        <w:r w:rsidR="002B1532">
          <w:rPr>
            <w:noProof/>
            <w:webHidden/>
          </w:rPr>
        </w:r>
        <w:r w:rsidR="002B1532">
          <w:rPr>
            <w:noProof/>
            <w:webHidden/>
          </w:rPr>
          <w:fldChar w:fldCharType="separate"/>
        </w:r>
        <w:r w:rsidR="002B1532">
          <w:rPr>
            <w:noProof/>
            <w:webHidden/>
          </w:rPr>
          <w:t>34</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29" w:history="1">
        <w:r w:rsidR="002B1532" w:rsidRPr="00BC09BB">
          <w:rPr>
            <w:rStyle w:val="Hyperlink"/>
            <w:noProof/>
          </w:rPr>
          <w:t>4.8</w:t>
        </w:r>
        <w:r w:rsidR="002B1532">
          <w:rPr>
            <w:rFonts w:eastAsiaTheme="minorEastAsia" w:cstheme="minorBidi"/>
            <w:b w:val="0"/>
            <w:bCs w:val="0"/>
            <w:noProof/>
            <w:lang w:val="es-CL" w:eastAsia="es-CL"/>
          </w:rPr>
          <w:tab/>
        </w:r>
        <w:r w:rsidR="002B1532" w:rsidRPr="00BC09BB">
          <w:rPr>
            <w:rStyle w:val="Hyperlink"/>
            <w:noProof/>
            <w:lang w:val="es-ES_tradnl"/>
          </w:rPr>
          <w:t>Endoscopía</w:t>
        </w:r>
        <w:r w:rsidR="002B1532">
          <w:rPr>
            <w:noProof/>
            <w:webHidden/>
          </w:rPr>
          <w:tab/>
        </w:r>
        <w:r w:rsidR="002B1532">
          <w:rPr>
            <w:noProof/>
            <w:webHidden/>
          </w:rPr>
          <w:fldChar w:fldCharType="begin"/>
        </w:r>
        <w:r w:rsidR="002B1532">
          <w:rPr>
            <w:noProof/>
            <w:webHidden/>
          </w:rPr>
          <w:instrText xml:space="preserve"> PAGEREF _Toc373093529 \h </w:instrText>
        </w:r>
        <w:r w:rsidR="002B1532">
          <w:rPr>
            <w:noProof/>
            <w:webHidden/>
          </w:rPr>
        </w:r>
        <w:r w:rsidR="002B1532">
          <w:rPr>
            <w:noProof/>
            <w:webHidden/>
          </w:rPr>
          <w:fldChar w:fldCharType="separate"/>
        </w:r>
        <w:r w:rsidR="002B1532">
          <w:rPr>
            <w:noProof/>
            <w:webHidden/>
          </w:rPr>
          <w:t>34</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30" w:history="1">
        <w:r w:rsidR="002B1532" w:rsidRPr="00BC09BB">
          <w:rPr>
            <w:rStyle w:val="Hyperlink"/>
            <w:noProof/>
          </w:rPr>
          <w:t>4.9</w:t>
        </w:r>
        <w:r w:rsidR="002B1532">
          <w:rPr>
            <w:rFonts w:eastAsiaTheme="minorEastAsia" w:cstheme="minorBidi"/>
            <w:b w:val="0"/>
            <w:bCs w:val="0"/>
            <w:noProof/>
            <w:lang w:val="es-CL" w:eastAsia="es-CL"/>
          </w:rPr>
          <w:tab/>
        </w:r>
        <w:r w:rsidR="002B1532" w:rsidRPr="00BC09BB">
          <w:rPr>
            <w:rStyle w:val="Hyperlink"/>
            <w:noProof/>
            <w:lang w:val="es-ES_tradnl"/>
          </w:rPr>
          <w:t>Ecografías</w:t>
        </w:r>
        <w:r w:rsidR="002B1532">
          <w:rPr>
            <w:noProof/>
            <w:webHidden/>
          </w:rPr>
          <w:tab/>
        </w:r>
        <w:r w:rsidR="002B1532">
          <w:rPr>
            <w:noProof/>
            <w:webHidden/>
          </w:rPr>
          <w:fldChar w:fldCharType="begin"/>
        </w:r>
        <w:r w:rsidR="002B1532">
          <w:rPr>
            <w:noProof/>
            <w:webHidden/>
          </w:rPr>
          <w:instrText xml:space="preserve"> PAGEREF _Toc373093530 \h </w:instrText>
        </w:r>
        <w:r w:rsidR="002B1532">
          <w:rPr>
            <w:noProof/>
            <w:webHidden/>
          </w:rPr>
        </w:r>
        <w:r w:rsidR="002B1532">
          <w:rPr>
            <w:noProof/>
            <w:webHidden/>
          </w:rPr>
          <w:fldChar w:fldCharType="separate"/>
        </w:r>
        <w:r w:rsidR="002B1532">
          <w:rPr>
            <w:noProof/>
            <w:webHidden/>
          </w:rPr>
          <w:t>35</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31" w:history="1">
        <w:r w:rsidR="002B1532" w:rsidRPr="00BC09BB">
          <w:rPr>
            <w:rStyle w:val="Hyperlink"/>
            <w:noProof/>
          </w:rPr>
          <w:t>4.10</w:t>
        </w:r>
        <w:r w:rsidR="002B1532">
          <w:rPr>
            <w:rFonts w:eastAsiaTheme="minorEastAsia" w:cstheme="minorBidi"/>
            <w:b w:val="0"/>
            <w:bCs w:val="0"/>
            <w:noProof/>
            <w:lang w:val="es-CL" w:eastAsia="es-CL"/>
          </w:rPr>
          <w:tab/>
        </w:r>
        <w:r w:rsidR="002B1532" w:rsidRPr="00BC09BB">
          <w:rPr>
            <w:rStyle w:val="Hyperlink"/>
            <w:noProof/>
            <w:lang w:val="es-ES_tradnl"/>
          </w:rPr>
          <w:t>Tomografía</w:t>
        </w:r>
        <w:r w:rsidR="002B1532">
          <w:rPr>
            <w:noProof/>
            <w:webHidden/>
          </w:rPr>
          <w:tab/>
        </w:r>
        <w:r w:rsidR="002B1532">
          <w:rPr>
            <w:noProof/>
            <w:webHidden/>
          </w:rPr>
          <w:fldChar w:fldCharType="begin"/>
        </w:r>
        <w:r w:rsidR="002B1532">
          <w:rPr>
            <w:noProof/>
            <w:webHidden/>
          </w:rPr>
          <w:instrText xml:space="preserve"> PAGEREF _Toc373093531 \h </w:instrText>
        </w:r>
        <w:r w:rsidR="002B1532">
          <w:rPr>
            <w:noProof/>
            <w:webHidden/>
          </w:rPr>
        </w:r>
        <w:r w:rsidR="002B1532">
          <w:rPr>
            <w:noProof/>
            <w:webHidden/>
          </w:rPr>
          <w:fldChar w:fldCharType="separate"/>
        </w:r>
        <w:r w:rsidR="002B1532">
          <w:rPr>
            <w:noProof/>
            <w:webHidden/>
          </w:rPr>
          <w:t>35</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32" w:history="1">
        <w:r w:rsidR="002B1532" w:rsidRPr="00BC09BB">
          <w:rPr>
            <w:rStyle w:val="Hyperlink"/>
            <w:noProof/>
          </w:rPr>
          <w:t>4.11</w:t>
        </w:r>
        <w:r w:rsidR="002B1532">
          <w:rPr>
            <w:rFonts w:eastAsiaTheme="minorEastAsia" w:cstheme="minorBidi"/>
            <w:b w:val="0"/>
            <w:bCs w:val="0"/>
            <w:noProof/>
            <w:lang w:val="es-CL" w:eastAsia="es-CL"/>
          </w:rPr>
          <w:tab/>
        </w:r>
        <w:r w:rsidR="002B1532" w:rsidRPr="00BC09BB">
          <w:rPr>
            <w:rStyle w:val="Hyperlink"/>
            <w:noProof/>
            <w:lang w:val="es-ES_tradnl"/>
          </w:rPr>
          <w:t>Mamógrafo</w:t>
        </w:r>
        <w:r w:rsidR="002B1532">
          <w:rPr>
            <w:noProof/>
            <w:webHidden/>
          </w:rPr>
          <w:tab/>
        </w:r>
        <w:r w:rsidR="002B1532">
          <w:rPr>
            <w:noProof/>
            <w:webHidden/>
          </w:rPr>
          <w:fldChar w:fldCharType="begin"/>
        </w:r>
        <w:r w:rsidR="002B1532">
          <w:rPr>
            <w:noProof/>
            <w:webHidden/>
          </w:rPr>
          <w:instrText xml:space="preserve"> PAGEREF _Toc373093532 \h </w:instrText>
        </w:r>
        <w:r w:rsidR="002B1532">
          <w:rPr>
            <w:noProof/>
            <w:webHidden/>
          </w:rPr>
        </w:r>
        <w:r w:rsidR="002B1532">
          <w:rPr>
            <w:noProof/>
            <w:webHidden/>
          </w:rPr>
          <w:fldChar w:fldCharType="separate"/>
        </w:r>
        <w:r w:rsidR="002B1532">
          <w:rPr>
            <w:noProof/>
            <w:webHidden/>
          </w:rPr>
          <w:t>36</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33" w:history="1">
        <w:r w:rsidR="002B1532" w:rsidRPr="00BC09BB">
          <w:rPr>
            <w:rStyle w:val="Hyperlink"/>
            <w:noProof/>
            <w:lang w:val="es-ES_tradnl"/>
          </w:rPr>
          <w:t>4.12</w:t>
        </w:r>
        <w:r w:rsidR="002B1532">
          <w:rPr>
            <w:rFonts w:eastAsiaTheme="minorEastAsia" w:cstheme="minorBidi"/>
            <w:b w:val="0"/>
            <w:bCs w:val="0"/>
            <w:noProof/>
            <w:lang w:val="es-CL" w:eastAsia="es-CL"/>
          </w:rPr>
          <w:tab/>
        </w:r>
        <w:r w:rsidR="002B1532" w:rsidRPr="00BC09BB">
          <w:rPr>
            <w:rStyle w:val="Hyperlink"/>
            <w:noProof/>
            <w:lang w:val="es-ES_tradnl"/>
          </w:rPr>
          <w:t>Quimioterapia</w:t>
        </w:r>
        <w:r w:rsidR="002B1532">
          <w:rPr>
            <w:noProof/>
            <w:webHidden/>
          </w:rPr>
          <w:tab/>
        </w:r>
        <w:r w:rsidR="002B1532">
          <w:rPr>
            <w:noProof/>
            <w:webHidden/>
          </w:rPr>
          <w:fldChar w:fldCharType="begin"/>
        </w:r>
        <w:r w:rsidR="002B1532">
          <w:rPr>
            <w:noProof/>
            <w:webHidden/>
          </w:rPr>
          <w:instrText xml:space="preserve"> PAGEREF _Toc373093533 \h </w:instrText>
        </w:r>
        <w:r w:rsidR="002B1532">
          <w:rPr>
            <w:noProof/>
            <w:webHidden/>
          </w:rPr>
        </w:r>
        <w:r w:rsidR="002B1532">
          <w:rPr>
            <w:noProof/>
            <w:webHidden/>
          </w:rPr>
          <w:fldChar w:fldCharType="separate"/>
        </w:r>
        <w:r w:rsidR="002B1532">
          <w:rPr>
            <w:noProof/>
            <w:webHidden/>
          </w:rPr>
          <w:t>36</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34" w:history="1">
        <w:r w:rsidR="002B1532" w:rsidRPr="00BC09BB">
          <w:rPr>
            <w:rStyle w:val="Hyperlink"/>
            <w:noProof/>
          </w:rPr>
          <w:t>4.13</w:t>
        </w:r>
        <w:r w:rsidR="002B1532">
          <w:rPr>
            <w:rFonts w:eastAsiaTheme="minorEastAsia" w:cstheme="minorBidi"/>
            <w:b w:val="0"/>
            <w:bCs w:val="0"/>
            <w:noProof/>
            <w:lang w:val="es-CL" w:eastAsia="es-CL"/>
          </w:rPr>
          <w:tab/>
        </w:r>
        <w:r w:rsidR="002B1532" w:rsidRPr="00BC09BB">
          <w:rPr>
            <w:rStyle w:val="Hyperlink"/>
            <w:noProof/>
            <w:lang w:val="es-ES_tradnl"/>
          </w:rPr>
          <w:t>Radioterapia externa</w:t>
        </w:r>
        <w:r w:rsidR="002B1532">
          <w:rPr>
            <w:noProof/>
            <w:webHidden/>
          </w:rPr>
          <w:tab/>
        </w:r>
        <w:r w:rsidR="002B1532">
          <w:rPr>
            <w:noProof/>
            <w:webHidden/>
          </w:rPr>
          <w:fldChar w:fldCharType="begin"/>
        </w:r>
        <w:r w:rsidR="002B1532">
          <w:rPr>
            <w:noProof/>
            <w:webHidden/>
          </w:rPr>
          <w:instrText xml:space="preserve"> PAGEREF _Toc373093534 \h </w:instrText>
        </w:r>
        <w:r w:rsidR="002B1532">
          <w:rPr>
            <w:noProof/>
            <w:webHidden/>
          </w:rPr>
        </w:r>
        <w:r w:rsidR="002B1532">
          <w:rPr>
            <w:noProof/>
            <w:webHidden/>
          </w:rPr>
          <w:fldChar w:fldCharType="separate"/>
        </w:r>
        <w:r w:rsidR="002B1532">
          <w:rPr>
            <w:noProof/>
            <w:webHidden/>
          </w:rPr>
          <w:t>36</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35" w:history="1">
        <w:r w:rsidR="002B1532" w:rsidRPr="00BC09BB">
          <w:rPr>
            <w:rStyle w:val="Hyperlink"/>
            <w:noProof/>
            <w:lang w:val="es-ES_tradnl"/>
          </w:rPr>
          <w:t>4.14</w:t>
        </w:r>
        <w:r w:rsidR="002B1532">
          <w:rPr>
            <w:rFonts w:eastAsiaTheme="minorEastAsia" w:cstheme="minorBidi"/>
            <w:b w:val="0"/>
            <w:bCs w:val="0"/>
            <w:noProof/>
            <w:lang w:val="es-CL" w:eastAsia="es-CL"/>
          </w:rPr>
          <w:tab/>
        </w:r>
        <w:r w:rsidR="002B1532" w:rsidRPr="00BC09BB">
          <w:rPr>
            <w:rStyle w:val="Hyperlink"/>
            <w:noProof/>
            <w:lang w:val="es-ES_tradnl"/>
          </w:rPr>
          <w:t>Braquiterapia</w:t>
        </w:r>
        <w:r w:rsidR="002B1532">
          <w:rPr>
            <w:noProof/>
            <w:webHidden/>
          </w:rPr>
          <w:tab/>
        </w:r>
        <w:r w:rsidR="002B1532">
          <w:rPr>
            <w:noProof/>
            <w:webHidden/>
          </w:rPr>
          <w:fldChar w:fldCharType="begin"/>
        </w:r>
        <w:r w:rsidR="002B1532">
          <w:rPr>
            <w:noProof/>
            <w:webHidden/>
          </w:rPr>
          <w:instrText xml:space="preserve"> PAGEREF _Toc373093535 \h </w:instrText>
        </w:r>
        <w:r w:rsidR="002B1532">
          <w:rPr>
            <w:noProof/>
            <w:webHidden/>
          </w:rPr>
        </w:r>
        <w:r w:rsidR="002B1532">
          <w:rPr>
            <w:noProof/>
            <w:webHidden/>
          </w:rPr>
          <w:fldChar w:fldCharType="separate"/>
        </w:r>
        <w:r w:rsidR="002B1532">
          <w:rPr>
            <w:noProof/>
            <w:webHidden/>
          </w:rPr>
          <w:t>37</w:t>
        </w:r>
        <w:r w:rsidR="002B1532">
          <w:rPr>
            <w:noProof/>
            <w:webHidden/>
          </w:rPr>
          <w:fldChar w:fldCharType="end"/>
        </w:r>
      </w:hyperlink>
    </w:p>
    <w:p w:rsidR="002B1532" w:rsidRDefault="00E52595">
      <w:pPr>
        <w:pStyle w:val="TOC1"/>
        <w:rPr>
          <w:rFonts w:eastAsiaTheme="minorEastAsia" w:cstheme="minorBidi"/>
          <w:b w:val="0"/>
          <w:bCs w:val="0"/>
          <w:i w:val="0"/>
          <w:iCs w:val="0"/>
          <w:noProof/>
          <w:sz w:val="22"/>
          <w:szCs w:val="22"/>
          <w:lang w:val="es-CL" w:eastAsia="es-CL"/>
        </w:rPr>
      </w:pPr>
      <w:hyperlink w:anchor="_Toc373093536" w:history="1">
        <w:r w:rsidR="002B1532" w:rsidRPr="00BC09BB">
          <w:rPr>
            <w:rStyle w:val="Hyperlink"/>
            <w:noProof/>
          </w:rPr>
          <w:t>5.</w:t>
        </w:r>
        <w:r w:rsidR="002B1532">
          <w:rPr>
            <w:rFonts w:eastAsiaTheme="minorEastAsia" w:cstheme="minorBidi"/>
            <w:b w:val="0"/>
            <w:bCs w:val="0"/>
            <w:i w:val="0"/>
            <w:iCs w:val="0"/>
            <w:noProof/>
            <w:sz w:val="22"/>
            <w:szCs w:val="22"/>
            <w:lang w:val="es-CL" w:eastAsia="es-CL"/>
          </w:rPr>
          <w:tab/>
        </w:r>
        <w:r w:rsidR="002B1532" w:rsidRPr="00BC09BB">
          <w:rPr>
            <w:rStyle w:val="Hyperlink"/>
            <w:noProof/>
          </w:rPr>
          <w:t>INTERACCIÓN OFERTA Y DEMANDA POTENCIAL SITUACIÓN SIN PROYECTO</w:t>
        </w:r>
        <w:r w:rsidR="002B1532">
          <w:rPr>
            <w:noProof/>
            <w:webHidden/>
          </w:rPr>
          <w:tab/>
        </w:r>
        <w:r w:rsidR="002B1532">
          <w:rPr>
            <w:noProof/>
            <w:webHidden/>
          </w:rPr>
          <w:fldChar w:fldCharType="begin"/>
        </w:r>
        <w:r w:rsidR="002B1532">
          <w:rPr>
            <w:noProof/>
            <w:webHidden/>
          </w:rPr>
          <w:instrText xml:space="preserve"> PAGEREF _Toc373093536 \h </w:instrText>
        </w:r>
        <w:r w:rsidR="002B1532">
          <w:rPr>
            <w:noProof/>
            <w:webHidden/>
          </w:rPr>
        </w:r>
        <w:r w:rsidR="002B1532">
          <w:rPr>
            <w:noProof/>
            <w:webHidden/>
          </w:rPr>
          <w:fldChar w:fldCharType="separate"/>
        </w:r>
        <w:r w:rsidR="002B1532">
          <w:rPr>
            <w:noProof/>
            <w:webHidden/>
          </w:rPr>
          <w:t>38</w:t>
        </w:r>
        <w:r w:rsidR="002B1532">
          <w:rPr>
            <w:noProof/>
            <w:webHidden/>
          </w:rPr>
          <w:fldChar w:fldCharType="end"/>
        </w:r>
      </w:hyperlink>
    </w:p>
    <w:p w:rsidR="002B1532" w:rsidRDefault="00E52595">
      <w:pPr>
        <w:pStyle w:val="TOC1"/>
        <w:rPr>
          <w:rFonts w:eastAsiaTheme="minorEastAsia" w:cstheme="minorBidi"/>
          <w:b w:val="0"/>
          <w:bCs w:val="0"/>
          <w:i w:val="0"/>
          <w:iCs w:val="0"/>
          <w:noProof/>
          <w:sz w:val="22"/>
          <w:szCs w:val="22"/>
          <w:lang w:val="es-CL" w:eastAsia="es-CL"/>
        </w:rPr>
      </w:pPr>
      <w:hyperlink w:anchor="_Toc373093537" w:history="1">
        <w:r w:rsidR="002B1532" w:rsidRPr="00BC09BB">
          <w:rPr>
            <w:rStyle w:val="Hyperlink"/>
            <w:rFonts w:cstheme="minorHAnsi"/>
            <w:noProof/>
          </w:rPr>
          <w:t>6.</w:t>
        </w:r>
        <w:r w:rsidR="002B1532">
          <w:rPr>
            <w:rFonts w:eastAsiaTheme="minorEastAsia" w:cstheme="minorBidi"/>
            <w:b w:val="0"/>
            <w:bCs w:val="0"/>
            <w:i w:val="0"/>
            <w:iCs w:val="0"/>
            <w:noProof/>
            <w:sz w:val="22"/>
            <w:szCs w:val="22"/>
            <w:lang w:val="es-CL" w:eastAsia="es-CL"/>
          </w:rPr>
          <w:tab/>
        </w:r>
        <w:r w:rsidR="002B1532" w:rsidRPr="00BC09BB">
          <w:rPr>
            <w:rStyle w:val="Hyperlink"/>
            <w:rFonts w:cstheme="minorHAnsi"/>
            <w:noProof/>
          </w:rPr>
          <w:t>SITUACIÓN CON PROYECTO</w:t>
        </w:r>
        <w:r w:rsidR="002B1532">
          <w:rPr>
            <w:noProof/>
            <w:webHidden/>
          </w:rPr>
          <w:tab/>
        </w:r>
        <w:r w:rsidR="002B1532">
          <w:rPr>
            <w:noProof/>
            <w:webHidden/>
          </w:rPr>
          <w:fldChar w:fldCharType="begin"/>
        </w:r>
        <w:r w:rsidR="002B1532">
          <w:rPr>
            <w:noProof/>
            <w:webHidden/>
          </w:rPr>
          <w:instrText xml:space="preserve"> PAGEREF _Toc373093537 \h </w:instrText>
        </w:r>
        <w:r w:rsidR="002B1532">
          <w:rPr>
            <w:noProof/>
            <w:webHidden/>
          </w:rPr>
        </w:r>
        <w:r w:rsidR="002B1532">
          <w:rPr>
            <w:noProof/>
            <w:webHidden/>
          </w:rPr>
          <w:fldChar w:fldCharType="separate"/>
        </w:r>
        <w:r w:rsidR="002B1532">
          <w:rPr>
            <w:noProof/>
            <w:webHidden/>
          </w:rPr>
          <w:t>39</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38" w:history="1">
        <w:r w:rsidR="002B1532" w:rsidRPr="00BC09BB">
          <w:rPr>
            <w:rStyle w:val="Hyperlink"/>
            <w:rFonts w:cstheme="minorHAnsi"/>
            <w:noProof/>
          </w:rPr>
          <w:t>6.1</w:t>
        </w:r>
        <w:r w:rsidR="002B1532">
          <w:rPr>
            <w:rFonts w:eastAsiaTheme="minorEastAsia" w:cstheme="minorBidi"/>
            <w:b w:val="0"/>
            <w:bCs w:val="0"/>
            <w:noProof/>
            <w:lang w:val="es-CL" w:eastAsia="es-CL"/>
          </w:rPr>
          <w:tab/>
        </w:r>
        <w:r w:rsidR="002B1532" w:rsidRPr="00BC09BB">
          <w:rPr>
            <w:rStyle w:val="Hyperlink"/>
            <w:rFonts w:cstheme="minorHAnsi"/>
            <w:noProof/>
          </w:rPr>
          <w:t>Estimación oferta potencial por prestación sanitaria</w:t>
        </w:r>
        <w:r w:rsidR="002B1532">
          <w:rPr>
            <w:noProof/>
            <w:webHidden/>
          </w:rPr>
          <w:tab/>
        </w:r>
        <w:r w:rsidR="002B1532">
          <w:rPr>
            <w:noProof/>
            <w:webHidden/>
          </w:rPr>
          <w:fldChar w:fldCharType="begin"/>
        </w:r>
        <w:r w:rsidR="002B1532">
          <w:rPr>
            <w:noProof/>
            <w:webHidden/>
          </w:rPr>
          <w:instrText xml:space="preserve"> PAGEREF _Toc373093538 \h </w:instrText>
        </w:r>
        <w:r w:rsidR="002B1532">
          <w:rPr>
            <w:noProof/>
            <w:webHidden/>
          </w:rPr>
        </w:r>
        <w:r w:rsidR="002B1532">
          <w:rPr>
            <w:noProof/>
            <w:webHidden/>
          </w:rPr>
          <w:fldChar w:fldCharType="separate"/>
        </w:r>
        <w:r w:rsidR="002B1532">
          <w:rPr>
            <w:noProof/>
            <w:webHidden/>
          </w:rPr>
          <w:t>39</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39" w:history="1">
        <w:r w:rsidR="002B1532" w:rsidRPr="00BC09BB">
          <w:rPr>
            <w:rStyle w:val="Hyperlink"/>
            <w:rFonts w:cstheme="minorHAnsi"/>
            <w:noProof/>
          </w:rPr>
          <w:t>6.2</w:t>
        </w:r>
        <w:r w:rsidR="002B1532">
          <w:rPr>
            <w:rFonts w:eastAsiaTheme="minorEastAsia" w:cstheme="minorBidi"/>
            <w:b w:val="0"/>
            <w:bCs w:val="0"/>
            <w:noProof/>
            <w:lang w:val="es-CL" w:eastAsia="es-CL"/>
          </w:rPr>
          <w:tab/>
        </w:r>
        <w:r w:rsidR="002B1532" w:rsidRPr="00BC09BB">
          <w:rPr>
            <w:rStyle w:val="Hyperlink"/>
            <w:rFonts w:cstheme="minorHAnsi"/>
            <w:noProof/>
          </w:rPr>
          <w:t>Interacción de oferta y demanda potencial en situación con proyecto</w:t>
        </w:r>
        <w:r w:rsidR="002B1532">
          <w:rPr>
            <w:noProof/>
            <w:webHidden/>
          </w:rPr>
          <w:tab/>
        </w:r>
        <w:r w:rsidR="002B1532">
          <w:rPr>
            <w:noProof/>
            <w:webHidden/>
          </w:rPr>
          <w:fldChar w:fldCharType="begin"/>
        </w:r>
        <w:r w:rsidR="002B1532">
          <w:rPr>
            <w:noProof/>
            <w:webHidden/>
          </w:rPr>
          <w:instrText xml:space="preserve"> PAGEREF _Toc373093539 \h </w:instrText>
        </w:r>
        <w:r w:rsidR="002B1532">
          <w:rPr>
            <w:noProof/>
            <w:webHidden/>
          </w:rPr>
        </w:r>
        <w:r w:rsidR="002B1532">
          <w:rPr>
            <w:noProof/>
            <w:webHidden/>
          </w:rPr>
          <w:fldChar w:fldCharType="separate"/>
        </w:r>
        <w:r w:rsidR="002B1532">
          <w:rPr>
            <w:noProof/>
            <w:webHidden/>
          </w:rPr>
          <w:t>40</w:t>
        </w:r>
        <w:r w:rsidR="002B1532">
          <w:rPr>
            <w:noProof/>
            <w:webHidden/>
          </w:rPr>
          <w:fldChar w:fldCharType="end"/>
        </w:r>
      </w:hyperlink>
    </w:p>
    <w:p w:rsidR="002B1532" w:rsidRDefault="00E52595">
      <w:pPr>
        <w:pStyle w:val="TOC1"/>
        <w:rPr>
          <w:rFonts w:eastAsiaTheme="minorEastAsia" w:cstheme="minorBidi"/>
          <w:b w:val="0"/>
          <w:bCs w:val="0"/>
          <w:i w:val="0"/>
          <w:iCs w:val="0"/>
          <w:noProof/>
          <w:sz w:val="22"/>
          <w:szCs w:val="22"/>
          <w:lang w:val="es-CL" w:eastAsia="es-CL"/>
        </w:rPr>
      </w:pPr>
      <w:hyperlink w:anchor="_Toc373093540" w:history="1">
        <w:r w:rsidR="002B1532" w:rsidRPr="00BC09BB">
          <w:rPr>
            <w:rStyle w:val="Hyperlink"/>
            <w:rFonts w:cstheme="minorHAnsi"/>
            <w:noProof/>
          </w:rPr>
          <w:t>7.</w:t>
        </w:r>
        <w:r w:rsidR="002B1532">
          <w:rPr>
            <w:rFonts w:eastAsiaTheme="minorEastAsia" w:cstheme="minorBidi"/>
            <w:b w:val="0"/>
            <w:bCs w:val="0"/>
            <w:i w:val="0"/>
            <w:iCs w:val="0"/>
            <w:noProof/>
            <w:sz w:val="22"/>
            <w:szCs w:val="22"/>
            <w:lang w:val="es-CL" w:eastAsia="es-CL"/>
          </w:rPr>
          <w:tab/>
        </w:r>
        <w:r w:rsidR="002B1532" w:rsidRPr="00BC09BB">
          <w:rPr>
            <w:rStyle w:val="Hyperlink"/>
            <w:rFonts w:cstheme="minorHAnsi"/>
            <w:noProof/>
          </w:rPr>
          <w:t>EVALUACION SOCIOECONOMICA</w:t>
        </w:r>
        <w:r w:rsidR="002B1532">
          <w:rPr>
            <w:noProof/>
            <w:webHidden/>
          </w:rPr>
          <w:tab/>
        </w:r>
        <w:r w:rsidR="002B1532">
          <w:rPr>
            <w:noProof/>
            <w:webHidden/>
          </w:rPr>
          <w:fldChar w:fldCharType="begin"/>
        </w:r>
        <w:r w:rsidR="002B1532">
          <w:rPr>
            <w:noProof/>
            <w:webHidden/>
          </w:rPr>
          <w:instrText xml:space="preserve"> PAGEREF _Toc373093540 \h </w:instrText>
        </w:r>
        <w:r w:rsidR="002B1532">
          <w:rPr>
            <w:noProof/>
            <w:webHidden/>
          </w:rPr>
        </w:r>
        <w:r w:rsidR="002B1532">
          <w:rPr>
            <w:noProof/>
            <w:webHidden/>
          </w:rPr>
          <w:fldChar w:fldCharType="separate"/>
        </w:r>
        <w:r w:rsidR="002B1532">
          <w:rPr>
            <w:noProof/>
            <w:webHidden/>
          </w:rPr>
          <w:t>41</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41" w:history="1">
        <w:r w:rsidR="002B1532" w:rsidRPr="00BC09BB">
          <w:rPr>
            <w:rStyle w:val="Hyperlink"/>
            <w:rFonts w:cstheme="minorHAnsi"/>
            <w:noProof/>
          </w:rPr>
          <w:t>7.1</w:t>
        </w:r>
        <w:r w:rsidR="002B1532">
          <w:rPr>
            <w:rFonts w:eastAsiaTheme="minorEastAsia" w:cstheme="minorBidi"/>
            <w:b w:val="0"/>
            <w:bCs w:val="0"/>
            <w:noProof/>
            <w:lang w:val="es-CL" w:eastAsia="es-CL"/>
          </w:rPr>
          <w:tab/>
        </w:r>
        <w:r w:rsidR="002B1532" w:rsidRPr="00BC09BB">
          <w:rPr>
            <w:rStyle w:val="Hyperlink"/>
            <w:rFonts w:cstheme="minorHAnsi"/>
            <w:noProof/>
          </w:rPr>
          <w:t>Identificación y valoración de costos de inversión</w:t>
        </w:r>
        <w:r w:rsidR="002B1532">
          <w:rPr>
            <w:noProof/>
            <w:webHidden/>
          </w:rPr>
          <w:tab/>
        </w:r>
        <w:r w:rsidR="002B1532">
          <w:rPr>
            <w:noProof/>
            <w:webHidden/>
          </w:rPr>
          <w:fldChar w:fldCharType="begin"/>
        </w:r>
        <w:r w:rsidR="002B1532">
          <w:rPr>
            <w:noProof/>
            <w:webHidden/>
          </w:rPr>
          <w:instrText xml:space="preserve"> PAGEREF _Toc373093541 \h </w:instrText>
        </w:r>
        <w:r w:rsidR="002B1532">
          <w:rPr>
            <w:noProof/>
            <w:webHidden/>
          </w:rPr>
        </w:r>
        <w:r w:rsidR="002B1532">
          <w:rPr>
            <w:noProof/>
            <w:webHidden/>
          </w:rPr>
          <w:fldChar w:fldCharType="separate"/>
        </w:r>
        <w:r w:rsidR="002B1532">
          <w:rPr>
            <w:noProof/>
            <w:webHidden/>
          </w:rPr>
          <w:t>41</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42" w:history="1">
        <w:r w:rsidR="002B1532" w:rsidRPr="00BC09BB">
          <w:rPr>
            <w:rStyle w:val="Hyperlink"/>
            <w:rFonts w:cstheme="minorHAnsi"/>
            <w:noProof/>
          </w:rPr>
          <w:t>7.2</w:t>
        </w:r>
        <w:r w:rsidR="002B1532">
          <w:rPr>
            <w:rFonts w:eastAsiaTheme="minorEastAsia" w:cstheme="minorBidi"/>
            <w:b w:val="0"/>
            <w:bCs w:val="0"/>
            <w:noProof/>
            <w:lang w:val="es-CL" w:eastAsia="es-CL"/>
          </w:rPr>
          <w:tab/>
        </w:r>
        <w:r w:rsidR="002B1532" w:rsidRPr="00BC09BB">
          <w:rPr>
            <w:rStyle w:val="Hyperlink"/>
            <w:rFonts w:cstheme="minorHAnsi"/>
            <w:noProof/>
          </w:rPr>
          <w:t>Identificación y valoración de costos de operación</w:t>
        </w:r>
        <w:r w:rsidR="002B1532">
          <w:rPr>
            <w:noProof/>
            <w:webHidden/>
          </w:rPr>
          <w:tab/>
        </w:r>
        <w:r w:rsidR="002B1532">
          <w:rPr>
            <w:noProof/>
            <w:webHidden/>
          </w:rPr>
          <w:fldChar w:fldCharType="begin"/>
        </w:r>
        <w:r w:rsidR="002B1532">
          <w:rPr>
            <w:noProof/>
            <w:webHidden/>
          </w:rPr>
          <w:instrText xml:space="preserve"> PAGEREF _Toc373093542 \h </w:instrText>
        </w:r>
        <w:r w:rsidR="002B1532">
          <w:rPr>
            <w:noProof/>
            <w:webHidden/>
          </w:rPr>
        </w:r>
        <w:r w:rsidR="002B1532">
          <w:rPr>
            <w:noProof/>
            <w:webHidden/>
          </w:rPr>
          <w:fldChar w:fldCharType="separate"/>
        </w:r>
        <w:r w:rsidR="002B1532">
          <w:rPr>
            <w:noProof/>
            <w:webHidden/>
          </w:rPr>
          <w:t>43</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43" w:history="1">
        <w:r w:rsidR="002B1532" w:rsidRPr="00BC09BB">
          <w:rPr>
            <w:rStyle w:val="Hyperlink"/>
            <w:rFonts w:cstheme="minorHAnsi"/>
            <w:noProof/>
          </w:rPr>
          <w:t>7.3</w:t>
        </w:r>
        <w:r w:rsidR="002B1532">
          <w:rPr>
            <w:rFonts w:eastAsiaTheme="minorEastAsia" w:cstheme="minorBidi"/>
            <w:b w:val="0"/>
            <w:bCs w:val="0"/>
            <w:noProof/>
            <w:lang w:val="es-CL" w:eastAsia="es-CL"/>
          </w:rPr>
          <w:tab/>
        </w:r>
        <w:r w:rsidR="002B1532" w:rsidRPr="00BC09BB">
          <w:rPr>
            <w:rStyle w:val="Hyperlink"/>
            <w:rFonts w:cstheme="minorHAnsi"/>
            <w:noProof/>
          </w:rPr>
          <w:t>Identificación de beneficios y su valoración</w:t>
        </w:r>
        <w:r w:rsidR="002B1532">
          <w:rPr>
            <w:noProof/>
            <w:webHidden/>
          </w:rPr>
          <w:tab/>
        </w:r>
        <w:r w:rsidR="002B1532">
          <w:rPr>
            <w:noProof/>
            <w:webHidden/>
          </w:rPr>
          <w:fldChar w:fldCharType="begin"/>
        </w:r>
        <w:r w:rsidR="002B1532">
          <w:rPr>
            <w:noProof/>
            <w:webHidden/>
          </w:rPr>
          <w:instrText xml:space="preserve"> PAGEREF _Toc373093543 \h </w:instrText>
        </w:r>
        <w:r w:rsidR="002B1532">
          <w:rPr>
            <w:noProof/>
            <w:webHidden/>
          </w:rPr>
        </w:r>
        <w:r w:rsidR="002B1532">
          <w:rPr>
            <w:noProof/>
            <w:webHidden/>
          </w:rPr>
          <w:fldChar w:fldCharType="separate"/>
        </w:r>
        <w:r w:rsidR="002B1532">
          <w:rPr>
            <w:noProof/>
            <w:webHidden/>
          </w:rPr>
          <w:t>44</w:t>
        </w:r>
        <w:r w:rsidR="002B1532">
          <w:rPr>
            <w:noProof/>
            <w:webHidden/>
          </w:rPr>
          <w:fldChar w:fldCharType="end"/>
        </w:r>
      </w:hyperlink>
    </w:p>
    <w:p w:rsidR="002B1532" w:rsidRDefault="00E52595">
      <w:pPr>
        <w:pStyle w:val="TOC2"/>
        <w:tabs>
          <w:tab w:val="left" w:pos="960"/>
          <w:tab w:val="right" w:leader="underscore" w:pos="8828"/>
        </w:tabs>
        <w:rPr>
          <w:rFonts w:eastAsiaTheme="minorEastAsia" w:cstheme="minorBidi"/>
          <w:b w:val="0"/>
          <w:bCs w:val="0"/>
          <w:noProof/>
          <w:lang w:val="es-CL" w:eastAsia="es-CL"/>
        </w:rPr>
      </w:pPr>
      <w:hyperlink w:anchor="_Toc373093544" w:history="1">
        <w:r w:rsidR="002B1532" w:rsidRPr="00BC09BB">
          <w:rPr>
            <w:rStyle w:val="Hyperlink"/>
            <w:rFonts w:cstheme="minorHAnsi"/>
            <w:noProof/>
          </w:rPr>
          <w:t>7.4</w:t>
        </w:r>
        <w:r w:rsidR="002B1532">
          <w:rPr>
            <w:rFonts w:eastAsiaTheme="minorEastAsia" w:cstheme="minorBidi"/>
            <w:b w:val="0"/>
            <w:bCs w:val="0"/>
            <w:noProof/>
            <w:lang w:val="es-CL" w:eastAsia="es-CL"/>
          </w:rPr>
          <w:tab/>
        </w:r>
        <w:r w:rsidR="002B1532" w:rsidRPr="00BC09BB">
          <w:rPr>
            <w:rStyle w:val="Hyperlink"/>
            <w:rFonts w:cstheme="minorHAnsi"/>
            <w:noProof/>
          </w:rPr>
          <w:t>Resultados de evaluación</w:t>
        </w:r>
        <w:r w:rsidR="002B1532">
          <w:rPr>
            <w:noProof/>
            <w:webHidden/>
          </w:rPr>
          <w:tab/>
        </w:r>
        <w:r w:rsidR="002B1532">
          <w:rPr>
            <w:noProof/>
            <w:webHidden/>
          </w:rPr>
          <w:fldChar w:fldCharType="begin"/>
        </w:r>
        <w:r w:rsidR="002B1532">
          <w:rPr>
            <w:noProof/>
            <w:webHidden/>
          </w:rPr>
          <w:instrText xml:space="preserve"> PAGEREF _Toc373093544 \h </w:instrText>
        </w:r>
        <w:r w:rsidR="002B1532">
          <w:rPr>
            <w:noProof/>
            <w:webHidden/>
          </w:rPr>
        </w:r>
        <w:r w:rsidR="002B1532">
          <w:rPr>
            <w:noProof/>
            <w:webHidden/>
          </w:rPr>
          <w:fldChar w:fldCharType="separate"/>
        </w:r>
        <w:r w:rsidR="002B1532">
          <w:rPr>
            <w:noProof/>
            <w:webHidden/>
          </w:rPr>
          <w:t>47</w:t>
        </w:r>
        <w:r w:rsidR="002B1532">
          <w:rPr>
            <w:noProof/>
            <w:webHidden/>
          </w:rPr>
          <w:fldChar w:fldCharType="end"/>
        </w:r>
      </w:hyperlink>
    </w:p>
    <w:p w:rsidR="002B1532" w:rsidRDefault="00E52595">
      <w:pPr>
        <w:pStyle w:val="TOC1"/>
        <w:rPr>
          <w:rFonts w:eastAsiaTheme="minorEastAsia" w:cstheme="minorBidi"/>
          <w:b w:val="0"/>
          <w:bCs w:val="0"/>
          <w:i w:val="0"/>
          <w:iCs w:val="0"/>
          <w:noProof/>
          <w:sz w:val="22"/>
          <w:szCs w:val="22"/>
          <w:lang w:val="es-CL" w:eastAsia="es-CL"/>
        </w:rPr>
      </w:pPr>
      <w:hyperlink w:anchor="_Toc373093545" w:history="1">
        <w:r w:rsidR="002B1532" w:rsidRPr="00BC09BB">
          <w:rPr>
            <w:rStyle w:val="Hyperlink"/>
            <w:noProof/>
          </w:rPr>
          <w:t>8.</w:t>
        </w:r>
        <w:r w:rsidR="002B1532">
          <w:rPr>
            <w:rFonts w:eastAsiaTheme="minorEastAsia" w:cstheme="minorBidi"/>
            <w:b w:val="0"/>
            <w:bCs w:val="0"/>
            <w:i w:val="0"/>
            <w:iCs w:val="0"/>
            <w:noProof/>
            <w:sz w:val="22"/>
            <w:szCs w:val="22"/>
            <w:lang w:val="es-CL" w:eastAsia="es-CL"/>
          </w:rPr>
          <w:tab/>
        </w:r>
        <w:r w:rsidR="002B1532" w:rsidRPr="00BC09BB">
          <w:rPr>
            <w:rStyle w:val="Hyperlink"/>
            <w:noProof/>
          </w:rPr>
          <w:t>Bibliografía</w:t>
        </w:r>
        <w:r w:rsidR="002B1532">
          <w:rPr>
            <w:noProof/>
            <w:webHidden/>
          </w:rPr>
          <w:tab/>
        </w:r>
        <w:r w:rsidR="002B1532">
          <w:rPr>
            <w:noProof/>
            <w:webHidden/>
          </w:rPr>
          <w:fldChar w:fldCharType="begin"/>
        </w:r>
        <w:r w:rsidR="002B1532">
          <w:rPr>
            <w:noProof/>
            <w:webHidden/>
          </w:rPr>
          <w:instrText xml:space="preserve"> PAGEREF _Toc373093545 \h </w:instrText>
        </w:r>
        <w:r w:rsidR="002B1532">
          <w:rPr>
            <w:noProof/>
            <w:webHidden/>
          </w:rPr>
        </w:r>
        <w:r w:rsidR="002B1532">
          <w:rPr>
            <w:noProof/>
            <w:webHidden/>
          </w:rPr>
          <w:fldChar w:fldCharType="separate"/>
        </w:r>
        <w:r w:rsidR="002B1532">
          <w:rPr>
            <w:noProof/>
            <w:webHidden/>
          </w:rPr>
          <w:t>51</w:t>
        </w:r>
        <w:r w:rsidR="002B1532">
          <w:rPr>
            <w:noProof/>
            <w:webHidden/>
          </w:rPr>
          <w:fldChar w:fldCharType="end"/>
        </w:r>
      </w:hyperlink>
    </w:p>
    <w:p w:rsidR="002B1532" w:rsidRDefault="00E52595">
      <w:pPr>
        <w:pStyle w:val="TOC1"/>
        <w:rPr>
          <w:rFonts w:eastAsiaTheme="minorEastAsia" w:cstheme="minorBidi"/>
          <w:b w:val="0"/>
          <w:bCs w:val="0"/>
          <w:i w:val="0"/>
          <w:iCs w:val="0"/>
          <w:noProof/>
          <w:sz w:val="22"/>
          <w:szCs w:val="22"/>
          <w:lang w:val="es-CL" w:eastAsia="es-CL"/>
        </w:rPr>
      </w:pPr>
      <w:hyperlink w:anchor="_Toc373093546" w:history="1">
        <w:r w:rsidR="002B1532" w:rsidRPr="00BC09BB">
          <w:rPr>
            <w:rStyle w:val="Hyperlink"/>
            <w:noProof/>
          </w:rPr>
          <w:t>9.</w:t>
        </w:r>
        <w:r w:rsidR="002B1532">
          <w:rPr>
            <w:rFonts w:eastAsiaTheme="minorEastAsia" w:cstheme="minorBidi"/>
            <w:b w:val="0"/>
            <w:bCs w:val="0"/>
            <w:i w:val="0"/>
            <w:iCs w:val="0"/>
            <w:noProof/>
            <w:sz w:val="22"/>
            <w:szCs w:val="22"/>
            <w:lang w:val="es-CL" w:eastAsia="es-CL"/>
          </w:rPr>
          <w:tab/>
        </w:r>
        <w:r w:rsidR="002B1532" w:rsidRPr="00BC09BB">
          <w:rPr>
            <w:rStyle w:val="Hyperlink"/>
            <w:noProof/>
          </w:rPr>
          <w:t>ANEXOS</w:t>
        </w:r>
        <w:r w:rsidR="002B1532">
          <w:rPr>
            <w:noProof/>
            <w:webHidden/>
          </w:rPr>
          <w:tab/>
        </w:r>
        <w:r w:rsidR="002B1532">
          <w:rPr>
            <w:noProof/>
            <w:webHidden/>
          </w:rPr>
          <w:fldChar w:fldCharType="begin"/>
        </w:r>
        <w:r w:rsidR="002B1532">
          <w:rPr>
            <w:noProof/>
            <w:webHidden/>
          </w:rPr>
          <w:instrText xml:space="preserve"> PAGEREF _Toc373093546 \h </w:instrText>
        </w:r>
        <w:r w:rsidR="002B1532">
          <w:rPr>
            <w:noProof/>
            <w:webHidden/>
          </w:rPr>
        </w:r>
        <w:r w:rsidR="002B1532">
          <w:rPr>
            <w:noProof/>
            <w:webHidden/>
          </w:rPr>
          <w:fldChar w:fldCharType="separate"/>
        </w:r>
        <w:r w:rsidR="002B1532">
          <w:rPr>
            <w:noProof/>
            <w:webHidden/>
          </w:rPr>
          <w:t>54</w:t>
        </w:r>
        <w:r w:rsidR="002B1532">
          <w:rPr>
            <w:noProof/>
            <w:webHidden/>
          </w:rPr>
          <w:fldChar w:fldCharType="end"/>
        </w:r>
      </w:hyperlink>
    </w:p>
    <w:p w:rsidR="002B1532" w:rsidRDefault="00E52595">
      <w:pPr>
        <w:pStyle w:val="TOC2"/>
        <w:tabs>
          <w:tab w:val="left" w:pos="720"/>
          <w:tab w:val="right" w:leader="underscore" w:pos="8828"/>
        </w:tabs>
        <w:rPr>
          <w:rFonts w:eastAsiaTheme="minorEastAsia" w:cstheme="minorBidi"/>
          <w:b w:val="0"/>
          <w:bCs w:val="0"/>
          <w:noProof/>
          <w:lang w:val="es-CL" w:eastAsia="es-CL"/>
        </w:rPr>
      </w:pPr>
      <w:hyperlink w:anchor="_Toc373093547" w:history="1">
        <w:r w:rsidR="002B1532" w:rsidRPr="00BC09BB">
          <w:rPr>
            <w:rStyle w:val="Hyperlink"/>
            <w:noProof/>
          </w:rPr>
          <w:t>A.</w:t>
        </w:r>
        <w:r w:rsidR="002B1532">
          <w:rPr>
            <w:rFonts w:eastAsiaTheme="minorEastAsia" w:cstheme="minorBidi"/>
            <w:b w:val="0"/>
            <w:bCs w:val="0"/>
            <w:noProof/>
            <w:lang w:val="es-CL" w:eastAsia="es-CL"/>
          </w:rPr>
          <w:tab/>
        </w:r>
        <w:r w:rsidR="002B1532" w:rsidRPr="00BC09BB">
          <w:rPr>
            <w:rStyle w:val="Hyperlink"/>
            <w:noProof/>
          </w:rPr>
          <w:t>Valoración de recursos humanos: Tipo de RR.HH, Número, Salario medio, Costo total anual y cualificación.</w:t>
        </w:r>
        <w:r w:rsidR="002B1532">
          <w:rPr>
            <w:noProof/>
            <w:webHidden/>
          </w:rPr>
          <w:tab/>
        </w:r>
        <w:r w:rsidR="002B1532">
          <w:rPr>
            <w:noProof/>
            <w:webHidden/>
          </w:rPr>
          <w:fldChar w:fldCharType="begin"/>
        </w:r>
        <w:r w:rsidR="002B1532">
          <w:rPr>
            <w:noProof/>
            <w:webHidden/>
          </w:rPr>
          <w:instrText xml:space="preserve"> PAGEREF _Toc373093547 \h </w:instrText>
        </w:r>
        <w:r w:rsidR="002B1532">
          <w:rPr>
            <w:noProof/>
            <w:webHidden/>
          </w:rPr>
        </w:r>
        <w:r w:rsidR="002B1532">
          <w:rPr>
            <w:noProof/>
            <w:webHidden/>
          </w:rPr>
          <w:fldChar w:fldCharType="separate"/>
        </w:r>
        <w:r w:rsidR="002B1532">
          <w:rPr>
            <w:noProof/>
            <w:webHidden/>
          </w:rPr>
          <w:t>54</w:t>
        </w:r>
        <w:r w:rsidR="002B1532">
          <w:rPr>
            <w:noProof/>
            <w:webHidden/>
          </w:rPr>
          <w:fldChar w:fldCharType="end"/>
        </w:r>
      </w:hyperlink>
    </w:p>
    <w:p w:rsidR="002B1532" w:rsidRDefault="00E52595">
      <w:pPr>
        <w:pStyle w:val="TOC2"/>
        <w:tabs>
          <w:tab w:val="left" w:pos="720"/>
          <w:tab w:val="right" w:leader="underscore" w:pos="8828"/>
        </w:tabs>
        <w:rPr>
          <w:rFonts w:eastAsiaTheme="minorEastAsia" w:cstheme="minorBidi"/>
          <w:b w:val="0"/>
          <w:bCs w:val="0"/>
          <w:noProof/>
          <w:lang w:val="es-CL" w:eastAsia="es-CL"/>
        </w:rPr>
      </w:pPr>
      <w:hyperlink w:anchor="_Toc373093548" w:history="1">
        <w:r w:rsidR="002B1532" w:rsidRPr="00BC09BB">
          <w:rPr>
            <w:rStyle w:val="Hyperlink"/>
            <w:noProof/>
          </w:rPr>
          <w:t>B.</w:t>
        </w:r>
        <w:r w:rsidR="002B1532">
          <w:rPr>
            <w:rFonts w:eastAsiaTheme="minorEastAsia" w:cstheme="minorBidi"/>
            <w:b w:val="0"/>
            <w:bCs w:val="0"/>
            <w:noProof/>
            <w:lang w:val="es-CL" w:eastAsia="es-CL"/>
          </w:rPr>
          <w:tab/>
        </w:r>
        <w:r w:rsidR="002B1532" w:rsidRPr="00BC09BB">
          <w:rPr>
            <w:rStyle w:val="Hyperlink"/>
            <w:noProof/>
          </w:rPr>
          <w:t>Tasas arancelarias, impuestos servicios de importación en Bolivia 2010</w:t>
        </w:r>
        <w:r w:rsidR="002B1532">
          <w:rPr>
            <w:noProof/>
            <w:webHidden/>
          </w:rPr>
          <w:tab/>
        </w:r>
        <w:r w:rsidR="002B1532">
          <w:rPr>
            <w:noProof/>
            <w:webHidden/>
          </w:rPr>
          <w:fldChar w:fldCharType="begin"/>
        </w:r>
        <w:r w:rsidR="002B1532">
          <w:rPr>
            <w:noProof/>
            <w:webHidden/>
          </w:rPr>
          <w:instrText xml:space="preserve"> PAGEREF _Toc373093548 \h </w:instrText>
        </w:r>
        <w:r w:rsidR="002B1532">
          <w:rPr>
            <w:noProof/>
            <w:webHidden/>
          </w:rPr>
        </w:r>
        <w:r w:rsidR="002B1532">
          <w:rPr>
            <w:noProof/>
            <w:webHidden/>
          </w:rPr>
          <w:fldChar w:fldCharType="separate"/>
        </w:r>
        <w:r w:rsidR="002B1532">
          <w:rPr>
            <w:noProof/>
            <w:webHidden/>
          </w:rPr>
          <w:t>54</w:t>
        </w:r>
        <w:r w:rsidR="002B1532">
          <w:rPr>
            <w:noProof/>
            <w:webHidden/>
          </w:rPr>
          <w:fldChar w:fldCharType="end"/>
        </w:r>
      </w:hyperlink>
    </w:p>
    <w:p w:rsidR="002B1532" w:rsidRDefault="00E52595">
      <w:pPr>
        <w:pStyle w:val="TOC2"/>
        <w:tabs>
          <w:tab w:val="left" w:pos="720"/>
          <w:tab w:val="right" w:leader="underscore" w:pos="8828"/>
        </w:tabs>
        <w:rPr>
          <w:rFonts w:eastAsiaTheme="minorEastAsia" w:cstheme="minorBidi"/>
          <w:b w:val="0"/>
          <w:bCs w:val="0"/>
          <w:noProof/>
          <w:lang w:val="es-CL" w:eastAsia="es-CL"/>
        </w:rPr>
      </w:pPr>
      <w:hyperlink w:anchor="_Toc373093549" w:history="1">
        <w:r w:rsidR="002B1532" w:rsidRPr="00BC09BB">
          <w:rPr>
            <w:rStyle w:val="Hyperlink"/>
            <w:noProof/>
          </w:rPr>
          <w:t>C.</w:t>
        </w:r>
        <w:r w:rsidR="002B1532">
          <w:rPr>
            <w:rFonts w:eastAsiaTheme="minorEastAsia" w:cstheme="minorBidi"/>
            <w:b w:val="0"/>
            <w:bCs w:val="0"/>
            <w:noProof/>
            <w:lang w:val="es-CL" w:eastAsia="es-CL"/>
          </w:rPr>
          <w:tab/>
        </w:r>
        <w:r w:rsidR="002B1532" w:rsidRPr="00BC09BB">
          <w:rPr>
            <w:rStyle w:val="Hyperlink"/>
            <w:noProof/>
          </w:rPr>
          <w:t>Precios sociales Bolivia</w:t>
        </w:r>
        <w:r w:rsidR="002B1532">
          <w:rPr>
            <w:noProof/>
            <w:webHidden/>
          </w:rPr>
          <w:tab/>
        </w:r>
        <w:r w:rsidR="002B1532">
          <w:rPr>
            <w:noProof/>
            <w:webHidden/>
          </w:rPr>
          <w:fldChar w:fldCharType="begin"/>
        </w:r>
        <w:r w:rsidR="002B1532">
          <w:rPr>
            <w:noProof/>
            <w:webHidden/>
          </w:rPr>
          <w:instrText xml:space="preserve"> PAGEREF _Toc373093549 \h </w:instrText>
        </w:r>
        <w:r w:rsidR="002B1532">
          <w:rPr>
            <w:noProof/>
            <w:webHidden/>
          </w:rPr>
        </w:r>
        <w:r w:rsidR="002B1532">
          <w:rPr>
            <w:noProof/>
            <w:webHidden/>
          </w:rPr>
          <w:fldChar w:fldCharType="separate"/>
        </w:r>
        <w:r w:rsidR="002B1532">
          <w:rPr>
            <w:noProof/>
            <w:webHidden/>
          </w:rPr>
          <w:t>55</w:t>
        </w:r>
        <w:r w:rsidR="002B1532">
          <w:rPr>
            <w:noProof/>
            <w:webHidden/>
          </w:rPr>
          <w:fldChar w:fldCharType="end"/>
        </w:r>
      </w:hyperlink>
    </w:p>
    <w:p w:rsidR="002B1532" w:rsidRDefault="00E52595">
      <w:pPr>
        <w:pStyle w:val="TOC2"/>
        <w:tabs>
          <w:tab w:val="left" w:pos="720"/>
          <w:tab w:val="right" w:leader="underscore" w:pos="8828"/>
        </w:tabs>
        <w:rPr>
          <w:rFonts w:eastAsiaTheme="minorEastAsia" w:cstheme="minorBidi"/>
          <w:b w:val="0"/>
          <w:bCs w:val="0"/>
          <w:noProof/>
          <w:lang w:val="es-CL" w:eastAsia="es-CL"/>
        </w:rPr>
      </w:pPr>
      <w:hyperlink w:anchor="_Toc373093550" w:history="1">
        <w:r w:rsidR="002B1532" w:rsidRPr="00BC09BB">
          <w:rPr>
            <w:rStyle w:val="Hyperlink"/>
            <w:noProof/>
          </w:rPr>
          <w:t>D.</w:t>
        </w:r>
        <w:r w:rsidR="002B1532">
          <w:rPr>
            <w:rFonts w:eastAsiaTheme="minorEastAsia" w:cstheme="minorBidi"/>
            <w:b w:val="0"/>
            <w:bCs w:val="0"/>
            <w:noProof/>
            <w:lang w:val="es-CL" w:eastAsia="es-CL"/>
          </w:rPr>
          <w:tab/>
        </w:r>
        <w:r w:rsidR="002B1532" w:rsidRPr="00BC09BB">
          <w:rPr>
            <w:rStyle w:val="Hyperlink"/>
            <w:noProof/>
          </w:rPr>
          <w:t>Equipamiento seleccionado para su renovación cada diez años (US$)</w:t>
        </w:r>
        <w:r w:rsidR="002B1532">
          <w:rPr>
            <w:noProof/>
            <w:webHidden/>
          </w:rPr>
          <w:tab/>
        </w:r>
        <w:r w:rsidR="002B1532">
          <w:rPr>
            <w:noProof/>
            <w:webHidden/>
          </w:rPr>
          <w:fldChar w:fldCharType="begin"/>
        </w:r>
        <w:r w:rsidR="002B1532">
          <w:rPr>
            <w:noProof/>
            <w:webHidden/>
          </w:rPr>
          <w:instrText xml:space="preserve"> PAGEREF _Toc373093550 \h </w:instrText>
        </w:r>
        <w:r w:rsidR="002B1532">
          <w:rPr>
            <w:noProof/>
            <w:webHidden/>
          </w:rPr>
        </w:r>
        <w:r w:rsidR="002B1532">
          <w:rPr>
            <w:noProof/>
            <w:webHidden/>
          </w:rPr>
          <w:fldChar w:fldCharType="separate"/>
        </w:r>
        <w:r w:rsidR="002B1532">
          <w:rPr>
            <w:noProof/>
            <w:webHidden/>
          </w:rPr>
          <w:t>55</w:t>
        </w:r>
        <w:r w:rsidR="002B1532">
          <w:rPr>
            <w:noProof/>
            <w:webHidden/>
          </w:rPr>
          <w:fldChar w:fldCharType="end"/>
        </w:r>
      </w:hyperlink>
    </w:p>
    <w:p w:rsidR="002B1532" w:rsidRDefault="00E52595">
      <w:pPr>
        <w:pStyle w:val="TOC2"/>
        <w:tabs>
          <w:tab w:val="left" w:pos="720"/>
          <w:tab w:val="right" w:leader="underscore" w:pos="8828"/>
        </w:tabs>
        <w:rPr>
          <w:rFonts w:eastAsiaTheme="minorEastAsia" w:cstheme="minorBidi"/>
          <w:b w:val="0"/>
          <w:bCs w:val="0"/>
          <w:noProof/>
          <w:lang w:val="es-CL" w:eastAsia="es-CL"/>
        </w:rPr>
      </w:pPr>
      <w:hyperlink w:anchor="_Toc373093551" w:history="1">
        <w:r w:rsidR="002B1532" w:rsidRPr="00BC09BB">
          <w:rPr>
            <w:rStyle w:val="Hyperlink"/>
            <w:noProof/>
          </w:rPr>
          <w:t>E.</w:t>
        </w:r>
        <w:r w:rsidR="002B1532">
          <w:rPr>
            <w:rFonts w:eastAsiaTheme="minorEastAsia" w:cstheme="minorBidi"/>
            <w:b w:val="0"/>
            <w:bCs w:val="0"/>
            <w:noProof/>
            <w:lang w:val="es-CL" w:eastAsia="es-CL"/>
          </w:rPr>
          <w:tab/>
        </w:r>
        <w:r w:rsidR="002B1532" w:rsidRPr="00BC09BB">
          <w:rPr>
            <w:rStyle w:val="Hyperlink"/>
            <w:noProof/>
          </w:rPr>
          <w:t>Beneficio Incrementales del proyecto por prestación sanitaria (B$)</w:t>
        </w:r>
        <w:r w:rsidR="002B1532">
          <w:rPr>
            <w:noProof/>
            <w:webHidden/>
          </w:rPr>
          <w:tab/>
        </w:r>
        <w:r w:rsidR="002B1532">
          <w:rPr>
            <w:noProof/>
            <w:webHidden/>
          </w:rPr>
          <w:fldChar w:fldCharType="begin"/>
        </w:r>
        <w:r w:rsidR="002B1532">
          <w:rPr>
            <w:noProof/>
            <w:webHidden/>
          </w:rPr>
          <w:instrText xml:space="preserve"> PAGEREF _Toc373093551 \h </w:instrText>
        </w:r>
        <w:r w:rsidR="002B1532">
          <w:rPr>
            <w:noProof/>
            <w:webHidden/>
          </w:rPr>
        </w:r>
        <w:r w:rsidR="002B1532">
          <w:rPr>
            <w:noProof/>
            <w:webHidden/>
          </w:rPr>
          <w:fldChar w:fldCharType="separate"/>
        </w:r>
        <w:r w:rsidR="002B1532">
          <w:rPr>
            <w:noProof/>
            <w:webHidden/>
          </w:rPr>
          <w:t>56</w:t>
        </w:r>
        <w:r w:rsidR="002B1532">
          <w:rPr>
            <w:noProof/>
            <w:webHidden/>
          </w:rPr>
          <w:fldChar w:fldCharType="end"/>
        </w:r>
      </w:hyperlink>
    </w:p>
    <w:p w:rsidR="002B1532" w:rsidRDefault="00E52595">
      <w:pPr>
        <w:pStyle w:val="TOC2"/>
        <w:tabs>
          <w:tab w:val="left" w:pos="720"/>
          <w:tab w:val="right" w:leader="underscore" w:pos="8828"/>
        </w:tabs>
        <w:rPr>
          <w:rFonts w:eastAsiaTheme="minorEastAsia" w:cstheme="minorBidi"/>
          <w:b w:val="0"/>
          <w:bCs w:val="0"/>
          <w:noProof/>
          <w:lang w:val="es-CL" w:eastAsia="es-CL"/>
        </w:rPr>
      </w:pPr>
      <w:hyperlink w:anchor="_Toc373093552" w:history="1">
        <w:r w:rsidR="002B1532" w:rsidRPr="00BC09BB">
          <w:rPr>
            <w:rStyle w:val="Hyperlink"/>
            <w:noProof/>
          </w:rPr>
          <w:t>F.</w:t>
        </w:r>
        <w:r w:rsidR="002B1532">
          <w:rPr>
            <w:rFonts w:eastAsiaTheme="minorEastAsia" w:cstheme="minorBidi"/>
            <w:b w:val="0"/>
            <w:bCs w:val="0"/>
            <w:noProof/>
            <w:lang w:val="es-CL" w:eastAsia="es-CL"/>
          </w:rPr>
          <w:tab/>
        </w:r>
        <w:r w:rsidR="002B1532" w:rsidRPr="00BC09BB">
          <w:rPr>
            <w:rStyle w:val="Hyperlink"/>
            <w:noProof/>
          </w:rPr>
          <w:t xml:space="preserve">Flujo de Inversiones (Comp 1, Comp 3, Inv CP), Costos y Beneficios incrementales por consumo, Beneficios por ahorro de costos de viaje por consultas especialidad, Beneficio por </w:t>
        </w:r>
        <w:r w:rsidR="002B1532" w:rsidRPr="00BC09BB">
          <w:rPr>
            <w:rStyle w:val="Hyperlink"/>
            <w:noProof/>
          </w:rPr>
          <w:lastRenderedPageBreak/>
          <w:t>ahorro de costos de viaje de referidos de cirugía, Beneficios Netos (BN), factor de descuento (FD), y Beneficios Netos Descontados (BND)</w:t>
        </w:r>
        <w:r w:rsidR="002B1532">
          <w:rPr>
            <w:noProof/>
            <w:webHidden/>
          </w:rPr>
          <w:tab/>
        </w:r>
        <w:r w:rsidR="002B1532">
          <w:rPr>
            <w:noProof/>
            <w:webHidden/>
          </w:rPr>
          <w:fldChar w:fldCharType="begin"/>
        </w:r>
        <w:r w:rsidR="002B1532">
          <w:rPr>
            <w:noProof/>
            <w:webHidden/>
          </w:rPr>
          <w:instrText xml:space="preserve"> PAGEREF _Toc373093552 \h </w:instrText>
        </w:r>
        <w:r w:rsidR="002B1532">
          <w:rPr>
            <w:noProof/>
            <w:webHidden/>
          </w:rPr>
        </w:r>
        <w:r w:rsidR="002B1532">
          <w:rPr>
            <w:noProof/>
            <w:webHidden/>
          </w:rPr>
          <w:fldChar w:fldCharType="separate"/>
        </w:r>
        <w:r w:rsidR="002B1532">
          <w:rPr>
            <w:noProof/>
            <w:webHidden/>
          </w:rPr>
          <w:t>59</w:t>
        </w:r>
        <w:r w:rsidR="002B1532">
          <w:rPr>
            <w:noProof/>
            <w:webHidden/>
          </w:rPr>
          <w:fldChar w:fldCharType="end"/>
        </w:r>
      </w:hyperlink>
    </w:p>
    <w:p w:rsidR="000F285D" w:rsidRPr="002D0C52" w:rsidRDefault="000F285D" w:rsidP="00F51E52">
      <w:pPr>
        <w:jc w:val="center"/>
        <w:rPr>
          <w:rFonts w:asciiTheme="minorHAnsi" w:hAnsiTheme="minorHAnsi" w:cstheme="minorHAnsi"/>
          <w:sz w:val="22"/>
          <w:szCs w:val="22"/>
          <w:lang w:val="es-MX"/>
        </w:rPr>
      </w:pPr>
      <w:r w:rsidRPr="002D0C52">
        <w:rPr>
          <w:rFonts w:asciiTheme="minorHAnsi" w:hAnsiTheme="minorHAnsi" w:cstheme="minorHAnsi"/>
          <w:sz w:val="22"/>
          <w:szCs w:val="22"/>
          <w:lang w:val="es-MX"/>
        </w:rPr>
        <w:fldChar w:fldCharType="end"/>
      </w:r>
    </w:p>
    <w:p w:rsidR="002B1532" w:rsidRDefault="002B1532">
      <w:pPr>
        <w:rPr>
          <w:rFonts w:ascii="Arial" w:hAnsi="Arial" w:cs="Arial"/>
          <w:lang w:val="es-MX"/>
        </w:rPr>
      </w:pPr>
      <w:r>
        <w:rPr>
          <w:rFonts w:ascii="Arial" w:hAnsi="Arial" w:cs="Arial"/>
          <w:lang w:val="es-MX"/>
        </w:rPr>
        <w:br w:type="page"/>
      </w:r>
    </w:p>
    <w:p w:rsidR="0032745B" w:rsidRPr="00FB4819" w:rsidRDefault="0032745B" w:rsidP="0032745B">
      <w:pPr>
        <w:pStyle w:val="Heading1"/>
        <w:rPr>
          <w:rFonts w:asciiTheme="minorHAnsi" w:hAnsiTheme="minorHAnsi" w:cstheme="minorHAnsi"/>
          <w:sz w:val="22"/>
        </w:rPr>
      </w:pPr>
      <w:bookmarkStart w:id="0" w:name="_Toc368865402"/>
      <w:bookmarkStart w:id="1" w:name="_Toc373093491"/>
      <w:r w:rsidRPr="00FB4819">
        <w:rPr>
          <w:rFonts w:asciiTheme="minorHAnsi" w:hAnsiTheme="minorHAnsi" w:cstheme="minorHAnsi"/>
          <w:sz w:val="22"/>
        </w:rPr>
        <w:lastRenderedPageBreak/>
        <w:t>O</w:t>
      </w:r>
      <w:r>
        <w:rPr>
          <w:rFonts w:asciiTheme="minorHAnsi" w:hAnsiTheme="minorHAnsi" w:cstheme="minorHAnsi"/>
          <w:sz w:val="22"/>
        </w:rPr>
        <w:t>RIGEN DEL PROYECTO Y OBJETIVO DEL ESTUDIO</w:t>
      </w:r>
      <w:bookmarkEnd w:id="0"/>
      <w:bookmarkEnd w:id="1"/>
    </w:p>
    <w:p w:rsidR="0032745B" w:rsidRPr="00FB4819" w:rsidRDefault="0032745B" w:rsidP="0032745B">
      <w:pPr>
        <w:pStyle w:val="Heading3"/>
        <w:rPr>
          <w:rFonts w:asciiTheme="minorHAnsi" w:hAnsiTheme="minorHAnsi" w:cstheme="minorHAnsi"/>
          <w:b/>
          <w:sz w:val="22"/>
        </w:rPr>
      </w:pPr>
      <w:bookmarkStart w:id="2" w:name="_Toc368865403"/>
      <w:bookmarkStart w:id="3" w:name="_Toc373093492"/>
      <w:r w:rsidRPr="00FB4819">
        <w:rPr>
          <w:rFonts w:asciiTheme="minorHAnsi" w:hAnsiTheme="minorHAnsi" w:cstheme="minorHAnsi"/>
          <w:b/>
          <w:sz w:val="22"/>
        </w:rPr>
        <w:t>1.1 Origen del proyecto y situación problema</w:t>
      </w:r>
      <w:bookmarkEnd w:id="2"/>
      <w:bookmarkEnd w:id="3"/>
    </w:p>
    <w:p w:rsidR="0032745B" w:rsidRPr="00FB4819" w:rsidRDefault="0032745B" w:rsidP="0032745B">
      <w:pPr>
        <w:pStyle w:val="BlockText"/>
        <w:ind w:left="0"/>
        <w:rPr>
          <w:rFonts w:asciiTheme="minorHAnsi" w:hAnsiTheme="minorHAnsi" w:cstheme="minorHAnsi"/>
          <w:sz w:val="22"/>
        </w:rPr>
      </w:pPr>
    </w:p>
    <w:p w:rsidR="0032745B" w:rsidRPr="00FB4819" w:rsidRDefault="0032745B" w:rsidP="0032745B">
      <w:pPr>
        <w:pStyle w:val="BlockText"/>
        <w:ind w:left="0"/>
        <w:rPr>
          <w:rFonts w:asciiTheme="minorHAnsi" w:hAnsiTheme="minorHAnsi" w:cstheme="minorHAnsi"/>
          <w:sz w:val="22"/>
        </w:rPr>
      </w:pPr>
      <w:r w:rsidRPr="00FB4819">
        <w:rPr>
          <w:rFonts w:asciiTheme="minorHAnsi" w:hAnsiTheme="minorHAnsi" w:cstheme="minorHAnsi"/>
          <w:sz w:val="22"/>
        </w:rPr>
        <w:t>Actualmente el Estado Plurinacional de Bolivia, encabezado por el Presidente Evo Morales se encuentra impulsando un proceso de cambios de la sociedad en su conjunto y del sector salud en particular. Dentro de las transformaciones que se espera se concreten en el futuro inmediato est</w:t>
      </w:r>
      <w:r>
        <w:rPr>
          <w:rFonts w:asciiTheme="minorHAnsi" w:hAnsiTheme="minorHAnsi" w:cstheme="minorHAnsi"/>
          <w:sz w:val="22"/>
        </w:rPr>
        <w:t>á</w:t>
      </w:r>
      <w:r w:rsidRPr="00FB4819">
        <w:rPr>
          <w:rFonts w:asciiTheme="minorHAnsi" w:hAnsiTheme="minorHAnsi" w:cstheme="minorHAnsi"/>
          <w:sz w:val="22"/>
        </w:rPr>
        <w:t xml:space="preserve"> la reforma sanitaria que instaurará el Sistema Único de Salud (SUS).</w:t>
      </w:r>
    </w:p>
    <w:p w:rsidR="0032745B" w:rsidRPr="00FB4819" w:rsidRDefault="0032745B" w:rsidP="0032745B">
      <w:pPr>
        <w:pStyle w:val="BlockText"/>
        <w:ind w:left="0"/>
        <w:rPr>
          <w:rFonts w:asciiTheme="minorHAnsi" w:hAnsiTheme="minorHAnsi" w:cstheme="minorHAnsi"/>
          <w:sz w:val="22"/>
        </w:rPr>
      </w:pPr>
      <w:r w:rsidRPr="00FB4819">
        <w:rPr>
          <w:rFonts w:asciiTheme="minorHAnsi" w:hAnsiTheme="minorHAnsi" w:cstheme="minorHAnsi"/>
          <w:sz w:val="22"/>
        </w:rPr>
        <w:t>Esta reforma, se espera aument</w:t>
      </w:r>
      <w:r>
        <w:rPr>
          <w:rFonts w:asciiTheme="minorHAnsi" w:hAnsiTheme="minorHAnsi" w:cstheme="minorHAnsi"/>
          <w:sz w:val="22"/>
        </w:rPr>
        <w:t>e</w:t>
      </w:r>
      <w:r w:rsidRPr="00FB4819">
        <w:rPr>
          <w:rFonts w:asciiTheme="minorHAnsi" w:hAnsiTheme="minorHAnsi" w:cstheme="minorHAnsi"/>
          <w:sz w:val="22"/>
        </w:rPr>
        <w:t xml:space="preserve"> significativamente la demanda por prestaciones de salud en todo el país</w:t>
      </w:r>
      <w:r>
        <w:rPr>
          <w:rFonts w:asciiTheme="minorHAnsi" w:hAnsiTheme="minorHAnsi" w:cstheme="minorHAnsi"/>
          <w:sz w:val="22"/>
        </w:rPr>
        <w:t>,</w:t>
      </w:r>
      <w:r w:rsidRPr="00FB4819">
        <w:rPr>
          <w:rFonts w:asciiTheme="minorHAnsi" w:hAnsiTheme="minorHAnsi" w:cstheme="minorHAnsi"/>
          <w:sz w:val="22"/>
        </w:rPr>
        <w:t xml:space="preserve"> disminuyendo las barreras económicas</w:t>
      </w:r>
      <w:r>
        <w:rPr>
          <w:rFonts w:asciiTheme="minorHAnsi" w:hAnsiTheme="minorHAnsi" w:cstheme="minorHAnsi"/>
          <w:sz w:val="22"/>
        </w:rPr>
        <w:t xml:space="preserve"> de acceso</w:t>
      </w:r>
      <w:r w:rsidRPr="00FB4819">
        <w:rPr>
          <w:rFonts w:asciiTheme="minorHAnsi" w:hAnsiTheme="minorHAnsi" w:cstheme="minorHAnsi"/>
          <w:sz w:val="22"/>
        </w:rPr>
        <w:t xml:space="preserve"> que enfrentan los potenciales usuarios de los servicios, habida cuenta de los bajos niveles de población asegurada que se observan en el país. A su vez, el fortalecimiento de la red asistencial se espera disminuya las barreras culturales y de condiciones de funcionamiento de la red, todo lo cual se </w:t>
      </w:r>
      <w:r>
        <w:rPr>
          <w:rFonts w:asciiTheme="minorHAnsi" w:hAnsiTheme="minorHAnsi" w:cstheme="minorHAnsi"/>
          <w:sz w:val="22"/>
        </w:rPr>
        <w:t>proyecta</w:t>
      </w:r>
      <w:r w:rsidRPr="00FB4819">
        <w:rPr>
          <w:rFonts w:asciiTheme="minorHAnsi" w:hAnsiTheme="minorHAnsi" w:cstheme="minorHAnsi"/>
          <w:sz w:val="22"/>
        </w:rPr>
        <w:t xml:space="preserve"> aumenten en el mediano plazo la demanda por atenciones de salud.</w:t>
      </w:r>
    </w:p>
    <w:p w:rsidR="0032745B" w:rsidRPr="00FB4819" w:rsidRDefault="0032745B" w:rsidP="0032745B">
      <w:pPr>
        <w:pStyle w:val="BlockText"/>
        <w:ind w:left="0"/>
        <w:rPr>
          <w:rFonts w:asciiTheme="minorHAnsi" w:hAnsiTheme="minorHAnsi" w:cstheme="minorHAnsi"/>
          <w:sz w:val="22"/>
        </w:rPr>
      </w:pPr>
      <w:r w:rsidRPr="00FB4819">
        <w:rPr>
          <w:rFonts w:asciiTheme="minorHAnsi" w:hAnsiTheme="minorHAnsi" w:cstheme="minorHAnsi"/>
          <w:sz w:val="22"/>
        </w:rPr>
        <w:t>Por lo anterior</w:t>
      </w:r>
      <w:r>
        <w:rPr>
          <w:rFonts w:asciiTheme="minorHAnsi" w:hAnsiTheme="minorHAnsi" w:cstheme="minorHAnsi"/>
          <w:sz w:val="22"/>
        </w:rPr>
        <w:t>,</w:t>
      </w:r>
      <w:r w:rsidRPr="00FB4819">
        <w:rPr>
          <w:rFonts w:asciiTheme="minorHAnsi" w:hAnsiTheme="minorHAnsi" w:cstheme="minorHAnsi"/>
          <w:sz w:val="22"/>
        </w:rPr>
        <w:t xml:space="preserve"> se estima que la infraestructura hospitalaria se debe preparar para hacer frente a una demanda creciente de la población. Es esta situación la que motiva a las autoridades a impulsar un proyecto de </w:t>
      </w:r>
      <w:r>
        <w:rPr>
          <w:rFonts w:asciiTheme="minorHAnsi" w:hAnsiTheme="minorHAnsi" w:cstheme="minorHAnsi"/>
          <w:sz w:val="22"/>
        </w:rPr>
        <w:t>construcción del nuevo</w:t>
      </w:r>
      <w:r w:rsidRPr="00FB4819">
        <w:rPr>
          <w:rFonts w:asciiTheme="minorHAnsi" w:hAnsiTheme="minorHAnsi" w:cstheme="minorHAnsi"/>
          <w:sz w:val="22"/>
        </w:rPr>
        <w:t xml:space="preserve"> Hospital </w:t>
      </w:r>
      <w:r w:rsidR="00F57D71">
        <w:rPr>
          <w:rFonts w:asciiTheme="minorHAnsi" w:hAnsiTheme="minorHAnsi" w:cstheme="minorHAnsi"/>
          <w:sz w:val="22"/>
        </w:rPr>
        <w:t>en El Alto</w:t>
      </w:r>
      <w:r w:rsidRPr="00FB4819">
        <w:rPr>
          <w:rFonts w:asciiTheme="minorHAnsi" w:hAnsiTheme="minorHAnsi" w:cstheme="minorHAnsi"/>
          <w:sz w:val="22"/>
        </w:rPr>
        <w:t>.</w:t>
      </w:r>
    </w:p>
    <w:p w:rsidR="0032745B" w:rsidRPr="00FB4819" w:rsidRDefault="0032745B" w:rsidP="0032745B">
      <w:pPr>
        <w:rPr>
          <w:rFonts w:asciiTheme="minorHAnsi" w:hAnsiTheme="minorHAnsi" w:cstheme="minorHAnsi"/>
          <w:b/>
          <w:bCs/>
          <w:sz w:val="22"/>
          <w:szCs w:val="22"/>
        </w:rPr>
      </w:pPr>
    </w:p>
    <w:p w:rsidR="0032745B" w:rsidRPr="00FB4819" w:rsidRDefault="0032745B" w:rsidP="0032745B">
      <w:pPr>
        <w:pStyle w:val="Heading3"/>
        <w:rPr>
          <w:rFonts w:asciiTheme="minorHAnsi" w:hAnsiTheme="minorHAnsi" w:cstheme="minorHAnsi"/>
          <w:b/>
          <w:sz w:val="22"/>
        </w:rPr>
      </w:pPr>
      <w:bookmarkStart w:id="4" w:name="_Toc368865405"/>
      <w:bookmarkStart w:id="5" w:name="_Toc373093493"/>
      <w:r w:rsidRPr="00FB4819">
        <w:rPr>
          <w:rFonts w:asciiTheme="minorHAnsi" w:hAnsiTheme="minorHAnsi" w:cstheme="minorHAnsi"/>
          <w:b/>
          <w:bCs/>
          <w:sz w:val="22"/>
        </w:rPr>
        <w:t>1.</w:t>
      </w:r>
      <w:r w:rsidR="00F57D71">
        <w:rPr>
          <w:rFonts w:asciiTheme="minorHAnsi" w:hAnsiTheme="minorHAnsi" w:cstheme="minorHAnsi"/>
          <w:b/>
          <w:bCs/>
          <w:sz w:val="22"/>
        </w:rPr>
        <w:t>2</w:t>
      </w:r>
      <w:r w:rsidRPr="00FB4819">
        <w:rPr>
          <w:rFonts w:asciiTheme="minorHAnsi" w:hAnsiTheme="minorHAnsi" w:cstheme="minorHAnsi"/>
          <w:b/>
          <w:bCs/>
          <w:sz w:val="22"/>
        </w:rPr>
        <w:t xml:space="preserve"> </w:t>
      </w:r>
      <w:r w:rsidRPr="00FB4819">
        <w:rPr>
          <w:rFonts w:asciiTheme="minorHAnsi" w:hAnsiTheme="minorHAnsi" w:cstheme="minorHAnsi"/>
          <w:b/>
          <w:sz w:val="22"/>
        </w:rPr>
        <w:t>Objetivo del estudio</w:t>
      </w:r>
      <w:bookmarkEnd w:id="4"/>
      <w:bookmarkEnd w:id="5"/>
    </w:p>
    <w:p w:rsidR="0032745B" w:rsidRPr="00FB4819" w:rsidRDefault="0032745B" w:rsidP="0032745B">
      <w:pPr>
        <w:pStyle w:val="BodyTextIndent3"/>
        <w:ind w:left="0"/>
        <w:rPr>
          <w:rFonts w:asciiTheme="minorHAnsi" w:hAnsiTheme="minorHAnsi" w:cstheme="minorHAnsi"/>
          <w:sz w:val="22"/>
        </w:rPr>
      </w:pPr>
    </w:p>
    <w:p w:rsidR="0032745B" w:rsidRDefault="0032745B" w:rsidP="00F57D71">
      <w:pPr>
        <w:pStyle w:val="BodyTextIndent3"/>
        <w:ind w:left="0"/>
        <w:rPr>
          <w:rFonts w:asciiTheme="minorHAnsi" w:hAnsiTheme="minorHAnsi" w:cstheme="minorHAnsi"/>
          <w:sz w:val="22"/>
        </w:rPr>
      </w:pPr>
      <w:r w:rsidRPr="00FB4819">
        <w:rPr>
          <w:rFonts w:asciiTheme="minorHAnsi" w:hAnsiTheme="minorHAnsi" w:cstheme="minorHAnsi"/>
          <w:sz w:val="22"/>
        </w:rPr>
        <w:t>El objetivo del presente estudio</w:t>
      </w:r>
      <w:r>
        <w:rPr>
          <w:rFonts w:asciiTheme="minorHAnsi" w:hAnsiTheme="minorHAnsi" w:cstheme="minorHAnsi"/>
          <w:sz w:val="22"/>
        </w:rPr>
        <w:t>, de acuerdo a los Términos de Referencia,</w:t>
      </w:r>
      <w:r w:rsidRPr="00FB4819">
        <w:rPr>
          <w:rFonts w:asciiTheme="minorHAnsi" w:hAnsiTheme="minorHAnsi" w:cstheme="minorHAnsi"/>
          <w:sz w:val="22"/>
        </w:rPr>
        <w:t xml:space="preserve"> </w:t>
      </w:r>
      <w:r>
        <w:rPr>
          <w:rFonts w:asciiTheme="minorHAnsi" w:hAnsiTheme="minorHAnsi" w:cstheme="minorHAnsi"/>
          <w:sz w:val="22"/>
        </w:rPr>
        <w:t xml:space="preserve">es </w:t>
      </w:r>
      <w:r w:rsidRPr="00F00FF0">
        <w:rPr>
          <w:rFonts w:asciiTheme="minorHAnsi" w:hAnsiTheme="minorHAnsi" w:cstheme="minorHAnsi"/>
          <w:sz w:val="22"/>
        </w:rPr>
        <w:t>realizar u</w:t>
      </w:r>
      <w:r>
        <w:rPr>
          <w:rFonts w:asciiTheme="minorHAnsi" w:hAnsiTheme="minorHAnsi" w:cstheme="minorHAnsi"/>
          <w:sz w:val="22"/>
        </w:rPr>
        <w:t>n</w:t>
      </w:r>
      <w:r w:rsidRPr="00F00FF0">
        <w:rPr>
          <w:rFonts w:asciiTheme="minorHAnsi" w:hAnsiTheme="minorHAnsi" w:cstheme="minorHAnsi"/>
          <w:sz w:val="22"/>
        </w:rPr>
        <w:t>a evaluación ex-ante del costo-beneficio</w:t>
      </w:r>
      <w:r>
        <w:rPr>
          <w:rFonts w:asciiTheme="minorHAnsi" w:hAnsiTheme="minorHAnsi" w:cstheme="minorHAnsi"/>
          <w:sz w:val="22"/>
        </w:rPr>
        <w:t xml:space="preserve"> </w:t>
      </w:r>
      <w:r w:rsidRPr="00F00FF0">
        <w:rPr>
          <w:rFonts w:asciiTheme="minorHAnsi" w:hAnsiTheme="minorHAnsi" w:cstheme="minorHAnsi"/>
          <w:sz w:val="22"/>
        </w:rPr>
        <w:t>social de la construcción y equipamiento del hospital, la cual se expresará en au</w:t>
      </w:r>
      <w:r>
        <w:rPr>
          <w:rFonts w:asciiTheme="minorHAnsi" w:hAnsiTheme="minorHAnsi" w:cstheme="minorHAnsi"/>
          <w:sz w:val="22"/>
        </w:rPr>
        <w:t>men</w:t>
      </w:r>
      <w:r w:rsidRPr="00F00FF0">
        <w:rPr>
          <w:rFonts w:asciiTheme="minorHAnsi" w:hAnsiTheme="minorHAnsi" w:cstheme="minorHAnsi"/>
          <w:sz w:val="22"/>
        </w:rPr>
        <w:t>tos en</w:t>
      </w:r>
      <w:r>
        <w:rPr>
          <w:rFonts w:asciiTheme="minorHAnsi" w:hAnsiTheme="minorHAnsi" w:cstheme="minorHAnsi"/>
          <w:sz w:val="22"/>
        </w:rPr>
        <w:t xml:space="preserve"> </w:t>
      </w:r>
      <w:r w:rsidRPr="00F00FF0">
        <w:rPr>
          <w:rFonts w:asciiTheme="minorHAnsi" w:hAnsiTheme="minorHAnsi" w:cstheme="minorHAnsi"/>
          <w:sz w:val="22"/>
        </w:rPr>
        <w:t xml:space="preserve">la dotación de camas e incremento de los servicios de atención especializada en </w:t>
      </w:r>
      <w:r w:rsidR="00F57D71" w:rsidRPr="00F57D71">
        <w:rPr>
          <w:rFonts w:asciiTheme="minorHAnsi" w:hAnsiTheme="minorHAnsi" w:cstheme="minorHAnsi"/>
          <w:sz w:val="22"/>
        </w:rPr>
        <w:t>El Alto Sur como complemento</w:t>
      </w:r>
      <w:r w:rsidR="00F57D71">
        <w:rPr>
          <w:rFonts w:asciiTheme="minorHAnsi" w:hAnsiTheme="minorHAnsi" w:cstheme="minorHAnsi"/>
          <w:sz w:val="22"/>
        </w:rPr>
        <w:t xml:space="preserve"> </w:t>
      </w:r>
      <w:r w:rsidR="00F57D71" w:rsidRPr="00F57D71">
        <w:rPr>
          <w:rFonts w:asciiTheme="minorHAnsi" w:hAnsiTheme="minorHAnsi" w:cstheme="minorHAnsi"/>
          <w:sz w:val="22"/>
        </w:rPr>
        <w:t>del Hospital el Alto Norte y de las Redes Integrales de Servicios</w:t>
      </w:r>
      <w:r w:rsidR="00D3593C" w:rsidRPr="00F57D71">
        <w:rPr>
          <w:rFonts w:asciiTheme="minorHAnsi" w:hAnsiTheme="minorHAnsi" w:cstheme="minorHAnsi"/>
          <w:sz w:val="22"/>
        </w:rPr>
        <w:t>.</w:t>
      </w:r>
      <w:r w:rsidR="00D3593C">
        <w:rPr>
          <w:rFonts w:asciiTheme="minorHAnsi" w:hAnsiTheme="minorHAnsi" w:cstheme="minorHAnsi"/>
          <w:sz w:val="22"/>
        </w:rPr>
        <w:t>..</w:t>
      </w:r>
    </w:p>
    <w:p w:rsidR="00F57D71" w:rsidRDefault="0032745B" w:rsidP="00F57D71">
      <w:pPr>
        <w:pStyle w:val="BodyTextIndent3"/>
        <w:ind w:left="0"/>
        <w:rPr>
          <w:rFonts w:asciiTheme="minorHAnsi" w:hAnsiTheme="minorHAnsi" w:cstheme="minorHAnsi"/>
          <w:sz w:val="22"/>
        </w:rPr>
      </w:pPr>
      <w:r>
        <w:rPr>
          <w:rFonts w:asciiTheme="minorHAnsi" w:hAnsiTheme="minorHAnsi" w:cstheme="minorHAnsi"/>
          <w:sz w:val="22"/>
        </w:rPr>
        <w:t>A su vez, se explicitan los siguientes productos:</w:t>
      </w:r>
    </w:p>
    <w:p w:rsidR="00467B5C" w:rsidRPr="00467B5C" w:rsidRDefault="00F57D71" w:rsidP="008A366B">
      <w:pPr>
        <w:pStyle w:val="BodyTextIndent3"/>
        <w:keepNext/>
        <w:widowControl w:val="0"/>
        <w:numPr>
          <w:ilvl w:val="0"/>
          <w:numId w:val="7"/>
        </w:numPr>
        <w:autoSpaceDE w:val="0"/>
        <w:autoSpaceDN w:val="0"/>
        <w:adjustRightInd w:val="0"/>
        <w:ind w:right="23"/>
        <w:rPr>
          <w:rFonts w:asciiTheme="minorHAnsi" w:hAnsiTheme="minorHAnsi" w:cstheme="minorHAnsi"/>
          <w:b/>
          <w:bCs/>
          <w:sz w:val="22"/>
          <w:szCs w:val="22"/>
        </w:rPr>
      </w:pPr>
      <w:r w:rsidRPr="00467B5C">
        <w:rPr>
          <w:rFonts w:asciiTheme="minorHAnsi" w:hAnsiTheme="minorHAnsi" w:cstheme="minorHAnsi"/>
          <w:sz w:val="22"/>
        </w:rPr>
        <w:t xml:space="preserve">Un documento con la evaluación ex ante de la construcción y equipamiento del hospital de especialidades Sur en la Ciudad de El Alto, departamento </w:t>
      </w:r>
      <w:r w:rsidR="00D3593C" w:rsidRPr="00467B5C">
        <w:rPr>
          <w:rFonts w:asciiTheme="minorHAnsi" w:hAnsiTheme="minorHAnsi" w:cstheme="minorHAnsi"/>
          <w:sz w:val="22"/>
        </w:rPr>
        <w:t>de La Paz</w:t>
      </w:r>
      <w:r w:rsidRPr="00467B5C">
        <w:rPr>
          <w:rFonts w:asciiTheme="minorHAnsi" w:hAnsiTheme="minorHAnsi" w:cstheme="minorHAnsi"/>
          <w:sz w:val="22"/>
        </w:rPr>
        <w:t>.</w:t>
      </w:r>
    </w:p>
    <w:p w:rsidR="0032745B" w:rsidRPr="00467B5C" w:rsidRDefault="00F57D71" w:rsidP="008A366B">
      <w:pPr>
        <w:pStyle w:val="BodyTextIndent3"/>
        <w:keepNext/>
        <w:widowControl w:val="0"/>
        <w:numPr>
          <w:ilvl w:val="0"/>
          <w:numId w:val="7"/>
        </w:numPr>
        <w:autoSpaceDE w:val="0"/>
        <w:autoSpaceDN w:val="0"/>
        <w:adjustRightInd w:val="0"/>
        <w:ind w:right="23"/>
        <w:rPr>
          <w:rFonts w:asciiTheme="minorHAnsi" w:hAnsiTheme="minorHAnsi" w:cstheme="minorHAnsi"/>
          <w:b/>
          <w:bCs/>
          <w:sz w:val="22"/>
          <w:szCs w:val="22"/>
        </w:rPr>
      </w:pPr>
      <w:r w:rsidRPr="00467B5C">
        <w:rPr>
          <w:rFonts w:asciiTheme="minorHAnsi" w:hAnsiTheme="minorHAnsi" w:cstheme="minorHAnsi"/>
          <w:sz w:val="22"/>
        </w:rPr>
        <w:t xml:space="preserve">Un documento donde describirá los diferentes escenarios de la evaluación ex ante de la construcción y equipamiento del hospital Sur en la Ciudad de El Alto, departamento de </w:t>
      </w:r>
      <w:r w:rsidR="00D3593C" w:rsidRPr="00467B5C">
        <w:rPr>
          <w:rFonts w:asciiTheme="minorHAnsi" w:hAnsiTheme="minorHAnsi" w:cstheme="minorHAnsi"/>
          <w:sz w:val="22"/>
        </w:rPr>
        <w:t>La Paz</w:t>
      </w:r>
      <w:r w:rsidRPr="00467B5C">
        <w:rPr>
          <w:rFonts w:asciiTheme="minorHAnsi" w:hAnsiTheme="minorHAnsi" w:cstheme="minorHAnsi"/>
          <w:sz w:val="22"/>
        </w:rPr>
        <w:t>.</w:t>
      </w:r>
    </w:p>
    <w:p w:rsidR="0032745B" w:rsidRPr="00FB4819" w:rsidRDefault="0032745B" w:rsidP="0032745B">
      <w:pPr>
        <w:rPr>
          <w:rFonts w:asciiTheme="minorHAnsi" w:hAnsiTheme="minorHAnsi" w:cstheme="minorHAnsi"/>
          <w:b/>
          <w:bCs/>
          <w:sz w:val="22"/>
          <w:szCs w:val="22"/>
        </w:rPr>
      </w:pPr>
      <w:r w:rsidRPr="00FB4819">
        <w:rPr>
          <w:rFonts w:asciiTheme="minorHAnsi" w:hAnsiTheme="minorHAnsi" w:cstheme="minorHAnsi"/>
          <w:b/>
          <w:bCs/>
          <w:sz w:val="22"/>
          <w:szCs w:val="22"/>
        </w:rPr>
        <w:br w:type="page"/>
      </w:r>
    </w:p>
    <w:p w:rsidR="0032745B" w:rsidRPr="000E565D" w:rsidRDefault="0032745B" w:rsidP="0032745B">
      <w:pPr>
        <w:pStyle w:val="Heading1"/>
      </w:pPr>
      <w:bookmarkStart w:id="6" w:name="_Toc330952990"/>
      <w:bookmarkStart w:id="7" w:name="_Toc368865406"/>
      <w:bookmarkStart w:id="8" w:name="_Toc373093494"/>
      <w:bookmarkStart w:id="9" w:name="_Toc302997991"/>
      <w:r w:rsidRPr="000E565D">
        <w:lastRenderedPageBreak/>
        <w:t xml:space="preserve">MODELO CONCEPTUAL PARA LA EVALUACIÓN </w:t>
      </w:r>
      <w:r w:rsidR="00B052E2">
        <w:t>SOCIO</w:t>
      </w:r>
      <w:r w:rsidRPr="000E565D">
        <w:t xml:space="preserve">ECONÓMICA DEL PROYECTO DE CONSTRUCCIÓN </w:t>
      </w:r>
      <w:r>
        <w:t xml:space="preserve">DEL HOSPITAL </w:t>
      </w:r>
      <w:r w:rsidR="00B052E2">
        <w:t>EL ALTO SUR</w:t>
      </w:r>
      <w:bookmarkEnd w:id="6"/>
      <w:bookmarkEnd w:id="7"/>
      <w:r w:rsidR="00256004">
        <w:t xml:space="preserve"> (HEAS)</w:t>
      </w:r>
      <w:bookmarkEnd w:id="8"/>
      <w:r w:rsidRPr="000E565D">
        <w:t xml:space="preserve"> </w:t>
      </w:r>
    </w:p>
    <w:bookmarkEnd w:id="9"/>
    <w:p w:rsidR="0032745B" w:rsidRPr="000E565D" w:rsidRDefault="0032745B" w:rsidP="0032745B">
      <w:pPr>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La evaluación económica y social de proyectos hospitalarios asume una perspectiva microeconómica, se orienta básicamente a determinar los flujos de beneficios y costos sociales asociados a un escenario con proyecto versus un escenario sin proyecto. El trasfondo de la determinación de los flujos de beneficios y costos sociales implican el estudio de las motivaciones y determinantes de la oferta y demanda de prestaciones sanitarias, y desde una perspectiva más amplia de la organización de la industria, en el sentido de establecer los vínculos no sólo de la oferta y demanda de prestaciones, sino también de la sustentabilidad de los sistemas sanitarios tanto desde el punto de vista del financiamiento como de la oportuna provisión de insumos y recursos humanos para la entrega de servicios sanitarios.</w:t>
      </w:r>
    </w:p>
    <w:p w:rsidR="0032745B" w:rsidRPr="000E565D" w:rsidRDefault="0032745B" w:rsidP="0032745B">
      <w:pPr>
        <w:jc w:val="both"/>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 xml:space="preserve">Desde una perspectiva general, podemos ver al hospital como un dispositivo sanitario que busca enfrentar el problema de la enfermedad de la población. En ese marco es importante establecer algunas relaciones básicas que se deben tener en cuenta en la evaluación de proyectos hospitalarios. </w:t>
      </w:r>
    </w:p>
    <w:p w:rsidR="0032745B" w:rsidRPr="000E565D" w:rsidRDefault="0032745B" w:rsidP="0032745B">
      <w:pPr>
        <w:jc w:val="both"/>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sz w:val="22"/>
          <w:szCs w:val="22"/>
        </w:rPr>
      </w:pPr>
      <w:r>
        <w:rPr>
          <w:rFonts w:asciiTheme="minorHAnsi" w:hAnsiTheme="minorHAnsi" w:cstheme="minorHAnsi"/>
          <w:sz w:val="22"/>
          <w:szCs w:val="22"/>
        </w:rPr>
        <w:t>De acuerdo a la Figura 2</w:t>
      </w:r>
      <w:r w:rsidRPr="000E565D">
        <w:rPr>
          <w:rFonts w:asciiTheme="minorHAnsi" w:hAnsiTheme="minorHAnsi" w:cstheme="minorHAnsi"/>
          <w:sz w:val="22"/>
          <w:szCs w:val="22"/>
        </w:rPr>
        <w:t xml:space="preserve">.1, podemos observar que el </w:t>
      </w:r>
      <w:r w:rsidR="00256004">
        <w:rPr>
          <w:rFonts w:asciiTheme="minorHAnsi" w:hAnsiTheme="minorHAnsi" w:cstheme="minorHAnsi"/>
          <w:sz w:val="22"/>
          <w:szCs w:val="22"/>
        </w:rPr>
        <w:t>HEAS</w:t>
      </w:r>
      <w:r w:rsidRPr="000E565D">
        <w:rPr>
          <w:rFonts w:asciiTheme="minorHAnsi" w:hAnsiTheme="minorHAnsi" w:cstheme="minorHAnsi"/>
          <w:sz w:val="22"/>
          <w:szCs w:val="22"/>
        </w:rPr>
        <w:t xml:space="preserve"> produc</w:t>
      </w:r>
      <w:r w:rsidR="00256004">
        <w:rPr>
          <w:rFonts w:asciiTheme="minorHAnsi" w:hAnsiTheme="minorHAnsi" w:cstheme="minorHAnsi"/>
          <w:sz w:val="22"/>
          <w:szCs w:val="22"/>
        </w:rPr>
        <w:t>irá</w:t>
      </w:r>
      <w:r w:rsidRPr="000E565D">
        <w:rPr>
          <w:rFonts w:asciiTheme="minorHAnsi" w:hAnsiTheme="minorHAnsi" w:cstheme="minorHAnsi"/>
          <w:sz w:val="22"/>
          <w:szCs w:val="22"/>
        </w:rPr>
        <w:t xml:space="preserve"> un conjunto de bienes y servicios que podemos entender bajo el concepto de prestaciones sanitarias, entre estas consideramos las intervenciones quirúrgicas, las consultas médicas de especialidad, las atenciones de urgencia, los días de hospitalización, y todo un conjunto de prestaciones de apoyo como exámenes de sangre, rayos X, etc. </w:t>
      </w:r>
      <w:r w:rsidR="00D3593C" w:rsidRPr="000E565D">
        <w:rPr>
          <w:rFonts w:asciiTheme="minorHAnsi" w:hAnsiTheme="minorHAnsi" w:cstheme="minorHAnsi"/>
          <w:sz w:val="22"/>
          <w:szCs w:val="22"/>
        </w:rPr>
        <w:t xml:space="preserve">Estas prestaciones sanitarias tienen como sujeto de consumo a la población de referencia </w:t>
      </w:r>
      <w:r w:rsidR="00D3593C">
        <w:rPr>
          <w:rFonts w:asciiTheme="minorHAnsi" w:hAnsiTheme="minorHAnsi" w:cstheme="minorHAnsi"/>
          <w:sz w:val="22"/>
          <w:szCs w:val="22"/>
        </w:rPr>
        <w:t>a la que habita El Alto y la perteneciente a las redes rurales de La Paz</w:t>
      </w:r>
      <w:r w:rsidR="00D3593C" w:rsidRPr="000E565D">
        <w:rPr>
          <w:rFonts w:asciiTheme="minorHAnsi" w:hAnsiTheme="minorHAnsi" w:cstheme="minorHAnsi"/>
          <w:sz w:val="22"/>
          <w:szCs w:val="22"/>
        </w:rPr>
        <w:t>.</w:t>
      </w:r>
    </w:p>
    <w:p w:rsidR="0032745B" w:rsidRPr="000E565D" w:rsidRDefault="0032745B" w:rsidP="0032745B">
      <w:pPr>
        <w:jc w:val="both"/>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 xml:space="preserve">Para que el </w:t>
      </w:r>
      <w:r w:rsidR="00256004">
        <w:rPr>
          <w:rFonts w:asciiTheme="minorHAnsi" w:hAnsiTheme="minorHAnsi" w:cstheme="minorHAnsi"/>
          <w:sz w:val="22"/>
          <w:szCs w:val="22"/>
        </w:rPr>
        <w:t>HEAS</w:t>
      </w:r>
      <w:r w:rsidRPr="000E565D">
        <w:rPr>
          <w:rFonts w:asciiTheme="minorHAnsi" w:hAnsiTheme="minorHAnsi" w:cstheme="minorHAnsi"/>
          <w:sz w:val="22"/>
          <w:szCs w:val="22"/>
        </w:rPr>
        <w:t xml:space="preserve"> pueda brindar ese conjunto de prestaciones requiere de un flujo permanente de insumos tales como medicamentos, instrumental quirúrgico, equipos clínicos, repuestos, etc</w:t>
      </w:r>
      <w:r>
        <w:rPr>
          <w:rFonts w:asciiTheme="minorHAnsi" w:hAnsiTheme="minorHAnsi" w:cstheme="minorHAnsi"/>
          <w:sz w:val="22"/>
          <w:szCs w:val="22"/>
        </w:rPr>
        <w:t>étera</w:t>
      </w:r>
      <w:r w:rsidRPr="000E565D">
        <w:rPr>
          <w:rFonts w:asciiTheme="minorHAnsi" w:hAnsiTheme="minorHAnsi" w:cstheme="minorHAnsi"/>
          <w:sz w:val="22"/>
          <w:szCs w:val="22"/>
        </w:rPr>
        <w:t xml:space="preserve">, cuyo flujo está sustentado en intercambios económicos realizados entre la industria asociada a la producción de esos bienes y el </w:t>
      </w:r>
      <w:r w:rsidR="00256004">
        <w:rPr>
          <w:rFonts w:asciiTheme="minorHAnsi" w:hAnsiTheme="minorHAnsi" w:cstheme="minorHAnsi"/>
          <w:sz w:val="22"/>
          <w:szCs w:val="22"/>
        </w:rPr>
        <w:t>HEAS</w:t>
      </w:r>
      <w:r w:rsidRPr="000E565D">
        <w:rPr>
          <w:rFonts w:asciiTheme="minorHAnsi" w:hAnsiTheme="minorHAnsi" w:cstheme="minorHAnsi"/>
          <w:sz w:val="22"/>
          <w:szCs w:val="22"/>
        </w:rPr>
        <w:t>, el servicios de salud,</w:t>
      </w:r>
      <w:r>
        <w:rPr>
          <w:rFonts w:asciiTheme="minorHAnsi" w:hAnsiTheme="minorHAnsi" w:cstheme="minorHAnsi"/>
          <w:sz w:val="22"/>
          <w:szCs w:val="22"/>
        </w:rPr>
        <w:t xml:space="preserve"> municipio, el M</w:t>
      </w:r>
      <w:r w:rsidRPr="000E565D">
        <w:rPr>
          <w:rFonts w:asciiTheme="minorHAnsi" w:hAnsiTheme="minorHAnsi" w:cstheme="minorHAnsi"/>
          <w:sz w:val="22"/>
          <w:szCs w:val="22"/>
        </w:rPr>
        <w:t>inisterio de salud</w:t>
      </w:r>
      <w:r>
        <w:rPr>
          <w:rFonts w:asciiTheme="minorHAnsi" w:hAnsiTheme="minorHAnsi" w:cstheme="minorHAnsi"/>
          <w:sz w:val="22"/>
          <w:szCs w:val="22"/>
        </w:rPr>
        <w:t xml:space="preserve"> y Deportes</w:t>
      </w:r>
      <w:r w:rsidRPr="000E565D">
        <w:rPr>
          <w:rFonts w:asciiTheme="minorHAnsi" w:hAnsiTheme="minorHAnsi" w:cstheme="minorHAnsi"/>
          <w:sz w:val="22"/>
          <w:szCs w:val="22"/>
        </w:rPr>
        <w:t>, o un mix de estas instituciones u otras que existan para estos efectos. Las características económicas de estos intercambios dependerán del poder de mercado que cada una de estas instituciones tenga en un momento determinado.</w:t>
      </w:r>
      <w:r w:rsidRPr="000E565D">
        <w:rPr>
          <w:rStyle w:val="FootnoteReference"/>
          <w:rFonts w:asciiTheme="minorHAnsi" w:hAnsiTheme="minorHAnsi" w:cstheme="minorHAnsi"/>
          <w:sz w:val="22"/>
          <w:szCs w:val="22"/>
        </w:rPr>
        <w:footnoteReference w:id="2"/>
      </w:r>
    </w:p>
    <w:p w:rsidR="0032745B" w:rsidRPr="000E565D" w:rsidRDefault="0032745B" w:rsidP="0032745B">
      <w:pPr>
        <w:jc w:val="both"/>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Por otra parte</w:t>
      </w:r>
      <w:r w:rsidR="00256004">
        <w:rPr>
          <w:rFonts w:asciiTheme="minorHAnsi" w:hAnsiTheme="minorHAnsi" w:cstheme="minorHAnsi"/>
          <w:sz w:val="22"/>
          <w:szCs w:val="22"/>
        </w:rPr>
        <w:t>,</w:t>
      </w:r>
      <w:r w:rsidRPr="000E565D">
        <w:rPr>
          <w:rFonts w:asciiTheme="minorHAnsi" w:hAnsiTheme="minorHAnsi" w:cstheme="minorHAnsi"/>
          <w:sz w:val="22"/>
          <w:szCs w:val="22"/>
        </w:rPr>
        <w:t xml:space="preserve"> hay otro flujo de insumos de particular importancia en la evaluación de proyectos hospitalarios, que corresponde a los recursos humanos, donde uno de los más importantes es el de profesionales y técnicos de las ciencias </w:t>
      </w:r>
      <w:r>
        <w:rPr>
          <w:rFonts w:asciiTheme="minorHAnsi" w:hAnsiTheme="minorHAnsi" w:cstheme="minorHAnsi"/>
          <w:sz w:val="22"/>
          <w:szCs w:val="22"/>
        </w:rPr>
        <w:t>de la salud</w:t>
      </w:r>
      <w:r w:rsidRPr="000E565D">
        <w:rPr>
          <w:rFonts w:asciiTheme="minorHAnsi" w:hAnsiTheme="minorHAnsi" w:cstheme="minorHAnsi"/>
          <w:sz w:val="22"/>
          <w:szCs w:val="22"/>
        </w:rPr>
        <w:t>, en sus ciclos de formación básicos y de especialidad. En este punto, y en particular en países de bajo desarrollo, los estudios de factibilidad de este tipo de proyectos deben necesariamente considerar las posibilidades reales de contar con un flujo de recursos humanos que sustenten al proyecto hospitalario.</w:t>
      </w:r>
      <w:r w:rsidRPr="000E565D">
        <w:rPr>
          <w:rStyle w:val="FootnoteReference"/>
          <w:rFonts w:asciiTheme="minorHAnsi" w:hAnsiTheme="minorHAnsi" w:cstheme="minorHAnsi"/>
          <w:sz w:val="22"/>
          <w:szCs w:val="22"/>
        </w:rPr>
        <w:footnoteReference w:id="3"/>
      </w:r>
    </w:p>
    <w:p w:rsidR="0032745B" w:rsidRPr="000E565D" w:rsidRDefault="0032745B" w:rsidP="0032745B">
      <w:pPr>
        <w:jc w:val="both"/>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 xml:space="preserve">Figura </w:t>
      </w:r>
      <w:r>
        <w:rPr>
          <w:rFonts w:asciiTheme="minorHAnsi" w:hAnsiTheme="minorHAnsi" w:cstheme="minorHAnsi"/>
          <w:sz w:val="22"/>
          <w:szCs w:val="22"/>
        </w:rPr>
        <w:t>2</w:t>
      </w:r>
      <w:r w:rsidRPr="000E565D">
        <w:rPr>
          <w:rFonts w:asciiTheme="minorHAnsi" w:hAnsiTheme="minorHAnsi" w:cstheme="minorHAnsi"/>
          <w:sz w:val="22"/>
          <w:szCs w:val="22"/>
        </w:rPr>
        <w:t xml:space="preserve">.1: Relaciones microeconómicas a tener presente en la evaluación de proyectos hospitalarios. </w:t>
      </w:r>
    </w:p>
    <w:p w:rsidR="0032745B" w:rsidRDefault="00C3465B" w:rsidP="0032745B">
      <w:pPr>
        <w:jc w:val="both"/>
        <w:rPr>
          <w:rFonts w:asciiTheme="minorHAnsi" w:hAnsiTheme="minorHAnsi" w:cstheme="minorHAnsi"/>
          <w:noProof/>
          <w:sz w:val="22"/>
          <w:szCs w:val="22"/>
          <w:lang w:val="es-CL" w:eastAsia="es-CL"/>
        </w:rPr>
      </w:pPr>
      <w:r w:rsidRPr="00C3465B">
        <w:rPr>
          <w:noProof/>
          <w:lang w:val="en-US" w:eastAsia="en-US"/>
        </w:rPr>
        <w:drawing>
          <wp:inline distT="0" distB="0" distL="0" distR="0" wp14:anchorId="24B427C9" wp14:editId="2E670211">
            <wp:extent cx="5612130" cy="3761679"/>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3761679"/>
                    </a:xfrm>
                    <a:prstGeom prst="rect">
                      <a:avLst/>
                    </a:prstGeom>
                    <a:noFill/>
                    <a:ln>
                      <a:noFill/>
                    </a:ln>
                  </pic:spPr>
                </pic:pic>
              </a:graphicData>
            </a:graphic>
          </wp:inline>
        </w:drawing>
      </w:r>
    </w:p>
    <w:p w:rsidR="0032745B" w:rsidRPr="000E565D" w:rsidRDefault="0032745B" w:rsidP="0032745B">
      <w:pPr>
        <w:rPr>
          <w:rFonts w:asciiTheme="minorHAnsi" w:hAnsiTheme="minorHAnsi" w:cstheme="minorHAnsi"/>
          <w:sz w:val="18"/>
          <w:szCs w:val="22"/>
        </w:rPr>
      </w:pPr>
      <w:r w:rsidRPr="000E565D">
        <w:rPr>
          <w:rFonts w:asciiTheme="minorHAnsi" w:hAnsiTheme="minorHAnsi" w:cstheme="minorHAnsi"/>
          <w:sz w:val="18"/>
          <w:szCs w:val="22"/>
        </w:rPr>
        <w:t>Fuente: Elaboración propia.</w:t>
      </w:r>
    </w:p>
    <w:p w:rsidR="0032745B" w:rsidRPr="000E565D" w:rsidRDefault="0032745B" w:rsidP="0032745B">
      <w:pPr>
        <w:jc w:val="both"/>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Desde el punto de vista de</w:t>
      </w:r>
      <w:r>
        <w:rPr>
          <w:rFonts w:asciiTheme="minorHAnsi" w:hAnsiTheme="minorHAnsi" w:cstheme="minorHAnsi"/>
          <w:sz w:val="22"/>
          <w:szCs w:val="22"/>
        </w:rPr>
        <w:t xml:space="preserve"> </w:t>
      </w:r>
      <w:r w:rsidRPr="000E565D">
        <w:rPr>
          <w:rFonts w:asciiTheme="minorHAnsi" w:hAnsiTheme="minorHAnsi" w:cstheme="minorHAnsi"/>
          <w:sz w:val="22"/>
          <w:szCs w:val="22"/>
        </w:rPr>
        <w:t>la demanda de prestaciones sanitarias, está dependerá del perfil epidemiológico, es decir, de que enferma y muere la población, la que a su vez se vincula directamente con las condiciones económicas, sociales y culturales de reproducción de la vida. Lo cual nos recuerda que la enfermedad no se distribuye de manera homogénea en la población, está condicionada por la estratificación social, lo que se ha conceptualizado como los determinantes estructurales que condicionan la calidad de la reproducción de la vida cotidiana.</w:t>
      </w:r>
      <w:r w:rsidRPr="000E565D">
        <w:rPr>
          <w:rStyle w:val="FootnoteReference"/>
          <w:rFonts w:asciiTheme="minorHAnsi" w:hAnsiTheme="minorHAnsi" w:cstheme="minorHAnsi"/>
          <w:sz w:val="22"/>
          <w:szCs w:val="22"/>
        </w:rPr>
        <w:footnoteReference w:id="4"/>
      </w:r>
    </w:p>
    <w:p w:rsidR="0032745B" w:rsidRPr="000E565D" w:rsidRDefault="0032745B" w:rsidP="0032745B">
      <w:pPr>
        <w:jc w:val="both"/>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Así, el perfil epidemiológico nos dará una idea aproximada de las necesidades sanitarias de la población, sin embargo, desde la perspectiva de la demanda y utilización efectiva de prestaciones hay que considerar otro aspecto que tiene que ver específicamente con la decisión de un individuo de asistir o no a un centro asistencial, lo cual está asociado a la percepción de un problema de salud en caso de enfermedad o en la percepción de la necesidad de prevención de un problema.</w:t>
      </w:r>
      <w:r w:rsidRPr="000E565D">
        <w:rPr>
          <w:rStyle w:val="FootnoteReference"/>
          <w:rFonts w:asciiTheme="minorHAnsi" w:hAnsiTheme="minorHAnsi" w:cstheme="minorHAnsi"/>
          <w:sz w:val="22"/>
          <w:szCs w:val="22"/>
        </w:rPr>
        <w:footnoteReference w:id="5"/>
      </w:r>
      <w:r w:rsidRPr="000E565D">
        <w:rPr>
          <w:rFonts w:asciiTheme="minorHAnsi" w:hAnsiTheme="minorHAnsi" w:cstheme="minorHAnsi"/>
          <w:sz w:val="22"/>
          <w:szCs w:val="22"/>
        </w:rPr>
        <w:t xml:space="preserve"> La percepción del problema de salud tiene que ver con el nivel educativo o cultural de una </w:t>
      </w:r>
      <w:r w:rsidRPr="000E565D">
        <w:rPr>
          <w:rFonts w:asciiTheme="minorHAnsi" w:hAnsiTheme="minorHAnsi" w:cstheme="minorHAnsi"/>
          <w:sz w:val="22"/>
          <w:szCs w:val="22"/>
        </w:rPr>
        <w:lastRenderedPageBreak/>
        <w:t>población o segmento de ella y explica en parte la baja utilización de servicios sanitarios en algunos países de bajo desarrollo.</w:t>
      </w:r>
      <w:r w:rsidRPr="000E565D">
        <w:rPr>
          <w:rStyle w:val="FootnoteReference"/>
          <w:rFonts w:asciiTheme="minorHAnsi" w:hAnsiTheme="minorHAnsi" w:cstheme="minorHAnsi"/>
          <w:sz w:val="22"/>
          <w:szCs w:val="22"/>
        </w:rPr>
        <w:footnoteReference w:id="6"/>
      </w:r>
    </w:p>
    <w:p w:rsidR="0032745B" w:rsidRPr="000E565D" w:rsidRDefault="0032745B" w:rsidP="0032745B">
      <w:pPr>
        <w:jc w:val="both"/>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 xml:space="preserve">La demanda de prestaciones del </w:t>
      </w:r>
      <w:r w:rsidR="00256004">
        <w:rPr>
          <w:rFonts w:asciiTheme="minorHAnsi" w:hAnsiTheme="minorHAnsi" w:cstheme="minorHAnsi"/>
          <w:sz w:val="22"/>
          <w:szCs w:val="22"/>
        </w:rPr>
        <w:t>HEAS</w:t>
      </w:r>
      <w:r w:rsidRPr="000E565D">
        <w:rPr>
          <w:rFonts w:asciiTheme="minorHAnsi" w:hAnsiTheme="minorHAnsi" w:cstheme="minorHAnsi"/>
          <w:sz w:val="22"/>
          <w:szCs w:val="22"/>
        </w:rPr>
        <w:t xml:space="preserve"> está mediada no sólo por las características epidemiológicas de la población</w:t>
      </w:r>
      <w:r w:rsidR="00256004">
        <w:rPr>
          <w:rFonts w:asciiTheme="minorHAnsi" w:hAnsiTheme="minorHAnsi" w:cstheme="minorHAnsi"/>
          <w:sz w:val="22"/>
          <w:szCs w:val="22"/>
        </w:rPr>
        <w:t>,</w:t>
      </w:r>
      <w:r w:rsidRPr="000E565D">
        <w:rPr>
          <w:rFonts w:asciiTheme="minorHAnsi" w:hAnsiTheme="minorHAnsi" w:cstheme="minorHAnsi"/>
          <w:sz w:val="22"/>
          <w:szCs w:val="22"/>
        </w:rPr>
        <w:t xml:space="preserve"> sino que también influye la presencia de otros prestadores, entre los cuales podemos identificar a otros centros hospitalarios públicos y privados, y a aquellas alternativas asociadas a la práctica de la denominada medicina tradicional, que también</w:t>
      </w:r>
      <w:r>
        <w:rPr>
          <w:rFonts w:asciiTheme="minorHAnsi" w:hAnsiTheme="minorHAnsi" w:cstheme="minorHAnsi"/>
          <w:sz w:val="22"/>
          <w:szCs w:val="22"/>
        </w:rPr>
        <w:t xml:space="preserve"> está presente como alternativa</w:t>
      </w:r>
      <w:r w:rsidRPr="000E565D">
        <w:rPr>
          <w:rFonts w:asciiTheme="minorHAnsi" w:hAnsiTheme="minorHAnsi" w:cstheme="minorHAnsi"/>
          <w:sz w:val="22"/>
          <w:szCs w:val="22"/>
        </w:rPr>
        <w:t xml:space="preserve">. La necesidad de atención se expresará en demanda efectiva para el </w:t>
      </w:r>
      <w:r w:rsidR="00256004">
        <w:rPr>
          <w:rFonts w:asciiTheme="minorHAnsi" w:hAnsiTheme="minorHAnsi" w:cstheme="minorHAnsi"/>
          <w:sz w:val="22"/>
          <w:szCs w:val="22"/>
        </w:rPr>
        <w:t>HEAS</w:t>
      </w:r>
      <w:r w:rsidRPr="000E565D">
        <w:rPr>
          <w:rFonts w:asciiTheme="minorHAnsi" w:hAnsiTheme="minorHAnsi" w:cstheme="minorHAnsi"/>
          <w:sz w:val="22"/>
          <w:szCs w:val="22"/>
        </w:rPr>
        <w:t xml:space="preserve"> cuando los pacientes sean detectados en centros de atención primaria, </w:t>
      </w:r>
      <w:r>
        <w:rPr>
          <w:rFonts w:asciiTheme="minorHAnsi" w:hAnsiTheme="minorHAnsi" w:cstheme="minorHAnsi"/>
          <w:sz w:val="22"/>
          <w:szCs w:val="22"/>
        </w:rPr>
        <w:t>quienes</w:t>
      </w:r>
      <w:r w:rsidRPr="000E565D">
        <w:rPr>
          <w:rFonts w:asciiTheme="minorHAnsi" w:hAnsiTheme="minorHAnsi" w:cstheme="minorHAnsi"/>
          <w:sz w:val="22"/>
          <w:szCs w:val="22"/>
        </w:rPr>
        <w:t xml:space="preserve"> los derivar</w:t>
      </w:r>
      <w:r>
        <w:rPr>
          <w:rFonts w:asciiTheme="minorHAnsi" w:hAnsiTheme="minorHAnsi" w:cstheme="minorHAnsi"/>
          <w:sz w:val="22"/>
          <w:szCs w:val="22"/>
        </w:rPr>
        <w:t>án</w:t>
      </w:r>
      <w:r w:rsidRPr="000E565D">
        <w:rPr>
          <w:rFonts w:asciiTheme="minorHAnsi" w:hAnsiTheme="minorHAnsi" w:cstheme="minorHAnsi"/>
          <w:sz w:val="22"/>
          <w:szCs w:val="22"/>
        </w:rPr>
        <w:t xml:space="preserve"> al </w:t>
      </w:r>
      <w:r w:rsidR="00256004">
        <w:rPr>
          <w:rFonts w:asciiTheme="minorHAnsi" w:hAnsiTheme="minorHAnsi" w:cstheme="minorHAnsi"/>
          <w:sz w:val="22"/>
          <w:szCs w:val="22"/>
        </w:rPr>
        <w:t>HEAS</w:t>
      </w:r>
      <w:r w:rsidRPr="000E565D">
        <w:rPr>
          <w:rFonts w:asciiTheme="minorHAnsi" w:hAnsiTheme="minorHAnsi" w:cstheme="minorHAnsi"/>
          <w:sz w:val="22"/>
          <w:szCs w:val="22"/>
        </w:rPr>
        <w:t xml:space="preserve">, o también puede ocurrir que los pacientes lleguen directamente al </w:t>
      </w:r>
      <w:r w:rsidR="00256004">
        <w:rPr>
          <w:rFonts w:asciiTheme="minorHAnsi" w:hAnsiTheme="minorHAnsi" w:cstheme="minorHAnsi"/>
          <w:sz w:val="22"/>
          <w:szCs w:val="22"/>
        </w:rPr>
        <w:t>HEAS</w:t>
      </w:r>
      <w:r w:rsidRPr="000E565D">
        <w:rPr>
          <w:rFonts w:asciiTheme="minorHAnsi" w:hAnsiTheme="minorHAnsi" w:cstheme="minorHAnsi"/>
          <w:sz w:val="22"/>
          <w:szCs w:val="22"/>
        </w:rPr>
        <w:t xml:space="preserve"> sin necesidad de pasar por otros centros de atención sanitaria. </w:t>
      </w:r>
    </w:p>
    <w:p w:rsidR="0032745B" w:rsidRPr="000E565D" w:rsidRDefault="0032745B" w:rsidP="0032745B">
      <w:pPr>
        <w:jc w:val="both"/>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Desde la perspectiva del financiamiento es necesario tener presente que e</w:t>
      </w:r>
      <w:r>
        <w:rPr>
          <w:rFonts w:asciiTheme="minorHAnsi" w:hAnsiTheme="minorHAnsi" w:cstheme="minorHAnsi"/>
          <w:sz w:val="22"/>
          <w:szCs w:val="22"/>
        </w:rPr>
        <w:t>ste tiene tres fuentes instituci</w:t>
      </w:r>
      <w:r w:rsidRPr="000E565D">
        <w:rPr>
          <w:rFonts w:asciiTheme="minorHAnsi" w:hAnsiTheme="minorHAnsi" w:cstheme="minorHAnsi"/>
          <w:sz w:val="22"/>
          <w:szCs w:val="22"/>
        </w:rPr>
        <w:t xml:space="preserve">onales que son la Caja de Seguro Social, la cual financia parcialmente la atención de su población asegurada, y el Estado que vía Ministerio de Salud </w:t>
      </w:r>
      <w:r>
        <w:rPr>
          <w:rFonts w:asciiTheme="minorHAnsi" w:hAnsiTheme="minorHAnsi" w:cstheme="minorHAnsi"/>
          <w:sz w:val="22"/>
          <w:szCs w:val="22"/>
        </w:rPr>
        <w:t xml:space="preserve">y Deportes </w:t>
      </w:r>
      <w:r w:rsidRPr="000E565D">
        <w:rPr>
          <w:rFonts w:asciiTheme="minorHAnsi" w:hAnsiTheme="minorHAnsi" w:cstheme="minorHAnsi"/>
          <w:sz w:val="22"/>
          <w:szCs w:val="22"/>
        </w:rPr>
        <w:t>realiza</w:t>
      </w:r>
      <w:r w:rsidR="00256004">
        <w:rPr>
          <w:rFonts w:asciiTheme="minorHAnsi" w:hAnsiTheme="minorHAnsi" w:cstheme="minorHAnsi"/>
          <w:sz w:val="22"/>
          <w:szCs w:val="22"/>
        </w:rPr>
        <w:t>rá</w:t>
      </w:r>
      <w:r w:rsidRPr="000E565D">
        <w:rPr>
          <w:rFonts w:asciiTheme="minorHAnsi" w:hAnsiTheme="minorHAnsi" w:cstheme="minorHAnsi"/>
          <w:sz w:val="22"/>
          <w:szCs w:val="22"/>
        </w:rPr>
        <w:t xml:space="preserve"> transferencia</w:t>
      </w:r>
      <w:r w:rsidR="00256004">
        <w:rPr>
          <w:rFonts w:asciiTheme="minorHAnsi" w:hAnsiTheme="minorHAnsi" w:cstheme="minorHAnsi"/>
          <w:sz w:val="22"/>
          <w:szCs w:val="22"/>
        </w:rPr>
        <w:t>s</w:t>
      </w:r>
      <w:r w:rsidRPr="000E565D">
        <w:rPr>
          <w:rFonts w:asciiTheme="minorHAnsi" w:hAnsiTheme="minorHAnsi" w:cstheme="minorHAnsi"/>
          <w:sz w:val="22"/>
          <w:szCs w:val="22"/>
        </w:rPr>
        <w:t xml:space="preserve"> al </w:t>
      </w:r>
      <w:r w:rsidR="00256004">
        <w:rPr>
          <w:rFonts w:asciiTheme="minorHAnsi" w:hAnsiTheme="minorHAnsi" w:cstheme="minorHAnsi"/>
          <w:sz w:val="22"/>
          <w:szCs w:val="22"/>
        </w:rPr>
        <w:t>HEAS</w:t>
      </w:r>
      <w:r w:rsidRPr="000E565D">
        <w:rPr>
          <w:rFonts w:asciiTheme="minorHAnsi" w:hAnsiTheme="minorHAnsi" w:cstheme="minorHAnsi"/>
          <w:sz w:val="22"/>
          <w:szCs w:val="22"/>
        </w:rPr>
        <w:t xml:space="preserve">, y </w:t>
      </w:r>
      <w:r>
        <w:rPr>
          <w:rFonts w:asciiTheme="minorHAnsi" w:hAnsiTheme="minorHAnsi" w:cstheme="minorHAnsi"/>
          <w:sz w:val="22"/>
          <w:szCs w:val="22"/>
        </w:rPr>
        <w:t>también se cuenta con</w:t>
      </w:r>
      <w:r w:rsidRPr="000E565D">
        <w:rPr>
          <w:rFonts w:asciiTheme="minorHAnsi" w:hAnsiTheme="minorHAnsi" w:cstheme="minorHAnsi"/>
          <w:sz w:val="22"/>
          <w:szCs w:val="22"/>
        </w:rPr>
        <w:t xml:space="preserve"> el financiamiento directo por parte de las familias.</w:t>
      </w:r>
      <w:r w:rsidRPr="000E565D">
        <w:rPr>
          <w:rStyle w:val="FootnoteReference"/>
          <w:rFonts w:asciiTheme="minorHAnsi" w:hAnsiTheme="minorHAnsi" w:cstheme="minorHAnsi"/>
          <w:sz w:val="22"/>
          <w:szCs w:val="22"/>
        </w:rPr>
        <w:footnoteReference w:id="7"/>
      </w:r>
      <w:r w:rsidRPr="000E565D">
        <w:rPr>
          <w:rFonts w:asciiTheme="minorHAnsi" w:hAnsiTheme="minorHAnsi" w:cstheme="minorHAnsi"/>
          <w:sz w:val="22"/>
          <w:szCs w:val="22"/>
        </w:rPr>
        <w:t xml:space="preserve"> Las fuentes de financiamiento no son neutras desde el punto de vista de la demanda</w:t>
      </w:r>
      <w:r w:rsidR="00256004">
        <w:rPr>
          <w:rFonts w:asciiTheme="minorHAnsi" w:hAnsiTheme="minorHAnsi" w:cstheme="minorHAnsi"/>
          <w:sz w:val="22"/>
          <w:szCs w:val="22"/>
        </w:rPr>
        <w:t>,</w:t>
      </w:r>
      <w:r w:rsidRPr="000E565D">
        <w:rPr>
          <w:rFonts w:asciiTheme="minorHAnsi" w:hAnsiTheme="minorHAnsi" w:cstheme="minorHAnsi"/>
          <w:sz w:val="22"/>
          <w:szCs w:val="22"/>
        </w:rPr>
        <w:t xml:space="preserve"> ni desde la sustentabilidad de la oferta de prestaciones sanitarias.</w:t>
      </w:r>
      <w:r w:rsidRPr="000E565D">
        <w:rPr>
          <w:rStyle w:val="FootnoteReference"/>
          <w:rFonts w:asciiTheme="minorHAnsi" w:hAnsiTheme="minorHAnsi" w:cstheme="minorHAnsi"/>
          <w:sz w:val="22"/>
          <w:szCs w:val="22"/>
        </w:rPr>
        <w:footnoteReference w:id="8"/>
      </w:r>
      <w:r w:rsidRPr="000E565D">
        <w:rPr>
          <w:rFonts w:asciiTheme="minorHAnsi" w:hAnsiTheme="minorHAnsi" w:cstheme="minorHAnsi"/>
          <w:sz w:val="22"/>
          <w:szCs w:val="22"/>
        </w:rPr>
        <w:t xml:space="preserve"> En efecto, por el lado de la demanda, el financiamiento inducirá a la demanda si es que este se hace cargo del aseguramiento de la población, en caso contrario estaremos en presencia de una importante barrera de acceso económica a la atención sanitaria. </w:t>
      </w:r>
    </w:p>
    <w:p w:rsidR="0032745B" w:rsidRDefault="0032745B" w:rsidP="0032745B">
      <w:pPr>
        <w:jc w:val="both"/>
        <w:rPr>
          <w:rFonts w:asciiTheme="minorHAnsi" w:hAnsiTheme="minorHAnsi" w:cstheme="minorHAnsi"/>
          <w:sz w:val="22"/>
          <w:szCs w:val="22"/>
        </w:rPr>
      </w:pPr>
    </w:p>
    <w:p w:rsidR="0032745B" w:rsidRDefault="0032745B" w:rsidP="0032745B">
      <w:pPr>
        <w:jc w:val="both"/>
        <w:rPr>
          <w:rFonts w:asciiTheme="minorHAnsi" w:hAnsiTheme="minorHAnsi" w:cstheme="minorHAnsi"/>
          <w:sz w:val="22"/>
          <w:szCs w:val="22"/>
        </w:rPr>
      </w:pPr>
      <w:r>
        <w:rPr>
          <w:rFonts w:asciiTheme="minorHAnsi" w:hAnsiTheme="minorHAnsi" w:cstheme="minorHAnsi"/>
          <w:sz w:val="22"/>
          <w:szCs w:val="22"/>
        </w:rPr>
        <w:t xml:space="preserve">Otro determinante de la demanda es la percepción, fundada o no, que tenga la población respecto de la capacidad de resolver el problema de la enfermedad de un centro asistencial. Si un individuo piensa que ante un problema de salud, el centro </w:t>
      </w:r>
      <w:r w:rsidR="00D3593C">
        <w:rPr>
          <w:rFonts w:asciiTheme="minorHAnsi" w:hAnsiTheme="minorHAnsi" w:cstheme="minorHAnsi"/>
          <w:sz w:val="22"/>
          <w:szCs w:val="22"/>
        </w:rPr>
        <w:t>asistencial</w:t>
      </w:r>
      <w:r>
        <w:rPr>
          <w:rFonts w:asciiTheme="minorHAnsi" w:hAnsiTheme="minorHAnsi" w:cstheme="minorHAnsi"/>
          <w:sz w:val="22"/>
          <w:szCs w:val="22"/>
        </w:rPr>
        <w:t xml:space="preserve"> no se lo resolverá, ese individuo no demandará servicios. Es el problema de resolutividad efectiva del centro asistencial.</w:t>
      </w:r>
    </w:p>
    <w:p w:rsidR="0032745B" w:rsidRDefault="0032745B" w:rsidP="0032745B">
      <w:pPr>
        <w:jc w:val="both"/>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Desde el punto de vista se la oferta obviamente también debe existir un compromiso de financiamiento, de manera tal que las personas que trabajaran en los centros asistenciales efectivamente pueda hacerlo de forma normal. En caso de que este financiamiento sea irregular o que los salarios sean muy bajos, es muy probable que existan problemas para un funcionamiento adecuado de los centros de asistencia.</w:t>
      </w:r>
      <w:r w:rsidRPr="000E565D">
        <w:rPr>
          <w:rStyle w:val="FootnoteReference"/>
          <w:rFonts w:asciiTheme="minorHAnsi" w:hAnsiTheme="minorHAnsi" w:cstheme="minorHAnsi"/>
          <w:sz w:val="22"/>
          <w:szCs w:val="22"/>
        </w:rPr>
        <w:footnoteReference w:id="9"/>
      </w:r>
    </w:p>
    <w:p w:rsidR="0032745B" w:rsidRPr="000E565D" w:rsidRDefault="0032745B" w:rsidP="0032745B">
      <w:pPr>
        <w:pStyle w:val="ListParagraph"/>
        <w:ind w:left="1416"/>
        <w:rPr>
          <w:rFonts w:asciiTheme="minorHAnsi" w:hAnsiTheme="minorHAnsi" w:cstheme="minorHAnsi"/>
          <w:sz w:val="22"/>
          <w:szCs w:val="22"/>
        </w:rPr>
      </w:pPr>
      <w:r w:rsidRPr="000E565D">
        <w:rPr>
          <w:rFonts w:asciiTheme="minorHAnsi" w:hAnsiTheme="minorHAnsi" w:cstheme="minorHAnsi"/>
          <w:sz w:val="22"/>
          <w:szCs w:val="22"/>
        </w:rPr>
        <w:tab/>
      </w: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 xml:space="preserve">Por último, y muy importante es la consideración del espacio y el tiempo en la Figura </w:t>
      </w:r>
      <w:r>
        <w:rPr>
          <w:rFonts w:asciiTheme="minorHAnsi" w:hAnsiTheme="minorHAnsi" w:cstheme="minorHAnsi"/>
          <w:sz w:val="22"/>
          <w:szCs w:val="22"/>
        </w:rPr>
        <w:t>2</w:t>
      </w:r>
      <w:r w:rsidRPr="000E565D">
        <w:rPr>
          <w:rFonts w:asciiTheme="minorHAnsi" w:hAnsiTheme="minorHAnsi" w:cstheme="minorHAnsi"/>
          <w:sz w:val="22"/>
          <w:szCs w:val="22"/>
        </w:rPr>
        <w:t xml:space="preserve">.1, con la dimensión de espacio se quiere expresar que estas relaciones no se dan en el </w:t>
      </w:r>
      <w:r>
        <w:rPr>
          <w:rFonts w:asciiTheme="minorHAnsi" w:hAnsiTheme="minorHAnsi" w:cstheme="minorHAnsi"/>
          <w:sz w:val="22"/>
          <w:szCs w:val="22"/>
        </w:rPr>
        <w:t>vacío</w:t>
      </w:r>
      <w:r w:rsidRPr="000E565D">
        <w:rPr>
          <w:rFonts w:asciiTheme="minorHAnsi" w:hAnsiTheme="minorHAnsi" w:cstheme="minorHAnsi"/>
          <w:sz w:val="22"/>
          <w:szCs w:val="22"/>
        </w:rPr>
        <w:t xml:space="preserve"> sino en territorios claramente determinados, lo cual tiene implicancias tanto para la configuración de la </w:t>
      </w:r>
      <w:r w:rsidRPr="000E565D">
        <w:rPr>
          <w:rFonts w:asciiTheme="minorHAnsi" w:hAnsiTheme="minorHAnsi" w:cstheme="minorHAnsi"/>
          <w:sz w:val="22"/>
          <w:szCs w:val="22"/>
        </w:rPr>
        <w:lastRenderedPageBreak/>
        <w:t>oferta sanitaria como para la demanda. El espacio tiene relevancia para la configuración de la oferta, expresada en este caso en un proyecto hospitalario, por cuanto esta forma parte de una red asistencial que aspira a cubrir las necesidades de salud de una población que habita en lugares específicos. En este sentido la ubicación de un proyecto hospitalario es relevante, ya que debe considerar tanto a los dispositivos de salud de la red asistencial en los distintos niveles de complejidad, y por otra parte debe considerar la ubicación de la población de referencia de forma tal de alcanzar un “óptimo” en términos de las distancias de los centros de atención primaria y de los centros poblados de manera de minimizar las barreras geográficas, lo cual es muy relevante en países con altos porcentajes de población rural.</w:t>
      </w:r>
    </w:p>
    <w:p w:rsidR="0032745B" w:rsidRPr="000E565D" w:rsidRDefault="0032745B" w:rsidP="0032745B">
      <w:pPr>
        <w:jc w:val="both"/>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Por otra parte, el tiempo cobra relevancia por cuanto las características de las poblaciones y sus instituciones van cambiando, modificando los determinantes estructurales de la salud y los perfiles epidemiológicos y demográficos de la población.</w:t>
      </w:r>
      <w:bookmarkStart w:id="10" w:name="_Toc302997992"/>
    </w:p>
    <w:p w:rsidR="0032745B" w:rsidRPr="000E565D" w:rsidRDefault="0032745B" w:rsidP="0032745B">
      <w:pPr>
        <w:jc w:val="both"/>
        <w:rPr>
          <w:rFonts w:asciiTheme="minorHAnsi" w:hAnsiTheme="minorHAnsi" w:cstheme="minorHAnsi"/>
          <w:sz w:val="22"/>
          <w:szCs w:val="22"/>
        </w:rPr>
      </w:pPr>
    </w:p>
    <w:p w:rsidR="0032745B" w:rsidRPr="000E565D" w:rsidRDefault="0032745B" w:rsidP="008A366B">
      <w:pPr>
        <w:pStyle w:val="Heading2"/>
        <w:numPr>
          <w:ilvl w:val="1"/>
          <w:numId w:val="1"/>
        </w:numPr>
        <w:spacing w:line="276" w:lineRule="auto"/>
        <w:rPr>
          <w:rFonts w:asciiTheme="minorHAnsi" w:hAnsiTheme="minorHAnsi" w:cstheme="minorHAnsi"/>
          <w:szCs w:val="22"/>
        </w:rPr>
      </w:pPr>
      <w:bookmarkStart w:id="11" w:name="_Toc330952991"/>
      <w:bookmarkStart w:id="12" w:name="_Toc368865407"/>
      <w:bookmarkStart w:id="13" w:name="_Toc373093495"/>
      <w:r w:rsidRPr="000E565D">
        <w:rPr>
          <w:rFonts w:asciiTheme="minorHAnsi" w:hAnsiTheme="minorHAnsi" w:cstheme="minorHAnsi"/>
          <w:szCs w:val="22"/>
        </w:rPr>
        <w:t>Acerca de la oferta potencial de prestaciones sanitarias</w:t>
      </w:r>
      <w:bookmarkEnd w:id="10"/>
      <w:bookmarkEnd w:id="11"/>
      <w:bookmarkEnd w:id="12"/>
      <w:bookmarkEnd w:id="13"/>
    </w:p>
    <w:p w:rsidR="0032745B" w:rsidRPr="000E565D" w:rsidRDefault="0032745B" w:rsidP="0032745B">
      <w:pPr>
        <w:jc w:val="both"/>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 xml:space="preserve">La oferta potencial de prestaciones depende fundamentalmente del flujo de recursos humanos y de insumos que el proyecto considera en su diseño básico, dada una cierta infraestructura física de operación. La determinación de la oferta potencial se realiza especificando y distribuyendo los recursos humanos de acuerdo a los servicios clínicos que se ofrecen y ofrecerán según corresponda a la oferta en la situación sin y con proyecto respectivamente. De acuerdo a los manuales consultados, la metodología general es similar, en el sentido de establecer, ya sea mediante la observación o la recomendación de expertos algún parámetro de productividad asociado a una medida de tiempo que está dada por el horario de atención de los servicios y al recurso humano principal. </w:t>
      </w:r>
    </w:p>
    <w:p w:rsidR="0032745B" w:rsidRPr="000E565D" w:rsidRDefault="0032745B" w:rsidP="0032745B">
      <w:pPr>
        <w:jc w:val="both"/>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Es importante tener presente en el momento de estimar la oferta de servicios sanitarios</w:t>
      </w:r>
      <w:r>
        <w:rPr>
          <w:rFonts w:asciiTheme="minorHAnsi" w:hAnsiTheme="minorHAnsi" w:cstheme="minorHAnsi"/>
          <w:sz w:val="22"/>
          <w:szCs w:val="22"/>
        </w:rPr>
        <w:t>,</w:t>
      </w:r>
      <w:r w:rsidRPr="000E565D">
        <w:rPr>
          <w:rFonts w:asciiTheme="minorHAnsi" w:hAnsiTheme="minorHAnsi" w:cstheme="minorHAnsi"/>
          <w:sz w:val="22"/>
          <w:szCs w:val="22"/>
        </w:rPr>
        <w:t xml:space="preserve"> que </w:t>
      </w:r>
      <w:r>
        <w:rPr>
          <w:rFonts w:asciiTheme="minorHAnsi" w:hAnsiTheme="minorHAnsi" w:cstheme="minorHAnsi"/>
          <w:sz w:val="22"/>
          <w:szCs w:val="22"/>
        </w:rPr>
        <w:t xml:space="preserve">la oferta a </w:t>
      </w:r>
      <w:r w:rsidRPr="000E565D">
        <w:rPr>
          <w:rFonts w:asciiTheme="minorHAnsi" w:hAnsiTheme="minorHAnsi" w:cstheme="minorHAnsi"/>
          <w:sz w:val="22"/>
          <w:szCs w:val="22"/>
        </w:rPr>
        <w:t>estimar</w:t>
      </w:r>
      <w:r>
        <w:rPr>
          <w:rFonts w:asciiTheme="minorHAnsi" w:hAnsiTheme="minorHAnsi" w:cstheme="minorHAnsi"/>
          <w:sz w:val="22"/>
          <w:szCs w:val="22"/>
        </w:rPr>
        <w:t xml:space="preserve"> es</w:t>
      </w:r>
      <w:r w:rsidRPr="000E565D">
        <w:rPr>
          <w:rFonts w:asciiTheme="minorHAnsi" w:hAnsiTheme="minorHAnsi" w:cstheme="minorHAnsi"/>
          <w:sz w:val="22"/>
          <w:szCs w:val="22"/>
        </w:rPr>
        <w:t xml:space="preserve"> la </w:t>
      </w:r>
      <w:r w:rsidRPr="00CB0F80">
        <w:rPr>
          <w:rFonts w:asciiTheme="minorHAnsi" w:hAnsiTheme="minorHAnsi" w:cstheme="minorHAnsi"/>
          <w:b/>
          <w:i/>
          <w:sz w:val="22"/>
          <w:szCs w:val="22"/>
        </w:rPr>
        <w:t>oferta potencial</w:t>
      </w:r>
      <w:r w:rsidRPr="000E565D">
        <w:rPr>
          <w:rFonts w:asciiTheme="minorHAnsi" w:hAnsiTheme="minorHAnsi" w:cstheme="minorHAnsi"/>
          <w:sz w:val="22"/>
          <w:szCs w:val="22"/>
        </w:rPr>
        <w:t xml:space="preserve">, es decir, la máxima cantidad de servicios que se podrían brindar a una población en </w:t>
      </w:r>
      <w:r w:rsidRPr="00CB0F80">
        <w:rPr>
          <w:rFonts w:asciiTheme="minorHAnsi" w:hAnsiTheme="minorHAnsi" w:cstheme="minorHAnsi"/>
          <w:b/>
          <w:i/>
          <w:sz w:val="22"/>
          <w:szCs w:val="22"/>
        </w:rPr>
        <w:t>condiciones óptimas</w:t>
      </w:r>
      <w:r w:rsidRPr="000E565D">
        <w:rPr>
          <w:rFonts w:asciiTheme="minorHAnsi" w:hAnsiTheme="minorHAnsi" w:cstheme="minorHAnsi"/>
          <w:sz w:val="22"/>
          <w:szCs w:val="22"/>
        </w:rPr>
        <w:t xml:space="preserve"> de funcionamiento.</w:t>
      </w:r>
      <w:r w:rsidRPr="000E565D">
        <w:rPr>
          <w:rStyle w:val="FootnoteReference"/>
          <w:rFonts w:asciiTheme="minorHAnsi" w:hAnsiTheme="minorHAnsi" w:cstheme="minorHAnsi"/>
          <w:sz w:val="22"/>
          <w:szCs w:val="22"/>
        </w:rPr>
        <w:footnoteReference w:id="10"/>
      </w:r>
      <w:r w:rsidRPr="000E565D">
        <w:rPr>
          <w:rFonts w:asciiTheme="minorHAnsi" w:hAnsiTheme="minorHAnsi" w:cstheme="minorHAnsi"/>
          <w:sz w:val="22"/>
          <w:szCs w:val="22"/>
        </w:rPr>
        <w:t xml:space="preserve"> Esto es relevante, particularmente cuando la construcción de las tablas de oferta se realiza mediante la observación, dado que lo que sucede </w:t>
      </w:r>
      <w:r>
        <w:rPr>
          <w:rFonts w:asciiTheme="minorHAnsi" w:hAnsiTheme="minorHAnsi" w:cstheme="minorHAnsi"/>
          <w:sz w:val="22"/>
          <w:szCs w:val="22"/>
        </w:rPr>
        <w:t xml:space="preserve">u observa </w:t>
      </w:r>
      <w:r w:rsidRPr="002C411B">
        <w:rPr>
          <w:rFonts w:asciiTheme="minorHAnsi" w:hAnsiTheme="minorHAnsi" w:cstheme="minorHAnsi"/>
          <w:i/>
          <w:sz w:val="22"/>
          <w:szCs w:val="22"/>
        </w:rPr>
        <w:t>in situ</w:t>
      </w:r>
      <w:r>
        <w:rPr>
          <w:rFonts w:asciiTheme="minorHAnsi" w:hAnsiTheme="minorHAnsi" w:cstheme="minorHAnsi"/>
          <w:sz w:val="22"/>
          <w:szCs w:val="22"/>
        </w:rPr>
        <w:t xml:space="preserve"> </w:t>
      </w:r>
      <w:r w:rsidRPr="000E565D">
        <w:rPr>
          <w:rFonts w:asciiTheme="minorHAnsi" w:hAnsiTheme="minorHAnsi" w:cstheme="minorHAnsi"/>
          <w:sz w:val="22"/>
          <w:szCs w:val="22"/>
        </w:rPr>
        <w:t>bien puede esconder ineficiencias en la operación de los servicios, que de asumirlas en la estimación reproducirían dichas condiciones sesgando desde el principio la evaluación. Por lo dicho</w:t>
      </w:r>
      <w:r>
        <w:rPr>
          <w:rFonts w:asciiTheme="minorHAnsi" w:hAnsiTheme="minorHAnsi" w:cstheme="minorHAnsi"/>
          <w:sz w:val="22"/>
          <w:szCs w:val="22"/>
        </w:rPr>
        <w:t>,</w:t>
      </w:r>
      <w:r w:rsidRPr="000E565D">
        <w:rPr>
          <w:rFonts w:asciiTheme="minorHAnsi" w:hAnsiTheme="minorHAnsi" w:cstheme="minorHAnsi"/>
          <w:sz w:val="22"/>
          <w:szCs w:val="22"/>
        </w:rPr>
        <w:t xml:space="preserve"> se sugiere que estas estimaciones se realicen con la observación directa, pero contrastando la información obtenida con opiniones expertas, de manera de minimizar este sesgo.</w:t>
      </w:r>
      <w:r w:rsidRPr="000E565D">
        <w:rPr>
          <w:rStyle w:val="FootnoteReference"/>
          <w:rFonts w:asciiTheme="minorHAnsi" w:hAnsiTheme="minorHAnsi" w:cstheme="minorHAnsi"/>
          <w:sz w:val="22"/>
          <w:szCs w:val="22"/>
        </w:rPr>
        <w:footnoteReference w:id="11"/>
      </w:r>
    </w:p>
    <w:p w:rsidR="0032745B" w:rsidRPr="000E565D" w:rsidRDefault="0032745B" w:rsidP="0032745B">
      <w:pPr>
        <w:jc w:val="both"/>
        <w:rPr>
          <w:rFonts w:asciiTheme="minorHAnsi" w:hAnsiTheme="minorHAnsi" w:cstheme="minorHAnsi"/>
          <w:sz w:val="22"/>
          <w:szCs w:val="22"/>
        </w:rPr>
      </w:pPr>
    </w:p>
    <w:p w:rsidR="0032745B" w:rsidRDefault="0032745B" w:rsidP="0032745B">
      <w:pPr>
        <w:keepNext/>
        <w:widowControl w:val="0"/>
        <w:autoSpaceDE w:val="0"/>
        <w:autoSpaceDN w:val="0"/>
        <w:adjustRightInd w:val="0"/>
        <w:ind w:right="23"/>
        <w:jc w:val="both"/>
        <w:rPr>
          <w:rFonts w:asciiTheme="minorHAnsi" w:hAnsiTheme="minorHAnsi" w:cstheme="minorHAnsi"/>
          <w:sz w:val="22"/>
          <w:szCs w:val="22"/>
        </w:rPr>
      </w:pPr>
      <w:r w:rsidRPr="000E565D">
        <w:rPr>
          <w:rFonts w:asciiTheme="minorHAnsi" w:hAnsiTheme="minorHAnsi" w:cstheme="minorHAnsi"/>
          <w:color w:val="000000" w:themeColor="text1"/>
          <w:sz w:val="22"/>
          <w:szCs w:val="22"/>
        </w:rPr>
        <w:lastRenderedPageBreak/>
        <w:t xml:space="preserve">La forma de presentar la información, </w:t>
      </w:r>
      <w:r w:rsidRPr="000E565D">
        <w:rPr>
          <w:rFonts w:asciiTheme="minorHAnsi" w:hAnsiTheme="minorHAnsi" w:cstheme="minorHAnsi"/>
          <w:bCs/>
          <w:color w:val="000000" w:themeColor="text1"/>
          <w:sz w:val="22"/>
          <w:szCs w:val="22"/>
        </w:rPr>
        <w:t xml:space="preserve">se puede observar en la Tabla </w:t>
      </w:r>
      <w:r>
        <w:rPr>
          <w:rFonts w:asciiTheme="minorHAnsi" w:hAnsiTheme="minorHAnsi" w:cstheme="minorHAnsi"/>
          <w:bCs/>
          <w:color w:val="000000" w:themeColor="text1"/>
          <w:sz w:val="22"/>
          <w:szCs w:val="22"/>
        </w:rPr>
        <w:t>2</w:t>
      </w:r>
      <w:r w:rsidRPr="000E565D">
        <w:rPr>
          <w:rFonts w:asciiTheme="minorHAnsi" w:hAnsiTheme="minorHAnsi" w:cstheme="minorHAnsi"/>
          <w:bCs/>
          <w:color w:val="000000" w:themeColor="text1"/>
          <w:sz w:val="22"/>
          <w:szCs w:val="22"/>
        </w:rPr>
        <w:t>.1 que muestra la oferta potencial de consultas médicas generales.</w:t>
      </w:r>
      <w:r>
        <w:rPr>
          <w:rStyle w:val="FootnoteReference"/>
          <w:rFonts w:asciiTheme="minorHAnsi" w:hAnsiTheme="minorHAnsi" w:cstheme="minorHAnsi"/>
          <w:bCs/>
          <w:color w:val="000000" w:themeColor="text1"/>
          <w:sz w:val="22"/>
          <w:szCs w:val="22"/>
        </w:rPr>
        <w:footnoteReference w:id="12"/>
      </w:r>
    </w:p>
    <w:p w:rsidR="0032745B" w:rsidRDefault="0032745B" w:rsidP="0032745B">
      <w:pPr>
        <w:keepNext/>
        <w:widowControl w:val="0"/>
        <w:autoSpaceDE w:val="0"/>
        <w:autoSpaceDN w:val="0"/>
        <w:adjustRightInd w:val="0"/>
        <w:ind w:right="23"/>
        <w:jc w:val="both"/>
        <w:rPr>
          <w:rFonts w:asciiTheme="minorHAnsi" w:hAnsiTheme="minorHAnsi" w:cstheme="minorHAnsi"/>
          <w:sz w:val="22"/>
          <w:szCs w:val="22"/>
        </w:rPr>
      </w:pPr>
    </w:p>
    <w:p w:rsidR="0032745B" w:rsidRPr="000E565D" w:rsidRDefault="0032745B" w:rsidP="0032745B">
      <w:pPr>
        <w:keepNext/>
        <w:widowControl w:val="0"/>
        <w:autoSpaceDE w:val="0"/>
        <w:autoSpaceDN w:val="0"/>
        <w:adjustRightInd w:val="0"/>
        <w:ind w:right="23"/>
        <w:jc w:val="both"/>
        <w:rPr>
          <w:rFonts w:asciiTheme="minorHAnsi" w:hAnsiTheme="minorHAnsi" w:cstheme="minorHAnsi"/>
          <w:sz w:val="22"/>
          <w:szCs w:val="22"/>
        </w:rPr>
      </w:pPr>
      <w:r>
        <w:rPr>
          <w:rFonts w:asciiTheme="minorHAnsi" w:hAnsiTheme="minorHAnsi" w:cstheme="minorHAnsi"/>
          <w:sz w:val="22"/>
          <w:szCs w:val="22"/>
        </w:rPr>
        <w:t>Tabla 2</w:t>
      </w:r>
      <w:r w:rsidRPr="000E565D">
        <w:rPr>
          <w:rFonts w:asciiTheme="minorHAnsi" w:hAnsiTheme="minorHAnsi" w:cstheme="minorHAnsi"/>
          <w:sz w:val="22"/>
          <w:szCs w:val="22"/>
        </w:rPr>
        <w:t>.1: Estimación de consultas médica general en la situación con proyecto</w:t>
      </w:r>
    </w:p>
    <w:tbl>
      <w:tblPr>
        <w:tblStyle w:val="LightList-Accent3"/>
        <w:tblW w:w="8908" w:type="dxa"/>
        <w:tblLook w:val="04A0" w:firstRow="1" w:lastRow="0" w:firstColumn="1" w:lastColumn="0" w:noHBand="0" w:noVBand="1"/>
      </w:tblPr>
      <w:tblGrid>
        <w:gridCol w:w="1701"/>
        <w:gridCol w:w="993"/>
        <w:gridCol w:w="1458"/>
        <w:gridCol w:w="1933"/>
        <w:gridCol w:w="1215"/>
        <w:gridCol w:w="1608"/>
      </w:tblGrid>
      <w:tr w:rsidR="0032745B" w:rsidRPr="00C46E68" w:rsidTr="00B052E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noWrap/>
            <w:hideMark/>
          </w:tcPr>
          <w:p w:rsidR="0032745B" w:rsidRPr="00C46E68" w:rsidRDefault="0032745B" w:rsidP="0032745B">
            <w:pPr>
              <w:jc w:val="center"/>
              <w:rPr>
                <w:rFonts w:asciiTheme="minorHAnsi" w:hAnsiTheme="minorHAnsi" w:cstheme="minorHAnsi"/>
                <w:b w:val="0"/>
                <w:bCs w:val="0"/>
                <w:color w:val="000000"/>
                <w:sz w:val="20"/>
                <w:szCs w:val="22"/>
              </w:rPr>
            </w:pPr>
          </w:p>
        </w:tc>
        <w:tc>
          <w:tcPr>
            <w:tcW w:w="993" w:type="dxa"/>
            <w:noWrap/>
            <w:hideMark/>
          </w:tcPr>
          <w:p w:rsidR="0032745B" w:rsidRPr="00C46E68" w:rsidRDefault="0032745B" w:rsidP="003274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2"/>
              </w:rPr>
            </w:pPr>
            <w:r w:rsidRPr="00C46E68">
              <w:rPr>
                <w:rFonts w:asciiTheme="minorHAnsi" w:hAnsiTheme="minorHAnsi" w:cstheme="minorHAnsi"/>
                <w:b w:val="0"/>
                <w:bCs w:val="0"/>
                <w:color w:val="000000"/>
                <w:sz w:val="20"/>
                <w:szCs w:val="22"/>
              </w:rPr>
              <w:t>Nº personal médico</w:t>
            </w:r>
          </w:p>
        </w:tc>
        <w:tc>
          <w:tcPr>
            <w:tcW w:w="1458" w:type="dxa"/>
            <w:noWrap/>
            <w:hideMark/>
          </w:tcPr>
          <w:p w:rsidR="0032745B" w:rsidRPr="00C46E68" w:rsidRDefault="0032745B" w:rsidP="003274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2"/>
              </w:rPr>
            </w:pPr>
            <w:r w:rsidRPr="00C46E68">
              <w:rPr>
                <w:rFonts w:asciiTheme="minorHAnsi" w:hAnsiTheme="minorHAnsi" w:cstheme="minorHAnsi"/>
                <w:b w:val="0"/>
                <w:bCs w:val="0"/>
                <w:color w:val="000000"/>
                <w:sz w:val="20"/>
                <w:szCs w:val="22"/>
              </w:rPr>
              <w:t>Horas efectivas de atención al día</w:t>
            </w:r>
          </w:p>
        </w:tc>
        <w:tc>
          <w:tcPr>
            <w:tcW w:w="1933" w:type="dxa"/>
            <w:noWrap/>
            <w:hideMark/>
          </w:tcPr>
          <w:p w:rsidR="0032745B" w:rsidRPr="00C46E68" w:rsidRDefault="0032745B" w:rsidP="003274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2"/>
              </w:rPr>
            </w:pPr>
            <w:r w:rsidRPr="00C46E68">
              <w:rPr>
                <w:rFonts w:asciiTheme="minorHAnsi" w:hAnsiTheme="minorHAnsi" w:cstheme="minorHAnsi"/>
                <w:b w:val="0"/>
                <w:bCs w:val="0"/>
                <w:color w:val="000000"/>
                <w:sz w:val="20"/>
                <w:szCs w:val="22"/>
              </w:rPr>
              <w:t>Tiempo promedio por consulta (min)</w:t>
            </w:r>
          </w:p>
        </w:tc>
        <w:tc>
          <w:tcPr>
            <w:tcW w:w="1215" w:type="dxa"/>
            <w:noWrap/>
            <w:hideMark/>
          </w:tcPr>
          <w:p w:rsidR="0032745B" w:rsidRPr="00C46E68" w:rsidRDefault="0032745B" w:rsidP="003274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2"/>
              </w:rPr>
            </w:pPr>
            <w:r w:rsidRPr="00C46E68">
              <w:rPr>
                <w:rFonts w:asciiTheme="minorHAnsi" w:hAnsiTheme="minorHAnsi" w:cstheme="minorHAnsi"/>
                <w:b w:val="0"/>
                <w:bCs w:val="0"/>
                <w:color w:val="000000"/>
                <w:sz w:val="20"/>
                <w:szCs w:val="22"/>
              </w:rPr>
              <w:t>Nº de consultas al día</w:t>
            </w:r>
          </w:p>
        </w:tc>
        <w:tc>
          <w:tcPr>
            <w:tcW w:w="1608" w:type="dxa"/>
            <w:noWrap/>
            <w:hideMark/>
          </w:tcPr>
          <w:p w:rsidR="0032745B" w:rsidRPr="00C46E68" w:rsidRDefault="0032745B" w:rsidP="003274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2"/>
              </w:rPr>
            </w:pPr>
            <w:r w:rsidRPr="00C46E68">
              <w:rPr>
                <w:rFonts w:asciiTheme="minorHAnsi" w:hAnsiTheme="minorHAnsi" w:cstheme="minorHAnsi"/>
                <w:b w:val="0"/>
                <w:bCs w:val="0"/>
                <w:color w:val="000000"/>
                <w:sz w:val="20"/>
                <w:szCs w:val="22"/>
              </w:rPr>
              <w:t>Capacidad óptima anual (85%)</w:t>
            </w:r>
          </w:p>
        </w:tc>
      </w:tr>
      <w:tr w:rsidR="0032745B" w:rsidRPr="00C46E68" w:rsidTr="00B052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noWrap/>
            <w:hideMark/>
          </w:tcPr>
          <w:p w:rsidR="0032745B" w:rsidRPr="00C46E68" w:rsidRDefault="0032745B" w:rsidP="0032745B">
            <w:pPr>
              <w:rPr>
                <w:rFonts w:asciiTheme="minorHAnsi" w:hAnsiTheme="minorHAnsi" w:cstheme="minorHAnsi"/>
                <w:b w:val="0"/>
                <w:bCs w:val="0"/>
                <w:color w:val="000000"/>
                <w:sz w:val="20"/>
                <w:szCs w:val="22"/>
              </w:rPr>
            </w:pPr>
            <w:r w:rsidRPr="00C46E68">
              <w:rPr>
                <w:rFonts w:asciiTheme="minorHAnsi" w:hAnsiTheme="minorHAnsi" w:cstheme="minorHAnsi"/>
                <w:b w:val="0"/>
                <w:bCs w:val="0"/>
                <w:color w:val="000000"/>
                <w:sz w:val="20"/>
                <w:szCs w:val="22"/>
              </w:rPr>
              <w:t>Consulta general</w:t>
            </w:r>
          </w:p>
        </w:tc>
        <w:tc>
          <w:tcPr>
            <w:tcW w:w="993" w:type="dxa"/>
            <w:noWrap/>
            <w:hideMark/>
          </w:tcPr>
          <w:p w:rsidR="0032745B" w:rsidRPr="00C46E68"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2</w:t>
            </w:r>
          </w:p>
        </w:tc>
        <w:tc>
          <w:tcPr>
            <w:tcW w:w="1458" w:type="dxa"/>
            <w:noWrap/>
            <w:hideMark/>
          </w:tcPr>
          <w:p w:rsidR="0032745B" w:rsidRPr="00C46E68"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6</w:t>
            </w:r>
          </w:p>
        </w:tc>
        <w:tc>
          <w:tcPr>
            <w:tcW w:w="1933" w:type="dxa"/>
            <w:noWrap/>
            <w:hideMark/>
          </w:tcPr>
          <w:p w:rsidR="0032745B" w:rsidRPr="00C46E68"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15</w:t>
            </w:r>
          </w:p>
        </w:tc>
        <w:tc>
          <w:tcPr>
            <w:tcW w:w="1215" w:type="dxa"/>
            <w:noWrap/>
            <w:hideMark/>
          </w:tcPr>
          <w:p w:rsidR="0032745B" w:rsidRPr="00C46E68"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48</w:t>
            </w:r>
          </w:p>
        </w:tc>
        <w:tc>
          <w:tcPr>
            <w:tcW w:w="1608" w:type="dxa"/>
            <w:noWrap/>
            <w:hideMark/>
          </w:tcPr>
          <w:p w:rsidR="0032745B" w:rsidRPr="00C46E68"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10.608</w:t>
            </w:r>
          </w:p>
        </w:tc>
      </w:tr>
    </w:tbl>
    <w:p w:rsidR="0032745B" w:rsidRPr="00704920" w:rsidRDefault="0032745B" w:rsidP="0032745B">
      <w:pPr>
        <w:rPr>
          <w:rFonts w:asciiTheme="minorHAnsi" w:hAnsiTheme="minorHAnsi" w:cstheme="minorHAnsi"/>
          <w:sz w:val="18"/>
          <w:szCs w:val="22"/>
        </w:rPr>
      </w:pPr>
      <w:r w:rsidRPr="00704920">
        <w:rPr>
          <w:rFonts w:asciiTheme="minorHAnsi" w:hAnsiTheme="minorHAnsi" w:cstheme="minorHAnsi"/>
          <w:sz w:val="18"/>
          <w:szCs w:val="22"/>
        </w:rPr>
        <w:t>Fuente: Ibáñez, C. (2011).</w:t>
      </w:r>
    </w:p>
    <w:p w:rsidR="0032745B" w:rsidRPr="000E565D" w:rsidRDefault="0032745B" w:rsidP="0032745B">
      <w:pPr>
        <w:jc w:val="both"/>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bCs/>
          <w:sz w:val="22"/>
          <w:szCs w:val="22"/>
        </w:rPr>
      </w:pPr>
      <w:r w:rsidRPr="000E565D">
        <w:rPr>
          <w:rFonts w:asciiTheme="minorHAnsi" w:hAnsiTheme="minorHAnsi" w:cstheme="minorHAnsi"/>
          <w:sz w:val="22"/>
          <w:szCs w:val="22"/>
        </w:rPr>
        <w:t xml:space="preserve">Notemos que en la última columna del cuadro se estima la capacidad óptima anual aplicando un factor de ajuste de 85%, de acuerdo a </w:t>
      </w:r>
      <w:r w:rsidRPr="000E565D">
        <w:rPr>
          <w:rFonts w:asciiTheme="minorHAnsi" w:hAnsiTheme="minorHAnsi" w:cstheme="minorHAnsi"/>
          <w:bCs/>
          <w:sz w:val="22"/>
          <w:szCs w:val="22"/>
        </w:rPr>
        <w:t>Meixueiro, J. et al (2009; pp. 5) estos factores se utilizan para prever la ocurrencia de acontecimientos anormales.</w:t>
      </w:r>
    </w:p>
    <w:p w:rsidR="0032745B" w:rsidRPr="000E565D" w:rsidRDefault="0032745B" w:rsidP="0032745B">
      <w:pPr>
        <w:jc w:val="both"/>
        <w:rPr>
          <w:rFonts w:asciiTheme="minorHAnsi" w:hAnsiTheme="minorHAnsi" w:cstheme="minorHAnsi"/>
          <w:bCs/>
          <w:sz w:val="22"/>
          <w:szCs w:val="22"/>
        </w:rPr>
      </w:pPr>
    </w:p>
    <w:p w:rsidR="0032745B" w:rsidRPr="000E565D" w:rsidRDefault="0032745B" w:rsidP="0032745B">
      <w:pPr>
        <w:jc w:val="both"/>
        <w:rPr>
          <w:rFonts w:asciiTheme="minorHAnsi" w:hAnsiTheme="minorHAnsi" w:cstheme="minorHAnsi"/>
          <w:bCs/>
          <w:sz w:val="22"/>
          <w:szCs w:val="22"/>
        </w:rPr>
      </w:pPr>
      <w:r w:rsidRPr="000E565D">
        <w:rPr>
          <w:rFonts w:asciiTheme="minorHAnsi" w:hAnsiTheme="minorHAnsi" w:cstheme="minorHAnsi"/>
          <w:bCs/>
          <w:sz w:val="22"/>
          <w:szCs w:val="22"/>
        </w:rPr>
        <w:t>Adicionalmente, es necesario tener en cuenta en la estimación de la oferta potencial de consultas médicas</w:t>
      </w:r>
      <w:r>
        <w:rPr>
          <w:rFonts w:asciiTheme="minorHAnsi" w:hAnsiTheme="minorHAnsi" w:cstheme="minorHAnsi"/>
          <w:bCs/>
          <w:sz w:val="22"/>
          <w:szCs w:val="22"/>
        </w:rPr>
        <w:t>,</w:t>
      </w:r>
      <w:r w:rsidRPr="000E565D">
        <w:rPr>
          <w:rFonts w:asciiTheme="minorHAnsi" w:hAnsiTheme="minorHAnsi" w:cstheme="minorHAnsi"/>
          <w:bCs/>
          <w:sz w:val="22"/>
          <w:szCs w:val="22"/>
        </w:rPr>
        <w:t xml:space="preserve"> que muchas veces participan médicos cuyo tiempo no siempre se destina exclusivamente a consultas, sino que también tienen funciones de atención de pacientes hospitalizados, intervenciones quirúrgicas, labores administrativas y eventualmente docentes, por lo tanto en la estimación del tiempo destinado a consultas se deben considerar estos aspectos rebajando del tiempo total de trabajo diario el tiempo destinado a estas funciones.</w:t>
      </w:r>
      <w:r>
        <w:rPr>
          <w:rStyle w:val="FootnoteReference"/>
          <w:rFonts w:asciiTheme="minorHAnsi" w:hAnsiTheme="minorHAnsi" w:cstheme="minorHAnsi"/>
          <w:bCs/>
          <w:sz w:val="22"/>
          <w:szCs w:val="22"/>
        </w:rPr>
        <w:footnoteReference w:id="13"/>
      </w:r>
    </w:p>
    <w:p w:rsidR="0032745B" w:rsidRPr="000E565D" w:rsidRDefault="0032745B" w:rsidP="0032745B">
      <w:pPr>
        <w:jc w:val="both"/>
        <w:rPr>
          <w:rFonts w:asciiTheme="minorHAnsi" w:hAnsiTheme="minorHAnsi" w:cstheme="minorHAnsi"/>
          <w:bCs/>
          <w:sz w:val="22"/>
          <w:szCs w:val="22"/>
        </w:rPr>
      </w:pP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En el caso de las prestaciones complementarias tales como exámenes, rayos X, tomografía u otros la metodología es similar</w:t>
      </w:r>
      <w:r>
        <w:rPr>
          <w:rFonts w:asciiTheme="minorHAnsi" w:hAnsiTheme="minorHAnsi" w:cstheme="minorHAnsi"/>
          <w:sz w:val="22"/>
          <w:szCs w:val="22"/>
        </w:rPr>
        <w:t>. A modo de ejemplo, en la Tabla 2</w:t>
      </w:r>
      <w:r w:rsidRPr="000E565D">
        <w:rPr>
          <w:rFonts w:asciiTheme="minorHAnsi" w:hAnsiTheme="minorHAnsi" w:cstheme="minorHAnsi"/>
          <w:sz w:val="22"/>
          <w:szCs w:val="22"/>
        </w:rPr>
        <w:t xml:space="preserve">.2 se muestra la oferta potencial en la situación con proyecto utilizada en el </w:t>
      </w:r>
      <w:r w:rsidR="00F36EAF">
        <w:rPr>
          <w:rFonts w:asciiTheme="minorHAnsi" w:hAnsiTheme="minorHAnsi" w:cstheme="minorHAnsi"/>
          <w:color w:val="000000" w:themeColor="text1"/>
          <w:sz w:val="22"/>
          <w:szCs w:val="22"/>
        </w:rPr>
        <w:t>E</w:t>
      </w:r>
      <w:r w:rsidRPr="000E565D">
        <w:rPr>
          <w:rFonts w:asciiTheme="minorHAnsi" w:hAnsiTheme="minorHAnsi" w:cstheme="minorHAnsi"/>
          <w:color w:val="000000" w:themeColor="text1"/>
          <w:sz w:val="22"/>
          <w:szCs w:val="22"/>
        </w:rPr>
        <w:t xml:space="preserve">studio </w:t>
      </w:r>
      <w:r w:rsidR="00F36EAF">
        <w:rPr>
          <w:rFonts w:asciiTheme="minorHAnsi" w:hAnsiTheme="minorHAnsi" w:cstheme="minorHAnsi"/>
          <w:color w:val="000000" w:themeColor="text1"/>
          <w:sz w:val="22"/>
          <w:szCs w:val="22"/>
        </w:rPr>
        <w:t xml:space="preserve">de Costo Beneficio </w:t>
      </w:r>
      <w:r w:rsidRPr="000E565D">
        <w:rPr>
          <w:rFonts w:asciiTheme="minorHAnsi" w:hAnsiTheme="minorHAnsi" w:cstheme="minorHAnsi"/>
          <w:color w:val="000000" w:themeColor="text1"/>
          <w:sz w:val="22"/>
          <w:szCs w:val="22"/>
        </w:rPr>
        <w:t>del Hospital de Llallagua</w:t>
      </w:r>
      <w:r w:rsidRPr="000E565D">
        <w:rPr>
          <w:rFonts w:asciiTheme="minorHAnsi" w:hAnsiTheme="minorHAnsi" w:cstheme="minorHAnsi"/>
          <w:sz w:val="22"/>
          <w:szCs w:val="22"/>
        </w:rPr>
        <w:t>, Bolivia.</w:t>
      </w:r>
      <w:r w:rsidR="00F36EAF">
        <w:rPr>
          <w:rStyle w:val="FootnoteReference"/>
          <w:rFonts w:asciiTheme="minorHAnsi" w:hAnsiTheme="minorHAnsi" w:cstheme="minorHAnsi"/>
          <w:sz w:val="22"/>
          <w:szCs w:val="22"/>
        </w:rPr>
        <w:footnoteReference w:id="14"/>
      </w:r>
    </w:p>
    <w:p w:rsidR="0032745B" w:rsidRPr="000E565D" w:rsidRDefault="0032745B" w:rsidP="0032745B">
      <w:pPr>
        <w:jc w:val="both"/>
        <w:rPr>
          <w:rFonts w:asciiTheme="minorHAnsi" w:hAnsiTheme="minorHAnsi" w:cstheme="minorHAnsi"/>
          <w:sz w:val="22"/>
          <w:szCs w:val="22"/>
        </w:rPr>
      </w:pPr>
    </w:p>
    <w:p w:rsidR="00D51937" w:rsidRDefault="00D51937">
      <w:pPr>
        <w:rPr>
          <w:rFonts w:asciiTheme="minorHAnsi" w:hAnsiTheme="minorHAnsi" w:cstheme="minorHAnsi"/>
          <w:sz w:val="22"/>
          <w:szCs w:val="22"/>
        </w:rPr>
      </w:pPr>
      <w:r>
        <w:rPr>
          <w:rFonts w:asciiTheme="minorHAnsi" w:hAnsiTheme="minorHAnsi" w:cstheme="minorHAnsi"/>
          <w:sz w:val="22"/>
          <w:szCs w:val="22"/>
        </w:rPr>
        <w:br w:type="page"/>
      </w:r>
    </w:p>
    <w:p w:rsidR="0032745B" w:rsidRPr="000E565D" w:rsidRDefault="0032745B" w:rsidP="0032745B">
      <w:pPr>
        <w:rPr>
          <w:rFonts w:asciiTheme="minorHAnsi" w:hAnsiTheme="minorHAnsi" w:cstheme="minorHAnsi"/>
          <w:sz w:val="22"/>
          <w:szCs w:val="22"/>
        </w:rPr>
      </w:pPr>
      <w:r>
        <w:rPr>
          <w:rFonts w:asciiTheme="minorHAnsi" w:hAnsiTheme="minorHAnsi" w:cstheme="minorHAnsi"/>
          <w:sz w:val="22"/>
          <w:szCs w:val="22"/>
        </w:rPr>
        <w:lastRenderedPageBreak/>
        <w:t>Tabla 2</w:t>
      </w:r>
      <w:r w:rsidRPr="000E565D">
        <w:rPr>
          <w:rFonts w:asciiTheme="minorHAnsi" w:hAnsiTheme="minorHAnsi" w:cstheme="minorHAnsi"/>
          <w:sz w:val="22"/>
          <w:szCs w:val="22"/>
        </w:rPr>
        <w:t>.2: Estimación de prestaciones complementarias  en la situación con proyecto</w:t>
      </w:r>
    </w:p>
    <w:tbl>
      <w:tblPr>
        <w:tblStyle w:val="LightList-Accent3"/>
        <w:tblW w:w="8908" w:type="dxa"/>
        <w:tblLook w:val="04A0" w:firstRow="1" w:lastRow="0" w:firstColumn="1" w:lastColumn="0" w:noHBand="0" w:noVBand="1"/>
      </w:tblPr>
      <w:tblGrid>
        <w:gridCol w:w="1402"/>
        <w:gridCol w:w="1008"/>
        <w:gridCol w:w="1653"/>
        <w:gridCol w:w="1923"/>
        <w:gridCol w:w="1385"/>
        <w:gridCol w:w="1537"/>
      </w:tblGrid>
      <w:tr w:rsidR="0032745B" w:rsidRPr="00C46E68" w:rsidTr="00B052E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2" w:type="dxa"/>
            <w:noWrap/>
            <w:hideMark/>
          </w:tcPr>
          <w:p w:rsidR="0032745B" w:rsidRPr="00C46E68" w:rsidRDefault="0032745B" w:rsidP="0032745B">
            <w:pPr>
              <w:jc w:val="center"/>
              <w:rPr>
                <w:rFonts w:asciiTheme="minorHAnsi" w:hAnsiTheme="minorHAnsi" w:cstheme="minorHAnsi"/>
                <w:b w:val="0"/>
                <w:bCs w:val="0"/>
                <w:color w:val="000000"/>
                <w:sz w:val="20"/>
                <w:szCs w:val="22"/>
              </w:rPr>
            </w:pPr>
            <w:r w:rsidRPr="00C46E68">
              <w:rPr>
                <w:rFonts w:asciiTheme="minorHAnsi" w:hAnsiTheme="minorHAnsi" w:cstheme="minorHAnsi"/>
                <w:b w:val="0"/>
                <w:bCs w:val="0"/>
                <w:color w:val="000000"/>
                <w:sz w:val="20"/>
                <w:szCs w:val="22"/>
              </w:rPr>
              <w:t>Tipo de servicio</w:t>
            </w:r>
          </w:p>
        </w:tc>
        <w:tc>
          <w:tcPr>
            <w:tcW w:w="1008" w:type="dxa"/>
            <w:noWrap/>
            <w:hideMark/>
          </w:tcPr>
          <w:p w:rsidR="0032745B" w:rsidRPr="00C46E68" w:rsidRDefault="0032745B" w:rsidP="003274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2"/>
              </w:rPr>
            </w:pPr>
            <w:r w:rsidRPr="00C46E68">
              <w:rPr>
                <w:rFonts w:asciiTheme="minorHAnsi" w:hAnsiTheme="minorHAnsi" w:cstheme="minorHAnsi"/>
                <w:b w:val="0"/>
                <w:bCs w:val="0"/>
                <w:color w:val="000000"/>
                <w:sz w:val="20"/>
                <w:szCs w:val="22"/>
              </w:rPr>
              <w:t>Número de salas</w:t>
            </w:r>
          </w:p>
        </w:tc>
        <w:tc>
          <w:tcPr>
            <w:tcW w:w="1653" w:type="dxa"/>
            <w:noWrap/>
            <w:hideMark/>
          </w:tcPr>
          <w:p w:rsidR="0032745B" w:rsidRPr="00C46E68" w:rsidRDefault="0032745B" w:rsidP="003274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2"/>
              </w:rPr>
            </w:pPr>
            <w:r w:rsidRPr="00C46E68">
              <w:rPr>
                <w:rFonts w:asciiTheme="minorHAnsi" w:hAnsiTheme="minorHAnsi" w:cstheme="minorHAnsi"/>
                <w:b w:val="0"/>
                <w:bCs w:val="0"/>
                <w:color w:val="000000"/>
                <w:sz w:val="20"/>
                <w:szCs w:val="22"/>
              </w:rPr>
              <w:t>Nº de hr efectivas al día de serv.</w:t>
            </w:r>
          </w:p>
        </w:tc>
        <w:tc>
          <w:tcPr>
            <w:tcW w:w="1923" w:type="dxa"/>
            <w:noWrap/>
            <w:hideMark/>
          </w:tcPr>
          <w:p w:rsidR="0032745B" w:rsidRPr="00C46E68" w:rsidRDefault="0032745B" w:rsidP="003274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2"/>
              </w:rPr>
            </w:pPr>
            <w:r w:rsidRPr="00C46E68">
              <w:rPr>
                <w:rFonts w:asciiTheme="minorHAnsi" w:hAnsiTheme="minorHAnsi" w:cstheme="minorHAnsi"/>
                <w:b w:val="0"/>
                <w:bCs w:val="0"/>
                <w:color w:val="000000"/>
                <w:sz w:val="20"/>
                <w:szCs w:val="22"/>
              </w:rPr>
              <w:t>Duración media por servicio (min)</w:t>
            </w:r>
          </w:p>
        </w:tc>
        <w:tc>
          <w:tcPr>
            <w:tcW w:w="1385" w:type="dxa"/>
            <w:noWrap/>
            <w:hideMark/>
          </w:tcPr>
          <w:p w:rsidR="0032745B" w:rsidRPr="00C46E68" w:rsidRDefault="0032745B" w:rsidP="003274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2"/>
              </w:rPr>
            </w:pPr>
            <w:r w:rsidRPr="00C46E68">
              <w:rPr>
                <w:rFonts w:asciiTheme="minorHAnsi" w:hAnsiTheme="minorHAnsi" w:cstheme="minorHAnsi"/>
                <w:b w:val="0"/>
                <w:bCs w:val="0"/>
                <w:color w:val="000000"/>
                <w:sz w:val="20"/>
                <w:szCs w:val="22"/>
              </w:rPr>
              <w:t>Nº de servicios al día</w:t>
            </w:r>
          </w:p>
        </w:tc>
        <w:tc>
          <w:tcPr>
            <w:tcW w:w="1537" w:type="dxa"/>
            <w:noWrap/>
            <w:hideMark/>
          </w:tcPr>
          <w:p w:rsidR="0032745B" w:rsidRPr="00C46E68" w:rsidRDefault="0032745B" w:rsidP="003274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0"/>
                <w:szCs w:val="22"/>
              </w:rPr>
            </w:pPr>
            <w:r w:rsidRPr="00C46E68">
              <w:rPr>
                <w:rFonts w:asciiTheme="minorHAnsi" w:hAnsiTheme="minorHAnsi" w:cstheme="minorHAnsi"/>
                <w:b w:val="0"/>
                <w:bCs w:val="0"/>
                <w:color w:val="000000"/>
                <w:sz w:val="20"/>
                <w:szCs w:val="22"/>
              </w:rPr>
              <w:t>Capacidad óptima anual (85%)</w:t>
            </w:r>
          </w:p>
        </w:tc>
      </w:tr>
      <w:tr w:rsidR="0032745B" w:rsidRPr="00C46E68" w:rsidTr="00B052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2" w:type="dxa"/>
            <w:noWrap/>
            <w:hideMark/>
          </w:tcPr>
          <w:p w:rsidR="0032745B" w:rsidRPr="00C46E68" w:rsidRDefault="0032745B" w:rsidP="0032745B">
            <w:pPr>
              <w:rPr>
                <w:rFonts w:asciiTheme="minorHAnsi" w:hAnsiTheme="minorHAnsi" w:cstheme="minorHAnsi"/>
                <w:color w:val="000000"/>
                <w:sz w:val="20"/>
                <w:szCs w:val="22"/>
              </w:rPr>
            </w:pPr>
            <w:r w:rsidRPr="00C46E68">
              <w:rPr>
                <w:rFonts w:asciiTheme="minorHAnsi" w:hAnsiTheme="minorHAnsi" w:cstheme="minorHAnsi"/>
                <w:color w:val="000000"/>
                <w:sz w:val="20"/>
                <w:szCs w:val="22"/>
              </w:rPr>
              <w:t>Rayos X</w:t>
            </w:r>
          </w:p>
        </w:tc>
        <w:tc>
          <w:tcPr>
            <w:tcW w:w="1008" w:type="dxa"/>
            <w:noWrap/>
            <w:hideMark/>
          </w:tcPr>
          <w:p w:rsidR="0032745B" w:rsidRPr="00C46E68"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1</w:t>
            </w:r>
          </w:p>
        </w:tc>
        <w:tc>
          <w:tcPr>
            <w:tcW w:w="1653" w:type="dxa"/>
            <w:noWrap/>
            <w:hideMark/>
          </w:tcPr>
          <w:p w:rsidR="0032745B" w:rsidRPr="00C46E68"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24</w:t>
            </w:r>
          </w:p>
        </w:tc>
        <w:tc>
          <w:tcPr>
            <w:tcW w:w="1923" w:type="dxa"/>
            <w:noWrap/>
            <w:hideMark/>
          </w:tcPr>
          <w:p w:rsidR="0032745B" w:rsidRPr="00C46E68"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15</w:t>
            </w:r>
          </w:p>
        </w:tc>
        <w:tc>
          <w:tcPr>
            <w:tcW w:w="1385" w:type="dxa"/>
            <w:noWrap/>
            <w:hideMark/>
          </w:tcPr>
          <w:p w:rsidR="0032745B" w:rsidRPr="00C46E68"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96</w:t>
            </w:r>
          </w:p>
        </w:tc>
        <w:tc>
          <w:tcPr>
            <w:tcW w:w="1537" w:type="dxa"/>
            <w:noWrap/>
            <w:hideMark/>
          </w:tcPr>
          <w:p w:rsidR="0032745B" w:rsidRPr="00C46E68"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29.784</w:t>
            </w:r>
          </w:p>
        </w:tc>
      </w:tr>
      <w:tr w:rsidR="0032745B" w:rsidRPr="00C46E68" w:rsidTr="00B052E2">
        <w:trPr>
          <w:trHeight w:val="300"/>
        </w:trPr>
        <w:tc>
          <w:tcPr>
            <w:cnfStyle w:val="001000000000" w:firstRow="0" w:lastRow="0" w:firstColumn="1" w:lastColumn="0" w:oddVBand="0" w:evenVBand="0" w:oddHBand="0" w:evenHBand="0" w:firstRowFirstColumn="0" w:firstRowLastColumn="0" w:lastRowFirstColumn="0" w:lastRowLastColumn="0"/>
            <w:tcW w:w="1402" w:type="dxa"/>
            <w:noWrap/>
            <w:hideMark/>
          </w:tcPr>
          <w:p w:rsidR="0032745B" w:rsidRPr="00C46E68" w:rsidRDefault="0032745B" w:rsidP="0032745B">
            <w:pPr>
              <w:rPr>
                <w:rFonts w:asciiTheme="minorHAnsi" w:hAnsiTheme="minorHAnsi" w:cstheme="minorHAnsi"/>
                <w:color w:val="000000"/>
                <w:sz w:val="20"/>
                <w:szCs w:val="22"/>
              </w:rPr>
            </w:pPr>
            <w:r w:rsidRPr="00C46E68">
              <w:rPr>
                <w:rFonts w:asciiTheme="minorHAnsi" w:hAnsiTheme="minorHAnsi" w:cstheme="minorHAnsi"/>
                <w:color w:val="000000"/>
                <w:sz w:val="20"/>
                <w:szCs w:val="22"/>
              </w:rPr>
              <w:t>Laboratorio Clínico</w:t>
            </w:r>
          </w:p>
        </w:tc>
        <w:tc>
          <w:tcPr>
            <w:tcW w:w="1008" w:type="dxa"/>
            <w:noWrap/>
            <w:hideMark/>
          </w:tcPr>
          <w:p w:rsidR="0032745B" w:rsidRPr="00C46E68" w:rsidRDefault="0032745B" w:rsidP="003274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1</w:t>
            </w:r>
          </w:p>
        </w:tc>
        <w:tc>
          <w:tcPr>
            <w:tcW w:w="1653" w:type="dxa"/>
            <w:noWrap/>
            <w:hideMark/>
          </w:tcPr>
          <w:p w:rsidR="0032745B" w:rsidRPr="00C46E68" w:rsidRDefault="0032745B" w:rsidP="003274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24</w:t>
            </w:r>
          </w:p>
        </w:tc>
        <w:tc>
          <w:tcPr>
            <w:tcW w:w="1923" w:type="dxa"/>
            <w:noWrap/>
            <w:hideMark/>
          </w:tcPr>
          <w:p w:rsidR="0032745B" w:rsidRPr="00C46E68" w:rsidRDefault="0032745B" w:rsidP="003274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5</w:t>
            </w:r>
          </w:p>
        </w:tc>
        <w:tc>
          <w:tcPr>
            <w:tcW w:w="1385" w:type="dxa"/>
            <w:noWrap/>
            <w:hideMark/>
          </w:tcPr>
          <w:p w:rsidR="0032745B" w:rsidRPr="00C46E68" w:rsidRDefault="0032745B" w:rsidP="003274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288</w:t>
            </w:r>
          </w:p>
        </w:tc>
        <w:tc>
          <w:tcPr>
            <w:tcW w:w="1537" w:type="dxa"/>
            <w:noWrap/>
            <w:hideMark/>
          </w:tcPr>
          <w:p w:rsidR="0032745B" w:rsidRPr="00C46E68" w:rsidRDefault="0032745B" w:rsidP="003274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89.352</w:t>
            </w:r>
          </w:p>
        </w:tc>
      </w:tr>
      <w:tr w:rsidR="0032745B" w:rsidRPr="00C46E68" w:rsidTr="00B052E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2" w:type="dxa"/>
            <w:noWrap/>
            <w:hideMark/>
          </w:tcPr>
          <w:p w:rsidR="0032745B" w:rsidRPr="00C46E68" w:rsidRDefault="0032745B" w:rsidP="0032745B">
            <w:pPr>
              <w:rPr>
                <w:rFonts w:asciiTheme="minorHAnsi" w:hAnsiTheme="minorHAnsi" w:cstheme="minorHAnsi"/>
                <w:color w:val="000000"/>
                <w:sz w:val="20"/>
                <w:szCs w:val="22"/>
              </w:rPr>
            </w:pPr>
            <w:r w:rsidRPr="00C46E68">
              <w:rPr>
                <w:rFonts w:asciiTheme="minorHAnsi" w:hAnsiTheme="minorHAnsi" w:cstheme="minorHAnsi"/>
                <w:color w:val="000000"/>
                <w:sz w:val="20"/>
                <w:szCs w:val="22"/>
              </w:rPr>
              <w:t>Ecografía</w:t>
            </w:r>
          </w:p>
        </w:tc>
        <w:tc>
          <w:tcPr>
            <w:tcW w:w="1008" w:type="dxa"/>
            <w:noWrap/>
            <w:hideMark/>
          </w:tcPr>
          <w:p w:rsidR="0032745B" w:rsidRPr="00C46E68"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1</w:t>
            </w:r>
          </w:p>
        </w:tc>
        <w:tc>
          <w:tcPr>
            <w:tcW w:w="1653" w:type="dxa"/>
            <w:noWrap/>
            <w:hideMark/>
          </w:tcPr>
          <w:p w:rsidR="0032745B" w:rsidRPr="00C46E68"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24</w:t>
            </w:r>
          </w:p>
        </w:tc>
        <w:tc>
          <w:tcPr>
            <w:tcW w:w="1923" w:type="dxa"/>
            <w:noWrap/>
            <w:hideMark/>
          </w:tcPr>
          <w:p w:rsidR="0032745B" w:rsidRPr="00C46E68"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10</w:t>
            </w:r>
          </w:p>
        </w:tc>
        <w:tc>
          <w:tcPr>
            <w:tcW w:w="1385" w:type="dxa"/>
            <w:noWrap/>
            <w:hideMark/>
          </w:tcPr>
          <w:p w:rsidR="0032745B" w:rsidRPr="00C46E68"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144</w:t>
            </w:r>
          </w:p>
        </w:tc>
        <w:tc>
          <w:tcPr>
            <w:tcW w:w="1537" w:type="dxa"/>
            <w:noWrap/>
            <w:hideMark/>
          </w:tcPr>
          <w:p w:rsidR="0032745B" w:rsidRPr="00C46E68"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44.676</w:t>
            </w:r>
          </w:p>
        </w:tc>
      </w:tr>
      <w:tr w:rsidR="0032745B" w:rsidRPr="00C46E68" w:rsidTr="00B052E2">
        <w:trPr>
          <w:trHeight w:val="300"/>
        </w:trPr>
        <w:tc>
          <w:tcPr>
            <w:cnfStyle w:val="001000000000" w:firstRow="0" w:lastRow="0" w:firstColumn="1" w:lastColumn="0" w:oddVBand="0" w:evenVBand="0" w:oddHBand="0" w:evenHBand="0" w:firstRowFirstColumn="0" w:firstRowLastColumn="0" w:lastRowFirstColumn="0" w:lastRowLastColumn="0"/>
            <w:tcW w:w="1402" w:type="dxa"/>
            <w:noWrap/>
            <w:hideMark/>
          </w:tcPr>
          <w:p w:rsidR="0032745B" w:rsidRPr="00C46E68" w:rsidRDefault="0032745B" w:rsidP="0032745B">
            <w:pPr>
              <w:rPr>
                <w:rFonts w:asciiTheme="minorHAnsi" w:hAnsiTheme="minorHAnsi" w:cstheme="minorHAnsi"/>
                <w:color w:val="000000"/>
                <w:sz w:val="20"/>
                <w:szCs w:val="22"/>
              </w:rPr>
            </w:pPr>
            <w:r w:rsidRPr="00C46E68">
              <w:rPr>
                <w:rFonts w:asciiTheme="minorHAnsi" w:hAnsiTheme="minorHAnsi" w:cstheme="minorHAnsi"/>
                <w:color w:val="000000"/>
                <w:sz w:val="20"/>
                <w:szCs w:val="22"/>
              </w:rPr>
              <w:t>Tomografía</w:t>
            </w:r>
          </w:p>
        </w:tc>
        <w:tc>
          <w:tcPr>
            <w:tcW w:w="1008" w:type="dxa"/>
            <w:noWrap/>
            <w:hideMark/>
          </w:tcPr>
          <w:p w:rsidR="0032745B" w:rsidRPr="00C46E68" w:rsidRDefault="0032745B" w:rsidP="003274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1</w:t>
            </w:r>
          </w:p>
        </w:tc>
        <w:tc>
          <w:tcPr>
            <w:tcW w:w="1653" w:type="dxa"/>
            <w:noWrap/>
            <w:hideMark/>
          </w:tcPr>
          <w:p w:rsidR="0032745B" w:rsidRPr="00C46E68" w:rsidRDefault="0032745B" w:rsidP="003274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24</w:t>
            </w:r>
          </w:p>
        </w:tc>
        <w:tc>
          <w:tcPr>
            <w:tcW w:w="1923" w:type="dxa"/>
            <w:noWrap/>
            <w:hideMark/>
          </w:tcPr>
          <w:p w:rsidR="0032745B" w:rsidRPr="00C46E68" w:rsidRDefault="0032745B" w:rsidP="003274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30</w:t>
            </w:r>
          </w:p>
        </w:tc>
        <w:tc>
          <w:tcPr>
            <w:tcW w:w="1385" w:type="dxa"/>
            <w:noWrap/>
            <w:hideMark/>
          </w:tcPr>
          <w:p w:rsidR="0032745B" w:rsidRPr="00C46E68" w:rsidRDefault="0032745B" w:rsidP="003274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48</w:t>
            </w:r>
          </w:p>
        </w:tc>
        <w:tc>
          <w:tcPr>
            <w:tcW w:w="1537" w:type="dxa"/>
            <w:noWrap/>
            <w:hideMark/>
          </w:tcPr>
          <w:p w:rsidR="0032745B" w:rsidRPr="00C46E68" w:rsidRDefault="0032745B" w:rsidP="003274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C46E68">
              <w:rPr>
                <w:rFonts w:asciiTheme="minorHAnsi" w:hAnsiTheme="minorHAnsi" w:cstheme="minorHAnsi"/>
                <w:color w:val="000000"/>
                <w:sz w:val="20"/>
                <w:szCs w:val="22"/>
              </w:rPr>
              <w:t>14.892</w:t>
            </w:r>
          </w:p>
        </w:tc>
      </w:tr>
    </w:tbl>
    <w:p w:rsidR="0032745B" w:rsidRPr="00704920" w:rsidRDefault="0032745B" w:rsidP="0032745B">
      <w:pPr>
        <w:jc w:val="both"/>
        <w:rPr>
          <w:rFonts w:asciiTheme="minorHAnsi" w:hAnsiTheme="minorHAnsi" w:cstheme="minorHAnsi"/>
          <w:sz w:val="18"/>
          <w:szCs w:val="22"/>
        </w:rPr>
      </w:pPr>
      <w:r w:rsidRPr="00704920">
        <w:rPr>
          <w:rFonts w:asciiTheme="minorHAnsi" w:hAnsiTheme="minorHAnsi" w:cstheme="minorHAnsi"/>
          <w:sz w:val="18"/>
          <w:szCs w:val="22"/>
        </w:rPr>
        <w:t>Fuente: Ibáñez, C. (2011).</w:t>
      </w:r>
    </w:p>
    <w:p w:rsidR="0032745B" w:rsidRPr="000E565D" w:rsidRDefault="0032745B" w:rsidP="0032745B">
      <w:pPr>
        <w:jc w:val="both"/>
        <w:rPr>
          <w:rFonts w:asciiTheme="minorHAnsi" w:hAnsiTheme="minorHAnsi" w:cstheme="minorHAnsi"/>
          <w:sz w:val="22"/>
          <w:szCs w:val="22"/>
        </w:rPr>
      </w:pPr>
    </w:p>
    <w:p w:rsidR="0032745B" w:rsidRPr="000E565D" w:rsidRDefault="0032745B" w:rsidP="008A366B">
      <w:pPr>
        <w:pStyle w:val="Heading2"/>
        <w:numPr>
          <w:ilvl w:val="1"/>
          <w:numId w:val="1"/>
        </w:numPr>
        <w:spacing w:line="276" w:lineRule="auto"/>
        <w:rPr>
          <w:rFonts w:asciiTheme="minorHAnsi" w:hAnsiTheme="minorHAnsi" w:cstheme="minorHAnsi"/>
          <w:szCs w:val="22"/>
        </w:rPr>
      </w:pPr>
      <w:bookmarkStart w:id="14" w:name="_Toc302997993"/>
      <w:bookmarkStart w:id="15" w:name="_Toc330952992"/>
      <w:bookmarkStart w:id="16" w:name="_Toc368865408"/>
      <w:bookmarkStart w:id="17" w:name="_Toc373093496"/>
      <w:r w:rsidRPr="000E565D">
        <w:rPr>
          <w:rFonts w:asciiTheme="minorHAnsi" w:hAnsiTheme="minorHAnsi" w:cstheme="minorHAnsi"/>
          <w:szCs w:val="22"/>
        </w:rPr>
        <w:t>Acerca de la demanda de prestaciones sanitarias</w:t>
      </w:r>
      <w:bookmarkEnd w:id="14"/>
      <w:bookmarkEnd w:id="15"/>
      <w:bookmarkEnd w:id="16"/>
      <w:bookmarkEnd w:id="17"/>
    </w:p>
    <w:p w:rsidR="0032745B" w:rsidRPr="000E565D" w:rsidRDefault="0032745B" w:rsidP="0032745B">
      <w:pPr>
        <w:pStyle w:val="BlockText"/>
        <w:ind w:left="0"/>
        <w:rPr>
          <w:rFonts w:asciiTheme="minorHAnsi" w:hAnsiTheme="minorHAnsi" w:cstheme="minorHAnsi"/>
          <w:sz w:val="22"/>
        </w:rPr>
      </w:pPr>
    </w:p>
    <w:p w:rsidR="0032745B" w:rsidRPr="000E565D" w:rsidRDefault="0032745B" w:rsidP="0032745B">
      <w:pPr>
        <w:pStyle w:val="BlockText"/>
        <w:ind w:left="0"/>
        <w:rPr>
          <w:rFonts w:asciiTheme="minorHAnsi" w:hAnsiTheme="minorHAnsi" w:cstheme="minorHAnsi"/>
          <w:sz w:val="22"/>
        </w:rPr>
      </w:pPr>
      <w:r w:rsidRPr="000E565D">
        <w:rPr>
          <w:rFonts w:asciiTheme="minorHAnsi" w:hAnsiTheme="minorHAnsi" w:cstheme="minorHAnsi"/>
          <w:sz w:val="22"/>
        </w:rPr>
        <w:t xml:space="preserve">Dos son las preguntas fundamentales que es necesario responder para poder comprehender la racionalidad que subyace a la demanda por servicios sanitarios. En primer lugar es necesario responder qué es la demanda de servicios sanitarios y, segundo cuáles son sus determinantes fundamentales. </w:t>
      </w:r>
    </w:p>
    <w:p w:rsidR="0032745B" w:rsidRPr="000E565D" w:rsidRDefault="0032745B" w:rsidP="0032745B">
      <w:pPr>
        <w:pStyle w:val="BlockText"/>
        <w:ind w:left="0"/>
        <w:rPr>
          <w:rFonts w:asciiTheme="minorHAnsi" w:hAnsiTheme="minorHAnsi" w:cstheme="minorHAnsi"/>
          <w:sz w:val="22"/>
        </w:rPr>
      </w:pPr>
      <w:r w:rsidRPr="000E565D">
        <w:rPr>
          <w:rFonts w:asciiTheme="minorHAnsi" w:hAnsiTheme="minorHAnsi" w:cstheme="minorHAnsi"/>
          <w:sz w:val="22"/>
        </w:rPr>
        <w:t>Implícitamente se asume que las atenciones recibidas por la población en la actualidad sólo son una parte de esta demanda, la que se expresa mediante la asistencia a los centros sanitarios y que efectivamente logran atender su necesidad inmediata, sin embargo, está documentado que no toda la población con necesidades de atención asiste a estos centros. En este sentido la evaluación y proyección de la demanda debe considerar y estimar la demanda potencial por servicios sanitarios, lo cual implica no solo incorporar las atenciones que actualmente se atienden en el Hospital, sino también la demanda no expresada. En este sentido, podemos decir que la demanda sanitaria potencial se compone de una demanda expresada y una no expresada.</w:t>
      </w:r>
      <w:r w:rsidRPr="000E565D">
        <w:rPr>
          <w:rStyle w:val="FootnoteReference"/>
          <w:rFonts w:asciiTheme="minorHAnsi" w:hAnsiTheme="minorHAnsi" w:cstheme="minorHAnsi"/>
          <w:sz w:val="22"/>
        </w:rPr>
        <w:footnoteReference w:id="15"/>
      </w:r>
      <w:r w:rsidRPr="000E565D">
        <w:rPr>
          <w:rFonts w:asciiTheme="minorHAnsi" w:hAnsiTheme="minorHAnsi" w:cstheme="minorHAnsi"/>
          <w:sz w:val="22"/>
        </w:rPr>
        <w:t xml:space="preserve"> A su vez, esta demanda potencial se puede entender también como una demanda por atenciones curativas y otra preventiva.</w:t>
      </w:r>
    </w:p>
    <w:p w:rsidR="0032745B" w:rsidRPr="000E565D" w:rsidRDefault="0032745B" w:rsidP="0032745B">
      <w:pPr>
        <w:pStyle w:val="BlockText"/>
        <w:ind w:left="0"/>
        <w:rPr>
          <w:rFonts w:asciiTheme="minorHAnsi" w:hAnsiTheme="minorHAnsi" w:cstheme="minorHAnsi"/>
          <w:sz w:val="22"/>
        </w:rPr>
      </w:pPr>
      <w:r w:rsidRPr="000E565D">
        <w:rPr>
          <w:rFonts w:asciiTheme="minorHAnsi" w:hAnsiTheme="minorHAnsi" w:cstheme="minorHAnsi"/>
          <w:sz w:val="22"/>
        </w:rPr>
        <w:t>Respecto de los principales determinantes de las atenciones de salud, una breve revisión de la literatura informa acerca de cómo se ha conceptualizado la demanda por salud y por la asistencia sanitaria, de acuerdo a Grossman (1999) la producción de salud corresponde a un ámbito distinto, pero relacionado, de la demanda de servicios sanitarios, donde estos últimos corresponderían más bien a uno de los inputs necesarios para la producción de salud de los individuos, entendida esta última como un stock de capital. En este contexto, los principales determinantes de la demanda de servicios sanitarios serían la tasa de salario, el precio de la atención médica, el stock de capital humano y la edad.</w:t>
      </w:r>
      <w:r w:rsidRPr="000E565D">
        <w:rPr>
          <w:rStyle w:val="FootnoteReference"/>
          <w:rFonts w:asciiTheme="minorHAnsi" w:hAnsiTheme="minorHAnsi" w:cstheme="minorHAnsi"/>
          <w:sz w:val="22"/>
        </w:rPr>
        <w:footnoteReference w:id="16"/>
      </w:r>
      <w:r w:rsidRPr="000E565D">
        <w:rPr>
          <w:rFonts w:asciiTheme="minorHAnsi" w:hAnsiTheme="minorHAnsi" w:cstheme="minorHAnsi"/>
          <w:sz w:val="22"/>
        </w:rPr>
        <w:t xml:space="preserve"> En el caso de sistemas públicos al precio de la asistencia médica, generalmente subsidiado o cero, deben agregarse variables asociadas al valor del tiempo y al acceso.</w:t>
      </w:r>
      <w:r w:rsidRPr="000E565D">
        <w:rPr>
          <w:rStyle w:val="FootnoteReference"/>
          <w:rFonts w:asciiTheme="minorHAnsi" w:hAnsiTheme="minorHAnsi" w:cstheme="minorHAnsi"/>
          <w:sz w:val="22"/>
        </w:rPr>
        <w:footnoteReference w:id="17"/>
      </w:r>
      <w:r w:rsidRPr="000E565D">
        <w:rPr>
          <w:rFonts w:asciiTheme="minorHAnsi" w:hAnsiTheme="minorHAnsi" w:cstheme="minorHAnsi"/>
          <w:sz w:val="22"/>
        </w:rPr>
        <w:t xml:space="preserve"> De este modo, la demanda de servicios sanitarios será mayor cuando más altos sean los </w:t>
      </w:r>
      <w:r w:rsidRPr="000E565D">
        <w:rPr>
          <w:rFonts w:asciiTheme="minorHAnsi" w:hAnsiTheme="minorHAnsi" w:cstheme="minorHAnsi"/>
          <w:sz w:val="22"/>
        </w:rPr>
        <w:lastRenderedPageBreak/>
        <w:t>salarios, menor el precio de la atención, mayor el stock de capital humano</w:t>
      </w:r>
      <w:r w:rsidR="00732BA6">
        <w:rPr>
          <w:rFonts w:asciiTheme="minorHAnsi" w:hAnsiTheme="minorHAnsi" w:cstheme="minorHAnsi"/>
          <w:sz w:val="22"/>
        </w:rPr>
        <w:t>,</w:t>
      </w:r>
      <w:r w:rsidRPr="000E565D">
        <w:rPr>
          <w:rFonts w:asciiTheme="minorHAnsi" w:hAnsiTheme="minorHAnsi" w:cstheme="minorHAnsi"/>
          <w:sz w:val="22"/>
        </w:rPr>
        <w:t xml:space="preserve"> mayor sea la edad</w:t>
      </w:r>
      <w:r w:rsidR="00732BA6">
        <w:rPr>
          <w:rFonts w:asciiTheme="minorHAnsi" w:hAnsiTheme="minorHAnsi" w:cstheme="minorHAnsi"/>
          <w:sz w:val="22"/>
        </w:rPr>
        <w:t xml:space="preserve"> y menores las dificultades de acceso a los centros de salud</w:t>
      </w:r>
      <w:r w:rsidRPr="000E565D">
        <w:rPr>
          <w:rFonts w:asciiTheme="minorHAnsi" w:hAnsiTheme="minorHAnsi" w:cstheme="minorHAnsi"/>
          <w:sz w:val="22"/>
        </w:rPr>
        <w:t>.</w:t>
      </w:r>
    </w:p>
    <w:p w:rsidR="0032745B" w:rsidRPr="000E565D" w:rsidRDefault="0032745B" w:rsidP="0032745B">
      <w:pPr>
        <w:pStyle w:val="BlockText"/>
        <w:ind w:left="0"/>
        <w:rPr>
          <w:rFonts w:asciiTheme="minorHAnsi" w:hAnsiTheme="minorHAnsi" w:cstheme="minorHAnsi"/>
          <w:sz w:val="22"/>
        </w:rPr>
      </w:pPr>
      <w:r w:rsidRPr="000E565D">
        <w:rPr>
          <w:rFonts w:asciiTheme="minorHAnsi" w:hAnsiTheme="minorHAnsi" w:cstheme="minorHAnsi"/>
          <w:sz w:val="22"/>
        </w:rPr>
        <w:t>Desde la perspectiva de la utilización efectiva de la asistencia sanitaria, esta se puede entender como el resultado final de un proceso de toma de decisión por parte de un individuo. De acuerdo a Clavero, A. y González, M. (2005; pp. 132)</w:t>
      </w:r>
      <w:r w:rsidR="00732BA6">
        <w:rPr>
          <w:rFonts w:asciiTheme="minorHAnsi" w:hAnsiTheme="minorHAnsi" w:cstheme="minorHAnsi"/>
          <w:sz w:val="22"/>
        </w:rPr>
        <w:t>,</w:t>
      </w:r>
      <w:r w:rsidRPr="000E565D">
        <w:rPr>
          <w:rFonts w:asciiTheme="minorHAnsi" w:hAnsiTheme="minorHAnsi" w:cstheme="minorHAnsi"/>
          <w:sz w:val="22"/>
        </w:rPr>
        <w:t xml:space="preserve"> el proceso de toma de decisión en cuanto a utilizar los servicios sanitarios se puede esquematizar en tres fases: “la que se inicia con la necesidad, en forma de dolencia, enfermedad o malestar; la que sigue con la demanda, cuando el individuo percibe que su estado de salud requiere algún tipo de asistencia y toma la decisión de contactar con el sistema; y la que finaliza en el uso o utilización,…”.</w:t>
      </w:r>
      <w:r w:rsidRPr="000E565D">
        <w:rPr>
          <w:rStyle w:val="FootnoteReference"/>
          <w:rFonts w:asciiTheme="minorHAnsi" w:hAnsiTheme="minorHAnsi" w:cstheme="minorHAnsi"/>
          <w:sz w:val="22"/>
        </w:rPr>
        <w:footnoteReference w:id="18"/>
      </w:r>
      <w:r w:rsidRPr="000E565D">
        <w:rPr>
          <w:rFonts w:asciiTheme="minorHAnsi" w:hAnsiTheme="minorHAnsi" w:cstheme="minorHAnsi"/>
          <w:sz w:val="22"/>
        </w:rPr>
        <w:t xml:space="preserve"> </w:t>
      </w:r>
    </w:p>
    <w:p w:rsidR="0032745B" w:rsidRPr="000E565D" w:rsidRDefault="0032745B" w:rsidP="0032745B">
      <w:pPr>
        <w:pStyle w:val="BlockText"/>
        <w:ind w:left="0"/>
        <w:rPr>
          <w:rFonts w:asciiTheme="minorHAnsi" w:hAnsiTheme="minorHAnsi" w:cstheme="minorHAnsi"/>
          <w:sz w:val="22"/>
        </w:rPr>
      </w:pPr>
      <w:r w:rsidRPr="000E565D">
        <w:rPr>
          <w:rFonts w:asciiTheme="minorHAnsi" w:hAnsiTheme="minorHAnsi" w:cstheme="minorHAnsi"/>
          <w:sz w:val="22"/>
        </w:rPr>
        <w:t>De acuerdo a lo anterior es posible distinguir tres conceptos concatenados en un proceso de toma de decisión, como son la necesidad, la demanda y la utilización. A lo anterior hay que agregar que la percepción de necesidad es a su vez determinado por el conocimiento y la costumbre, entendida esta como construcción social. Así podremos esperar que aumentos en el conocimiento, en tanto experiencia vital, transmitida vía oral o escrita aumente las mejores decisiones en materia sanitaria por parte de las familias favoreciendo la salud de las mismas. A su vez, la costumbre es modificada por el aumento del conocimiento social. Esto último es importante para efectos de explicar la demanda sanitaria, dado que afecta precisamente a la primera fase del proceso de toma de decisión cual es la capacidad de percepción de una necesidad de atención.</w:t>
      </w:r>
    </w:p>
    <w:p w:rsidR="0032745B" w:rsidRPr="000E565D" w:rsidRDefault="0032745B" w:rsidP="0032745B">
      <w:pPr>
        <w:pStyle w:val="BlockText"/>
        <w:ind w:left="0"/>
        <w:rPr>
          <w:rFonts w:asciiTheme="minorHAnsi" w:hAnsiTheme="minorHAnsi" w:cstheme="minorHAnsi"/>
          <w:sz w:val="22"/>
        </w:rPr>
      </w:pPr>
      <w:r w:rsidRPr="000E565D">
        <w:rPr>
          <w:rFonts w:asciiTheme="minorHAnsi" w:hAnsiTheme="minorHAnsi" w:cstheme="minorHAnsi"/>
          <w:sz w:val="22"/>
        </w:rPr>
        <w:t>Desde la perspectiva económica, dos han sido los modelos teóricos generales que se han propuesto, en primer término los modelos basados en la teoría estándar del consumidor que consideran al individuo al principal agente que determina y decide la demanda y utilización de servicios sanitarios, y los enfoques de principal agente que asumen en el personal médico al principal agente que determina la demanda por parte de otro individuo, posterior a la primera visita.</w:t>
      </w:r>
      <w:r w:rsidRPr="000E565D">
        <w:rPr>
          <w:rStyle w:val="FootnoteReference"/>
          <w:rFonts w:asciiTheme="minorHAnsi" w:hAnsiTheme="minorHAnsi" w:cstheme="minorHAnsi"/>
          <w:sz w:val="22"/>
        </w:rPr>
        <w:footnoteReference w:id="19"/>
      </w:r>
      <w:r w:rsidRPr="000E565D">
        <w:rPr>
          <w:rFonts w:asciiTheme="minorHAnsi" w:hAnsiTheme="minorHAnsi" w:cstheme="minorHAnsi"/>
          <w:sz w:val="22"/>
        </w:rPr>
        <w:t xml:space="preserve"> </w:t>
      </w:r>
    </w:p>
    <w:p w:rsidR="0032745B" w:rsidRPr="000E565D" w:rsidRDefault="0032745B" w:rsidP="0032745B">
      <w:pPr>
        <w:pStyle w:val="BodyText"/>
        <w:rPr>
          <w:rFonts w:asciiTheme="minorHAnsi" w:hAnsiTheme="minorHAnsi" w:cstheme="minorHAnsi"/>
          <w:sz w:val="22"/>
        </w:rPr>
      </w:pPr>
      <w:r w:rsidRPr="000E565D">
        <w:rPr>
          <w:rFonts w:asciiTheme="minorHAnsi" w:hAnsiTheme="minorHAnsi" w:cstheme="minorHAnsi"/>
          <w:sz w:val="22"/>
        </w:rPr>
        <w:t>Por otra parte, desde un punto de vista complementario respecto de los determinantes de  la utilización, la literatura informa acerca del tratamiento especial que recibe la dotación de recursos humanos de los servicios hospitalarios, en el sentido de que esta induciría demanda</w:t>
      </w:r>
      <w:r w:rsidRPr="000E565D">
        <w:rPr>
          <w:rStyle w:val="FootnoteReference"/>
          <w:rFonts w:asciiTheme="minorHAnsi" w:hAnsiTheme="minorHAnsi" w:cstheme="minorHAnsi"/>
          <w:sz w:val="22"/>
        </w:rPr>
        <w:footnoteReference w:id="20"/>
      </w:r>
      <w:r w:rsidRPr="000E565D">
        <w:rPr>
          <w:rFonts w:asciiTheme="minorHAnsi" w:hAnsiTheme="minorHAnsi" w:cstheme="minorHAnsi"/>
          <w:sz w:val="22"/>
        </w:rPr>
        <w:t>, por ejemplo, aumentos en la disponibilidad de médicos se traducirán en aumentos en las consultas. En un mundo flexible, se argumenta que la dotación es endógena, es decir, que se determina simultáneamente con la demanda o necesidades de salud y que por lo tanto la dotación induce demanda y a la vez la demanda induce dotación.</w:t>
      </w:r>
      <w:r w:rsidRPr="000E565D">
        <w:rPr>
          <w:rStyle w:val="FootnoteReference"/>
          <w:rFonts w:asciiTheme="minorHAnsi" w:hAnsiTheme="minorHAnsi" w:cstheme="minorHAnsi"/>
          <w:sz w:val="22"/>
        </w:rPr>
        <w:footnoteReference w:id="21"/>
      </w:r>
      <w:r w:rsidRPr="000E565D">
        <w:rPr>
          <w:rFonts w:asciiTheme="minorHAnsi" w:hAnsiTheme="minorHAnsi" w:cstheme="minorHAnsi"/>
          <w:sz w:val="22"/>
        </w:rPr>
        <w:t xml:space="preserve"> De este modo la dotación médica afecta a la demanda mediante la modificación de la expectativa de ser efectivamente atendido una vez percibida una necesidad.</w:t>
      </w:r>
      <w:r w:rsidRPr="000E565D">
        <w:rPr>
          <w:rStyle w:val="FootnoteReference"/>
          <w:rFonts w:asciiTheme="minorHAnsi" w:hAnsiTheme="minorHAnsi" w:cstheme="minorHAnsi"/>
          <w:sz w:val="22"/>
        </w:rPr>
        <w:footnoteReference w:id="22"/>
      </w:r>
      <w:r w:rsidRPr="000E565D">
        <w:rPr>
          <w:rFonts w:asciiTheme="minorHAnsi" w:hAnsiTheme="minorHAnsi" w:cstheme="minorHAnsi"/>
          <w:sz w:val="22"/>
        </w:rPr>
        <w:t xml:space="preserve"> En un sentido más específico Mendoza-Sassi, R. y Umberto, J. (2001; </w:t>
      </w:r>
      <w:r w:rsidRPr="000E565D">
        <w:rPr>
          <w:rFonts w:asciiTheme="minorHAnsi" w:hAnsiTheme="minorHAnsi" w:cstheme="minorHAnsi"/>
          <w:sz w:val="22"/>
        </w:rPr>
        <w:lastRenderedPageBreak/>
        <w:t>pp. 829) afirman que el tener un médico definido favorece la utilización, en caso contrario “…la ausencia de un médico definido en los grupos socioeconómicos menos favorecidos puede ser considerado un elemento promotor de la inequidad”.</w:t>
      </w:r>
    </w:p>
    <w:p w:rsidR="0032745B" w:rsidRPr="000E565D" w:rsidRDefault="0032745B" w:rsidP="0032745B">
      <w:pPr>
        <w:pStyle w:val="BodyText"/>
        <w:rPr>
          <w:rFonts w:asciiTheme="minorHAnsi" w:hAnsiTheme="minorHAnsi" w:cstheme="minorHAnsi"/>
          <w:sz w:val="22"/>
        </w:rPr>
      </w:pPr>
      <w:r w:rsidRPr="000E565D">
        <w:rPr>
          <w:rFonts w:asciiTheme="minorHAnsi" w:hAnsiTheme="minorHAnsi" w:cstheme="minorHAnsi"/>
          <w:sz w:val="22"/>
        </w:rPr>
        <w:t>Asociado a lo anterior, está el hecho de que la ausencia de oferta de atención implicará una baja resolutividad, lo cual dicho en términos técnicos supone una baja productividad de la atención sanitaria en términos de resolución efectiva de los problemas de salud de la población, de acuerdo a Wouters, A. V. (1993; pp. 136) “la baja utilización de los servicios de salud por parte de una familia puede obedecer simplemente a una decisión racional en que se refleja la poca productividad de los insumos”.</w:t>
      </w:r>
      <w:r w:rsidRPr="000E565D">
        <w:rPr>
          <w:rStyle w:val="FootnoteReference"/>
          <w:rFonts w:asciiTheme="minorHAnsi" w:hAnsiTheme="minorHAnsi" w:cstheme="minorHAnsi"/>
          <w:sz w:val="22"/>
        </w:rPr>
        <w:footnoteReference w:id="23"/>
      </w:r>
    </w:p>
    <w:p w:rsidR="0032745B" w:rsidRPr="000E565D" w:rsidRDefault="0032745B" w:rsidP="0032745B">
      <w:pPr>
        <w:pStyle w:val="BlockText"/>
        <w:ind w:left="0"/>
        <w:rPr>
          <w:rFonts w:asciiTheme="minorHAnsi" w:hAnsiTheme="minorHAnsi" w:cstheme="minorHAnsi"/>
          <w:sz w:val="22"/>
        </w:rPr>
      </w:pPr>
      <w:r w:rsidRPr="000E565D">
        <w:rPr>
          <w:rFonts w:asciiTheme="minorHAnsi" w:hAnsiTheme="minorHAnsi" w:cstheme="minorHAnsi"/>
          <w:sz w:val="22"/>
        </w:rPr>
        <w:t>De acuerdo a lo planteado</w:t>
      </w:r>
      <w:r w:rsidR="00732BA6">
        <w:rPr>
          <w:rFonts w:asciiTheme="minorHAnsi" w:hAnsiTheme="minorHAnsi" w:cstheme="minorHAnsi"/>
          <w:sz w:val="22"/>
        </w:rPr>
        <w:t>,</w:t>
      </w:r>
      <w:r w:rsidRPr="000E565D">
        <w:rPr>
          <w:rFonts w:asciiTheme="minorHAnsi" w:hAnsiTheme="minorHAnsi" w:cstheme="minorHAnsi"/>
          <w:sz w:val="22"/>
        </w:rPr>
        <w:t xml:space="preserve"> podemos entender a la demanda por atenciones sanitarias en el hospital como una función de un conjunto de variables tales como, el precio de las atenciones, la oferta disponible, la distancia de los centros de salud, de factores culturales y educación, efectividad en el funcionamiento de la red asistencial, campañas de prevención</w:t>
      </w:r>
      <w:r w:rsidR="00732BA6">
        <w:rPr>
          <w:rFonts w:asciiTheme="minorHAnsi" w:hAnsiTheme="minorHAnsi" w:cstheme="minorHAnsi"/>
          <w:sz w:val="22"/>
        </w:rPr>
        <w:t>,</w:t>
      </w:r>
      <w:r w:rsidRPr="000E565D">
        <w:rPr>
          <w:rFonts w:asciiTheme="minorHAnsi" w:hAnsiTheme="minorHAnsi" w:cstheme="minorHAnsi"/>
          <w:sz w:val="22"/>
        </w:rPr>
        <w:t xml:space="preserve"> capacidad de los centros de atención primaria por detectar </w:t>
      </w:r>
      <w:r>
        <w:rPr>
          <w:rFonts w:asciiTheme="minorHAnsi" w:hAnsiTheme="minorHAnsi" w:cstheme="minorHAnsi"/>
          <w:sz w:val="22"/>
        </w:rPr>
        <w:t>diversas patologías necesarias de atender en recintos de tercer nivel de complejidad</w:t>
      </w:r>
      <w:r w:rsidR="00732BA6">
        <w:rPr>
          <w:rFonts w:asciiTheme="minorHAnsi" w:hAnsiTheme="minorHAnsi" w:cstheme="minorHAnsi"/>
          <w:sz w:val="22"/>
        </w:rPr>
        <w:t>, y de la resolutividad de los centros de salud</w:t>
      </w:r>
      <w:r w:rsidRPr="000E565D">
        <w:rPr>
          <w:rFonts w:asciiTheme="minorHAnsi" w:hAnsiTheme="minorHAnsi" w:cstheme="minorHAnsi"/>
          <w:sz w:val="22"/>
        </w:rPr>
        <w:t xml:space="preserve">. </w:t>
      </w:r>
    </w:p>
    <w:p w:rsidR="0032745B" w:rsidRPr="000E565D" w:rsidRDefault="0032745B" w:rsidP="0032745B">
      <w:pPr>
        <w:pStyle w:val="BlockText"/>
        <w:ind w:left="0"/>
        <w:rPr>
          <w:rFonts w:asciiTheme="minorHAnsi" w:hAnsiTheme="minorHAnsi" w:cstheme="minorHAnsi"/>
          <w:sz w:val="22"/>
        </w:rPr>
      </w:pPr>
      <w:r w:rsidRPr="000E565D">
        <w:rPr>
          <w:rFonts w:asciiTheme="minorHAnsi" w:hAnsiTheme="minorHAnsi" w:cstheme="minorHAnsi"/>
          <w:sz w:val="22"/>
        </w:rPr>
        <w:t>De este modo</w:t>
      </w:r>
      <w:r w:rsidR="00732BA6">
        <w:rPr>
          <w:rFonts w:asciiTheme="minorHAnsi" w:hAnsiTheme="minorHAnsi" w:cstheme="minorHAnsi"/>
          <w:sz w:val="22"/>
        </w:rPr>
        <w:t>,</w:t>
      </w:r>
      <w:r w:rsidRPr="000E565D">
        <w:rPr>
          <w:rFonts w:asciiTheme="minorHAnsi" w:hAnsiTheme="minorHAnsi" w:cstheme="minorHAnsi"/>
          <w:sz w:val="22"/>
        </w:rPr>
        <w:t xml:space="preserve"> se esperaría que la demanda aumente ante disminuciones en el precio de las atenciones, aumentos en las dotaciones y disponibilidad de médicos, la cercanía de la población a los centros de salud u hospitales, efectividad de la red asistencial, capacidad de centros de atención primaria de detectar casos nuevos</w:t>
      </w:r>
      <w:r w:rsidR="00732BA6">
        <w:rPr>
          <w:rFonts w:asciiTheme="minorHAnsi" w:hAnsiTheme="minorHAnsi" w:cstheme="minorHAnsi"/>
          <w:sz w:val="22"/>
        </w:rPr>
        <w:t xml:space="preserve"> y de aumentos en la resolutividad de los centros de salud</w:t>
      </w:r>
      <w:r w:rsidRPr="000E565D">
        <w:rPr>
          <w:rFonts w:asciiTheme="minorHAnsi" w:hAnsiTheme="minorHAnsi" w:cstheme="minorHAnsi"/>
          <w:sz w:val="22"/>
        </w:rPr>
        <w:t xml:space="preserve">. </w:t>
      </w:r>
    </w:p>
    <w:p w:rsidR="0032745B" w:rsidRDefault="0032745B" w:rsidP="0032745B">
      <w:pPr>
        <w:pStyle w:val="BlockText"/>
        <w:ind w:left="0"/>
        <w:rPr>
          <w:rFonts w:asciiTheme="minorHAnsi" w:hAnsiTheme="minorHAnsi" w:cstheme="minorHAnsi"/>
          <w:sz w:val="22"/>
        </w:rPr>
      </w:pPr>
      <w:r w:rsidRPr="000E565D">
        <w:rPr>
          <w:rFonts w:asciiTheme="minorHAnsi" w:hAnsiTheme="minorHAnsi" w:cstheme="minorHAnsi"/>
          <w:sz w:val="22"/>
        </w:rPr>
        <w:t>Respecto de factores culturales y educación de la población</w:t>
      </w:r>
      <w:r w:rsidR="00732BA6">
        <w:rPr>
          <w:rFonts w:asciiTheme="minorHAnsi" w:hAnsiTheme="minorHAnsi" w:cstheme="minorHAnsi"/>
          <w:sz w:val="22"/>
        </w:rPr>
        <w:t>,</w:t>
      </w:r>
      <w:r w:rsidRPr="000E565D">
        <w:rPr>
          <w:rFonts w:asciiTheme="minorHAnsi" w:hAnsiTheme="minorHAnsi" w:cstheme="minorHAnsi"/>
          <w:sz w:val="22"/>
        </w:rPr>
        <w:t xml:space="preserve"> se esperaría que la valoración por las atenciones de salud aumente con la pertinencia cultural de las mismas, induciendo aumentos en la demanda de atenciones.</w:t>
      </w:r>
      <w:r w:rsidRPr="000E565D">
        <w:rPr>
          <w:rStyle w:val="FootnoteReference"/>
          <w:rFonts w:asciiTheme="minorHAnsi" w:hAnsiTheme="minorHAnsi" w:cstheme="minorHAnsi"/>
          <w:sz w:val="22"/>
        </w:rPr>
        <w:footnoteReference w:id="24"/>
      </w:r>
    </w:p>
    <w:p w:rsidR="0032745B" w:rsidRPr="000E565D" w:rsidRDefault="0032745B" w:rsidP="0032745B">
      <w:pPr>
        <w:pStyle w:val="BlockText"/>
        <w:ind w:left="0"/>
        <w:rPr>
          <w:rFonts w:asciiTheme="minorHAnsi" w:hAnsiTheme="minorHAnsi" w:cstheme="minorHAnsi"/>
          <w:sz w:val="22"/>
        </w:rPr>
      </w:pPr>
    </w:p>
    <w:p w:rsidR="0032745B" w:rsidRPr="000E565D" w:rsidRDefault="0032745B" w:rsidP="008A366B">
      <w:pPr>
        <w:pStyle w:val="Heading2"/>
        <w:numPr>
          <w:ilvl w:val="1"/>
          <w:numId w:val="1"/>
        </w:numPr>
        <w:spacing w:line="276" w:lineRule="auto"/>
        <w:rPr>
          <w:rFonts w:asciiTheme="minorHAnsi" w:hAnsiTheme="minorHAnsi" w:cstheme="minorHAnsi"/>
          <w:szCs w:val="22"/>
        </w:rPr>
      </w:pPr>
      <w:bookmarkStart w:id="18" w:name="_Toc302997994"/>
      <w:bookmarkStart w:id="19" w:name="_Toc330952993"/>
      <w:bookmarkStart w:id="20" w:name="_Toc368865409"/>
      <w:bookmarkStart w:id="21" w:name="_Toc373093497"/>
      <w:r w:rsidRPr="000E565D">
        <w:rPr>
          <w:rFonts w:asciiTheme="minorHAnsi" w:hAnsiTheme="minorHAnsi" w:cstheme="minorHAnsi"/>
          <w:szCs w:val="22"/>
        </w:rPr>
        <w:t>Balance de oferta y demanda de prestaciones sanitarias</w:t>
      </w:r>
      <w:bookmarkEnd w:id="18"/>
      <w:bookmarkEnd w:id="19"/>
      <w:bookmarkEnd w:id="20"/>
      <w:bookmarkEnd w:id="21"/>
    </w:p>
    <w:p w:rsidR="0032745B" w:rsidRPr="000E565D" w:rsidRDefault="0032745B" w:rsidP="0032745B">
      <w:pPr>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 xml:space="preserve">El balance de oferta y demanda de prestaciones sanitarias es una síntesis de lo realizado en la estimación de la oferta y demanda potencial, tanto para la situación sin y con proyecto. Este balance entrega información muy relevante por cuanto nos indica los años de saturación para cada una de las prestaciones consideradas en el proyecto. </w:t>
      </w:r>
    </w:p>
    <w:p w:rsidR="0032745B" w:rsidRPr="000E565D" w:rsidRDefault="0032745B" w:rsidP="0032745B">
      <w:pPr>
        <w:jc w:val="both"/>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 xml:space="preserve">La información que entrega el balance de oferta y demanda se puede ilustrar gráficamente. En efecto, en la Figura </w:t>
      </w:r>
      <w:r>
        <w:rPr>
          <w:rFonts w:asciiTheme="minorHAnsi" w:hAnsiTheme="minorHAnsi" w:cstheme="minorHAnsi"/>
          <w:sz w:val="22"/>
          <w:szCs w:val="22"/>
        </w:rPr>
        <w:t>2</w:t>
      </w:r>
      <w:r w:rsidRPr="000E565D">
        <w:rPr>
          <w:rFonts w:asciiTheme="minorHAnsi" w:hAnsiTheme="minorHAnsi" w:cstheme="minorHAnsi"/>
          <w:sz w:val="22"/>
          <w:szCs w:val="22"/>
        </w:rPr>
        <w:t xml:space="preserve">.2 se observa la curva de demanda temporal de una determinada prestación de salud, y la oferta optimizada actual. En el año 1 se observa que la oferta es superior a la </w:t>
      </w:r>
      <w:r w:rsidRPr="000E565D">
        <w:rPr>
          <w:rFonts w:asciiTheme="minorHAnsi" w:hAnsiTheme="minorHAnsi" w:cstheme="minorHAnsi"/>
          <w:sz w:val="22"/>
          <w:szCs w:val="22"/>
        </w:rPr>
        <w:lastRenderedPageBreak/>
        <w:t>demanda, y por tanto existe en esta situación capacidad ociosa en el Hospital. En el año 2 existe un equilibrio perfecto entre la cantidad de prestaciones demandadas y las ofrecidas y finalmente en el año 3 existe una situación de saturación en el hospital expresado en un déficit de oferta.</w:t>
      </w:r>
    </w:p>
    <w:p w:rsidR="0032745B" w:rsidRDefault="0032745B" w:rsidP="0032745B">
      <w:pPr>
        <w:rPr>
          <w:rFonts w:asciiTheme="minorHAnsi" w:hAnsiTheme="minorHAnsi" w:cstheme="minorHAnsi"/>
          <w:sz w:val="22"/>
          <w:szCs w:val="22"/>
        </w:rPr>
      </w:pPr>
    </w:p>
    <w:p w:rsidR="0032745B" w:rsidRPr="000E565D" w:rsidRDefault="0032745B" w:rsidP="0032745B">
      <w:pPr>
        <w:rPr>
          <w:rFonts w:asciiTheme="minorHAnsi" w:hAnsiTheme="minorHAnsi" w:cstheme="minorHAnsi"/>
          <w:sz w:val="22"/>
          <w:szCs w:val="22"/>
        </w:rPr>
      </w:pPr>
      <w:r w:rsidRPr="000E565D">
        <w:rPr>
          <w:rFonts w:asciiTheme="minorHAnsi" w:hAnsiTheme="minorHAnsi" w:cstheme="minorHAnsi"/>
          <w:sz w:val="22"/>
          <w:szCs w:val="22"/>
        </w:rPr>
        <w:t xml:space="preserve">Figura </w:t>
      </w:r>
      <w:r>
        <w:rPr>
          <w:rFonts w:asciiTheme="minorHAnsi" w:hAnsiTheme="minorHAnsi" w:cstheme="minorHAnsi"/>
          <w:sz w:val="22"/>
          <w:szCs w:val="22"/>
        </w:rPr>
        <w:t>2</w:t>
      </w:r>
      <w:r w:rsidRPr="000E565D">
        <w:rPr>
          <w:rFonts w:asciiTheme="minorHAnsi" w:hAnsiTheme="minorHAnsi" w:cstheme="minorHAnsi"/>
          <w:sz w:val="22"/>
          <w:szCs w:val="22"/>
        </w:rPr>
        <w:t>.2: Balance oferta y demanda de prestaciones sanitarias situación sin proyecto</w:t>
      </w:r>
    </w:p>
    <w:p w:rsidR="0032745B" w:rsidRPr="000E565D" w:rsidRDefault="0032745B" w:rsidP="0032745B">
      <w:pPr>
        <w:rPr>
          <w:rFonts w:asciiTheme="minorHAnsi" w:hAnsiTheme="minorHAnsi" w:cstheme="minorHAnsi"/>
          <w:sz w:val="22"/>
          <w:szCs w:val="22"/>
        </w:rPr>
      </w:pPr>
      <w:r w:rsidRPr="000E565D">
        <w:rPr>
          <w:rFonts w:asciiTheme="minorHAnsi" w:hAnsiTheme="minorHAnsi" w:cstheme="minorHAnsi"/>
          <w:noProof/>
          <w:sz w:val="22"/>
          <w:szCs w:val="22"/>
          <w:lang w:val="en-US" w:eastAsia="en-US"/>
        </w:rPr>
        <w:drawing>
          <wp:inline distT="0" distB="0" distL="0" distR="0" wp14:anchorId="4FCC2B44" wp14:editId="66A4AF76">
            <wp:extent cx="4326814" cy="3248168"/>
            <wp:effectExtent l="19050" t="0" r="0" b="0"/>
            <wp:docPr id="3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l="11370" r="17949"/>
                    <a:stretch>
                      <a:fillRect/>
                    </a:stretch>
                  </pic:blipFill>
                  <pic:spPr bwMode="auto">
                    <a:xfrm>
                      <a:off x="0" y="0"/>
                      <a:ext cx="4326814" cy="3248168"/>
                    </a:xfrm>
                    <a:prstGeom prst="rect">
                      <a:avLst/>
                    </a:prstGeom>
                    <a:noFill/>
                    <a:ln w="9525">
                      <a:noFill/>
                      <a:miter lim="800000"/>
                      <a:headEnd/>
                      <a:tailEnd/>
                    </a:ln>
                  </pic:spPr>
                </pic:pic>
              </a:graphicData>
            </a:graphic>
          </wp:inline>
        </w:drawing>
      </w:r>
    </w:p>
    <w:p w:rsidR="0032745B" w:rsidRPr="000E565D" w:rsidRDefault="0032745B" w:rsidP="0032745B">
      <w:pPr>
        <w:rPr>
          <w:rFonts w:asciiTheme="minorHAnsi" w:hAnsiTheme="minorHAnsi" w:cstheme="minorHAnsi"/>
          <w:sz w:val="18"/>
          <w:szCs w:val="22"/>
        </w:rPr>
      </w:pPr>
      <w:r w:rsidRPr="000E565D">
        <w:rPr>
          <w:rFonts w:asciiTheme="minorHAnsi" w:hAnsiTheme="minorHAnsi" w:cstheme="minorHAnsi"/>
          <w:sz w:val="18"/>
          <w:szCs w:val="22"/>
        </w:rPr>
        <w:t>Fuente: Elaboración propia.</w:t>
      </w:r>
    </w:p>
    <w:p w:rsidR="0032745B" w:rsidRDefault="0032745B" w:rsidP="0032745B">
      <w:pPr>
        <w:rPr>
          <w:rFonts w:asciiTheme="minorHAnsi" w:hAnsiTheme="minorHAnsi" w:cstheme="minorHAnsi"/>
          <w:sz w:val="22"/>
          <w:szCs w:val="22"/>
        </w:rPr>
      </w:pPr>
    </w:p>
    <w:p w:rsidR="0032745B" w:rsidRDefault="0032745B" w:rsidP="0032745B">
      <w:pPr>
        <w:rPr>
          <w:rFonts w:asciiTheme="minorHAnsi" w:hAnsiTheme="minorHAnsi" w:cstheme="minorHAnsi"/>
          <w:sz w:val="22"/>
          <w:szCs w:val="22"/>
        </w:rPr>
      </w:pPr>
      <w:r w:rsidRPr="000E565D">
        <w:rPr>
          <w:rFonts w:asciiTheme="minorHAnsi" w:hAnsiTheme="minorHAnsi" w:cstheme="minorHAnsi"/>
          <w:sz w:val="22"/>
          <w:szCs w:val="22"/>
        </w:rPr>
        <w:t>En términos de presentación de esta información reproducimos la tabla de balance de oferta y demanda en la situación sin proyecto para el Hos</w:t>
      </w:r>
      <w:r>
        <w:rPr>
          <w:rFonts w:asciiTheme="minorHAnsi" w:hAnsiTheme="minorHAnsi" w:cstheme="minorHAnsi"/>
          <w:sz w:val="22"/>
          <w:szCs w:val="22"/>
        </w:rPr>
        <w:t>pital de Llallagua en la Tabla 2</w:t>
      </w:r>
      <w:r w:rsidRPr="000E565D">
        <w:rPr>
          <w:rFonts w:asciiTheme="minorHAnsi" w:hAnsiTheme="minorHAnsi" w:cstheme="minorHAnsi"/>
          <w:sz w:val="22"/>
          <w:szCs w:val="22"/>
        </w:rPr>
        <w:t>.3.</w:t>
      </w:r>
    </w:p>
    <w:p w:rsidR="0032745B" w:rsidRPr="000E565D" w:rsidRDefault="0032745B" w:rsidP="0032745B">
      <w:pPr>
        <w:rPr>
          <w:rFonts w:asciiTheme="minorHAnsi" w:hAnsiTheme="minorHAnsi" w:cstheme="minorHAnsi"/>
          <w:sz w:val="22"/>
          <w:szCs w:val="22"/>
        </w:rPr>
      </w:pPr>
    </w:p>
    <w:p w:rsidR="0032745B" w:rsidRPr="000E565D" w:rsidRDefault="0032745B" w:rsidP="0032745B">
      <w:pPr>
        <w:rPr>
          <w:rFonts w:asciiTheme="minorHAnsi" w:hAnsiTheme="minorHAnsi" w:cstheme="minorHAnsi"/>
          <w:sz w:val="22"/>
          <w:szCs w:val="22"/>
        </w:rPr>
      </w:pPr>
      <w:r w:rsidRPr="000E565D">
        <w:rPr>
          <w:rFonts w:asciiTheme="minorHAnsi" w:hAnsiTheme="minorHAnsi" w:cstheme="minorHAnsi"/>
          <w:sz w:val="22"/>
          <w:szCs w:val="22"/>
        </w:rPr>
        <w:t xml:space="preserve">Tabla </w:t>
      </w:r>
      <w:r>
        <w:rPr>
          <w:rFonts w:asciiTheme="minorHAnsi" w:hAnsiTheme="minorHAnsi" w:cstheme="minorHAnsi"/>
          <w:sz w:val="22"/>
          <w:szCs w:val="22"/>
        </w:rPr>
        <w:t>2</w:t>
      </w:r>
      <w:r w:rsidRPr="000E565D">
        <w:rPr>
          <w:rFonts w:asciiTheme="minorHAnsi" w:hAnsiTheme="minorHAnsi" w:cstheme="minorHAnsi"/>
          <w:sz w:val="22"/>
          <w:szCs w:val="22"/>
        </w:rPr>
        <w:t>.3: Oferta y demanda potencial actual 2011 y años de saturación, situación sin proyecto</w:t>
      </w:r>
    </w:p>
    <w:tbl>
      <w:tblPr>
        <w:tblStyle w:val="LightList-Accent3"/>
        <w:tblW w:w="8908" w:type="dxa"/>
        <w:tblLayout w:type="fixed"/>
        <w:tblLook w:val="04A0" w:firstRow="1" w:lastRow="0" w:firstColumn="1" w:lastColumn="0" w:noHBand="0" w:noVBand="1"/>
      </w:tblPr>
      <w:tblGrid>
        <w:gridCol w:w="2861"/>
        <w:gridCol w:w="1616"/>
        <w:gridCol w:w="1880"/>
        <w:gridCol w:w="1298"/>
        <w:gridCol w:w="1253"/>
      </w:tblGrid>
      <w:tr w:rsidR="0032745B" w:rsidRPr="00BE1993" w:rsidTr="00B052E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1" w:type="dxa"/>
            <w:noWrap/>
            <w:hideMark/>
          </w:tcPr>
          <w:p w:rsidR="0032745B" w:rsidRPr="00BE1993" w:rsidRDefault="0032745B" w:rsidP="0032745B">
            <w:pPr>
              <w:jc w:val="center"/>
              <w:rPr>
                <w:rFonts w:asciiTheme="minorHAnsi" w:hAnsiTheme="minorHAnsi" w:cstheme="minorHAnsi"/>
                <w:b w:val="0"/>
                <w:color w:val="000000"/>
                <w:sz w:val="20"/>
                <w:szCs w:val="22"/>
              </w:rPr>
            </w:pPr>
            <w:r w:rsidRPr="00BE1993">
              <w:rPr>
                <w:rFonts w:asciiTheme="minorHAnsi" w:hAnsiTheme="minorHAnsi" w:cstheme="minorHAnsi"/>
                <w:b w:val="0"/>
                <w:color w:val="000000"/>
                <w:sz w:val="20"/>
                <w:szCs w:val="22"/>
              </w:rPr>
              <w:t>Prestación sanitaria</w:t>
            </w:r>
          </w:p>
        </w:tc>
        <w:tc>
          <w:tcPr>
            <w:tcW w:w="1616" w:type="dxa"/>
            <w:noWrap/>
            <w:hideMark/>
          </w:tcPr>
          <w:p w:rsidR="0032745B" w:rsidRPr="00BE1993" w:rsidRDefault="0032745B" w:rsidP="003274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0"/>
                <w:szCs w:val="22"/>
              </w:rPr>
            </w:pPr>
            <w:r w:rsidRPr="00BE1993">
              <w:rPr>
                <w:rFonts w:asciiTheme="minorHAnsi" w:hAnsiTheme="minorHAnsi" w:cstheme="minorHAnsi"/>
                <w:b w:val="0"/>
                <w:color w:val="000000"/>
                <w:sz w:val="20"/>
                <w:szCs w:val="22"/>
              </w:rPr>
              <w:t>Oferta potencial</w:t>
            </w:r>
          </w:p>
          <w:p w:rsidR="0032745B" w:rsidRPr="00BE1993" w:rsidRDefault="0032745B" w:rsidP="003274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0"/>
                <w:szCs w:val="22"/>
              </w:rPr>
            </w:pPr>
            <w:r w:rsidRPr="00BE1993">
              <w:rPr>
                <w:rFonts w:asciiTheme="minorHAnsi" w:hAnsiTheme="minorHAnsi" w:cstheme="minorHAnsi"/>
                <w:b w:val="0"/>
                <w:color w:val="000000"/>
                <w:sz w:val="20"/>
                <w:szCs w:val="22"/>
              </w:rPr>
              <w:t>actual</w:t>
            </w:r>
          </w:p>
        </w:tc>
        <w:tc>
          <w:tcPr>
            <w:tcW w:w="1880" w:type="dxa"/>
            <w:noWrap/>
            <w:hideMark/>
          </w:tcPr>
          <w:p w:rsidR="0032745B" w:rsidRPr="00BE1993" w:rsidRDefault="0032745B" w:rsidP="003274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0"/>
                <w:szCs w:val="22"/>
              </w:rPr>
            </w:pPr>
            <w:r w:rsidRPr="00BE1993">
              <w:rPr>
                <w:rFonts w:asciiTheme="minorHAnsi" w:hAnsiTheme="minorHAnsi" w:cstheme="minorHAnsi"/>
                <w:b w:val="0"/>
                <w:color w:val="000000"/>
                <w:sz w:val="20"/>
                <w:szCs w:val="22"/>
              </w:rPr>
              <w:t>Demanda potencial</w:t>
            </w:r>
          </w:p>
          <w:p w:rsidR="0032745B" w:rsidRPr="00BE1993" w:rsidRDefault="0032745B" w:rsidP="003274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0"/>
                <w:szCs w:val="22"/>
              </w:rPr>
            </w:pPr>
            <w:r w:rsidRPr="00BE1993">
              <w:rPr>
                <w:rFonts w:asciiTheme="minorHAnsi" w:hAnsiTheme="minorHAnsi" w:cstheme="minorHAnsi"/>
                <w:b w:val="0"/>
                <w:color w:val="000000"/>
                <w:sz w:val="20"/>
                <w:szCs w:val="22"/>
              </w:rPr>
              <w:t>actual</w:t>
            </w:r>
          </w:p>
        </w:tc>
        <w:tc>
          <w:tcPr>
            <w:tcW w:w="1298" w:type="dxa"/>
          </w:tcPr>
          <w:p w:rsidR="0032745B" w:rsidRPr="00BE1993" w:rsidRDefault="0032745B" w:rsidP="003274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0"/>
                <w:szCs w:val="22"/>
              </w:rPr>
            </w:pPr>
            <w:r w:rsidRPr="00BE1993">
              <w:rPr>
                <w:rFonts w:asciiTheme="minorHAnsi" w:hAnsiTheme="minorHAnsi" w:cstheme="minorHAnsi"/>
                <w:b w:val="0"/>
                <w:color w:val="000000"/>
                <w:sz w:val="20"/>
                <w:szCs w:val="22"/>
              </w:rPr>
              <w:t>Saturación</w:t>
            </w:r>
          </w:p>
          <w:p w:rsidR="0032745B" w:rsidRPr="00BE1993" w:rsidRDefault="0032745B" w:rsidP="003274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0"/>
                <w:szCs w:val="22"/>
              </w:rPr>
            </w:pPr>
            <w:r w:rsidRPr="00BE1993">
              <w:rPr>
                <w:rFonts w:asciiTheme="minorHAnsi" w:hAnsiTheme="minorHAnsi" w:cstheme="minorHAnsi"/>
                <w:b w:val="0"/>
                <w:color w:val="000000"/>
                <w:sz w:val="20"/>
                <w:szCs w:val="22"/>
              </w:rPr>
              <w:t>actual</w:t>
            </w:r>
          </w:p>
        </w:tc>
        <w:tc>
          <w:tcPr>
            <w:tcW w:w="1253" w:type="dxa"/>
            <w:noWrap/>
            <w:hideMark/>
          </w:tcPr>
          <w:p w:rsidR="0032745B" w:rsidRPr="00BE1993" w:rsidRDefault="0032745B" w:rsidP="003274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0"/>
                <w:szCs w:val="22"/>
              </w:rPr>
            </w:pPr>
            <w:r w:rsidRPr="00BE1993">
              <w:rPr>
                <w:rFonts w:asciiTheme="minorHAnsi" w:hAnsiTheme="minorHAnsi" w:cstheme="minorHAnsi"/>
                <w:b w:val="0"/>
                <w:color w:val="000000"/>
                <w:sz w:val="20"/>
                <w:szCs w:val="22"/>
              </w:rPr>
              <w:t>Año de saturación</w:t>
            </w:r>
          </w:p>
        </w:tc>
      </w:tr>
      <w:tr w:rsidR="0032745B" w:rsidRPr="00BE1993" w:rsidTr="00B052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1" w:type="dxa"/>
            <w:noWrap/>
            <w:hideMark/>
          </w:tcPr>
          <w:p w:rsidR="0032745B" w:rsidRPr="00BE1993" w:rsidRDefault="0032745B" w:rsidP="0032745B">
            <w:pPr>
              <w:rPr>
                <w:rFonts w:asciiTheme="minorHAnsi" w:hAnsiTheme="minorHAnsi" w:cstheme="minorHAnsi"/>
                <w:color w:val="000000"/>
                <w:sz w:val="20"/>
                <w:szCs w:val="22"/>
              </w:rPr>
            </w:pPr>
            <w:r w:rsidRPr="00BE1993">
              <w:rPr>
                <w:rFonts w:asciiTheme="minorHAnsi" w:hAnsiTheme="minorHAnsi" w:cstheme="minorHAnsi"/>
                <w:color w:val="000000"/>
                <w:sz w:val="20"/>
                <w:szCs w:val="22"/>
              </w:rPr>
              <w:t>Cirugías (Nº)</w:t>
            </w:r>
          </w:p>
        </w:tc>
        <w:tc>
          <w:tcPr>
            <w:tcW w:w="1616" w:type="dxa"/>
            <w:noWrap/>
            <w:hideMark/>
          </w:tcPr>
          <w:p w:rsidR="0032745B" w:rsidRPr="00BE1993" w:rsidRDefault="0032745B" w:rsidP="003274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663</w:t>
            </w:r>
          </w:p>
        </w:tc>
        <w:tc>
          <w:tcPr>
            <w:tcW w:w="1880" w:type="dxa"/>
            <w:noWrap/>
            <w:hideMark/>
          </w:tcPr>
          <w:p w:rsidR="0032745B" w:rsidRPr="00BE1993" w:rsidRDefault="0032745B" w:rsidP="003274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548</w:t>
            </w:r>
          </w:p>
        </w:tc>
        <w:tc>
          <w:tcPr>
            <w:tcW w:w="1298" w:type="dxa"/>
          </w:tcPr>
          <w:p w:rsidR="0032745B" w:rsidRPr="00BE1993"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No</w:t>
            </w:r>
          </w:p>
        </w:tc>
        <w:tc>
          <w:tcPr>
            <w:tcW w:w="1253" w:type="dxa"/>
            <w:noWrap/>
            <w:hideMark/>
          </w:tcPr>
          <w:p w:rsidR="0032745B" w:rsidRPr="00BE1993" w:rsidRDefault="0032745B" w:rsidP="003274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2012</w:t>
            </w:r>
          </w:p>
        </w:tc>
      </w:tr>
      <w:tr w:rsidR="0032745B" w:rsidRPr="00BE1993" w:rsidTr="00B052E2">
        <w:trPr>
          <w:trHeight w:val="20"/>
        </w:trPr>
        <w:tc>
          <w:tcPr>
            <w:cnfStyle w:val="001000000000" w:firstRow="0" w:lastRow="0" w:firstColumn="1" w:lastColumn="0" w:oddVBand="0" w:evenVBand="0" w:oddHBand="0" w:evenHBand="0" w:firstRowFirstColumn="0" w:firstRowLastColumn="0" w:lastRowFirstColumn="0" w:lastRowLastColumn="0"/>
            <w:tcW w:w="2861" w:type="dxa"/>
            <w:noWrap/>
            <w:hideMark/>
          </w:tcPr>
          <w:p w:rsidR="0032745B" w:rsidRPr="00BE1993" w:rsidRDefault="0032745B" w:rsidP="0032745B">
            <w:pPr>
              <w:rPr>
                <w:rFonts w:asciiTheme="minorHAnsi" w:hAnsiTheme="minorHAnsi" w:cstheme="minorHAnsi"/>
                <w:color w:val="000000"/>
                <w:sz w:val="20"/>
                <w:szCs w:val="22"/>
              </w:rPr>
            </w:pPr>
            <w:r w:rsidRPr="00BE1993">
              <w:rPr>
                <w:rFonts w:asciiTheme="minorHAnsi" w:hAnsiTheme="minorHAnsi" w:cstheme="minorHAnsi"/>
                <w:color w:val="000000"/>
                <w:sz w:val="20"/>
                <w:szCs w:val="22"/>
              </w:rPr>
              <w:t>Consultas médicas Especialidad y general (Nº)</w:t>
            </w:r>
          </w:p>
        </w:tc>
        <w:tc>
          <w:tcPr>
            <w:tcW w:w="1616" w:type="dxa"/>
            <w:noWrap/>
            <w:hideMark/>
          </w:tcPr>
          <w:p w:rsidR="0032745B" w:rsidRPr="00BE1993" w:rsidRDefault="0032745B" w:rsidP="0032745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15.912</w:t>
            </w:r>
          </w:p>
        </w:tc>
        <w:tc>
          <w:tcPr>
            <w:tcW w:w="1880" w:type="dxa"/>
            <w:noWrap/>
            <w:hideMark/>
          </w:tcPr>
          <w:p w:rsidR="0032745B" w:rsidRPr="00BE1993" w:rsidRDefault="0032745B" w:rsidP="0032745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10.188</w:t>
            </w:r>
          </w:p>
        </w:tc>
        <w:tc>
          <w:tcPr>
            <w:tcW w:w="1298" w:type="dxa"/>
          </w:tcPr>
          <w:p w:rsidR="0032745B" w:rsidRPr="00BE1993" w:rsidRDefault="0032745B" w:rsidP="003274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No</w:t>
            </w:r>
          </w:p>
        </w:tc>
        <w:tc>
          <w:tcPr>
            <w:tcW w:w="1253" w:type="dxa"/>
            <w:noWrap/>
            <w:hideMark/>
          </w:tcPr>
          <w:p w:rsidR="0032745B" w:rsidRPr="00BE1993" w:rsidRDefault="0032745B" w:rsidP="0032745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2017</w:t>
            </w:r>
          </w:p>
        </w:tc>
      </w:tr>
      <w:tr w:rsidR="0032745B" w:rsidRPr="00BE1993" w:rsidTr="00B052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1" w:type="dxa"/>
            <w:noWrap/>
            <w:hideMark/>
          </w:tcPr>
          <w:p w:rsidR="0032745B" w:rsidRPr="00BE1993" w:rsidRDefault="0032745B" w:rsidP="0032745B">
            <w:pPr>
              <w:rPr>
                <w:rFonts w:asciiTheme="minorHAnsi" w:hAnsiTheme="minorHAnsi" w:cstheme="minorHAnsi"/>
                <w:color w:val="000000"/>
                <w:sz w:val="20"/>
                <w:szCs w:val="22"/>
              </w:rPr>
            </w:pPr>
            <w:r w:rsidRPr="00BE1993">
              <w:rPr>
                <w:rFonts w:asciiTheme="minorHAnsi" w:hAnsiTheme="minorHAnsi" w:cstheme="minorHAnsi"/>
                <w:color w:val="000000"/>
                <w:sz w:val="20"/>
                <w:szCs w:val="22"/>
              </w:rPr>
              <w:t>Urgencias (Nº)</w:t>
            </w:r>
          </w:p>
        </w:tc>
        <w:tc>
          <w:tcPr>
            <w:tcW w:w="1616" w:type="dxa"/>
            <w:noWrap/>
            <w:hideMark/>
          </w:tcPr>
          <w:p w:rsidR="0032745B" w:rsidRPr="00BE1993" w:rsidRDefault="0032745B" w:rsidP="003274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29.784</w:t>
            </w:r>
          </w:p>
        </w:tc>
        <w:tc>
          <w:tcPr>
            <w:tcW w:w="1880" w:type="dxa"/>
            <w:noWrap/>
            <w:hideMark/>
          </w:tcPr>
          <w:p w:rsidR="0032745B" w:rsidRPr="00BE1993" w:rsidRDefault="0032745B" w:rsidP="003274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12.927</w:t>
            </w:r>
          </w:p>
        </w:tc>
        <w:tc>
          <w:tcPr>
            <w:tcW w:w="1298" w:type="dxa"/>
          </w:tcPr>
          <w:p w:rsidR="0032745B" w:rsidRPr="00BE1993"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No</w:t>
            </w:r>
          </w:p>
        </w:tc>
        <w:tc>
          <w:tcPr>
            <w:tcW w:w="1253" w:type="dxa"/>
            <w:noWrap/>
            <w:hideMark/>
          </w:tcPr>
          <w:p w:rsidR="0032745B" w:rsidRPr="00BE1993" w:rsidRDefault="0032745B" w:rsidP="003274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2021</w:t>
            </w:r>
          </w:p>
        </w:tc>
      </w:tr>
      <w:tr w:rsidR="0032745B" w:rsidRPr="00BE1993" w:rsidTr="00B052E2">
        <w:trPr>
          <w:trHeight w:val="20"/>
        </w:trPr>
        <w:tc>
          <w:tcPr>
            <w:cnfStyle w:val="001000000000" w:firstRow="0" w:lastRow="0" w:firstColumn="1" w:lastColumn="0" w:oddVBand="0" w:evenVBand="0" w:oddHBand="0" w:evenHBand="0" w:firstRowFirstColumn="0" w:firstRowLastColumn="0" w:lastRowFirstColumn="0" w:lastRowLastColumn="0"/>
            <w:tcW w:w="2861" w:type="dxa"/>
            <w:noWrap/>
            <w:hideMark/>
          </w:tcPr>
          <w:p w:rsidR="0032745B" w:rsidRPr="00BE1993" w:rsidRDefault="0032745B" w:rsidP="0032745B">
            <w:pPr>
              <w:rPr>
                <w:rFonts w:asciiTheme="minorHAnsi" w:hAnsiTheme="minorHAnsi" w:cstheme="minorHAnsi"/>
                <w:color w:val="000000"/>
                <w:sz w:val="20"/>
                <w:szCs w:val="22"/>
              </w:rPr>
            </w:pPr>
            <w:r w:rsidRPr="00BE1993">
              <w:rPr>
                <w:rFonts w:asciiTheme="minorHAnsi" w:hAnsiTheme="minorHAnsi" w:cstheme="minorHAnsi"/>
                <w:color w:val="000000"/>
                <w:sz w:val="20"/>
                <w:szCs w:val="22"/>
              </w:rPr>
              <w:t>Hospitalizaciones (Días cama)</w:t>
            </w:r>
          </w:p>
        </w:tc>
        <w:tc>
          <w:tcPr>
            <w:tcW w:w="1616" w:type="dxa"/>
            <w:noWrap/>
            <w:hideMark/>
          </w:tcPr>
          <w:p w:rsidR="0032745B" w:rsidRPr="00BE1993" w:rsidRDefault="0032745B" w:rsidP="0032745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13.961</w:t>
            </w:r>
          </w:p>
        </w:tc>
        <w:tc>
          <w:tcPr>
            <w:tcW w:w="1880" w:type="dxa"/>
            <w:noWrap/>
            <w:hideMark/>
          </w:tcPr>
          <w:p w:rsidR="0032745B" w:rsidRPr="00BE1993" w:rsidRDefault="0032745B" w:rsidP="0032745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8.538</w:t>
            </w:r>
          </w:p>
        </w:tc>
        <w:tc>
          <w:tcPr>
            <w:tcW w:w="1298" w:type="dxa"/>
          </w:tcPr>
          <w:p w:rsidR="0032745B" w:rsidRPr="00BE1993" w:rsidRDefault="0032745B" w:rsidP="003274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No</w:t>
            </w:r>
          </w:p>
        </w:tc>
        <w:tc>
          <w:tcPr>
            <w:tcW w:w="1253" w:type="dxa"/>
            <w:noWrap/>
            <w:hideMark/>
          </w:tcPr>
          <w:p w:rsidR="0032745B" w:rsidRPr="00BE1993" w:rsidRDefault="0032745B" w:rsidP="0032745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2019</w:t>
            </w:r>
          </w:p>
        </w:tc>
      </w:tr>
      <w:tr w:rsidR="0032745B" w:rsidRPr="00BE1993" w:rsidTr="00B052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1" w:type="dxa"/>
            <w:noWrap/>
            <w:hideMark/>
          </w:tcPr>
          <w:p w:rsidR="0032745B" w:rsidRPr="00BE1993" w:rsidRDefault="0032745B" w:rsidP="0032745B">
            <w:pPr>
              <w:rPr>
                <w:rFonts w:asciiTheme="minorHAnsi" w:hAnsiTheme="minorHAnsi" w:cstheme="minorHAnsi"/>
                <w:color w:val="000000"/>
                <w:sz w:val="20"/>
                <w:szCs w:val="22"/>
              </w:rPr>
            </w:pPr>
            <w:r w:rsidRPr="00BE1993">
              <w:rPr>
                <w:rFonts w:asciiTheme="minorHAnsi" w:hAnsiTheme="minorHAnsi" w:cstheme="minorHAnsi"/>
                <w:color w:val="000000"/>
                <w:sz w:val="20"/>
                <w:szCs w:val="22"/>
              </w:rPr>
              <w:t>Partos (Días cama)</w:t>
            </w:r>
          </w:p>
        </w:tc>
        <w:tc>
          <w:tcPr>
            <w:tcW w:w="1616" w:type="dxa"/>
            <w:noWrap/>
            <w:hideMark/>
          </w:tcPr>
          <w:p w:rsidR="0032745B" w:rsidRPr="00BE1993" w:rsidRDefault="0032745B" w:rsidP="003274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2.482</w:t>
            </w:r>
          </w:p>
        </w:tc>
        <w:tc>
          <w:tcPr>
            <w:tcW w:w="1880" w:type="dxa"/>
            <w:noWrap/>
            <w:hideMark/>
          </w:tcPr>
          <w:p w:rsidR="0032745B" w:rsidRPr="00BE1993" w:rsidRDefault="0032745B" w:rsidP="003274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2.130</w:t>
            </w:r>
          </w:p>
        </w:tc>
        <w:tc>
          <w:tcPr>
            <w:tcW w:w="1298" w:type="dxa"/>
          </w:tcPr>
          <w:p w:rsidR="0032745B" w:rsidRPr="00BE1993"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No</w:t>
            </w:r>
          </w:p>
        </w:tc>
        <w:tc>
          <w:tcPr>
            <w:tcW w:w="1253" w:type="dxa"/>
            <w:noWrap/>
            <w:hideMark/>
          </w:tcPr>
          <w:p w:rsidR="0032745B" w:rsidRPr="00BE1993" w:rsidRDefault="0032745B" w:rsidP="003274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2014</w:t>
            </w:r>
          </w:p>
        </w:tc>
      </w:tr>
      <w:tr w:rsidR="0032745B" w:rsidRPr="00BE1993" w:rsidTr="00B052E2">
        <w:trPr>
          <w:trHeight w:val="20"/>
        </w:trPr>
        <w:tc>
          <w:tcPr>
            <w:cnfStyle w:val="001000000000" w:firstRow="0" w:lastRow="0" w:firstColumn="1" w:lastColumn="0" w:oddVBand="0" w:evenVBand="0" w:oddHBand="0" w:evenHBand="0" w:firstRowFirstColumn="0" w:firstRowLastColumn="0" w:lastRowFirstColumn="0" w:lastRowLastColumn="0"/>
            <w:tcW w:w="2861" w:type="dxa"/>
            <w:noWrap/>
            <w:hideMark/>
          </w:tcPr>
          <w:p w:rsidR="0032745B" w:rsidRPr="00BE1993" w:rsidRDefault="0032745B" w:rsidP="0032745B">
            <w:pPr>
              <w:rPr>
                <w:rFonts w:asciiTheme="minorHAnsi" w:hAnsiTheme="minorHAnsi" w:cstheme="minorHAnsi"/>
                <w:color w:val="000000"/>
                <w:sz w:val="20"/>
                <w:szCs w:val="22"/>
              </w:rPr>
            </w:pPr>
            <w:r w:rsidRPr="00BE1993">
              <w:rPr>
                <w:rFonts w:asciiTheme="minorHAnsi" w:hAnsiTheme="minorHAnsi" w:cstheme="minorHAnsi"/>
                <w:color w:val="000000"/>
                <w:sz w:val="20"/>
                <w:szCs w:val="22"/>
              </w:rPr>
              <w:t>Cesáreas (Nº)</w:t>
            </w:r>
          </w:p>
        </w:tc>
        <w:tc>
          <w:tcPr>
            <w:tcW w:w="1616" w:type="dxa"/>
            <w:noWrap/>
            <w:hideMark/>
          </w:tcPr>
          <w:p w:rsidR="0032745B" w:rsidRPr="00BE1993" w:rsidRDefault="0032745B" w:rsidP="0032745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165</w:t>
            </w:r>
          </w:p>
        </w:tc>
        <w:tc>
          <w:tcPr>
            <w:tcW w:w="1880" w:type="dxa"/>
            <w:noWrap/>
            <w:hideMark/>
          </w:tcPr>
          <w:p w:rsidR="0032745B" w:rsidRPr="00BE1993" w:rsidRDefault="0032745B" w:rsidP="0032745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76</w:t>
            </w:r>
          </w:p>
        </w:tc>
        <w:tc>
          <w:tcPr>
            <w:tcW w:w="1298" w:type="dxa"/>
          </w:tcPr>
          <w:p w:rsidR="0032745B" w:rsidRPr="00BE1993" w:rsidRDefault="0032745B" w:rsidP="003274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No</w:t>
            </w:r>
          </w:p>
        </w:tc>
        <w:tc>
          <w:tcPr>
            <w:tcW w:w="1253" w:type="dxa"/>
            <w:noWrap/>
            <w:hideMark/>
          </w:tcPr>
          <w:p w:rsidR="0032745B" w:rsidRPr="00BE1993" w:rsidRDefault="0032745B" w:rsidP="0032745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2014</w:t>
            </w:r>
          </w:p>
        </w:tc>
      </w:tr>
      <w:tr w:rsidR="0032745B" w:rsidRPr="00BE1993" w:rsidTr="00B052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1" w:type="dxa"/>
            <w:noWrap/>
            <w:hideMark/>
          </w:tcPr>
          <w:p w:rsidR="0032745B" w:rsidRPr="00BE1993" w:rsidRDefault="0032745B" w:rsidP="0032745B">
            <w:pPr>
              <w:rPr>
                <w:rFonts w:asciiTheme="minorHAnsi" w:hAnsiTheme="minorHAnsi" w:cstheme="minorHAnsi"/>
                <w:color w:val="000000"/>
                <w:sz w:val="20"/>
                <w:szCs w:val="22"/>
              </w:rPr>
            </w:pPr>
            <w:r w:rsidRPr="00BE1993">
              <w:rPr>
                <w:rFonts w:asciiTheme="minorHAnsi" w:hAnsiTheme="minorHAnsi" w:cstheme="minorHAnsi"/>
                <w:color w:val="000000"/>
                <w:sz w:val="20"/>
                <w:szCs w:val="22"/>
              </w:rPr>
              <w:t>Rayos (Nº)</w:t>
            </w:r>
          </w:p>
        </w:tc>
        <w:tc>
          <w:tcPr>
            <w:tcW w:w="1616" w:type="dxa"/>
            <w:noWrap/>
            <w:hideMark/>
          </w:tcPr>
          <w:p w:rsidR="0032745B" w:rsidRPr="00BE1993" w:rsidRDefault="0032745B" w:rsidP="003274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7.446</w:t>
            </w:r>
          </w:p>
        </w:tc>
        <w:tc>
          <w:tcPr>
            <w:tcW w:w="1880" w:type="dxa"/>
            <w:noWrap/>
            <w:hideMark/>
          </w:tcPr>
          <w:p w:rsidR="0032745B" w:rsidRPr="00BE1993" w:rsidRDefault="0032745B" w:rsidP="003274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4.697</w:t>
            </w:r>
          </w:p>
        </w:tc>
        <w:tc>
          <w:tcPr>
            <w:tcW w:w="1298" w:type="dxa"/>
          </w:tcPr>
          <w:p w:rsidR="0032745B" w:rsidRPr="00BE1993"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No</w:t>
            </w:r>
          </w:p>
        </w:tc>
        <w:tc>
          <w:tcPr>
            <w:tcW w:w="1253" w:type="dxa"/>
            <w:noWrap/>
            <w:hideMark/>
          </w:tcPr>
          <w:p w:rsidR="0032745B" w:rsidRPr="00BE1993" w:rsidRDefault="0032745B" w:rsidP="003274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2015</w:t>
            </w:r>
          </w:p>
        </w:tc>
      </w:tr>
      <w:tr w:rsidR="0032745B" w:rsidRPr="00BE1993" w:rsidTr="00B052E2">
        <w:trPr>
          <w:trHeight w:val="20"/>
        </w:trPr>
        <w:tc>
          <w:tcPr>
            <w:cnfStyle w:val="001000000000" w:firstRow="0" w:lastRow="0" w:firstColumn="1" w:lastColumn="0" w:oddVBand="0" w:evenVBand="0" w:oddHBand="0" w:evenHBand="0" w:firstRowFirstColumn="0" w:firstRowLastColumn="0" w:lastRowFirstColumn="0" w:lastRowLastColumn="0"/>
            <w:tcW w:w="2861" w:type="dxa"/>
            <w:noWrap/>
            <w:hideMark/>
          </w:tcPr>
          <w:p w:rsidR="0032745B" w:rsidRPr="00BE1993" w:rsidRDefault="0032745B" w:rsidP="0032745B">
            <w:pPr>
              <w:rPr>
                <w:rFonts w:asciiTheme="minorHAnsi" w:hAnsiTheme="minorHAnsi" w:cstheme="minorHAnsi"/>
                <w:color w:val="000000"/>
                <w:sz w:val="20"/>
                <w:szCs w:val="22"/>
              </w:rPr>
            </w:pPr>
            <w:r w:rsidRPr="00BE1993">
              <w:rPr>
                <w:rFonts w:asciiTheme="minorHAnsi" w:hAnsiTheme="minorHAnsi" w:cstheme="minorHAnsi"/>
                <w:color w:val="000000"/>
                <w:sz w:val="20"/>
                <w:szCs w:val="22"/>
              </w:rPr>
              <w:t>Laboratorio (Nº)</w:t>
            </w:r>
          </w:p>
        </w:tc>
        <w:tc>
          <w:tcPr>
            <w:tcW w:w="1616" w:type="dxa"/>
            <w:noWrap/>
            <w:hideMark/>
          </w:tcPr>
          <w:p w:rsidR="0032745B" w:rsidRPr="00BE1993" w:rsidRDefault="0032745B" w:rsidP="0032745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22.338</w:t>
            </w:r>
          </w:p>
        </w:tc>
        <w:tc>
          <w:tcPr>
            <w:tcW w:w="1880" w:type="dxa"/>
            <w:noWrap/>
            <w:hideMark/>
          </w:tcPr>
          <w:p w:rsidR="0032745B" w:rsidRPr="00BE1993" w:rsidRDefault="0032745B" w:rsidP="0032745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19.036</w:t>
            </w:r>
          </w:p>
        </w:tc>
        <w:tc>
          <w:tcPr>
            <w:tcW w:w="1298" w:type="dxa"/>
          </w:tcPr>
          <w:p w:rsidR="0032745B" w:rsidRPr="00BE1993" w:rsidRDefault="0032745B" w:rsidP="0032745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No</w:t>
            </w:r>
          </w:p>
        </w:tc>
        <w:tc>
          <w:tcPr>
            <w:tcW w:w="1253" w:type="dxa"/>
            <w:noWrap/>
            <w:hideMark/>
          </w:tcPr>
          <w:p w:rsidR="0032745B" w:rsidRPr="00BE1993" w:rsidRDefault="0032745B" w:rsidP="0032745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2012</w:t>
            </w:r>
          </w:p>
        </w:tc>
      </w:tr>
      <w:tr w:rsidR="0032745B" w:rsidRPr="00BE1993" w:rsidTr="00B052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61" w:type="dxa"/>
            <w:noWrap/>
            <w:hideMark/>
          </w:tcPr>
          <w:p w:rsidR="0032745B" w:rsidRPr="00BE1993" w:rsidRDefault="0032745B" w:rsidP="0032745B">
            <w:pPr>
              <w:rPr>
                <w:rFonts w:asciiTheme="minorHAnsi" w:hAnsiTheme="minorHAnsi" w:cstheme="minorHAnsi"/>
                <w:color w:val="000000"/>
                <w:sz w:val="20"/>
                <w:szCs w:val="22"/>
              </w:rPr>
            </w:pPr>
            <w:r w:rsidRPr="00BE1993">
              <w:rPr>
                <w:rFonts w:asciiTheme="minorHAnsi" w:hAnsiTheme="minorHAnsi" w:cstheme="minorHAnsi"/>
                <w:color w:val="000000"/>
                <w:sz w:val="20"/>
                <w:szCs w:val="22"/>
              </w:rPr>
              <w:t>Ecografía (Nº)</w:t>
            </w:r>
          </w:p>
        </w:tc>
        <w:tc>
          <w:tcPr>
            <w:tcW w:w="1616" w:type="dxa"/>
            <w:noWrap/>
            <w:hideMark/>
          </w:tcPr>
          <w:p w:rsidR="0032745B" w:rsidRPr="00BE1993" w:rsidRDefault="0032745B" w:rsidP="003274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11.169</w:t>
            </w:r>
          </w:p>
        </w:tc>
        <w:tc>
          <w:tcPr>
            <w:tcW w:w="1880" w:type="dxa"/>
            <w:noWrap/>
            <w:hideMark/>
          </w:tcPr>
          <w:p w:rsidR="0032745B" w:rsidRPr="00BE1993" w:rsidRDefault="0032745B" w:rsidP="003274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5.912</w:t>
            </w:r>
          </w:p>
        </w:tc>
        <w:tc>
          <w:tcPr>
            <w:tcW w:w="1298" w:type="dxa"/>
          </w:tcPr>
          <w:p w:rsidR="0032745B" w:rsidRPr="00BE1993" w:rsidRDefault="0032745B" w:rsidP="003274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No</w:t>
            </w:r>
          </w:p>
        </w:tc>
        <w:tc>
          <w:tcPr>
            <w:tcW w:w="1253" w:type="dxa"/>
            <w:noWrap/>
            <w:hideMark/>
          </w:tcPr>
          <w:p w:rsidR="0032745B" w:rsidRPr="00BE1993" w:rsidRDefault="0032745B" w:rsidP="003274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BE1993">
              <w:rPr>
                <w:rFonts w:asciiTheme="minorHAnsi" w:hAnsiTheme="minorHAnsi" w:cstheme="minorHAnsi"/>
                <w:color w:val="000000"/>
                <w:sz w:val="20"/>
                <w:szCs w:val="22"/>
              </w:rPr>
              <w:t>2017</w:t>
            </w:r>
          </w:p>
        </w:tc>
      </w:tr>
    </w:tbl>
    <w:p w:rsidR="0032745B" w:rsidRPr="000E565D" w:rsidRDefault="0032745B" w:rsidP="0032745B">
      <w:pPr>
        <w:keepNext/>
        <w:spacing w:after="120"/>
        <w:jc w:val="both"/>
        <w:rPr>
          <w:rFonts w:asciiTheme="minorHAnsi" w:hAnsiTheme="minorHAnsi" w:cstheme="minorHAnsi"/>
          <w:sz w:val="18"/>
          <w:szCs w:val="22"/>
        </w:rPr>
      </w:pPr>
      <w:r w:rsidRPr="000E565D">
        <w:rPr>
          <w:rFonts w:asciiTheme="minorHAnsi" w:hAnsiTheme="minorHAnsi" w:cstheme="minorHAnsi"/>
          <w:sz w:val="18"/>
          <w:szCs w:val="22"/>
        </w:rPr>
        <w:t>Fuente: Ibáñez, C. (2011).</w:t>
      </w:r>
    </w:p>
    <w:p w:rsidR="0032745B" w:rsidRPr="000E565D" w:rsidRDefault="0032745B" w:rsidP="0032745B">
      <w:pPr>
        <w:rPr>
          <w:rFonts w:asciiTheme="minorHAnsi" w:hAnsiTheme="minorHAnsi" w:cstheme="minorHAnsi"/>
          <w:sz w:val="22"/>
          <w:szCs w:val="22"/>
        </w:rPr>
      </w:pPr>
    </w:p>
    <w:p w:rsidR="0032745B" w:rsidRPr="000E565D" w:rsidRDefault="0032745B" w:rsidP="008A366B">
      <w:pPr>
        <w:pStyle w:val="Heading2"/>
        <w:numPr>
          <w:ilvl w:val="1"/>
          <w:numId w:val="1"/>
        </w:numPr>
        <w:spacing w:line="276" w:lineRule="auto"/>
        <w:rPr>
          <w:rFonts w:asciiTheme="minorHAnsi" w:hAnsiTheme="minorHAnsi" w:cstheme="minorHAnsi"/>
          <w:szCs w:val="22"/>
        </w:rPr>
      </w:pPr>
      <w:bookmarkStart w:id="22" w:name="_Toc302997995"/>
      <w:bookmarkStart w:id="23" w:name="_Toc330952994"/>
      <w:bookmarkStart w:id="24" w:name="_Toc368865410"/>
      <w:bookmarkStart w:id="25" w:name="_Toc373093498"/>
      <w:r w:rsidRPr="000E565D">
        <w:rPr>
          <w:rFonts w:asciiTheme="minorHAnsi" w:hAnsiTheme="minorHAnsi" w:cstheme="minorHAnsi"/>
          <w:szCs w:val="22"/>
        </w:rPr>
        <w:lastRenderedPageBreak/>
        <w:t>Valoración de costos y beneficios sociales</w:t>
      </w:r>
      <w:bookmarkEnd w:id="22"/>
      <w:bookmarkEnd w:id="23"/>
      <w:bookmarkEnd w:id="24"/>
      <w:bookmarkEnd w:id="25"/>
    </w:p>
    <w:p w:rsidR="0032745B" w:rsidRPr="000E565D" w:rsidRDefault="0032745B" w:rsidP="0032745B">
      <w:pPr>
        <w:rPr>
          <w:rFonts w:asciiTheme="minorHAnsi" w:hAnsiTheme="minorHAnsi" w:cstheme="minorHAnsi"/>
          <w:color w:val="000000" w:themeColor="text1"/>
          <w:sz w:val="22"/>
          <w:szCs w:val="22"/>
        </w:rPr>
      </w:pPr>
    </w:p>
    <w:p w:rsidR="0032745B" w:rsidRPr="000E565D" w:rsidRDefault="0032745B" w:rsidP="0032745B">
      <w:pPr>
        <w:pStyle w:val="Heading3"/>
        <w:rPr>
          <w:rFonts w:asciiTheme="minorHAnsi" w:hAnsiTheme="minorHAnsi" w:cstheme="minorHAnsi"/>
          <w:sz w:val="22"/>
          <w:szCs w:val="22"/>
        </w:rPr>
      </w:pPr>
      <w:bookmarkStart w:id="26" w:name="_Toc302997996"/>
      <w:bookmarkStart w:id="27" w:name="_Toc330952995"/>
      <w:bookmarkStart w:id="28" w:name="_Toc368865411"/>
      <w:bookmarkStart w:id="29" w:name="_Toc373093499"/>
      <w:r>
        <w:rPr>
          <w:rFonts w:asciiTheme="minorHAnsi" w:hAnsiTheme="minorHAnsi" w:cstheme="minorHAnsi"/>
          <w:sz w:val="22"/>
          <w:szCs w:val="22"/>
        </w:rPr>
        <w:t>2</w:t>
      </w:r>
      <w:r w:rsidRPr="000E565D">
        <w:rPr>
          <w:rFonts w:asciiTheme="minorHAnsi" w:hAnsiTheme="minorHAnsi" w:cstheme="minorHAnsi"/>
          <w:sz w:val="22"/>
          <w:szCs w:val="22"/>
        </w:rPr>
        <w:t>.4.1 Valoración de inversiones</w:t>
      </w:r>
      <w:bookmarkEnd w:id="26"/>
      <w:bookmarkEnd w:id="27"/>
      <w:bookmarkEnd w:id="28"/>
      <w:bookmarkEnd w:id="29"/>
    </w:p>
    <w:p w:rsidR="0032745B" w:rsidRPr="000E565D" w:rsidRDefault="0032745B" w:rsidP="0032745B">
      <w:pPr>
        <w:jc w:val="both"/>
        <w:rPr>
          <w:rFonts w:asciiTheme="minorHAnsi" w:hAnsiTheme="minorHAnsi" w:cstheme="minorHAnsi"/>
          <w:color w:val="000000" w:themeColor="text1"/>
          <w:sz w:val="22"/>
          <w:szCs w:val="22"/>
        </w:rPr>
      </w:pPr>
    </w:p>
    <w:p w:rsidR="0032745B" w:rsidRPr="000E565D" w:rsidRDefault="0032745B" w:rsidP="0032745B">
      <w:pPr>
        <w:jc w:val="both"/>
        <w:rPr>
          <w:rFonts w:asciiTheme="minorHAnsi" w:hAnsiTheme="minorHAnsi" w:cstheme="minorHAnsi"/>
          <w:color w:val="000000" w:themeColor="text1"/>
          <w:sz w:val="22"/>
          <w:szCs w:val="22"/>
        </w:rPr>
      </w:pPr>
      <w:r w:rsidRPr="000E565D">
        <w:rPr>
          <w:rFonts w:asciiTheme="minorHAnsi" w:hAnsiTheme="minorHAnsi" w:cstheme="minorHAnsi"/>
          <w:color w:val="000000" w:themeColor="text1"/>
          <w:sz w:val="22"/>
          <w:szCs w:val="22"/>
        </w:rPr>
        <w:t>La valoración de inversiones generalmente tiene una presentación estándar, donde se distingue entre inversiones en terreno, obras y, equipos y mobiliario. Respecto de la inversión en obras la valoración de la inversión distingue entre materiales importados y nacionales, y mano de obra calificada, semi calificada y no calificada. Respecto de los equipos y mobiliario, se hace la distinción entre equipos importados y nacionales. Finalmente, para la valoración socioeconómica se requiere descontar de los montos de inversión todos los impuestos, sean estos del tipo impuesto al valor agregado o aranceles de importación, dado que todas estos valores no implican adición o sustracción de recursos, sólo transferencias entre distintos agentes económicos.</w:t>
      </w:r>
    </w:p>
    <w:p w:rsidR="0032745B" w:rsidRPr="000E565D" w:rsidRDefault="0032745B" w:rsidP="0032745B">
      <w:pPr>
        <w:jc w:val="both"/>
        <w:rPr>
          <w:rFonts w:asciiTheme="minorHAnsi" w:hAnsiTheme="minorHAnsi" w:cstheme="minorHAnsi"/>
          <w:color w:val="000000" w:themeColor="text1"/>
          <w:sz w:val="22"/>
          <w:szCs w:val="22"/>
        </w:rPr>
      </w:pPr>
    </w:p>
    <w:p w:rsidR="0032745B" w:rsidRPr="000E565D" w:rsidRDefault="0032745B" w:rsidP="0032745B">
      <w:pPr>
        <w:jc w:val="both"/>
        <w:rPr>
          <w:rFonts w:asciiTheme="minorHAnsi" w:hAnsiTheme="minorHAnsi" w:cstheme="minorHAnsi"/>
          <w:color w:val="000000" w:themeColor="text1"/>
          <w:sz w:val="22"/>
          <w:szCs w:val="22"/>
        </w:rPr>
      </w:pPr>
      <w:r w:rsidRPr="000E565D">
        <w:rPr>
          <w:rFonts w:asciiTheme="minorHAnsi" w:hAnsiTheme="minorHAnsi" w:cstheme="minorHAnsi"/>
          <w:color w:val="000000" w:themeColor="text1"/>
          <w:sz w:val="22"/>
          <w:szCs w:val="22"/>
        </w:rPr>
        <w:t>En términos operativos, se debe realizar una estimación del valor privado descontando impuestos al valor agregado y aranceles cuando corresponda, para a continuación estimar el costos social de la inversión utilizando los factores de corrección de precios privados sugeridos por los organizamos de planificación, de manera de valorar las inversiones mediante precios sociales.</w:t>
      </w:r>
    </w:p>
    <w:p w:rsidR="0032745B" w:rsidRPr="000E565D" w:rsidRDefault="0032745B" w:rsidP="0032745B">
      <w:pPr>
        <w:jc w:val="both"/>
        <w:rPr>
          <w:rFonts w:asciiTheme="minorHAnsi" w:hAnsiTheme="minorHAnsi" w:cstheme="minorHAnsi"/>
          <w:color w:val="000000" w:themeColor="text1"/>
          <w:sz w:val="22"/>
          <w:szCs w:val="22"/>
        </w:rPr>
      </w:pPr>
    </w:p>
    <w:p w:rsidR="0032745B" w:rsidRPr="000E565D" w:rsidRDefault="0032745B" w:rsidP="0032745B">
      <w:pPr>
        <w:jc w:val="both"/>
        <w:rPr>
          <w:rFonts w:asciiTheme="minorHAnsi" w:hAnsiTheme="minorHAnsi" w:cstheme="minorHAnsi"/>
          <w:color w:val="000000" w:themeColor="text1"/>
          <w:sz w:val="22"/>
          <w:szCs w:val="22"/>
        </w:rPr>
      </w:pPr>
      <w:r w:rsidRPr="000E565D">
        <w:rPr>
          <w:rFonts w:asciiTheme="minorHAnsi" w:hAnsiTheme="minorHAnsi" w:cstheme="minorHAnsi"/>
          <w:color w:val="000000" w:themeColor="text1"/>
          <w:sz w:val="22"/>
          <w:szCs w:val="22"/>
        </w:rPr>
        <w:t>El evaluador debe poner atención en considerar la vida útil de la inversión, en particular de los equipos, esto en razón de que estos generalmente tienen una corta vida, ya sea por uso o por obsolescencia, esto es relevante por cuanto en el ejercicio de evaluación se debe considerar la mantención de los equipos y su reposición cuando corresponda.</w:t>
      </w:r>
    </w:p>
    <w:p w:rsidR="0032745B" w:rsidRPr="000E565D" w:rsidRDefault="0032745B" w:rsidP="0032745B">
      <w:pPr>
        <w:jc w:val="both"/>
        <w:rPr>
          <w:rFonts w:asciiTheme="minorHAnsi" w:hAnsiTheme="minorHAnsi" w:cstheme="minorHAnsi"/>
          <w:color w:val="000000" w:themeColor="text1"/>
          <w:sz w:val="22"/>
          <w:szCs w:val="22"/>
        </w:rPr>
      </w:pPr>
      <w:r w:rsidRPr="000E565D">
        <w:rPr>
          <w:rFonts w:asciiTheme="minorHAnsi" w:hAnsiTheme="minorHAnsi" w:cstheme="minorHAnsi"/>
          <w:color w:val="000000" w:themeColor="text1"/>
          <w:sz w:val="22"/>
          <w:szCs w:val="22"/>
        </w:rPr>
        <w:t xml:space="preserve"> </w:t>
      </w:r>
    </w:p>
    <w:p w:rsidR="0032745B" w:rsidRPr="000E565D" w:rsidRDefault="0032745B" w:rsidP="0032745B">
      <w:pPr>
        <w:pStyle w:val="Heading3"/>
        <w:rPr>
          <w:rFonts w:asciiTheme="minorHAnsi" w:hAnsiTheme="minorHAnsi" w:cstheme="minorHAnsi"/>
          <w:sz w:val="22"/>
          <w:szCs w:val="22"/>
        </w:rPr>
      </w:pPr>
      <w:bookmarkStart w:id="30" w:name="_Toc302997997"/>
      <w:bookmarkStart w:id="31" w:name="_Toc330952996"/>
      <w:bookmarkStart w:id="32" w:name="_Toc368865412"/>
      <w:bookmarkStart w:id="33" w:name="_Toc373093500"/>
      <w:r>
        <w:rPr>
          <w:rFonts w:asciiTheme="minorHAnsi" w:hAnsiTheme="minorHAnsi" w:cstheme="minorHAnsi"/>
          <w:sz w:val="22"/>
          <w:szCs w:val="22"/>
        </w:rPr>
        <w:t>2</w:t>
      </w:r>
      <w:r w:rsidRPr="000E565D">
        <w:rPr>
          <w:rFonts w:asciiTheme="minorHAnsi" w:hAnsiTheme="minorHAnsi" w:cstheme="minorHAnsi"/>
          <w:sz w:val="22"/>
          <w:szCs w:val="22"/>
        </w:rPr>
        <w:t>.4.2 Valoración de costos de operación</w:t>
      </w:r>
      <w:bookmarkEnd w:id="30"/>
      <w:bookmarkEnd w:id="31"/>
      <w:bookmarkEnd w:id="32"/>
      <w:bookmarkEnd w:id="33"/>
    </w:p>
    <w:p w:rsidR="0032745B" w:rsidRPr="000E565D" w:rsidRDefault="0032745B" w:rsidP="0032745B">
      <w:pPr>
        <w:rPr>
          <w:rFonts w:asciiTheme="minorHAnsi" w:hAnsiTheme="minorHAnsi" w:cstheme="minorHAnsi"/>
          <w:color w:val="000000" w:themeColor="text1"/>
          <w:sz w:val="22"/>
          <w:szCs w:val="22"/>
        </w:rPr>
      </w:pPr>
    </w:p>
    <w:p w:rsidR="0032745B" w:rsidRPr="000E565D" w:rsidRDefault="0032745B" w:rsidP="0032745B">
      <w:pPr>
        <w:jc w:val="both"/>
        <w:rPr>
          <w:rFonts w:asciiTheme="minorHAnsi" w:hAnsiTheme="minorHAnsi" w:cstheme="minorHAnsi"/>
          <w:color w:val="000000" w:themeColor="text1"/>
          <w:sz w:val="22"/>
          <w:szCs w:val="22"/>
        </w:rPr>
      </w:pPr>
      <w:r w:rsidRPr="000E565D">
        <w:rPr>
          <w:rFonts w:asciiTheme="minorHAnsi" w:hAnsiTheme="minorHAnsi" w:cstheme="minorHAnsi"/>
          <w:color w:val="000000" w:themeColor="text1"/>
          <w:sz w:val="22"/>
          <w:szCs w:val="22"/>
        </w:rPr>
        <w:t>Lo que se describió en relación a la determinación de la oferta está vinculado directamente a la valoración de los costos, de hecho forma parte de una misma unidad de análisis, la determinación de la oferta se puede considerar en términos económicos como la función de producción de una unidad productiva que denominamos hospital, desde esta perspectiva la valoración de costos de operación viene a ser considerada el dual de la función de producción, es el “otro lado de la misma moneda”. Por lo tanto, la valoración de costos de operación debe poner especial cuidado de considerar lo que se ha realizado en la determinación de la oferta, teniendo presente los aspectos que no están explícitos en las tablas de oferta, por ejemplo los sistema de turnos, o jornadas de cada uno de los recursos humanos considerados. Adicionalmente, se tiene que considerar a todos los profesionales, técnicos y funcionarios administrativos que se requieren para el normal funcionamiento del hospital, independientemente de quien financie.</w:t>
      </w:r>
      <w:r w:rsidRPr="000E565D">
        <w:rPr>
          <w:rStyle w:val="FootnoteReference"/>
          <w:rFonts w:asciiTheme="minorHAnsi" w:hAnsiTheme="minorHAnsi" w:cstheme="minorHAnsi"/>
          <w:color w:val="000000" w:themeColor="text1"/>
          <w:sz w:val="22"/>
          <w:szCs w:val="22"/>
        </w:rPr>
        <w:footnoteReference w:id="25"/>
      </w:r>
      <w:r w:rsidRPr="000E565D">
        <w:rPr>
          <w:rFonts w:asciiTheme="minorHAnsi" w:hAnsiTheme="minorHAnsi" w:cstheme="minorHAnsi"/>
          <w:color w:val="000000" w:themeColor="text1"/>
          <w:sz w:val="22"/>
          <w:szCs w:val="22"/>
        </w:rPr>
        <w:t xml:space="preserve"> </w:t>
      </w:r>
    </w:p>
    <w:p w:rsidR="0032745B" w:rsidRPr="000E565D" w:rsidRDefault="0032745B" w:rsidP="0032745B">
      <w:pPr>
        <w:jc w:val="both"/>
        <w:rPr>
          <w:rFonts w:asciiTheme="minorHAnsi" w:hAnsiTheme="minorHAnsi" w:cstheme="minorHAnsi"/>
          <w:color w:val="000000" w:themeColor="text1"/>
          <w:sz w:val="22"/>
          <w:szCs w:val="22"/>
        </w:rPr>
      </w:pPr>
    </w:p>
    <w:p w:rsidR="0032745B" w:rsidRPr="000E565D" w:rsidRDefault="0032745B" w:rsidP="0032745B">
      <w:pPr>
        <w:jc w:val="both"/>
        <w:rPr>
          <w:rFonts w:asciiTheme="minorHAnsi" w:hAnsiTheme="minorHAnsi" w:cstheme="minorHAnsi"/>
          <w:color w:val="000000" w:themeColor="text1"/>
          <w:sz w:val="22"/>
          <w:szCs w:val="22"/>
        </w:rPr>
      </w:pPr>
      <w:r w:rsidRPr="000E565D">
        <w:rPr>
          <w:rFonts w:asciiTheme="minorHAnsi" w:hAnsiTheme="minorHAnsi" w:cstheme="minorHAnsi"/>
          <w:color w:val="000000" w:themeColor="text1"/>
          <w:sz w:val="22"/>
          <w:szCs w:val="22"/>
        </w:rPr>
        <w:t xml:space="preserve">En consideración de lo anterior, se recomienda realizar la explicitación de la estructura de costos del hospital, en términos de la cantidad de cada recurso humano cualificado y de salario total </w:t>
      </w:r>
      <w:r w:rsidRPr="000E565D">
        <w:rPr>
          <w:rFonts w:asciiTheme="minorHAnsi" w:hAnsiTheme="minorHAnsi" w:cstheme="minorHAnsi"/>
          <w:color w:val="000000" w:themeColor="text1"/>
          <w:sz w:val="22"/>
          <w:szCs w:val="22"/>
        </w:rPr>
        <w:lastRenderedPageBreak/>
        <w:t>bruto, de forma separada a la determinación de la oferta, donde sólo se explicita parcialmente la dotación de recursos humanos.</w:t>
      </w:r>
      <w:r w:rsidRPr="000E565D">
        <w:rPr>
          <w:rStyle w:val="FootnoteReference"/>
          <w:rFonts w:asciiTheme="minorHAnsi" w:hAnsiTheme="minorHAnsi" w:cstheme="minorHAnsi"/>
          <w:color w:val="000000" w:themeColor="text1"/>
          <w:sz w:val="22"/>
          <w:szCs w:val="22"/>
        </w:rPr>
        <w:footnoteReference w:id="26"/>
      </w:r>
    </w:p>
    <w:p w:rsidR="0032745B" w:rsidRPr="000E565D" w:rsidRDefault="0032745B" w:rsidP="0032745B">
      <w:pPr>
        <w:jc w:val="both"/>
        <w:rPr>
          <w:rFonts w:asciiTheme="minorHAnsi" w:hAnsiTheme="minorHAnsi" w:cstheme="minorHAnsi"/>
          <w:color w:val="000000" w:themeColor="text1"/>
          <w:sz w:val="22"/>
          <w:szCs w:val="22"/>
        </w:rPr>
      </w:pPr>
    </w:p>
    <w:p w:rsidR="0032745B" w:rsidRPr="000E565D" w:rsidRDefault="0032745B" w:rsidP="0032745B">
      <w:pPr>
        <w:jc w:val="both"/>
        <w:rPr>
          <w:rFonts w:asciiTheme="minorHAnsi" w:hAnsiTheme="minorHAnsi" w:cstheme="minorHAnsi"/>
          <w:color w:val="000000" w:themeColor="text1"/>
          <w:sz w:val="22"/>
          <w:szCs w:val="22"/>
        </w:rPr>
      </w:pPr>
      <w:r w:rsidRPr="000E565D">
        <w:rPr>
          <w:rFonts w:asciiTheme="minorHAnsi" w:hAnsiTheme="minorHAnsi" w:cstheme="minorHAnsi"/>
          <w:color w:val="000000" w:themeColor="text1"/>
          <w:sz w:val="22"/>
          <w:szCs w:val="22"/>
        </w:rPr>
        <w:t>La importancia de cualificar el personal tiene directa relación con la valoración social que se realiza, en general los países proponen salarios sociales (factores de ajuste)  diferentes según la cualificación, distinguiendo entre trabajo calificado, semi calificado y no calificado.</w:t>
      </w:r>
    </w:p>
    <w:p w:rsidR="0032745B" w:rsidRPr="000E565D" w:rsidRDefault="0032745B" w:rsidP="0032745B">
      <w:pPr>
        <w:jc w:val="both"/>
        <w:rPr>
          <w:rFonts w:asciiTheme="minorHAnsi" w:hAnsiTheme="minorHAnsi" w:cstheme="minorHAnsi"/>
          <w:color w:val="000000" w:themeColor="text1"/>
          <w:sz w:val="22"/>
          <w:szCs w:val="22"/>
        </w:rPr>
      </w:pPr>
    </w:p>
    <w:p w:rsidR="0032745B" w:rsidRPr="000E565D" w:rsidRDefault="0032745B" w:rsidP="0032745B">
      <w:pPr>
        <w:pStyle w:val="Heading3"/>
        <w:rPr>
          <w:rFonts w:asciiTheme="minorHAnsi" w:hAnsiTheme="minorHAnsi" w:cstheme="minorHAnsi"/>
          <w:sz w:val="22"/>
          <w:szCs w:val="22"/>
        </w:rPr>
      </w:pPr>
      <w:bookmarkStart w:id="34" w:name="_Toc302997998"/>
      <w:bookmarkStart w:id="35" w:name="_Toc330952997"/>
      <w:bookmarkStart w:id="36" w:name="_Toc368865413"/>
      <w:bookmarkStart w:id="37" w:name="_Toc373093501"/>
      <w:r>
        <w:rPr>
          <w:rFonts w:asciiTheme="minorHAnsi" w:hAnsiTheme="minorHAnsi" w:cstheme="minorHAnsi"/>
          <w:sz w:val="22"/>
          <w:szCs w:val="22"/>
        </w:rPr>
        <w:t>2</w:t>
      </w:r>
      <w:r w:rsidRPr="000E565D">
        <w:rPr>
          <w:rFonts w:asciiTheme="minorHAnsi" w:hAnsiTheme="minorHAnsi" w:cstheme="minorHAnsi"/>
          <w:sz w:val="22"/>
          <w:szCs w:val="22"/>
        </w:rPr>
        <w:t>.4.3 Valoración de beneficios</w:t>
      </w:r>
      <w:bookmarkEnd w:id="34"/>
      <w:bookmarkEnd w:id="35"/>
      <w:bookmarkEnd w:id="36"/>
      <w:bookmarkEnd w:id="37"/>
    </w:p>
    <w:p w:rsidR="0032745B" w:rsidRPr="000E565D" w:rsidRDefault="0032745B" w:rsidP="0032745B">
      <w:pPr>
        <w:pStyle w:val="Heading3"/>
        <w:jc w:val="both"/>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La valoración de los beneficios sociales requiere en primer lugar señalar cuáles son los beneficios que se consideraran. En general, los beneficios que se consideran en estudios de evaluación socioeconómica de proyectos hospitalarios son los que provienen del aumento de consumo de prestaciones sanitarias; de ahorro de costos por viajes a consultas médicas de especialidades médicas a las grandes ciudades; cuando corresponda, ahorro de costos por formación docente; y valor de rescate de la inversión.</w:t>
      </w:r>
      <w:r w:rsidRPr="000E565D">
        <w:rPr>
          <w:rStyle w:val="FootnoteReference"/>
          <w:rFonts w:asciiTheme="minorHAnsi" w:hAnsiTheme="minorHAnsi" w:cstheme="minorHAnsi"/>
          <w:sz w:val="22"/>
          <w:szCs w:val="22"/>
        </w:rPr>
        <w:footnoteReference w:id="27"/>
      </w:r>
    </w:p>
    <w:p w:rsidR="0032745B" w:rsidRPr="000E565D" w:rsidRDefault="0032745B" w:rsidP="0032745B">
      <w:pPr>
        <w:jc w:val="both"/>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Respecto de la valoración de beneficios por aumento del consumo de prestaciones sanitarias, se debe considerar el incremento de las prestaciones que proviene de la comparación de la situación con y sin proyecto. Su valoración se realiza considerando el criterio de que “no se deben atribuir beneficios a un proyecto de inversión mayores al costo alternativo de obtenerlos por otro medio”</w:t>
      </w:r>
      <w:r w:rsidRPr="000E565D">
        <w:rPr>
          <w:rStyle w:val="FootnoteReference"/>
          <w:rFonts w:asciiTheme="minorHAnsi" w:hAnsiTheme="minorHAnsi" w:cstheme="minorHAnsi"/>
          <w:sz w:val="22"/>
          <w:szCs w:val="22"/>
        </w:rPr>
        <w:footnoteReference w:id="28"/>
      </w:r>
      <w:r w:rsidRPr="000E565D">
        <w:rPr>
          <w:rFonts w:asciiTheme="minorHAnsi" w:hAnsiTheme="minorHAnsi" w:cstheme="minorHAnsi"/>
          <w:sz w:val="22"/>
          <w:szCs w:val="22"/>
        </w:rPr>
        <w:t>, lo cual implica en términos prácticos valorar estos beneficios vía precios de mercado vigentes en el sector privado, teniendo presente si, los atributos de calidad diferenciales si es que los hubiere.</w:t>
      </w:r>
    </w:p>
    <w:p w:rsidR="0032745B" w:rsidRPr="000E565D" w:rsidRDefault="0032745B" w:rsidP="0032745B">
      <w:pPr>
        <w:jc w:val="both"/>
        <w:rPr>
          <w:rFonts w:asciiTheme="minorHAnsi" w:hAnsiTheme="minorHAnsi" w:cstheme="minorHAnsi"/>
          <w:sz w:val="22"/>
          <w:szCs w:val="22"/>
        </w:rPr>
      </w:pPr>
    </w:p>
    <w:p w:rsidR="0032745B" w:rsidRPr="000E565D" w:rsidRDefault="0032745B" w:rsidP="0032745B">
      <w:pPr>
        <w:jc w:val="both"/>
        <w:rPr>
          <w:rFonts w:asciiTheme="minorHAnsi" w:hAnsiTheme="minorHAnsi" w:cstheme="minorHAnsi"/>
          <w:sz w:val="22"/>
          <w:szCs w:val="22"/>
        </w:rPr>
      </w:pPr>
      <w:r w:rsidRPr="000E565D">
        <w:rPr>
          <w:rFonts w:asciiTheme="minorHAnsi" w:hAnsiTheme="minorHAnsi" w:cstheme="minorHAnsi"/>
          <w:sz w:val="22"/>
          <w:szCs w:val="22"/>
        </w:rPr>
        <w:t>Un segundo beneficio proviene del hecho de que las familias eventualmente se ahorraran recursos, liberándolos para otros fines, producto de que con el proyecto se ofrecerán prestaciones que no existían, y a las cuales se accedía viajando a otras ciudades, o países. La valoración de este beneficio debe considerar los costos de viaje y estadía de los pacientes, que generalmente serán una fracción de la demanda potencial, cuya magnitud puede ser variable y objeto de estimación con distintos valores.</w:t>
      </w:r>
      <w:r>
        <w:rPr>
          <w:rFonts w:asciiTheme="minorHAnsi" w:hAnsiTheme="minorHAnsi" w:cstheme="minorHAnsi"/>
          <w:sz w:val="22"/>
          <w:szCs w:val="22"/>
        </w:rPr>
        <w:t xml:space="preserve"> </w:t>
      </w:r>
      <w:r w:rsidRPr="000E565D">
        <w:rPr>
          <w:rFonts w:asciiTheme="minorHAnsi" w:hAnsiTheme="minorHAnsi" w:cstheme="minorHAnsi"/>
          <w:sz w:val="22"/>
          <w:szCs w:val="22"/>
        </w:rPr>
        <w:t>Cuando corresponda se debe</w:t>
      </w:r>
      <w:r>
        <w:rPr>
          <w:rFonts w:asciiTheme="minorHAnsi" w:hAnsiTheme="minorHAnsi" w:cstheme="minorHAnsi"/>
          <w:sz w:val="22"/>
          <w:szCs w:val="22"/>
        </w:rPr>
        <w:t>n</w:t>
      </w:r>
      <w:r w:rsidRPr="000E565D">
        <w:rPr>
          <w:rFonts w:asciiTheme="minorHAnsi" w:hAnsiTheme="minorHAnsi" w:cstheme="minorHAnsi"/>
          <w:sz w:val="22"/>
          <w:szCs w:val="22"/>
        </w:rPr>
        <w:t xml:space="preserve"> estimar también los ahorros de costos por formación docente en el hospital. </w:t>
      </w:r>
    </w:p>
    <w:p w:rsidR="000F285D" w:rsidRDefault="000F285D" w:rsidP="000F285D">
      <w:pPr>
        <w:rPr>
          <w:rFonts w:ascii="Arial" w:hAnsi="Arial" w:cs="Arial"/>
          <w:lang w:val="es-MX"/>
        </w:rPr>
      </w:pPr>
    </w:p>
    <w:p w:rsidR="000F285D" w:rsidRPr="00FB4819" w:rsidRDefault="000F285D" w:rsidP="000F285D">
      <w:pPr>
        <w:widowControl w:val="0"/>
        <w:autoSpaceDE w:val="0"/>
        <w:autoSpaceDN w:val="0"/>
        <w:adjustRightInd w:val="0"/>
        <w:spacing w:line="278" w:lineRule="exact"/>
        <w:ind w:left="28" w:right="23"/>
        <w:jc w:val="center"/>
        <w:rPr>
          <w:rFonts w:asciiTheme="minorHAnsi" w:hAnsiTheme="minorHAnsi" w:cstheme="minorHAnsi"/>
          <w:bCs/>
          <w:sz w:val="22"/>
          <w:szCs w:val="22"/>
        </w:rPr>
        <w:sectPr w:rsidR="000F285D" w:rsidRPr="00FB4819" w:rsidSect="00F55BBC">
          <w:headerReference w:type="default" r:id="rId11"/>
          <w:footerReference w:type="default" r:id="rId12"/>
          <w:headerReference w:type="first" r:id="rId13"/>
          <w:pgSz w:w="12240" w:h="15840"/>
          <w:pgMar w:top="1417" w:right="1701" w:bottom="1417" w:left="1701" w:header="708" w:footer="708" w:gutter="0"/>
          <w:pgNumType w:start="0"/>
          <w:cols w:space="708"/>
          <w:titlePg/>
          <w:docGrid w:linePitch="360"/>
        </w:sectPr>
      </w:pPr>
    </w:p>
    <w:p w:rsidR="000F285D" w:rsidRPr="009C76DB" w:rsidRDefault="00FB11A8" w:rsidP="00AA2389">
      <w:pPr>
        <w:pStyle w:val="Heading1"/>
      </w:pPr>
      <w:bookmarkStart w:id="38" w:name="_Toc373093502"/>
      <w:r w:rsidRPr="009C76DB">
        <w:lastRenderedPageBreak/>
        <w:t xml:space="preserve">ESTIMACIÓN Y PROYECCIÓN DE DEMANDA DE SERVICIOS SANITARIOS DEL </w:t>
      </w:r>
      <w:r w:rsidR="00082341">
        <w:t>EL ALTO</w:t>
      </w:r>
      <w:bookmarkEnd w:id="38"/>
    </w:p>
    <w:p w:rsidR="00F53F4C" w:rsidRPr="00F53F4C" w:rsidRDefault="00F53F4C" w:rsidP="008A366B">
      <w:pPr>
        <w:pStyle w:val="Heading2"/>
        <w:numPr>
          <w:ilvl w:val="1"/>
          <w:numId w:val="1"/>
        </w:numPr>
        <w:spacing w:line="276" w:lineRule="auto"/>
        <w:rPr>
          <w:rFonts w:asciiTheme="minorHAnsi" w:hAnsiTheme="minorHAnsi" w:cstheme="minorHAnsi"/>
        </w:rPr>
      </w:pPr>
      <w:bookmarkStart w:id="39" w:name="_Toc373093503"/>
      <w:r w:rsidRPr="00F53F4C">
        <w:rPr>
          <w:rFonts w:asciiTheme="minorHAnsi" w:hAnsiTheme="minorHAnsi" w:cstheme="minorHAnsi"/>
        </w:rPr>
        <w:t xml:space="preserve">Metodología </w:t>
      </w:r>
      <w:r w:rsidR="00AA6B4A">
        <w:rPr>
          <w:rFonts w:asciiTheme="minorHAnsi" w:hAnsiTheme="minorHAnsi" w:cstheme="minorHAnsi"/>
        </w:rPr>
        <w:t xml:space="preserve">general </w:t>
      </w:r>
      <w:r w:rsidRPr="00F53F4C">
        <w:rPr>
          <w:rFonts w:asciiTheme="minorHAnsi" w:hAnsiTheme="minorHAnsi" w:cstheme="minorHAnsi"/>
        </w:rPr>
        <w:t>de estimación de demanda potencial</w:t>
      </w:r>
      <w:r w:rsidR="00AA6B4A">
        <w:rPr>
          <w:rFonts w:asciiTheme="minorHAnsi" w:hAnsiTheme="minorHAnsi" w:cstheme="minorHAnsi"/>
        </w:rPr>
        <w:t xml:space="preserve"> de prestaciones sanitarias</w:t>
      </w:r>
      <w:bookmarkEnd w:id="39"/>
    </w:p>
    <w:p w:rsidR="00F53F4C" w:rsidRDefault="00F53F4C" w:rsidP="000F285D">
      <w:pPr>
        <w:jc w:val="both"/>
        <w:rPr>
          <w:rFonts w:asciiTheme="minorHAnsi" w:hAnsiTheme="minorHAnsi" w:cstheme="minorHAnsi"/>
          <w:sz w:val="22"/>
        </w:rPr>
      </w:pPr>
    </w:p>
    <w:p w:rsidR="00F53F4C" w:rsidRDefault="006254AD" w:rsidP="000F285D">
      <w:pPr>
        <w:jc w:val="both"/>
        <w:rPr>
          <w:rFonts w:asciiTheme="minorHAnsi" w:hAnsiTheme="minorHAnsi" w:cstheme="minorHAnsi"/>
          <w:sz w:val="22"/>
        </w:rPr>
      </w:pPr>
      <w:r>
        <w:rPr>
          <w:rFonts w:asciiTheme="minorHAnsi" w:hAnsiTheme="minorHAnsi" w:cstheme="minorHAnsi"/>
          <w:sz w:val="22"/>
        </w:rPr>
        <w:t>E</w:t>
      </w:r>
      <w:r w:rsidR="00F42CE4">
        <w:rPr>
          <w:rFonts w:asciiTheme="minorHAnsi" w:hAnsiTheme="minorHAnsi" w:cstheme="minorHAnsi"/>
          <w:sz w:val="22"/>
        </w:rPr>
        <w:t xml:space="preserve">n esta sección del estudio </w:t>
      </w:r>
      <w:r>
        <w:rPr>
          <w:rFonts w:asciiTheme="minorHAnsi" w:hAnsiTheme="minorHAnsi" w:cstheme="minorHAnsi"/>
          <w:sz w:val="22"/>
        </w:rPr>
        <w:t>se presenta la metodología seguida para</w:t>
      </w:r>
      <w:r w:rsidR="00F42CE4">
        <w:rPr>
          <w:rFonts w:asciiTheme="minorHAnsi" w:hAnsiTheme="minorHAnsi" w:cstheme="minorHAnsi"/>
          <w:sz w:val="22"/>
        </w:rPr>
        <w:t xml:space="preserve"> estimar la demanda potencial por un determinado conjunto de prestaciones sanitarias. Por demanda potencial entenderemos la </w:t>
      </w:r>
      <w:r w:rsidR="00C92E7D">
        <w:rPr>
          <w:rFonts w:asciiTheme="minorHAnsi" w:hAnsiTheme="minorHAnsi" w:cstheme="minorHAnsi"/>
          <w:sz w:val="22"/>
        </w:rPr>
        <w:t>máxima</w:t>
      </w:r>
      <w:r w:rsidR="00F42CE4">
        <w:rPr>
          <w:rFonts w:asciiTheme="minorHAnsi" w:hAnsiTheme="minorHAnsi" w:cstheme="minorHAnsi"/>
          <w:sz w:val="22"/>
        </w:rPr>
        <w:t xml:space="preserve"> demanda que es posible </w:t>
      </w:r>
      <w:r w:rsidR="00C92E7D">
        <w:rPr>
          <w:rFonts w:asciiTheme="minorHAnsi" w:hAnsiTheme="minorHAnsi" w:cstheme="minorHAnsi"/>
          <w:sz w:val="22"/>
        </w:rPr>
        <w:t>prever</w:t>
      </w:r>
      <w:r w:rsidR="00F42CE4">
        <w:rPr>
          <w:rFonts w:asciiTheme="minorHAnsi" w:hAnsiTheme="minorHAnsi" w:cstheme="minorHAnsi"/>
          <w:sz w:val="22"/>
        </w:rPr>
        <w:t xml:space="preserve"> bajo determinados supuestos. </w:t>
      </w:r>
      <w:r w:rsidR="00FF6811">
        <w:rPr>
          <w:rFonts w:asciiTheme="minorHAnsi" w:hAnsiTheme="minorHAnsi" w:cstheme="minorHAnsi"/>
          <w:sz w:val="22"/>
        </w:rPr>
        <w:t>Las prestaciones sanitarias consideradas corresponden a</w:t>
      </w:r>
      <w:r w:rsidR="00F42CE4">
        <w:rPr>
          <w:rFonts w:asciiTheme="minorHAnsi" w:hAnsiTheme="minorHAnsi" w:cstheme="minorHAnsi"/>
          <w:sz w:val="22"/>
        </w:rPr>
        <w:t xml:space="preserve"> un conjunto acotado, pero representativo de las actividades productivas de mayor relevancia que tendrá el nuevo hospital.</w:t>
      </w:r>
    </w:p>
    <w:p w:rsidR="00F42CE4" w:rsidRDefault="00F42CE4" w:rsidP="000F285D">
      <w:pPr>
        <w:jc w:val="both"/>
        <w:rPr>
          <w:rFonts w:asciiTheme="minorHAnsi" w:hAnsiTheme="minorHAnsi" w:cstheme="minorHAnsi"/>
          <w:sz w:val="22"/>
        </w:rPr>
      </w:pPr>
    </w:p>
    <w:p w:rsidR="00F42CE4" w:rsidRDefault="00F42CE4" w:rsidP="000F285D">
      <w:pPr>
        <w:jc w:val="both"/>
        <w:rPr>
          <w:rFonts w:asciiTheme="minorHAnsi" w:hAnsiTheme="minorHAnsi" w:cstheme="minorHAnsi"/>
          <w:sz w:val="22"/>
        </w:rPr>
      </w:pPr>
      <w:r>
        <w:rPr>
          <w:rFonts w:asciiTheme="minorHAnsi" w:hAnsiTheme="minorHAnsi" w:cstheme="minorHAnsi"/>
          <w:sz w:val="22"/>
        </w:rPr>
        <w:t xml:space="preserve">Muchas de las demandas por prestaciones sanitarias son genéricas, por ejemplo, proyectamos la demanda por días cama de hospitalización, pero no avanzamos en especificar, en este estudio a nivel de perfil, si corresponden a hospitalizaciones por una intervención </w:t>
      </w:r>
      <w:r w:rsidR="00C92E7D">
        <w:rPr>
          <w:rFonts w:asciiTheme="minorHAnsi" w:hAnsiTheme="minorHAnsi" w:cstheme="minorHAnsi"/>
          <w:sz w:val="22"/>
        </w:rPr>
        <w:t>quirúrgica</w:t>
      </w:r>
      <w:r>
        <w:rPr>
          <w:rFonts w:asciiTheme="minorHAnsi" w:hAnsiTheme="minorHAnsi" w:cstheme="minorHAnsi"/>
          <w:sz w:val="22"/>
        </w:rPr>
        <w:t xml:space="preserve"> al corazón u otra especificidad que explica la internación de un determinado paciente. Lo mismo ocurre con la demanda potencial por consulta externa, no especificamos si la consulta corresponde a una consulta </w:t>
      </w:r>
      <w:r w:rsidR="00C92E7D">
        <w:rPr>
          <w:rFonts w:asciiTheme="minorHAnsi" w:hAnsiTheme="minorHAnsi" w:cstheme="minorHAnsi"/>
          <w:sz w:val="22"/>
        </w:rPr>
        <w:t>pediátrica</w:t>
      </w:r>
      <w:r>
        <w:rPr>
          <w:rFonts w:asciiTheme="minorHAnsi" w:hAnsiTheme="minorHAnsi" w:cstheme="minorHAnsi"/>
          <w:sz w:val="22"/>
        </w:rPr>
        <w:t xml:space="preserve">, neurológica o ginecológica. O en el caso de prestaciones de apoyo o intermedias como las placas de Rx, no se especifica el tamaño, ni tampoco el </w:t>
      </w:r>
      <w:r w:rsidR="00C92E7D">
        <w:rPr>
          <w:rFonts w:asciiTheme="minorHAnsi" w:hAnsiTheme="minorHAnsi" w:cstheme="minorHAnsi"/>
          <w:sz w:val="22"/>
        </w:rPr>
        <w:t>órgano</w:t>
      </w:r>
      <w:r>
        <w:rPr>
          <w:rFonts w:asciiTheme="minorHAnsi" w:hAnsiTheme="minorHAnsi" w:cstheme="minorHAnsi"/>
          <w:sz w:val="22"/>
        </w:rPr>
        <w:t xml:space="preserve"> al que esta destinada la placa. De tal manera que las demandas potenciales </w:t>
      </w:r>
      <w:r w:rsidR="00C92E7D">
        <w:rPr>
          <w:rFonts w:asciiTheme="minorHAnsi" w:hAnsiTheme="minorHAnsi" w:cstheme="minorHAnsi"/>
          <w:sz w:val="22"/>
        </w:rPr>
        <w:t>cubrirán</w:t>
      </w:r>
      <w:r>
        <w:rPr>
          <w:rFonts w:asciiTheme="minorHAnsi" w:hAnsiTheme="minorHAnsi" w:cstheme="minorHAnsi"/>
          <w:sz w:val="22"/>
        </w:rPr>
        <w:t xml:space="preserve"> prestaciones simples y complejas, en una unidad de análisis.</w:t>
      </w:r>
    </w:p>
    <w:p w:rsidR="00C92E7D" w:rsidRDefault="00C92E7D" w:rsidP="000F285D">
      <w:pPr>
        <w:jc w:val="both"/>
        <w:rPr>
          <w:rFonts w:asciiTheme="minorHAnsi" w:hAnsiTheme="minorHAnsi" w:cstheme="minorHAnsi"/>
          <w:sz w:val="22"/>
        </w:rPr>
      </w:pPr>
    </w:p>
    <w:p w:rsidR="00C92E7D" w:rsidRDefault="00C92E7D" w:rsidP="000F285D">
      <w:pPr>
        <w:jc w:val="both"/>
        <w:rPr>
          <w:rFonts w:asciiTheme="minorHAnsi" w:hAnsiTheme="minorHAnsi" w:cstheme="minorHAnsi"/>
          <w:sz w:val="22"/>
        </w:rPr>
      </w:pPr>
      <w:r>
        <w:rPr>
          <w:rFonts w:asciiTheme="minorHAnsi" w:hAnsiTheme="minorHAnsi" w:cstheme="minorHAnsi"/>
          <w:sz w:val="22"/>
        </w:rPr>
        <w:t>La estimación de la demanda potencial se realiza, en general, sobre una base poblacional, es decir, se responde a la pregunta de cuánto demandaría una determinada población bajo un determinado supuesto, expresado en un parámetro específico. Por ejemplo, dado que en Arica – Chile, las personas de origen aymara demanda</w:t>
      </w:r>
      <w:r w:rsidR="00691626">
        <w:rPr>
          <w:rFonts w:asciiTheme="minorHAnsi" w:hAnsiTheme="minorHAnsi" w:cstheme="minorHAnsi"/>
          <w:sz w:val="22"/>
        </w:rPr>
        <w:t>n</w:t>
      </w:r>
      <w:r>
        <w:rPr>
          <w:rFonts w:asciiTheme="minorHAnsi" w:hAnsiTheme="minorHAnsi" w:cstheme="minorHAnsi"/>
          <w:sz w:val="22"/>
        </w:rPr>
        <w:t xml:space="preserve"> 0,292 consultas médicas por persona al año, entonces, si suponemos igual comportamiento, en </w:t>
      </w:r>
      <w:r w:rsidR="006254AD">
        <w:rPr>
          <w:rFonts w:asciiTheme="minorHAnsi" w:hAnsiTheme="minorHAnsi" w:cstheme="minorHAnsi"/>
          <w:sz w:val="22"/>
        </w:rPr>
        <w:t>El Alto</w:t>
      </w:r>
      <w:r>
        <w:rPr>
          <w:rFonts w:asciiTheme="minorHAnsi" w:hAnsiTheme="minorHAnsi" w:cstheme="minorHAnsi"/>
          <w:sz w:val="22"/>
        </w:rPr>
        <w:t xml:space="preserve"> se demandaría</w:t>
      </w:r>
      <w:r w:rsidR="006254AD">
        <w:rPr>
          <w:rFonts w:asciiTheme="minorHAnsi" w:hAnsiTheme="minorHAnsi" w:cstheme="minorHAnsi"/>
          <w:sz w:val="22"/>
        </w:rPr>
        <w:t>n</w:t>
      </w:r>
      <w:r>
        <w:rPr>
          <w:rFonts w:asciiTheme="minorHAnsi" w:hAnsiTheme="minorHAnsi" w:cstheme="minorHAnsi"/>
          <w:sz w:val="22"/>
        </w:rPr>
        <w:t xml:space="preserve"> X consultas por año.</w:t>
      </w:r>
      <w:r w:rsidR="00691626">
        <w:rPr>
          <w:rFonts w:asciiTheme="minorHAnsi" w:hAnsiTheme="minorHAnsi" w:cstheme="minorHAnsi"/>
          <w:sz w:val="22"/>
        </w:rPr>
        <w:t xml:space="preserve"> </w:t>
      </w:r>
    </w:p>
    <w:p w:rsidR="00691626" w:rsidRDefault="00691626" w:rsidP="000F285D">
      <w:pPr>
        <w:jc w:val="both"/>
        <w:rPr>
          <w:rFonts w:asciiTheme="minorHAnsi" w:hAnsiTheme="minorHAnsi" w:cstheme="minorHAnsi"/>
          <w:sz w:val="22"/>
        </w:rPr>
      </w:pPr>
    </w:p>
    <w:p w:rsidR="00691626" w:rsidRDefault="00691626" w:rsidP="000F285D">
      <w:pPr>
        <w:jc w:val="both"/>
        <w:rPr>
          <w:rFonts w:asciiTheme="minorHAnsi" w:hAnsiTheme="minorHAnsi" w:cstheme="minorHAnsi"/>
          <w:sz w:val="22"/>
        </w:rPr>
      </w:pPr>
      <w:r>
        <w:rPr>
          <w:rFonts w:asciiTheme="minorHAnsi" w:hAnsiTheme="minorHAnsi" w:cstheme="minorHAnsi"/>
          <w:sz w:val="22"/>
        </w:rPr>
        <w:t>Al extrapolar parámetros estimados para otras poblaciones, nos encontramos que la demanda potencial es muy superior a la demanda expresada,</w:t>
      </w:r>
      <w:r w:rsidR="006254AD">
        <w:rPr>
          <w:rFonts w:asciiTheme="minorHAnsi" w:hAnsiTheme="minorHAnsi" w:cstheme="minorHAnsi"/>
          <w:sz w:val="22"/>
        </w:rPr>
        <w:t xml:space="preserve"> lo que es esperable dado los d</w:t>
      </w:r>
      <w:r>
        <w:rPr>
          <w:rFonts w:asciiTheme="minorHAnsi" w:hAnsiTheme="minorHAnsi" w:cstheme="minorHAnsi"/>
          <w:sz w:val="22"/>
        </w:rPr>
        <w:t xml:space="preserve">iferenciales de oferta sanitaria, </w:t>
      </w:r>
      <w:r w:rsidR="004A0D63">
        <w:rPr>
          <w:rFonts w:asciiTheme="minorHAnsi" w:hAnsiTheme="minorHAnsi" w:cstheme="minorHAnsi"/>
          <w:sz w:val="22"/>
        </w:rPr>
        <w:t xml:space="preserve">los sistemas de financiamiento, </w:t>
      </w:r>
      <w:r>
        <w:rPr>
          <w:rFonts w:asciiTheme="minorHAnsi" w:hAnsiTheme="minorHAnsi" w:cstheme="minorHAnsi"/>
          <w:sz w:val="22"/>
        </w:rPr>
        <w:t>las con</w:t>
      </w:r>
      <w:r w:rsidR="00A273D8">
        <w:rPr>
          <w:rFonts w:asciiTheme="minorHAnsi" w:hAnsiTheme="minorHAnsi" w:cstheme="minorHAnsi"/>
          <w:sz w:val="22"/>
        </w:rPr>
        <w:t>di</w:t>
      </w:r>
      <w:r>
        <w:rPr>
          <w:rFonts w:asciiTheme="minorHAnsi" w:hAnsiTheme="minorHAnsi" w:cstheme="minorHAnsi"/>
          <w:sz w:val="22"/>
        </w:rPr>
        <w:t>cion</w:t>
      </w:r>
      <w:r w:rsidR="00A273D8">
        <w:rPr>
          <w:rFonts w:asciiTheme="minorHAnsi" w:hAnsiTheme="minorHAnsi" w:cstheme="minorHAnsi"/>
          <w:sz w:val="22"/>
        </w:rPr>
        <w:t>e</w:t>
      </w:r>
      <w:r>
        <w:rPr>
          <w:rFonts w:asciiTheme="minorHAnsi" w:hAnsiTheme="minorHAnsi" w:cstheme="minorHAnsi"/>
          <w:sz w:val="22"/>
        </w:rPr>
        <w:t>s materiales y culturales que diferencian a una población y otra.</w:t>
      </w:r>
      <w:r w:rsidR="006254AD" w:rsidRPr="006254AD">
        <w:rPr>
          <w:rStyle w:val="FootnoteReference"/>
          <w:rFonts w:asciiTheme="minorHAnsi" w:hAnsiTheme="minorHAnsi" w:cstheme="minorHAnsi"/>
          <w:sz w:val="22"/>
        </w:rPr>
        <w:t xml:space="preserve"> </w:t>
      </w:r>
      <w:r w:rsidR="006254AD">
        <w:rPr>
          <w:rStyle w:val="FootnoteReference"/>
          <w:rFonts w:asciiTheme="minorHAnsi" w:hAnsiTheme="minorHAnsi" w:cstheme="minorHAnsi"/>
          <w:sz w:val="22"/>
        </w:rPr>
        <w:footnoteReference w:id="29"/>
      </w:r>
      <w:r>
        <w:rPr>
          <w:rFonts w:asciiTheme="minorHAnsi" w:hAnsiTheme="minorHAnsi" w:cstheme="minorHAnsi"/>
          <w:sz w:val="22"/>
        </w:rPr>
        <w:t xml:space="preserve"> Es por ello, que agregamos un supuesto adicional</w:t>
      </w:r>
      <w:r w:rsidR="00520CCF">
        <w:rPr>
          <w:rFonts w:asciiTheme="minorHAnsi" w:hAnsiTheme="minorHAnsi" w:cstheme="minorHAnsi"/>
          <w:sz w:val="22"/>
        </w:rPr>
        <w:t>, en algunos casos,</w:t>
      </w:r>
      <w:r>
        <w:rPr>
          <w:rFonts w:asciiTheme="minorHAnsi" w:hAnsiTheme="minorHAnsi" w:cstheme="minorHAnsi"/>
          <w:sz w:val="22"/>
        </w:rPr>
        <w:t xml:space="preserve"> que ex</w:t>
      </w:r>
      <w:r w:rsidR="00A273D8">
        <w:rPr>
          <w:rFonts w:asciiTheme="minorHAnsi" w:hAnsiTheme="minorHAnsi" w:cstheme="minorHAnsi"/>
          <w:sz w:val="22"/>
        </w:rPr>
        <w:t>p</w:t>
      </w:r>
      <w:r>
        <w:rPr>
          <w:rFonts w:asciiTheme="minorHAnsi" w:hAnsiTheme="minorHAnsi" w:cstheme="minorHAnsi"/>
          <w:sz w:val="22"/>
        </w:rPr>
        <w:t>resa que dicha demanda, estimad</w:t>
      </w:r>
      <w:r w:rsidR="00A273D8">
        <w:rPr>
          <w:rFonts w:asciiTheme="minorHAnsi" w:hAnsiTheme="minorHAnsi" w:cstheme="minorHAnsi"/>
          <w:sz w:val="22"/>
        </w:rPr>
        <w:t>a</w:t>
      </w:r>
      <w:r>
        <w:rPr>
          <w:rFonts w:asciiTheme="minorHAnsi" w:hAnsiTheme="minorHAnsi" w:cstheme="minorHAnsi"/>
          <w:sz w:val="22"/>
        </w:rPr>
        <w:t xml:space="preserve"> bajo determinado supuesto se expresará totalmente después de un determinado periodo de tiempo, que en este estudio suponemos de 15 años. Con este supuesto ponemos una restricción de gradualidad temporal a la expresión de la demanda, y el piso de esa demanda </w:t>
      </w:r>
      <w:r w:rsidR="00D3593C">
        <w:rPr>
          <w:rFonts w:asciiTheme="minorHAnsi" w:hAnsiTheme="minorHAnsi" w:cstheme="minorHAnsi"/>
          <w:sz w:val="22"/>
        </w:rPr>
        <w:t>potencial</w:t>
      </w:r>
      <w:r>
        <w:rPr>
          <w:rFonts w:asciiTheme="minorHAnsi" w:hAnsiTheme="minorHAnsi" w:cstheme="minorHAnsi"/>
          <w:sz w:val="22"/>
        </w:rPr>
        <w:t xml:space="preserve"> es la demanda expresada actual.</w:t>
      </w:r>
      <w:r>
        <w:rPr>
          <w:rStyle w:val="FootnoteReference"/>
          <w:rFonts w:asciiTheme="minorHAnsi" w:hAnsiTheme="minorHAnsi" w:cstheme="minorHAnsi"/>
          <w:sz w:val="22"/>
        </w:rPr>
        <w:footnoteReference w:id="30"/>
      </w:r>
      <w:r w:rsidR="00A273D8">
        <w:rPr>
          <w:rFonts w:asciiTheme="minorHAnsi" w:hAnsiTheme="minorHAnsi" w:cstheme="minorHAnsi"/>
          <w:sz w:val="22"/>
        </w:rPr>
        <w:t xml:space="preserve"> Antecedentes adicionales que sustentan un crecimiento en la demanda potencial esperada es el proyecto de </w:t>
      </w:r>
      <w:r w:rsidR="00A273D8">
        <w:rPr>
          <w:rFonts w:asciiTheme="minorHAnsi" w:hAnsiTheme="minorHAnsi" w:cstheme="minorHAnsi"/>
          <w:sz w:val="22"/>
        </w:rPr>
        <w:lastRenderedPageBreak/>
        <w:t>Sistema Único de Salud, uno de cuyos objetivos es restringir al mínimo las barreras de acceso asociadas a aspectos económicos.</w:t>
      </w:r>
    </w:p>
    <w:p w:rsidR="00C92E7D" w:rsidRDefault="00C92E7D" w:rsidP="000F285D">
      <w:pPr>
        <w:jc w:val="both"/>
        <w:rPr>
          <w:rFonts w:asciiTheme="minorHAnsi" w:hAnsiTheme="minorHAnsi" w:cstheme="minorHAnsi"/>
          <w:sz w:val="22"/>
        </w:rPr>
      </w:pPr>
    </w:p>
    <w:p w:rsidR="00C92E7D" w:rsidRDefault="00C92E7D" w:rsidP="000F285D">
      <w:pPr>
        <w:jc w:val="both"/>
        <w:rPr>
          <w:rFonts w:asciiTheme="minorHAnsi" w:hAnsiTheme="minorHAnsi" w:cstheme="minorHAnsi"/>
          <w:sz w:val="22"/>
        </w:rPr>
      </w:pPr>
      <w:r>
        <w:rPr>
          <w:rFonts w:asciiTheme="minorHAnsi" w:hAnsiTheme="minorHAnsi" w:cstheme="minorHAnsi"/>
          <w:sz w:val="22"/>
        </w:rPr>
        <w:t>Este procedimiento se justifica cuando se asume, más o menos fundadamente, que en una población existe una demanda no expresada, cuya magnitud desconocemos, pero que de alguna manera evidenciamos al observar tasas de mortalidad o morbilidad muy superiores a otras poblaciones</w:t>
      </w:r>
      <w:r w:rsidR="007D6EB9">
        <w:rPr>
          <w:rFonts w:asciiTheme="minorHAnsi" w:hAnsiTheme="minorHAnsi" w:cstheme="minorHAnsi"/>
          <w:sz w:val="22"/>
        </w:rPr>
        <w:t>, y que adicionalmente la oferta disponible es muy inferior al resto de las regiones del país, como es el caso del El Alto</w:t>
      </w:r>
      <w:r>
        <w:rPr>
          <w:rFonts w:asciiTheme="minorHAnsi" w:hAnsiTheme="minorHAnsi" w:cstheme="minorHAnsi"/>
          <w:sz w:val="22"/>
        </w:rPr>
        <w:t>.</w:t>
      </w:r>
      <w:r w:rsidR="004A0D63">
        <w:rPr>
          <w:rStyle w:val="FootnoteReference"/>
          <w:rFonts w:asciiTheme="minorHAnsi" w:hAnsiTheme="minorHAnsi" w:cstheme="minorHAnsi"/>
          <w:sz w:val="22"/>
        </w:rPr>
        <w:footnoteReference w:id="31"/>
      </w:r>
    </w:p>
    <w:p w:rsidR="00F53F4C" w:rsidRDefault="00F53F4C" w:rsidP="000F285D">
      <w:pPr>
        <w:jc w:val="both"/>
        <w:rPr>
          <w:rFonts w:asciiTheme="minorHAnsi" w:hAnsiTheme="minorHAnsi" w:cstheme="minorHAnsi"/>
          <w:sz w:val="22"/>
        </w:rPr>
      </w:pPr>
    </w:p>
    <w:p w:rsidR="00F53F4C" w:rsidRPr="00F53F4C" w:rsidRDefault="00F53F4C" w:rsidP="008A366B">
      <w:pPr>
        <w:pStyle w:val="Heading2"/>
        <w:numPr>
          <w:ilvl w:val="1"/>
          <w:numId w:val="1"/>
        </w:numPr>
        <w:spacing w:line="276" w:lineRule="auto"/>
        <w:rPr>
          <w:rFonts w:asciiTheme="minorHAnsi" w:hAnsiTheme="minorHAnsi" w:cstheme="minorHAnsi"/>
        </w:rPr>
      </w:pPr>
      <w:bookmarkStart w:id="40" w:name="_Toc373093504"/>
      <w:r w:rsidRPr="00F53F4C">
        <w:rPr>
          <w:rFonts w:asciiTheme="minorHAnsi" w:hAnsiTheme="minorHAnsi" w:cstheme="minorHAnsi"/>
        </w:rPr>
        <w:t>Estimación de población de referencia</w:t>
      </w:r>
      <w:bookmarkEnd w:id="40"/>
    </w:p>
    <w:p w:rsidR="00F53F4C" w:rsidRDefault="00F53F4C" w:rsidP="000F285D">
      <w:pPr>
        <w:jc w:val="both"/>
        <w:rPr>
          <w:rFonts w:asciiTheme="minorHAnsi" w:hAnsiTheme="minorHAnsi" w:cstheme="minorHAnsi"/>
          <w:sz w:val="22"/>
        </w:rPr>
      </w:pPr>
    </w:p>
    <w:p w:rsidR="0086085B" w:rsidRDefault="000F285D" w:rsidP="000F285D">
      <w:pPr>
        <w:jc w:val="both"/>
        <w:rPr>
          <w:rFonts w:asciiTheme="minorHAnsi" w:hAnsiTheme="minorHAnsi" w:cstheme="minorHAnsi"/>
          <w:sz w:val="22"/>
        </w:rPr>
      </w:pPr>
      <w:r w:rsidRPr="009C76DB">
        <w:rPr>
          <w:rFonts w:asciiTheme="minorHAnsi" w:hAnsiTheme="minorHAnsi" w:cstheme="minorHAnsi"/>
          <w:sz w:val="22"/>
        </w:rPr>
        <w:t xml:space="preserve">Para efectos de estimar muchas de las demandas por servicios sanitarios que a continuación se explican, una de las variables fundamentales es la de la población general de referencia del proyecto. </w:t>
      </w:r>
      <w:r w:rsidR="0086085B">
        <w:rPr>
          <w:rFonts w:asciiTheme="minorHAnsi" w:hAnsiTheme="minorHAnsi" w:cstheme="minorHAnsi"/>
          <w:sz w:val="22"/>
        </w:rPr>
        <w:t xml:space="preserve">La población considerada en </w:t>
      </w:r>
      <w:r w:rsidR="00D3593C">
        <w:rPr>
          <w:rFonts w:asciiTheme="minorHAnsi" w:hAnsiTheme="minorHAnsi" w:cstheme="minorHAnsi"/>
          <w:sz w:val="22"/>
        </w:rPr>
        <w:t>este estudio</w:t>
      </w:r>
      <w:r w:rsidR="0086085B">
        <w:rPr>
          <w:rFonts w:asciiTheme="minorHAnsi" w:hAnsiTheme="minorHAnsi" w:cstheme="minorHAnsi"/>
          <w:sz w:val="22"/>
        </w:rPr>
        <w:t xml:space="preserve"> corresponde a la identificada como Redes El Alto y a las Redes Rurales, de acuerdo a la siguiente distribución general:</w:t>
      </w:r>
    </w:p>
    <w:p w:rsidR="0086085B" w:rsidRDefault="0086085B" w:rsidP="000F285D">
      <w:pPr>
        <w:jc w:val="both"/>
        <w:rPr>
          <w:rFonts w:asciiTheme="minorHAnsi" w:hAnsiTheme="minorHAnsi" w:cstheme="minorHAnsi"/>
          <w:sz w:val="22"/>
        </w:rPr>
      </w:pPr>
    </w:p>
    <w:p w:rsidR="0086085B" w:rsidRDefault="0086085B" w:rsidP="000F285D">
      <w:pPr>
        <w:jc w:val="both"/>
        <w:rPr>
          <w:rFonts w:asciiTheme="minorHAnsi" w:hAnsiTheme="minorHAnsi" w:cstheme="minorHAnsi"/>
          <w:sz w:val="22"/>
        </w:rPr>
      </w:pPr>
      <w:r>
        <w:rPr>
          <w:rFonts w:asciiTheme="minorHAnsi" w:hAnsiTheme="minorHAnsi" w:cstheme="minorHAnsi"/>
          <w:sz w:val="22"/>
        </w:rPr>
        <w:t>Tabla</w:t>
      </w:r>
      <w:r w:rsidR="00732BA6">
        <w:rPr>
          <w:rFonts w:asciiTheme="minorHAnsi" w:hAnsiTheme="minorHAnsi" w:cstheme="minorHAnsi"/>
          <w:sz w:val="22"/>
        </w:rPr>
        <w:t xml:space="preserve"> 3.1</w:t>
      </w:r>
      <w:r>
        <w:rPr>
          <w:rFonts w:asciiTheme="minorHAnsi" w:hAnsiTheme="minorHAnsi" w:cstheme="minorHAnsi"/>
          <w:sz w:val="22"/>
        </w:rPr>
        <w:t>: Población de referencia</w:t>
      </w:r>
      <w:r w:rsidR="00EC1661">
        <w:rPr>
          <w:rFonts w:asciiTheme="minorHAnsi" w:hAnsiTheme="minorHAnsi" w:cstheme="minorHAnsi"/>
          <w:sz w:val="22"/>
        </w:rPr>
        <w:t xml:space="preserve"> del proyecto</w:t>
      </w:r>
      <w:r>
        <w:rPr>
          <w:rFonts w:asciiTheme="minorHAnsi" w:hAnsiTheme="minorHAnsi" w:cstheme="minorHAnsi"/>
          <w:sz w:val="22"/>
        </w:rPr>
        <w:t>, 2013.</w:t>
      </w:r>
    </w:p>
    <w:tbl>
      <w:tblPr>
        <w:tblStyle w:val="LightShading-Accent3"/>
        <w:tblW w:w="3832" w:type="dxa"/>
        <w:tblLook w:val="04A0" w:firstRow="1" w:lastRow="0" w:firstColumn="1" w:lastColumn="0" w:noHBand="0" w:noVBand="1"/>
      </w:tblPr>
      <w:tblGrid>
        <w:gridCol w:w="1630"/>
        <w:gridCol w:w="1218"/>
        <w:gridCol w:w="984"/>
      </w:tblGrid>
      <w:tr w:rsidR="0086085B" w:rsidRPr="00486F8E" w:rsidTr="0086085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0" w:type="dxa"/>
            <w:noWrap/>
            <w:hideMark/>
          </w:tcPr>
          <w:p w:rsidR="0086085B" w:rsidRPr="00486F8E" w:rsidRDefault="0086085B" w:rsidP="0086085B">
            <w:pPr>
              <w:jc w:val="center"/>
              <w:rPr>
                <w:rFonts w:ascii="Calibri" w:hAnsi="Calibri"/>
                <w:color w:val="000000"/>
                <w:sz w:val="20"/>
                <w:szCs w:val="22"/>
              </w:rPr>
            </w:pPr>
          </w:p>
        </w:tc>
        <w:tc>
          <w:tcPr>
            <w:tcW w:w="1218" w:type="dxa"/>
            <w:noWrap/>
            <w:hideMark/>
          </w:tcPr>
          <w:p w:rsidR="0086085B" w:rsidRPr="00486F8E" w:rsidRDefault="00EC1661" w:rsidP="0086085B">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Población</w:t>
            </w:r>
          </w:p>
        </w:tc>
        <w:tc>
          <w:tcPr>
            <w:tcW w:w="984" w:type="dxa"/>
            <w:noWrap/>
            <w:hideMark/>
          </w:tcPr>
          <w:p w:rsidR="0086085B" w:rsidRPr="00486F8E" w:rsidRDefault="0086085B" w:rsidP="0086085B">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w:t>
            </w:r>
          </w:p>
        </w:tc>
      </w:tr>
      <w:tr w:rsidR="0086085B" w:rsidRPr="00486F8E" w:rsidTr="008608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0" w:type="dxa"/>
            <w:noWrap/>
            <w:hideMark/>
          </w:tcPr>
          <w:p w:rsidR="0086085B" w:rsidRPr="00486F8E" w:rsidRDefault="0086085B">
            <w:pPr>
              <w:jc w:val="both"/>
              <w:rPr>
                <w:rFonts w:ascii="Calibri" w:hAnsi="Calibri"/>
                <w:color w:val="000000"/>
                <w:sz w:val="20"/>
                <w:szCs w:val="22"/>
              </w:rPr>
            </w:pPr>
            <w:r w:rsidRPr="00486F8E">
              <w:rPr>
                <w:rFonts w:ascii="Calibri" w:hAnsi="Calibri"/>
                <w:color w:val="000000"/>
                <w:sz w:val="20"/>
                <w:szCs w:val="22"/>
              </w:rPr>
              <w:t xml:space="preserve">Redes El Alto: </w:t>
            </w:r>
          </w:p>
        </w:tc>
        <w:tc>
          <w:tcPr>
            <w:tcW w:w="1218" w:type="dxa"/>
            <w:noWrap/>
            <w:hideMark/>
          </w:tcPr>
          <w:p w:rsidR="0086085B" w:rsidRPr="00486F8E" w:rsidRDefault="0086085B" w:rsidP="0086085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988.742</w:t>
            </w:r>
          </w:p>
        </w:tc>
        <w:tc>
          <w:tcPr>
            <w:tcW w:w="984" w:type="dxa"/>
            <w:noWrap/>
            <w:hideMark/>
          </w:tcPr>
          <w:p w:rsidR="0086085B" w:rsidRPr="00486F8E" w:rsidRDefault="0086085B" w:rsidP="0086085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48,0%</w:t>
            </w:r>
          </w:p>
        </w:tc>
      </w:tr>
      <w:tr w:rsidR="0086085B" w:rsidRPr="00486F8E" w:rsidTr="0086085B">
        <w:trPr>
          <w:trHeight w:val="20"/>
        </w:trPr>
        <w:tc>
          <w:tcPr>
            <w:cnfStyle w:val="001000000000" w:firstRow="0" w:lastRow="0" w:firstColumn="1" w:lastColumn="0" w:oddVBand="0" w:evenVBand="0" w:oddHBand="0" w:evenHBand="0" w:firstRowFirstColumn="0" w:firstRowLastColumn="0" w:lastRowFirstColumn="0" w:lastRowLastColumn="0"/>
            <w:tcW w:w="1630" w:type="dxa"/>
            <w:noWrap/>
            <w:hideMark/>
          </w:tcPr>
          <w:p w:rsidR="0086085B" w:rsidRPr="00486F8E" w:rsidRDefault="0086085B">
            <w:pPr>
              <w:jc w:val="both"/>
              <w:rPr>
                <w:rFonts w:ascii="Calibri" w:hAnsi="Calibri"/>
                <w:color w:val="000000"/>
                <w:sz w:val="20"/>
                <w:szCs w:val="22"/>
              </w:rPr>
            </w:pPr>
            <w:r w:rsidRPr="00486F8E">
              <w:rPr>
                <w:rFonts w:ascii="Calibri" w:hAnsi="Calibri"/>
                <w:color w:val="000000"/>
                <w:sz w:val="20"/>
                <w:szCs w:val="22"/>
              </w:rPr>
              <w:t xml:space="preserve">Total Rural: </w:t>
            </w:r>
          </w:p>
        </w:tc>
        <w:tc>
          <w:tcPr>
            <w:tcW w:w="1218" w:type="dxa"/>
            <w:noWrap/>
            <w:hideMark/>
          </w:tcPr>
          <w:p w:rsidR="0086085B" w:rsidRPr="00486F8E" w:rsidRDefault="0086085B" w:rsidP="0086085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1.069.704</w:t>
            </w:r>
          </w:p>
        </w:tc>
        <w:tc>
          <w:tcPr>
            <w:tcW w:w="984" w:type="dxa"/>
            <w:noWrap/>
            <w:hideMark/>
          </w:tcPr>
          <w:p w:rsidR="0086085B" w:rsidRPr="00486F8E" w:rsidRDefault="0086085B" w:rsidP="0086085B">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52,0%</w:t>
            </w:r>
          </w:p>
        </w:tc>
      </w:tr>
      <w:tr w:rsidR="0086085B" w:rsidRPr="00486F8E" w:rsidTr="008608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30" w:type="dxa"/>
            <w:noWrap/>
            <w:hideMark/>
          </w:tcPr>
          <w:p w:rsidR="0086085B" w:rsidRPr="00486F8E" w:rsidRDefault="0086085B">
            <w:pPr>
              <w:jc w:val="both"/>
              <w:rPr>
                <w:rFonts w:ascii="Calibri" w:hAnsi="Calibri"/>
                <w:color w:val="000000"/>
                <w:sz w:val="20"/>
                <w:szCs w:val="22"/>
              </w:rPr>
            </w:pPr>
            <w:r w:rsidRPr="00486F8E">
              <w:rPr>
                <w:rFonts w:ascii="Calibri" w:hAnsi="Calibri"/>
                <w:color w:val="000000"/>
                <w:sz w:val="20"/>
                <w:szCs w:val="22"/>
              </w:rPr>
              <w:t>Total:</w:t>
            </w:r>
          </w:p>
        </w:tc>
        <w:tc>
          <w:tcPr>
            <w:tcW w:w="1218" w:type="dxa"/>
            <w:noWrap/>
            <w:hideMark/>
          </w:tcPr>
          <w:p w:rsidR="0086085B" w:rsidRPr="00486F8E" w:rsidRDefault="0086085B" w:rsidP="0086085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2.058.446</w:t>
            </w:r>
          </w:p>
        </w:tc>
        <w:tc>
          <w:tcPr>
            <w:tcW w:w="984" w:type="dxa"/>
            <w:noWrap/>
            <w:hideMark/>
          </w:tcPr>
          <w:p w:rsidR="0086085B" w:rsidRPr="00486F8E" w:rsidRDefault="0086085B" w:rsidP="0086085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100,0%</w:t>
            </w:r>
          </w:p>
        </w:tc>
      </w:tr>
    </w:tbl>
    <w:p w:rsidR="0086085B" w:rsidRPr="00EC1661" w:rsidRDefault="0086085B" w:rsidP="000F285D">
      <w:pPr>
        <w:jc w:val="both"/>
        <w:rPr>
          <w:rFonts w:asciiTheme="minorHAnsi" w:hAnsiTheme="minorHAnsi" w:cstheme="minorHAnsi"/>
          <w:sz w:val="18"/>
        </w:rPr>
      </w:pPr>
      <w:r w:rsidRPr="00EC1661">
        <w:rPr>
          <w:rFonts w:asciiTheme="minorHAnsi" w:hAnsiTheme="minorHAnsi" w:cstheme="minorHAnsi"/>
          <w:sz w:val="18"/>
        </w:rPr>
        <w:t>Fuente: SNIS-SEDES La Paz.</w:t>
      </w:r>
    </w:p>
    <w:p w:rsidR="0086085B" w:rsidRDefault="0086085B" w:rsidP="000F285D">
      <w:pPr>
        <w:jc w:val="both"/>
        <w:rPr>
          <w:rFonts w:asciiTheme="minorHAnsi" w:hAnsiTheme="minorHAnsi" w:cstheme="minorHAnsi"/>
          <w:sz w:val="22"/>
        </w:rPr>
      </w:pPr>
    </w:p>
    <w:p w:rsidR="00AA2389" w:rsidRDefault="00EC1661" w:rsidP="00AA2389">
      <w:pPr>
        <w:jc w:val="both"/>
        <w:rPr>
          <w:rFonts w:asciiTheme="minorHAnsi" w:hAnsiTheme="minorHAnsi" w:cstheme="minorHAnsi"/>
          <w:sz w:val="22"/>
          <w:lang w:val="es-MX"/>
        </w:rPr>
      </w:pPr>
      <w:r>
        <w:rPr>
          <w:rFonts w:asciiTheme="minorHAnsi" w:hAnsiTheme="minorHAnsi" w:cstheme="minorHAnsi"/>
          <w:sz w:val="22"/>
          <w:lang w:val="es-MX"/>
        </w:rPr>
        <w:t>Una perspectiva temporal</w:t>
      </w:r>
      <w:r w:rsidR="007E3042">
        <w:rPr>
          <w:rFonts w:asciiTheme="minorHAnsi" w:hAnsiTheme="minorHAnsi" w:cstheme="minorHAnsi"/>
          <w:sz w:val="22"/>
          <w:lang w:val="es-MX"/>
        </w:rPr>
        <w:t xml:space="preserve"> para la población de El Alto</w:t>
      </w:r>
      <w:r>
        <w:rPr>
          <w:rFonts w:asciiTheme="minorHAnsi" w:hAnsiTheme="minorHAnsi" w:cstheme="minorHAnsi"/>
          <w:sz w:val="22"/>
          <w:lang w:val="es-MX"/>
        </w:rPr>
        <w:t>, de acuerdo a cifras disponibles</w:t>
      </w:r>
      <w:r w:rsidR="007E3042">
        <w:rPr>
          <w:rFonts w:asciiTheme="minorHAnsi" w:hAnsiTheme="minorHAnsi" w:cstheme="minorHAnsi"/>
          <w:sz w:val="22"/>
          <w:lang w:val="es-MX"/>
        </w:rPr>
        <w:t>,</w:t>
      </w:r>
      <w:r>
        <w:rPr>
          <w:rFonts w:asciiTheme="minorHAnsi" w:hAnsiTheme="minorHAnsi" w:cstheme="minorHAnsi"/>
          <w:sz w:val="22"/>
          <w:lang w:val="es-MX"/>
        </w:rPr>
        <w:t xml:space="preserve"> se observa en la Tabla </w:t>
      </w:r>
      <w:r w:rsidR="00732BA6">
        <w:rPr>
          <w:rFonts w:asciiTheme="minorHAnsi" w:hAnsiTheme="minorHAnsi" w:cstheme="minorHAnsi"/>
          <w:sz w:val="22"/>
          <w:lang w:val="es-MX"/>
        </w:rPr>
        <w:t>3.2</w:t>
      </w:r>
      <w:r>
        <w:rPr>
          <w:rFonts w:asciiTheme="minorHAnsi" w:hAnsiTheme="minorHAnsi" w:cstheme="minorHAnsi"/>
          <w:sz w:val="22"/>
          <w:lang w:val="es-MX"/>
        </w:rPr>
        <w:t>:</w:t>
      </w:r>
    </w:p>
    <w:p w:rsidR="00EC1661" w:rsidRDefault="00EC1661" w:rsidP="00AA2389">
      <w:pPr>
        <w:jc w:val="both"/>
        <w:rPr>
          <w:rFonts w:asciiTheme="minorHAnsi" w:hAnsiTheme="minorHAnsi" w:cstheme="minorHAnsi"/>
          <w:sz w:val="22"/>
          <w:lang w:val="es-MX"/>
        </w:rPr>
      </w:pPr>
    </w:p>
    <w:p w:rsidR="00EC1661" w:rsidRDefault="00EC1661" w:rsidP="00AA2389">
      <w:pPr>
        <w:jc w:val="both"/>
        <w:rPr>
          <w:rFonts w:asciiTheme="minorHAnsi" w:hAnsiTheme="minorHAnsi" w:cstheme="minorHAnsi"/>
          <w:sz w:val="22"/>
          <w:lang w:val="es-MX"/>
        </w:rPr>
      </w:pPr>
      <w:r>
        <w:rPr>
          <w:rFonts w:asciiTheme="minorHAnsi" w:hAnsiTheme="minorHAnsi" w:cstheme="minorHAnsi"/>
          <w:sz w:val="22"/>
          <w:lang w:val="es-MX"/>
        </w:rPr>
        <w:t>Tabla</w:t>
      </w:r>
      <w:r w:rsidR="00732BA6">
        <w:rPr>
          <w:rFonts w:asciiTheme="minorHAnsi" w:hAnsiTheme="minorHAnsi" w:cstheme="minorHAnsi"/>
          <w:sz w:val="22"/>
          <w:lang w:val="es-MX"/>
        </w:rPr>
        <w:t xml:space="preserve"> 3.2</w:t>
      </w:r>
      <w:r>
        <w:rPr>
          <w:rFonts w:asciiTheme="minorHAnsi" w:hAnsiTheme="minorHAnsi" w:cstheme="minorHAnsi"/>
          <w:sz w:val="22"/>
          <w:lang w:val="es-MX"/>
        </w:rPr>
        <w:t>: Población de El Alto, 1976 – 2012 y tasa de crecimiento media interanual.</w:t>
      </w:r>
    </w:p>
    <w:tbl>
      <w:tblPr>
        <w:tblStyle w:val="LightShading-Accent1"/>
        <w:tblW w:w="6908" w:type="dxa"/>
        <w:tblLook w:val="04A0" w:firstRow="1" w:lastRow="0" w:firstColumn="1" w:lastColumn="0" w:noHBand="0" w:noVBand="1"/>
      </w:tblPr>
      <w:tblGrid>
        <w:gridCol w:w="909"/>
        <w:gridCol w:w="1867"/>
        <w:gridCol w:w="4132"/>
      </w:tblGrid>
      <w:tr w:rsidR="00EC1661" w:rsidRPr="00486F8E" w:rsidTr="00486F8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909" w:type="dxa"/>
            <w:noWrap/>
            <w:hideMark/>
          </w:tcPr>
          <w:p w:rsidR="00EC1661" w:rsidRPr="00486F8E" w:rsidRDefault="00EC1661" w:rsidP="00EC1661">
            <w:pPr>
              <w:jc w:val="center"/>
              <w:rPr>
                <w:rFonts w:ascii="Calibri" w:hAnsi="Calibri"/>
                <w:color w:val="000000"/>
                <w:sz w:val="20"/>
                <w:szCs w:val="22"/>
              </w:rPr>
            </w:pPr>
            <w:r w:rsidRPr="00486F8E">
              <w:rPr>
                <w:rFonts w:ascii="Calibri" w:hAnsi="Calibri"/>
                <w:color w:val="000000"/>
                <w:sz w:val="20"/>
                <w:szCs w:val="22"/>
              </w:rPr>
              <w:t>Año</w:t>
            </w:r>
          </w:p>
        </w:tc>
        <w:tc>
          <w:tcPr>
            <w:tcW w:w="1867" w:type="dxa"/>
            <w:noWrap/>
            <w:hideMark/>
          </w:tcPr>
          <w:p w:rsidR="00EC1661" w:rsidRPr="00486F8E" w:rsidRDefault="00D3593C">
            <w:pP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Población</w:t>
            </w:r>
            <w:r w:rsidR="00EC1661" w:rsidRPr="00486F8E">
              <w:rPr>
                <w:rFonts w:ascii="Calibri" w:hAnsi="Calibri"/>
                <w:color w:val="000000"/>
                <w:sz w:val="20"/>
                <w:szCs w:val="22"/>
              </w:rPr>
              <w:t xml:space="preserve"> El Alto</w:t>
            </w:r>
          </w:p>
        </w:tc>
        <w:tc>
          <w:tcPr>
            <w:tcW w:w="4132" w:type="dxa"/>
            <w:noWrap/>
            <w:hideMark/>
          </w:tcPr>
          <w:p w:rsidR="00EC1661" w:rsidRPr="00486F8E" w:rsidRDefault="00EC1661">
            <w:pP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Tasa de crecimiento medio interanual(**)</w:t>
            </w:r>
          </w:p>
        </w:tc>
      </w:tr>
      <w:tr w:rsidR="00EC1661" w:rsidRPr="00486F8E" w:rsidTr="00486F8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909" w:type="dxa"/>
            <w:noWrap/>
            <w:hideMark/>
          </w:tcPr>
          <w:p w:rsidR="00EC1661" w:rsidRPr="00486F8E" w:rsidRDefault="00EC1661" w:rsidP="00EC1661">
            <w:pPr>
              <w:jc w:val="center"/>
              <w:rPr>
                <w:rFonts w:ascii="Calibri" w:hAnsi="Calibri"/>
                <w:color w:val="000000"/>
                <w:sz w:val="20"/>
                <w:szCs w:val="22"/>
              </w:rPr>
            </w:pPr>
            <w:r w:rsidRPr="00486F8E">
              <w:rPr>
                <w:rFonts w:ascii="Calibri" w:hAnsi="Calibri"/>
                <w:color w:val="000000"/>
                <w:sz w:val="20"/>
                <w:szCs w:val="22"/>
              </w:rPr>
              <w:t>1976</w:t>
            </w:r>
          </w:p>
        </w:tc>
        <w:tc>
          <w:tcPr>
            <w:tcW w:w="1867" w:type="dxa"/>
            <w:noWrap/>
            <w:hideMark/>
          </w:tcPr>
          <w:p w:rsidR="00EC1661" w:rsidRPr="00486F8E" w:rsidRDefault="00EC166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95.434</w:t>
            </w:r>
          </w:p>
        </w:tc>
        <w:tc>
          <w:tcPr>
            <w:tcW w:w="4132" w:type="dxa"/>
            <w:noWrap/>
            <w:hideMark/>
          </w:tcPr>
          <w:p w:rsidR="00EC1661" w:rsidRPr="00486F8E" w:rsidRDefault="00EC1661">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p>
        </w:tc>
      </w:tr>
      <w:tr w:rsidR="00EC1661" w:rsidRPr="00486F8E" w:rsidTr="00486F8E">
        <w:trPr>
          <w:trHeight w:val="57"/>
        </w:trPr>
        <w:tc>
          <w:tcPr>
            <w:cnfStyle w:val="001000000000" w:firstRow="0" w:lastRow="0" w:firstColumn="1" w:lastColumn="0" w:oddVBand="0" w:evenVBand="0" w:oddHBand="0" w:evenHBand="0" w:firstRowFirstColumn="0" w:firstRowLastColumn="0" w:lastRowFirstColumn="0" w:lastRowLastColumn="0"/>
            <w:tcW w:w="909" w:type="dxa"/>
            <w:noWrap/>
            <w:hideMark/>
          </w:tcPr>
          <w:p w:rsidR="00EC1661" w:rsidRPr="00486F8E" w:rsidRDefault="00EC1661" w:rsidP="00EC1661">
            <w:pPr>
              <w:jc w:val="center"/>
              <w:rPr>
                <w:rFonts w:ascii="Calibri" w:hAnsi="Calibri"/>
                <w:color w:val="000000"/>
                <w:sz w:val="20"/>
                <w:szCs w:val="22"/>
              </w:rPr>
            </w:pPr>
            <w:r w:rsidRPr="00486F8E">
              <w:rPr>
                <w:rFonts w:ascii="Calibri" w:hAnsi="Calibri"/>
                <w:color w:val="000000"/>
                <w:sz w:val="20"/>
                <w:szCs w:val="22"/>
              </w:rPr>
              <w:t>1988</w:t>
            </w:r>
          </w:p>
        </w:tc>
        <w:tc>
          <w:tcPr>
            <w:tcW w:w="1867" w:type="dxa"/>
            <w:noWrap/>
            <w:hideMark/>
          </w:tcPr>
          <w:p w:rsidR="00EC1661" w:rsidRPr="00486F8E" w:rsidRDefault="00EC166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307.403</w:t>
            </w:r>
          </w:p>
        </w:tc>
        <w:tc>
          <w:tcPr>
            <w:tcW w:w="4132" w:type="dxa"/>
            <w:noWrap/>
            <w:hideMark/>
          </w:tcPr>
          <w:p w:rsidR="00EC1661" w:rsidRPr="00486F8E" w:rsidRDefault="00EC166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18,5%</w:t>
            </w:r>
          </w:p>
        </w:tc>
      </w:tr>
      <w:tr w:rsidR="00EC1661" w:rsidRPr="00486F8E" w:rsidTr="00486F8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909" w:type="dxa"/>
            <w:noWrap/>
            <w:hideMark/>
          </w:tcPr>
          <w:p w:rsidR="00EC1661" w:rsidRPr="00486F8E" w:rsidRDefault="00EC1661" w:rsidP="00EC1661">
            <w:pPr>
              <w:jc w:val="center"/>
              <w:rPr>
                <w:rFonts w:ascii="Calibri" w:hAnsi="Calibri"/>
                <w:color w:val="000000"/>
                <w:sz w:val="20"/>
                <w:szCs w:val="22"/>
              </w:rPr>
            </w:pPr>
            <w:r w:rsidRPr="00486F8E">
              <w:rPr>
                <w:rFonts w:ascii="Calibri" w:hAnsi="Calibri"/>
                <w:color w:val="000000"/>
                <w:sz w:val="20"/>
                <w:szCs w:val="22"/>
              </w:rPr>
              <w:t>1992</w:t>
            </w:r>
          </w:p>
        </w:tc>
        <w:tc>
          <w:tcPr>
            <w:tcW w:w="1867" w:type="dxa"/>
            <w:noWrap/>
            <w:hideMark/>
          </w:tcPr>
          <w:p w:rsidR="00EC1661" w:rsidRPr="00486F8E" w:rsidRDefault="00EC166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405.492</w:t>
            </w:r>
          </w:p>
        </w:tc>
        <w:tc>
          <w:tcPr>
            <w:tcW w:w="4132" w:type="dxa"/>
            <w:noWrap/>
            <w:hideMark/>
          </w:tcPr>
          <w:p w:rsidR="00EC1661" w:rsidRPr="00486F8E" w:rsidRDefault="00EC166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8,0%</w:t>
            </w:r>
          </w:p>
        </w:tc>
      </w:tr>
      <w:tr w:rsidR="00EC1661" w:rsidRPr="00486F8E" w:rsidTr="00486F8E">
        <w:trPr>
          <w:trHeight w:val="57"/>
        </w:trPr>
        <w:tc>
          <w:tcPr>
            <w:cnfStyle w:val="001000000000" w:firstRow="0" w:lastRow="0" w:firstColumn="1" w:lastColumn="0" w:oddVBand="0" w:evenVBand="0" w:oddHBand="0" w:evenHBand="0" w:firstRowFirstColumn="0" w:firstRowLastColumn="0" w:lastRowFirstColumn="0" w:lastRowLastColumn="0"/>
            <w:tcW w:w="909" w:type="dxa"/>
            <w:noWrap/>
            <w:hideMark/>
          </w:tcPr>
          <w:p w:rsidR="00EC1661" w:rsidRPr="00486F8E" w:rsidRDefault="00EC1661" w:rsidP="00EC1661">
            <w:pPr>
              <w:jc w:val="center"/>
              <w:rPr>
                <w:rFonts w:ascii="Calibri" w:hAnsi="Calibri"/>
                <w:color w:val="000000"/>
                <w:sz w:val="20"/>
                <w:szCs w:val="22"/>
              </w:rPr>
            </w:pPr>
            <w:r w:rsidRPr="00486F8E">
              <w:rPr>
                <w:rFonts w:ascii="Calibri" w:hAnsi="Calibri"/>
                <w:color w:val="000000"/>
                <w:sz w:val="20"/>
                <w:szCs w:val="22"/>
              </w:rPr>
              <w:t>2001</w:t>
            </w:r>
          </w:p>
        </w:tc>
        <w:tc>
          <w:tcPr>
            <w:tcW w:w="1867" w:type="dxa"/>
            <w:noWrap/>
            <w:hideMark/>
          </w:tcPr>
          <w:p w:rsidR="00EC1661" w:rsidRPr="00486F8E" w:rsidRDefault="00EC166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677.412</w:t>
            </w:r>
          </w:p>
        </w:tc>
        <w:tc>
          <w:tcPr>
            <w:tcW w:w="4132" w:type="dxa"/>
            <w:noWrap/>
            <w:hideMark/>
          </w:tcPr>
          <w:p w:rsidR="00EC1661" w:rsidRPr="00486F8E" w:rsidRDefault="00EC166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7,5%</w:t>
            </w:r>
          </w:p>
        </w:tc>
      </w:tr>
      <w:tr w:rsidR="00EC1661" w:rsidRPr="00486F8E" w:rsidTr="00486F8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909" w:type="dxa"/>
            <w:noWrap/>
            <w:hideMark/>
          </w:tcPr>
          <w:p w:rsidR="00EC1661" w:rsidRPr="00486F8E" w:rsidRDefault="00EC1661" w:rsidP="00EC1661">
            <w:pPr>
              <w:jc w:val="center"/>
              <w:rPr>
                <w:rFonts w:ascii="Calibri" w:hAnsi="Calibri"/>
                <w:color w:val="000000"/>
                <w:sz w:val="20"/>
                <w:szCs w:val="22"/>
              </w:rPr>
            </w:pPr>
            <w:r w:rsidRPr="00486F8E">
              <w:rPr>
                <w:rFonts w:ascii="Calibri" w:hAnsi="Calibri"/>
                <w:color w:val="000000"/>
                <w:sz w:val="20"/>
                <w:szCs w:val="22"/>
              </w:rPr>
              <w:t>2007</w:t>
            </w:r>
          </w:p>
        </w:tc>
        <w:tc>
          <w:tcPr>
            <w:tcW w:w="1867" w:type="dxa"/>
            <w:noWrap/>
            <w:hideMark/>
          </w:tcPr>
          <w:p w:rsidR="00EC1661" w:rsidRPr="00486F8E" w:rsidRDefault="00EC166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901.488</w:t>
            </w:r>
          </w:p>
        </w:tc>
        <w:tc>
          <w:tcPr>
            <w:tcW w:w="4132" w:type="dxa"/>
            <w:noWrap/>
            <w:hideMark/>
          </w:tcPr>
          <w:p w:rsidR="00EC1661" w:rsidRPr="00486F8E" w:rsidRDefault="00EC166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5,5%</w:t>
            </w:r>
          </w:p>
        </w:tc>
      </w:tr>
      <w:tr w:rsidR="00EC1661" w:rsidRPr="00486F8E" w:rsidTr="00486F8E">
        <w:trPr>
          <w:trHeight w:val="57"/>
        </w:trPr>
        <w:tc>
          <w:tcPr>
            <w:cnfStyle w:val="001000000000" w:firstRow="0" w:lastRow="0" w:firstColumn="1" w:lastColumn="0" w:oddVBand="0" w:evenVBand="0" w:oddHBand="0" w:evenHBand="0" w:firstRowFirstColumn="0" w:firstRowLastColumn="0" w:lastRowFirstColumn="0" w:lastRowLastColumn="0"/>
            <w:tcW w:w="909" w:type="dxa"/>
            <w:noWrap/>
            <w:hideMark/>
          </w:tcPr>
          <w:p w:rsidR="00EC1661" w:rsidRPr="00486F8E" w:rsidRDefault="00EC1661" w:rsidP="00EC1661">
            <w:pPr>
              <w:jc w:val="center"/>
              <w:rPr>
                <w:rFonts w:ascii="Calibri" w:hAnsi="Calibri"/>
                <w:color w:val="000000"/>
                <w:sz w:val="20"/>
                <w:szCs w:val="22"/>
              </w:rPr>
            </w:pPr>
            <w:r w:rsidRPr="00486F8E">
              <w:rPr>
                <w:rFonts w:ascii="Calibri" w:hAnsi="Calibri"/>
                <w:color w:val="000000"/>
                <w:sz w:val="20"/>
                <w:szCs w:val="22"/>
              </w:rPr>
              <w:t>2012(*)</w:t>
            </w:r>
          </w:p>
        </w:tc>
        <w:tc>
          <w:tcPr>
            <w:tcW w:w="1867" w:type="dxa"/>
            <w:noWrap/>
            <w:hideMark/>
          </w:tcPr>
          <w:p w:rsidR="00EC1661" w:rsidRPr="00486F8E" w:rsidRDefault="00EC166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988.742</w:t>
            </w:r>
          </w:p>
        </w:tc>
        <w:tc>
          <w:tcPr>
            <w:tcW w:w="4132" w:type="dxa"/>
            <w:noWrap/>
            <w:hideMark/>
          </w:tcPr>
          <w:p w:rsidR="00EC1661" w:rsidRPr="00486F8E" w:rsidRDefault="00EC166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486F8E">
              <w:rPr>
                <w:rFonts w:ascii="Calibri" w:hAnsi="Calibri"/>
                <w:color w:val="000000"/>
                <w:sz w:val="20"/>
                <w:szCs w:val="22"/>
              </w:rPr>
              <w:t>1,9%</w:t>
            </w:r>
          </w:p>
        </w:tc>
      </w:tr>
    </w:tbl>
    <w:p w:rsidR="00EC1661" w:rsidRPr="00EC1661" w:rsidRDefault="00EC1661" w:rsidP="00AA2389">
      <w:pPr>
        <w:jc w:val="both"/>
        <w:rPr>
          <w:rFonts w:asciiTheme="minorHAnsi" w:hAnsiTheme="minorHAnsi" w:cstheme="minorHAnsi"/>
          <w:sz w:val="18"/>
          <w:lang w:val="es-MX"/>
        </w:rPr>
      </w:pPr>
      <w:r w:rsidRPr="00EC1661">
        <w:rPr>
          <w:rFonts w:asciiTheme="minorHAnsi" w:hAnsiTheme="minorHAnsi" w:cstheme="minorHAnsi"/>
          <w:sz w:val="18"/>
          <w:lang w:val="es-MX"/>
        </w:rPr>
        <w:t>Fuente: Proyecto Construcción Hospital El Alto Norte. Estudio socioeconómico del proyecto.</w:t>
      </w:r>
    </w:p>
    <w:p w:rsidR="00EC1661" w:rsidRPr="00EC1661" w:rsidRDefault="00EC1661" w:rsidP="00AA2389">
      <w:pPr>
        <w:jc w:val="both"/>
        <w:rPr>
          <w:rFonts w:asciiTheme="minorHAnsi" w:hAnsiTheme="minorHAnsi" w:cstheme="minorHAnsi"/>
          <w:sz w:val="18"/>
          <w:lang w:val="es-MX"/>
        </w:rPr>
      </w:pPr>
      <w:r w:rsidRPr="00EC1661">
        <w:rPr>
          <w:rFonts w:asciiTheme="minorHAnsi" w:hAnsiTheme="minorHAnsi" w:cstheme="minorHAnsi"/>
          <w:sz w:val="18"/>
          <w:lang w:val="es-MX"/>
        </w:rPr>
        <w:t xml:space="preserve">(*) Cifra tomada de Tabla </w:t>
      </w:r>
      <w:r w:rsidR="00FF6811">
        <w:rPr>
          <w:rFonts w:asciiTheme="minorHAnsi" w:hAnsiTheme="minorHAnsi" w:cstheme="minorHAnsi"/>
          <w:sz w:val="18"/>
          <w:lang w:val="es-MX"/>
        </w:rPr>
        <w:t>3.1</w:t>
      </w:r>
      <w:r w:rsidRPr="00EC1661">
        <w:rPr>
          <w:rFonts w:asciiTheme="minorHAnsi" w:hAnsiTheme="minorHAnsi" w:cstheme="minorHAnsi"/>
          <w:sz w:val="18"/>
          <w:lang w:val="es-MX"/>
        </w:rPr>
        <w:t>.</w:t>
      </w:r>
    </w:p>
    <w:p w:rsidR="00EC1661" w:rsidRPr="00EC1661" w:rsidRDefault="00EC1661" w:rsidP="00AA2389">
      <w:pPr>
        <w:jc w:val="both"/>
        <w:rPr>
          <w:rFonts w:asciiTheme="minorHAnsi" w:hAnsiTheme="minorHAnsi" w:cstheme="minorHAnsi"/>
          <w:sz w:val="18"/>
          <w:lang w:val="es-MX"/>
        </w:rPr>
      </w:pPr>
      <w:r w:rsidRPr="00EC1661">
        <w:rPr>
          <w:rFonts w:asciiTheme="minorHAnsi" w:hAnsiTheme="minorHAnsi" w:cstheme="minorHAnsi"/>
          <w:sz w:val="18"/>
          <w:lang w:val="es-MX"/>
        </w:rPr>
        <w:t xml:space="preserve">(**) </w:t>
      </w:r>
      <w:r w:rsidR="00D3593C" w:rsidRPr="00EC1661">
        <w:rPr>
          <w:rFonts w:asciiTheme="minorHAnsi" w:hAnsiTheme="minorHAnsi" w:cstheme="minorHAnsi"/>
          <w:sz w:val="18"/>
          <w:lang w:val="es-MX"/>
        </w:rPr>
        <w:t>Cálculos</w:t>
      </w:r>
      <w:r w:rsidRPr="00EC1661">
        <w:rPr>
          <w:rFonts w:asciiTheme="minorHAnsi" w:hAnsiTheme="minorHAnsi" w:cstheme="minorHAnsi"/>
          <w:sz w:val="18"/>
          <w:lang w:val="es-MX"/>
        </w:rPr>
        <w:t xml:space="preserve"> propios.</w:t>
      </w:r>
    </w:p>
    <w:p w:rsidR="00EC1661" w:rsidRDefault="00EC1661" w:rsidP="00AA2389">
      <w:pPr>
        <w:jc w:val="both"/>
        <w:rPr>
          <w:rFonts w:asciiTheme="minorHAnsi" w:hAnsiTheme="minorHAnsi" w:cstheme="minorHAnsi"/>
          <w:sz w:val="22"/>
          <w:lang w:val="es-MX"/>
        </w:rPr>
      </w:pPr>
    </w:p>
    <w:p w:rsidR="00AA2389" w:rsidRDefault="0086085B" w:rsidP="00AA2389">
      <w:pPr>
        <w:jc w:val="both"/>
        <w:rPr>
          <w:rFonts w:asciiTheme="minorHAnsi" w:hAnsiTheme="minorHAnsi" w:cstheme="minorHAnsi"/>
          <w:sz w:val="22"/>
          <w:lang w:val="es-MX"/>
        </w:rPr>
      </w:pPr>
      <w:r>
        <w:rPr>
          <w:rFonts w:asciiTheme="minorHAnsi" w:hAnsiTheme="minorHAnsi" w:cstheme="minorHAnsi"/>
          <w:sz w:val="22"/>
          <w:lang w:val="es-MX"/>
        </w:rPr>
        <w:t>Para efectos de proyectar la población en el horizonte de evaluación del proyecto</w:t>
      </w:r>
      <w:r w:rsidR="00736600">
        <w:rPr>
          <w:rFonts w:asciiTheme="minorHAnsi" w:hAnsiTheme="minorHAnsi" w:cstheme="minorHAnsi"/>
          <w:sz w:val="22"/>
          <w:lang w:val="es-MX"/>
        </w:rPr>
        <w:t>, es necesario suponer una tasa de crecimiento poblacional, para ello tomamos la</w:t>
      </w:r>
      <w:r w:rsidR="00EC1661">
        <w:rPr>
          <w:rFonts w:asciiTheme="minorHAnsi" w:hAnsiTheme="minorHAnsi" w:cstheme="minorHAnsi"/>
          <w:sz w:val="22"/>
          <w:lang w:val="es-MX"/>
        </w:rPr>
        <w:t xml:space="preserve"> tasa de crecimiento interanual </w:t>
      </w:r>
      <w:r w:rsidR="00EC1661">
        <w:rPr>
          <w:rFonts w:asciiTheme="minorHAnsi" w:hAnsiTheme="minorHAnsi" w:cstheme="minorHAnsi"/>
          <w:sz w:val="22"/>
          <w:lang w:val="es-MX"/>
        </w:rPr>
        <w:lastRenderedPageBreak/>
        <w:t xml:space="preserve">de la Tabla </w:t>
      </w:r>
      <w:r w:rsidR="00732BA6">
        <w:rPr>
          <w:rFonts w:asciiTheme="minorHAnsi" w:hAnsiTheme="minorHAnsi" w:cstheme="minorHAnsi"/>
          <w:sz w:val="22"/>
          <w:lang w:val="es-MX"/>
        </w:rPr>
        <w:t>3.2</w:t>
      </w:r>
      <w:r w:rsidR="00EC1661">
        <w:rPr>
          <w:rFonts w:asciiTheme="minorHAnsi" w:hAnsiTheme="minorHAnsi" w:cstheme="minorHAnsi"/>
          <w:sz w:val="22"/>
          <w:lang w:val="es-MX"/>
        </w:rPr>
        <w:t xml:space="preserve"> </w:t>
      </w:r>
      <w:r w:rsidR="00732BA6">
        <w:rPr>
          <w:rFonts w:asciiTheme="minorHAnsi" w:hAnsiTheme="minorHAnsi" w:cstheme="minorHAnsi"/>
          <w:sz w:val="22"/>
          <w:lang w:val="es-MX"/>
        </w:rPr>
        <w:t>de</w:t>
      </w:r>
      <w:r w:rsidR="00EC1661">
        <w:rPr>
          <w:rFonts w:asciiTheme="minorHAnsi" w:hAnsiTheme="minorHAnsi" w:cstheme="minorHAnsi"/>
          <w:sz w:val="22"/>
          <w:lang w:val="es-MX"/>
        </w:rPr>
        <w:t xml:space="preserve"> 1,9%</w:t>
      </w:r>
      <w:r w:rsidR="00732BA6">
        <w:rPr>
          <w:rFonts w:asciiTheme="minorHAnsi" w:hAnsiTheme="minorHAnsi" w:cstheme="minorHAnsi"/>
          <w:sz w:val="22"/>
          <w:lang w:val="es-MX"/>
        </w:rPr>
        <w:t xml:space="preserve"> anual</w:t>
      </w:r>
      <w:r w:rsidR="00EC1661">
        <w:rPr>
          <w:rFonts w:asciiTheme="minorHAnsi" w:hAnsiTheme="minorHAnsi" w:cstheme="minorHAnsi"/>
          <w:sz w:val="22"/>
          <w:lang w:val="es-MX"/>
        </w:rPr>
        <w:t>.</w:t>
      </w:r>
      <w:r w:rsidR="00AF14D3">
        <w:rPr>
          <w:rFonts w:asciiTheme="minorHAnsi" w:hAnsiTheme="minorHAnsi" w:cstheme="minorHAnsi"/>
          <w:sz w:val="22"/>
          <w:lang w:val="es-MX"/>
        </w:rPr>
        <w:t xml:space="preserve"> El valor base de nuestra proyección </w:t>
      </w:r>
      <w:r w:rsidR="00EC1661">
        <w:rPr>
          <w:rFonts w:asciiTheme="minorHAnsi" w:hAnsiTheme="minorHAnsi" w:cstheme="minorHAnsi"/>
          <w:sz w:val="22"/>
          <w:lang w:val="es-MX"/>
        </w:rPr>
        <w:t xml:space="preserve">será el total de población de la Tabla </w:t>
      </w:r>
      <w:r w:rsidR="00732BA6">
        <w:rPr>
          <w:rFonts w:asciiTheme="minorHAnsi" w:hAnsiTheme="minorHAnsi" w:cstheme="minorHAnsi"/>
          <w:sz w:val="22"/>
          <w:lang w:val="es-MX"/>
        </w:rPr>
        <w:t>3.1</w:t>
      </w:r>
      <w:r w:rsidR="00EC1661">
        <w:rPr>
          <w:rFonts w:asciiTheme="minorHAnsi" w:hAnsiTheme="minorHAnsi" w:cstheme="minorHAnsi"/>
          <w:sz w:val="22"/>
          <w:lang w:val="es-MX"/>
        </w:rPr>
        <w:t xml:space="preserve"> para el año 2013.</w:t>
      </w:r>
    </w:p>
    <w:p w:rsidR="00AA2389" w:rsidRDefault="00AA2389" w:rsidP="000F285D">
      <w:pPr>
        <w:jc w:val="both"/>
        <w:rPr>
          <w:rFonts w:asciiTheme="minorHAnsi" w:hAnsiTheme="minorHAnsi" w:cstheme="minorHAnsi"/>
          <w:sz w:val="22"/>
        </w:rPr>
      </w:pPr>
    </w:p>
    <w:p w:rsidR="000F285D" w:rsidRPr="009C76DB" w:rsidRDefault="00AF14D3" w:rsidP="000F285D">
      <w:pPr>
        <w:jc w:val="both"/>
        <w:rPr>
          <w:rFonts w:asciiTheme="minorHAnsi" w:hAnsiTheme="minorHAnsi" w:cstheme="minorHAnsi"/>
          <w:sz w:val="22"/>
        </w:rPr>
      </w:pPr>
      <w:r>
        <w:rPr>
          <w:rFonts w:asciiTheme="minorHAnsi" w:hAnsiTheme="minorHAnsi" w:cstheme="minorHAnsi"/>
          <w:sz w:val="22"/>
        </w:rPr>
        <w:t>Para proyectar la población de referencia del H</w:t>
      </w:r>
      <w:r w:rsidR="00EC1661">
        <w:rPr>
          <w:rFonts w:asciiTheme="minorHAnsi" w:hAnsiTheme="minorHAnsi" w:cstheme="minorHAnsi"/>
          <w:sz w:val="22"/>
        </w:rPr>
        <w:t>EAS</w:t>
      </w:r>
      <w:r>
        <w:rPr>
          <w:rFonts w:asciiTheme="minorHAnsi" w:hAnsiTheme="minorHAnsi" w:cstheme="minorHAnsi"/>
          <w:sz w:val="22"/>
        </w:rPr>
        <w:t xml:space="preserve"> se utiliza la siguiente expresión:</w:t>
      </w:r>
    </w:p>
    <w:p w:rsidR="000F285D" w:rsidRPr="009C76DB" w:rsidRDefault="000F285D" w:rsidP="000F285D">
      <w:pPr>
        <w:rPr>
          <w:rFonts w:asciiTheme="minorHAnsi" w:hAnsiTheme="minorHAnsi" w:cstheme="minorHAnsi"/>
          <w:sz w:val="22"/>
        </w:rPr>
      </w:pPr>
    </w:p>
    <w:p w:rsidR="000F285D" w:rsidRPr="009C76DB" w:rsidRDefault="00E52595" w:rsidP="000F285D">
      <w:pPr>
        <w:ind w:left="3540" w:hanging="3540"/>
        <w:rPr>
          <w:rFonts w:asciiTheme="minorHAnsi" w:hAnsiTheme="minorHAnsi" w:cstheme="minorHAnsi"/>
          <w:sz w:val="22"/>
        </w:rPr>
      </w:pPr>
      <m:oMath>
        <m:sSub>
          <m:sSubPr>
            <m:ctrlPr>
              <w:rPr>
                <w:rFonts w:ascii="Cambria Math" w:hAnsi="Cambria Math" w:cstheme="minorHAnsi"/>
                <w:bCs/>
                <w:sz w:val="22"/>
              </w:rPr>
            </m:ctrlPr>
          </m:sSubPr>
          <m:e>
            <m:r>
              <m:rPr>
                <m:sty m:val="p"/>
              </m:rPr>
              <w:rPr>
                <w:rFonts w:ascii="Cambria Math" w:hAnsi="Cambria Math" w:cstheme="minorHAnsi"/>
                <w:sz w:val="22"/>
              </w:rPr>
              <m:t>Pob</m:t>
            </m:r>
          </m:e>
          <m:sub>
            <m:r>
              <m:rPr>
                <m:sty m:val="p"/>
              </m:rPr>
              <w:rPr>
                <w:rFonts w:ascii="Cambria Math" w:hAnsi="Cambria Math" w:cstheme="minorHAnsi"/>
                <w:sz w:val="22"/>
              </w:rPr>
              <m:t>t</m:t>
            </m:r>
          </m:sub>
        </m:sSub>
        <m:r>
          <m:rPr>
            <m:sty m:val="p"/>
          </m:rPr>
          <w:rPr>
            <w:rFonts w:ascii="Cambria Math" w:hAnsi="Cambria Math" w:cstheme="minorHAnsi"/>
            <w:sz w:val="22"/>
          </w:rPr>
          <m:t>=2.058.446∙</m:t>
        </m:r>
        <m:sSup>
          <m:sSupPr>
            <m:ctrlPr>
              <w:rPr>
                <w:rFonts w:ascii="Cambria Math" w:hAnsi="Cambria Math" w:cstheme="minorHAnsi"/>
                <w:sz w:val="22"/>
              </w:rPr>
            </m:ctrlPr>
          </m:sSupPr>
          <m:e>
            <m:d>
              <m:dPr>
                <m:ctrlPr>
                  <w:rPr>
                    <w:rFonts w:ascii="Cambria Math" w:hAnsi="Cambria Math" w:cstheme="minorHAnsi"/>
                    <w:sz w:val="22"/>
                  </w:rPr>
                </m:ctrlPr>
              </m:dPr>
              <m:e>
                <m:r>
                  <m:rPr>
                    <m:sty m:val="p"/>
                  </m:rPr>
                  <w:rPr>
                    <w:rFonts w:ascii="Cambria Math" w:hAnsi="Cambria Math" w:cstheme="minorHAnsi"/>
                    <w:sz w:val="22"/>
                  </w:rPr>
                  <m:t>1+0,01936</m:t>
                </m:r>
              </m:e>
            </m:d>
          </m:e>
          <m:sup>
            <m:r>
              <m:rPr>
                <m:sty m:val="p"/>
              </m:rPr>
              <w:rPr>
                <w:rFonts w:ascii="Cambria Math" w:hAnsi="Cambria Math" w:cstheme="minorHAnsi"/>
                <w:sz w:val="22"/>
              </w:rPr>
              <m:t>t</m:t>
            </m:r>
          </m:sup>
        </m:sSup>
      </m:oMath>
      <w:r w:rsidR="000F285D" w:rsidRPr="009C76DB">
        <w:rPr>
          <w:rFonts w:asciiTheme="minorHAnsi" w:hAnsiTheme="minorHAnsi" w:cstheme="minorHAnsi"/>
          <w:sz w:val="22"/>
        </w:rPr>
        <w:tab/>
        <w:t>Donde t en este caso va</w:t>
      </w:r>
      <w:r w:rsidR="00AF14D3">
        <w:rPr>
          <w:rFonts w:asciiTheme="minorHAnsi" w:hAnsiTheme="minorHAnsi" w:cstheme="minorHAnsi"/>
          <w:sz w:val="22"/>
        </w:rPr>
        <w:t>ría</w:t>
      </w:r>
      <w:r w:rsidR="000F285D" w:rsidRPr="009C76DB">
        <w:rPr>
          <w:rFonts w:asciiTheme="minorHAnsi" w:hAnsiTheme="minorHAnsi" w:cstheme="minorHAnsi"/>
          <w:sz w:val="22"/>
        </w:rPr>
        <w:t xml:space="preserve"> de </w:t>
      </w:r>
      <w:r w:rsidR="00AF14D3">
        <w:rPr>
          <w:rFonts w:asciiTheme="minorHAnsi" w:hAnsiTheme="minorHAnsi" w:cstheme="minorHAnsi"/>
          <w:sz w:val="22"/>
        </w:rPr>
        <w:t>0</w:t>
      </w:r>
      <w:r w:rsidR="000F285D" w:rsidRPr="009C76DB">
        <w:rPr>
          <w:rFonts w:asciiTheme="minorHAnsi" w:hAnsiTheme="minorHAnsi" w:cstheme="minorHAnsi"/>
          <w:sz w:val="22"/>
        </w:rPr>
        <w:t xml:space="preserve"> a </w:t>
      </w:r>
      <w:r w:rsidR="00EC1661">
        <w:rPr>
          <w:rFonts w:asciiTheme="minorHAnsi" w:hAnsiTheme="minorHAnsi" w:cstheme="minorHAnsi"/>
          <w:sz w:val="22"/>
        </w:rPr>
        <w:t>30</w:t>
      </w:r>
      <w:r w:rsidR="000F285D" w:rsidRPr="009C76DB">
        <w:rPr>
          <w:rFonts w:asciiTheme="minorHAnsi" w:hAnsiTheme="minorHAnsi" w:cstheme="minorHAnsi"/>
          <w:sz w:val="22"/>
        </w:rPr>
        <w:t xml:space="preserve">, correspondiendo </w:t>
      </w:r>
      <w:r w:rsidR="00AF14D3">
        <w:rPr>
          <w:rFonts w:asciiTheme="minorHAnsi" w:hAnsiTheme="minorHAnsi" w:cstheme="minorHAnsi"/>
          <w:sz w:val="22"/>
        </w:rPr>
        <w:t>0</w:t>
      </w:r>
      <w:r w:rsidR="000F285D" w:rsidRPr="009C76DB">
        <w:rPr>
          <w:rFonts w:asciiTheme="minorHAnsi" w:hAnsiTheme="minorHAnsi" w:cstheme="minorHAnsi"/>
          <w:sz w:val="22"/>
        </w:rPr>
        <w:t xml:space="preserve"> al año 201</w:t>
      </w:r>
      <w:r w:rsidR="00AF14D3">
        <w:rPr>
          <w:rFonts w:asciiTheme="minorHAnsi" w:hAnsiTheme="minorHAnsi" w:cstheme="minorHAnsi"/>
          <w:sz w:val="22"/>
        </w:rPr>
        <w:t>3</w:t>
      </w:r>
      <w:r w:rsidR="000F285D" w:rsidRPr="009C76DB">
        <w:rPr>
          <w:rFonts w:asciiTheme="minorHAnsi" w:hAnsiTheme="minorHAnsi" w:cstheme="minorHAnsi"/>
          <w:sz w:val="22"/>
        </w:rPr>
        <w:t xml:space="preserve"> y </w:t>
      </w:r>
      <w:r w:rsidR="00EC1661">
        <w:rPr>
          <w:rFonts w:asciiTheme="minorHAnsi" w:hAnsiTheme="minorHAnsi" w:cstheme="minorHAnsi"/>
          <w:sz w:val="22"/>
        </w:rPr>
        <w:t>30</w:t>
      </w:r>
      <w:r w:rsidR="000F285D" w:rsidRPr="009C76DB">
        <w:rPr>
          <w:rFonts w:asciiTheme="minorHAnsi" w:hAnsiTheme="minorHAnsi" w:cstheme="minorHAnsi"/>
          <w:sz w:val="22"/>
        </w:rPr>
        <w:t xml:space="preserve"> al 204</w:t>
      </w:r>
      <w:r w:rsidR="00EC1661">
        <w:rPr>
          <w:rFonts w:asciiTheme="minorHAnsi" w:hAnsiTheme="minorHAnsi" w:cstheme="minorHAnsi"/>
          <w:sz w:val="22"/>
        </w:rPr>
        <w:t>3</w:t>
      </w:r>
      <w:r w:rsidR="00AF14D3">
        <w:rPr>
          <w:rFonts w:asciiTheme="minorHAnsi" w:hAnsiTheme="minorHAnsi" w:cstheme="minorHAnsi"/>
          <w:sz w:val="22"/>
        </w:rPr>
        <w:t xml:space="preserve"> del año calendario</w:t>
      </w:r>
    </w:p>
    <w:p w:rsidR="000F285D" w:rsidRPr="009C76DB" w:rsidRDefault="000F285D" w:rsidP="000F285D">
      <w:pPr>
        <w:rPr>
          <w:rFonts w:asciiTheme="minorHAnsi" w:hAnsiTheme="minorHAnsi" w:cstheme="minorHAnsi"/>
          <w:sz w:val="22"/>
        </w:rPr>
      </w:pPr>
    </w:p>
    <w:p w:rsidR="000F285D" w:rsidRDefault="000F285D" w:rsidP="000F285D">
      <w:pPr>
        <w:jc w:val="both"/>
        <w:rPr>
          <w:rFonts w:asciiTheme="minorHAnsi" w:hAnsiTheme="minorHAnsi" w:cstheme="minorHAnsi"/>
          <w:sz w:val="22"/>
        </w:rPr>
      </w:pPr>
      <w:r w:rsidRPr="009C76DB">
        <w:rPr>
          <w:rFonts w:asciiTheme="minorHAnsi" w:hAnsiTheme="minorHAnsi" w:cstheme="minorHAnsi"/>
          <w:sz w:val="22"/>
        </w:rPr>
        <w:t>Dicho esto, en lo que sigue se explica la forma de estimación y proyección de cada una de las demandas por prestaciones sanitarias consideradas en este estudio.</w:t>
      </w:r>
    </w:p>
    <w:p w:rsidR="004F4BCF" w:rsidRPr="004F4BCF" w:rsidRDefault="004F4BCF" w:rsidP="008A366B">
      <w:pPr>
        <w:pStyle w:val="Heading2"/>
        <w:numPr>
          <w:ilvl w:val="1"/>
          <w:numId w:val="1"/>
        </w:numPr>
        <w:spacing w:line="276" w:lineRule="auto"/>
        <w:rPr>
          <w:rFonts w:asciiTheme="minorHAnsi" w:hAnsiTheme="minorHAnsi" w:cstheme="minorHAnsi"/>
          <w:bCs w:val="0"/>
          <w:lang w:val="es-ES_tradnl"/>
        </w:rPr>
      </w:pPr>
      <w:bookmarkStart w:id="41" w:name="_Toc373093505"/>
      <w:r w:rsidRPr="004F4BCF">
        <w:rPr>
          <w:rFonts w:asciiTheme="minorHAnsi" w:hAnsiTheme="minorHAnsi" w:cstheme="minorHAnsi"/>
          <w:bCs w:val="0"/>
          <w:lang w:val="es-ES_tradnl"/>
        </w:rPr>
        <w:t>Consultas de especialidad</w:t>
      </w:r>
      <w:bookmarkEnd w:id="41"/>
    </w:p>
    <w:p w:rsidR="004F4BCF" w:rsidRDefault="004F4BCF" w:rsidP="004F4BCF">
      <w:pPr>
        <w:rPr>
          <w:rFonts w:asciiTheme="minorHAnsi" w:hAnsiTheme="minorHAnsi" w:cstheme="minorHAnsi"/>
          <w:bCs/>
          <w:sz w:val="16"/>
          <w:szCs w:val="18"/>
        </w:rPr>
      </w:pPr>
    </w:p>
    <w:p w:rsidR="00180DE1" w:rsidRDefault="00180DE1" w:rsidP="00AF14D3">
      <w:pPr>
        <w:widowControl w:val="0"/>
        <w:autoSpaceDE w:val="0"/>
        <w:autoSpaceDN w:val="0"/>
        <w:adjustRightInd w:val="0"/>
        <w:ind w:right="23"/>
        <w:jc w:val="both"/>
        <w:rPr>
          <w:rFonts w:asciiTheme="minorHAnsi" w:hAnsiTheme="minorHAnsi" w:cstheme="minorHAnsi"/>
          <w:bCs/>
          <w:sz w:val="22"/>
          <w:szCs w:val="22"/>
        </w:rPr>
      </w:pPr>
    </w:p>
    <w:p w:rsidR="00AF14D3" w:rsidRPr="009C76DB" w:rsidRDefault="00AF14D3" w:rsidP="00AF14D3">
      <w:pPr>
        <w:widowControl w:val="0"/>
        <w:autoSpaceDE w:val="0"/>
        <w:autoSpaceDN w:val="0"/>
        <w:adjustRightInd w:val="0"/>
        <w:ind w:right="23"/>
        <w:jc w:val="both"/>
        <w:rPr>
          <w:rFonts w:asciiTheme="minorHAnsi" w:hAnsiTheme="minorHAnsi" w:cstheme="minorHAnsi"/>
          <w:bCs/>
          <w:sz w:val="22"/>
          <w:szCs w:val="22"/>
        </w:rPr>
      </w:pPr>
      <w:r w:rsidRPr="009C76DB">
        <w:rPr>
          <w:rFonts w:asciiTheme="minorHAnsi" w:hAnsiTheme="minorHAnsi" w:cstheme="minorHAnsi"/>
          <w:bCs/>
          <w:sz w:val="22"/>
          <w:szCs w:val="22"/>
        </w:rPr>
        <w:t xml:space="preserve">Para estimar las consultas de especialidad se </w:t>
      </w:r>
      <w:r w:rsidR="00180DE1">
        <w:rPr>
          <w:rFonts w:asciiTheme="minorHAnsi" w:hAnsiTheme="minorHAnsi" w:cstheme="minorHAnsi"/>
          <w:bCs/>
          <w:sz w:val="22"/>
          <w:szCs w:val="22"/>
        </w:rPr>
        <w:t>recurre a</w:t>
      </w:r>
      <w:r w:rsidRPr="009C76DB">
        <w:rPr>
          <w:rFonts w:asciiTheme="minorHAnsi" w:hAnsiTheme="minorHAnsi" w:cstheme="minorHAnsi"/>
          <w:bCs/>
          <w:sz w:val="22"/>
          <w:szCs w:val="22"/>
        </w:rPr>
        <w:t xml:space="preserve"> parámetros de utilización usados en </w:t>
      </w:r>
      <w:r w:rsidR="00D0082D">
        <w:rPr>
          <w:rFonts w:asciiTheme="minorHAnsi" w:hAnsiTheme="minorHAnsi" w:cstheme="minorHAnsi"/>
          <w:bCs/>
          <w:sz w:val="22"/>
          <w:szCs w:val="22"/>
        </w:rPr>
        <w:t>el</w:t>
      </w:r>
      <w:r w:rsidRPr="009C76DB">
        <w:rPr>
          <w:rFonts w:asciiTheme="minorHAnsi" w:hAnsiTheme="minorHAnsi" w:cstheme="minorHAnsi"/>
          <w:bCs/>
          <w:sz w:val="22"/>
          <w:szCs w:val="22"/>
        </w:rPr>
        <w:t xml:space="preserve"> estudio de evaluación </w:t>
      </w:r>
      <w:r w:rsidR="001074DD">
        <w:rPr>
          <w:rFonts w:asciiTheme="minorHAnsi" w:hAnsiTheme="minorHAnsi" w:cstheme="minorHAnsi"/>
          <w:bCs/>
          <w:sz w:val="22"/>
          <w:szCs w:val="22"/>
        </w:rPr>
        <w:t xml:space="preserve">socioeconómica </w:t>
      </w:r>
      <w:r w:rsidRPr="009C76DB">
        <w:rPr>
          <w:rFonts w:asciiTheme="minorHAnsi" w:hAnsiTheme="minorHAnsi" w:cstheme="minorHAnsi"/>
          <w:bCs/>
          <w:sz w:val="22"/>
          <w:szCs w:val="22"/>
        </w:rPr>
        <w:t>de</w:t>
      </w:r>
      <w:r w:rsidR="00D0082D">
        <w:rPr>
          <w:rFonts w:asciiTheme="minorHAnsi" w:hAnsiTheme="minorHAnsi" w:cstheme="minorHAnsi"/>
          <w:bCs/>
          <w:sz w:val="22"/>
          <w:szCs w:val="22"/>
        </w:rPr>
        <w:t>l</w:t>
      </w:r>
      <w:r w:rsidRPr="009C76DB">
        <w:rPr>
          <w:rFonts w:asciiTheme="minorHAnsi" w:hAnsiTheme="minorHAnsi" w:cstheme="minorHAnsi"/>
          <w:bCs/>
          <w:sz w:val="22"/>
          <w:szCs w:val="22"/>
        </w:rPr>
        <w:t xml:space="preserve"> Hospital </w:t>
      </w:r>
      <w:r w:rsidR="00D0082D">
        <w:rPr>
          <w:rFonts w:asciiTheme="minorHAnsi" w:hAnsiTheme="minorHAnsi" w:cstheme="minorHAnsi"/>
          <w:bCs/>
          <w:sz w:val="22"/>
          <w:szCs w:val="22"/>
        </w:rPr>
        <w:t xml:space="preserve">Madre Obrera de Llallagua </w:t>
      </w:r>
      <w:r w:rsidR="00536675">
        <w:rPr>
          <w:rFonts w:asciiTheme="minorHAnsi" w:hAnsiTheme="minorHAnsi" w:cstheme="minorHAnsi"/>
          <w:bCs/>
          <w:sz w:val="22"/>
          <w:szCs w:val="22"/>
        </w:rPr>
        <w:t xml:space="preserve">y </w:t>
      </w:r>
      <w:r w:rsidR="00DF5ADD">
        <w:rPr>
          <w:rFonts w:asciiTheme="minorHAnsi" w:hAnsiTheme="minorHAnsi" w:cstheme="minorHAnsi"/>
          <w:bCs/>
          <w:sz w:val="22"/>
          <w:szCs w:val="22"/>
        </w:rPr>
        <w:t>El Hospital Daniel Bracamonte de Potosí, ambos de Bolivia</w:t>
      </w:r>
      <w:r w:rsidRPr="009C76DB">
        <w:rPr>
          <w:rFonts w:asciiTheme="minorHAnsi" w:hAnsiTheme="minorHAnsi" w:cstheme="minorHAnsi"/>
          <w:bCs/>
          <w:sz w:val="22"/>
          <w:szCs w:val="22"/>
        </w:rPr>
        <w:t>.</w:t>
      </w:r>
      <w:r w:rsidR="00D0082D">
        <w:rPr>
          <w:rStyle w:val="FootnoteReference"/>
          <w:rFonts w:asciiTheme="minorHAnsi" w:hAnsiTheme="minorHAnsi" w:cstheme="minorHAnsi"/>
          <w:bCs/>
          <w:sz w:val="22"/>
          <w:szCs w:val="22"/>
        </w:rPr>
        <w:footnoteReference w:id="32"/>
      </w:r>
      <w:r w:rsidRPr="009C76DB">
        <w:rPr>
          <w:rFonts w:asciiTheme="minorHAnsi" w:hAnsiTheme="minorHAnsi" w:cstheme="minorHAnsi"/>
          <w:bCs/>
          <w:sz w:val="22"/>
          <w:szCs w:val="22"/>
        </w:rPr>
        <w:t xml:space="preserve"> Estos parámetros son estimados para la población aymara de la región de Arica y Parinacota de Chile y extrapolados a la situación de la población de</w:t>
      </w:r>
      <w:r w:rsidR="00DF5ADD">
        <w:rPr>
          <w:rFonts w:asciiTheme="minorHAnsi" w:hAnsiTheme="minorHAnsi" w:cstheme="minorHAnsi"/>
          <w:bCs/>
          <w:sz w:val="22"/>
          <w:szCs w:val="22"/>
        </w:rPr>
        <w:t xml:space="preserve"> El Alto</w:t>
      </w:r>
      <w:r w:rsidRPr="009C76DB">
        <w:rPr>
          <w:rFonts w:asciiTheme="minorHAnsi" w:hAnsiTheme="minorHAnsi" w:cstheme="minorHAnsi"/>
          <w:bCs/>
          <w:sz w:val="22"/>
          <w:szCs w:val="22"/>
        </w:rPr>
        <w:t>.</w:t>
      </w:r>
    </w:p>
    <w:p w:rsidR="00AF14D3" w:rsidRPr="009C76DB" w:rsidRDefault="00AF14D3" w:rsidP="00AF14D3">
      <w:pPr>
        <w:widowControl w:val="0"/>
        <w:autoSpaceDE w:val="0"/>
        <w:autoSpaceDN w:val="0"/>
        <w:adjustRightInd w:val="0"/>
        <w:ind w:right="23"/>
        <w:jc w:val="both"/>
        <w:rPr>
          <w:rFonts w:asciiTheme="minorHAnsi" w:hAnsiTheme="minorHAnsi" w:cstheme="minorHAnsi"/>
          <w:bCs/>
          <w:sz w:val="22"/>
          <w:szCs w:val="22"/>
        </w:rPr>
      </w:pPr>
    </w:p>
    <w:p w:rsidR="00AF14D3" w:rsidRPr="009C76DB" w:rsidRDefault="00AF14D3" w:rsidP="00AF14D3">
      <w:pPr>
        <w:jc w:val="both"/>
        <w:rPr>
          <w:rFonts w:asciiTheme="minorHAnsi" w:hAnsiTheme="minorHAnsi" w:cstheme="minorHAnsi"/>
          <w:color w:val="000000" w:themeColor="text1"/>
          <w:sz w:val="22"/>
        </w:rPr>
      </w:pPr>
      <w:r w:rsidRPr="009C76DB">
        <w:rPr>
          <w:rFonts w:asciiTheme="minorHAnsi" w:hAnsiTheme="minorHAnsi" w:cstheme="minorHAnsi"/>
          <w:color w:val="000000" w:themeColor="text1"/>
          <w:sz w:val="22"/>
        </w:rPr>
        <w:t xml:space="preserve">El parámetro que se utiliza para la estimación de la demanda </w:t>
      </w:r>
      <w:r w:rsidR="006A0765">
        <w:rPr>
          <w:rFonts w:asciiTheme="minorHAnsi" w:hAnsiTheme="minorHAnsi" w:cstheme="minorHAnsi"/>
          <w:color w:val="000000" w:themeColor="text1"/>
          <w:sz w:val="22"/>
        </w:rPr>
        <w:t xml:space="preserve">poblacional </w:t>
      </w:r>
      <w:r w:rsidRPr="009C76DB">
        <w:rPr>
          <w:rFonts w:asciiTheme="minorHAnsi" w:hAnsiTheme="minorHAnsi" w:cstheme="minorHAnsi"/>
          <w:color w:val="000000" w:themeColor="text1"/>
          <w:sz w:val="22"/>
        </w:rPr>
        <w:t xml:space="preserve">potencial para consultas </w:t>
      </w:r>
      <w:r w:rsidR="006A0765">
        <w:rPr>
          <w:rFonts w:asciiTheme="minorHAnsi" w:hAnsiTheme="minorHAnsi" w:cstheme="minorHAnsi"/>
          <w:color w:val="000000" w:themeColor="text1"/>
          <w:sz w:val="22"/>
        </w:rPr>
        <w:t xml:space="preserve">de especialidad </w:t>
      </w:r>
      <w:r w:rsidRPr="009C76DB">
        <w:rPr>
          <w:rFonts w:asciiTheme="minorHAnsi" w:hAnsiTheme="minorHAnsi" w:cstheme="minorHAnsi"/>
          <w:color w:val="000000" w:themeColor="text1"/>
          <w:sz w:val="22"/>
        </w:rPr>
        <w:t xml:space="preserve">es de </w:t>
      </w:r>
      <w:r w:rsidR="00180DE1">
        <w:rPr>
          <w:rFonts w:asciiTheme="minorHAnsi" w:hAnsiTheme="minorHAnsi" w:cstheme="minorHAnsi"/>
          <w:color w:val="000000" w:themeColor="text1"/>
          <w:sz w:val="22"/>
        </w:rPr>
        <w:t xml:space="preserve">0,292 consultas por persona/año a partir del año </w:t>
      </w:r>
      <w:r w:rsidR="006A0765">
        <w:rPr>
          <w:rFonts w:asciiTheme="minorHAnsi" w:hAnsiTheme="minorHAnsi" w:cstheme="minorHAnsi"/>
          <w:color w:val="000000" w:themeColor="text1"/>
          <w:sz w:val="22"/>
        </w:rPr>
        <w:t>15</w:t>
      </w:r>
      <w:r w:rsidR="00180DE1">
        <w:rPr>
          <w:rFonts w:asciiTheme="minorHAnsi" w:hAnsiTheme="minorHAnsi" w:cstheme="minorHAnsi"/>
          <w:color w:val="000000" w:themeColor="text1"/>
          <w:sz w:val="22"/>
        </w:rPr>
        <w:t xml:space="preserve"> de evaluación.</w:t>
      </w:r>
      <w:r w:rsidR="00536756">
        <w:rPr>
          <w:rStyle w:val="FootnoteReference"/>
          <w:rFonts w:asciiTheme="minorHAnsi" w:hAnsiTheme="minorHAnsi" w:cstheme="minorHAnsi"/>
          <w:bCs/>
          <w:sz w:val="22"/>
          <w:szCs w:val="18"/>
        </w:rPr>
        <w:footnoteReference w:id="33"/>
      </w:r>
      <w:r w:rsidR="00180DE1">
        <w:rPr>
          <w:rFonts w:asciiTheme="minorHAnsi" w:hAnsiTheme="minorHAnsi" w:cstheme="minorHAnsi"/>
          <w:color w:val="000000" w:themeColor="text1"/>
          <w:sz w:val="22"/>
        </w:rPr>
        <w:t xml:space="preserve"> En el </w:t>
      </w:r>
      <w:r w:rsidR="00D07409">
        <w:rPr>
          <w:rFonts w:asciiTheme="minorHAnsi" w:hAnsiTheme="minorHAnsi" w:cstheme="minorHAnsi"/>
          <w:color w:val="000000" w:themeColor="text1"/>
          <w:sz w:val="22"/>
        </w:rPr>
        <w:t xml:space="preserve">período </w:t>
      </w:r>
      <w:r w:rsidR="0096165A">
        <w:rPr>
          <w:rFonts w:asciiTheme="minorHAnsi" w:hAnsiTheme="minorHAnsi" w:cstheme="minorHAnsi"/>
          <w:color w:val="000000" w:themeColor="text1"/>
          <w:sz w:val="22"/>
        </w:rPr>
        <w:t>intermedio</w:t>
      </w:r>
      <w:r w:rsidR="00180DE1">
        <w:rPr>
          <w:rFonts w:asciiTheme="minorHAnsi" w:hAnsiTheme="minorHAnsi" w:cstheme="minorHAnsi"/>
          <w:color w:val="000000" w:themeColor="text1"/>
          <w:sz w:val="22"/>
        </w:rPr>
        <w:t xml:space="preserve"> la demanda </w:t>
      </w:r>
      <w:r w:rsidR="0096165A">
        <w:rPr>
          <w:rFonts w:asciiTheme="minorHAnsi" w:hAnsiTheme="minorHAnsi" w:cstheme="minorHAnsi"/>
          <w:color w:val="000000" w:themeColor="text1"/>
          <w:sz w:val="22"/>
        </w:rPr>
        <w:t>crecerá</w:t>
      </w:r>
      <w:r w:rsidR="00180DE1">
        <w:rPr>
          <w:rFonts w:asciiTheme="minorHAnsi" w:hAnsiTheme="minorHAnsi" w:cstheme="minorHAnsi"/>
          <w:color w:val="000000" w:themeColor="text1"/>
          <w:sz w:val="22"/>
        </w:rPr>
        <w:t xml:space="preserve"> a una tasa constante y de forma </w:t>
      </w:r>
      <w:r w:rsidR="0096165A">
        <w:rPr>
          <w:rFonts w:asciiTheme="minorHAnsi" w:hAnsiTheme="minorHAnsi" w:cstheme="minorHAnsi"/>
          <w:color w:val="000000" w:themeColor="text1"/>
          <w:sz w:val="22"/>
        </w:rPr>
        <w:t>lineal</w:t>
      </w:r>
      <w:r w:rsidR="00180DE1">
        <w:rPr>
          <w:rFonts w:asciiTheme="minorHAnsi" w:hAnsiTheme="minorHAnsi" w:cstheme="minorHAnsi"/>
          <w:color w:val="000000" w:themeColor="text1"/>
          <w:sz w:val="22"/>
        </w:rPr>
        <w:t xml:space="preserve">. La tasa a la que crecerá esta demanda será de </w:t>
      </w:r>
      <w:r w:rsidR="006A0765">
        <w:rPr>
          <w:rFonts w:asciiTheme="minorHAnsi" w:hAnsiTheme="minorHAnsi" w:cstheme="minorHAnsi"/>
          <w:color w:val="000000" w:themeColor="text1"/>
          <w:sz w:val="22"/>
        </w:rPr>
        <w:t>38</w:t>
      </w:r>
      <w:r w:rsidR="00180DE1">
        <w:rPr>
          <w:rFonts w:asciiTheme="minorHAnsi" w:hAnsiTheme="minorHAnsi" w:cstheme="minorHAnsi"/>
          <w:color w:val="000000" w:themeColor="text1"/>
          <w:sz w:val="22"/>
        </w:rPr>
        <w:t>.</w:t>
      </w:r>
      <w:r w:rsidR="006A0765">
        <w:rPr>
          <w:rFonts w:asciiTheme="minorHAnsi" w:hAnsiTheme="minorHAnsi" w:cstheme="minorHAnsi"/>
          <w:color w:val="000000" w:themeColor="text1"/>
          <w:sz w:val="22"/>
        </w:rPr>
        <w:t>863</w:t>
      </w:r>
      <w:r w:rsidR="00180DE1">
        <w:rPr>
          <w:rFonts w:asciiTheme="minorHAnsi" w:hAnsiTheme="minorHAnsi" w:cstheme="minorHAnsi"/>
          <w:color w:val="000000" w:themeColor="text1"/>
          <w:sz w:val="22"/>
        </w:rPr>
        <w:t xml:space="preserve"> consultas por año. Este valor se obtiene de dividir la diferencia entre el valor de demanda “óptimo” del periodo 14 y el valor del año -</w:t>
      </w:r>
      <w:r w:rsidR="006A0765">
        <w:rPr>
          <w:rFonts w:asciiTheme="minorHAnsi" w:hAnsiTheme="minorHAnsi" w:cstheme="minorHAnsi"/>
          <w:color w:val="000000" w:themeColor="text1"/>
          <w:sz w:val="22"/>
        </w:rPr>
        <w:t>2</w:t>
      </w:r>
      <w:r w:rsidR="007E3042">
        <w:rPr>
          <w:rFonts w:asciiTheme="minorHAnsi" w:hAnsiTheme="minorHAnsi" w:cstheme="minorHAnsi"/>
          <w:color w:val="000000" w:themeColor="text1"/>
          <w:sz w:val="22"/>
        </w:rPr>
        <w:t xml:space="preserve"> (2011)</w:t>
      </w:r>
      <w:r w:rsidR="00180DE1">
        <w:rPr>
          <w:rFonts w:asciiTheme="minorHAnsi" w:hAnsiTheme="minorHAnsi" w:cstheme="minorHAnsi"/>
          <w:color w:val="000000" w:themeColor="text1"/>
          <w:sz w:val="22"/>
        </w:rPr>
        <w:t>, por 1</w:t>
      </w:r>
      <w:r w:rsidR="006A0765">
        <w:rPr>
          <w:rFonts w:asciiTheme="minorHAnsi" w:hAnsiTheme="minorHAnsi" w:cstheme="minorHAnsi"/>
          <w:color w:val="000000" w:themeColor="text1"/>
          <w:sz w:val="22"/>
        </w:rPr>
        <w:t>6</w:t>
      </w:r>
      <w:r w:rsidR="00180DE1">
        <w:rPr>
          <w:rFonts w:asciiTheme="minorHAnsi" w:hAnsiTheme="minorHAnsi" w:cstheme="minorHAnsi"/>
          <w:color w:val="000000" w:themeColor="text1"/>
          <w:sz w:val="22"/>
        </w:rPr>
        <w:t>.</w:t>
      </w:r>
      <w:r w:rsidR="00D05E57">
        <w:rPr>
          <w:rStyle w:val="FootnoteReference"/>
          <w:rFonts w:asciiTheme="minorHAnsi" w:hAnsiTheme="minorHAnsi" w:cstheme="minorHAnsi"/>
          <w:color w:val="000000" w:themeColor="text1"/>
          <w:sz w:val="22"/>
        </w:rPr>
        <w:footnoteReference w:id="34"/>
      </w:r>
      <w:r w:rsidR="00853143">
        <w:rPr>
          <w:rFonts w:asciiTheme="minorHAnsi" w:hAnsiTheme="minorHAnsi" w:cstheme="minorHAnsi"/>
          <w:color w:val="000000" w:themeColor="text1"/>
          <w:sz w:val="22"/>
        </w:rPr>
        <w:t xml:space="preserve"> El valor de </w:t>
      </w:r>
      <w:r w:rsidR="006A0765">
        <w:rPr>
          <w:rFonts w:asciiTheme="minorHAnsi" w:hAnsiTheme="minorHAnsi" w:cstheme="minorHAnsi"/>
          <w:color w:val="000000" w:themeColor="text1"/>
          <w:sz w:val="22"/>
        </w:rPr>
        <w:t>242</w:t>
      </w:r>
      <w:r w:rsidR="00853143">
        <w:rPr>
          <w:rFonts w:asciiTheme="minorHAnsi" w:hAnsiTheme="minorHAnsi" w:cstheme="minorHAnsi"/>
          <w:color w:val="000000" w:themeColor="text1"/>
          <w:sz w:val="22"/>
        </w:rPr>
        <w:t>.</w:t>
      </w:r>
      <w:r w:rsidR="006A0765">
        <w:rPr>
          <w:rFonts w:asciiTheme="minorHAnsi" w:hAnsiTheme="minorHAnsi" w:cstheme="minorHAnsi"/>
          <w:color w:val="000000" w:themeColor="text1"/>
          <w:sz w:val="22"/>
        </w:rPr>
        <w:t>047</w:t>
      </w:r>
      <w:r w:rsidR="00853143">
        <w:rPr>
          <w:rFonts w:asciiTheme="minorHAnsi" w:hAnsiTheme="minorHAnsi" w:cstheme="minorHAnsi"/>
          <w:color w:val="000000" w:themeColor="text1"/>
          <w:sz w:val="22"/>
        </w:rPr>
        <w:t xml:space="preserve"> corresponde a una estimación del número de consultas de especialidad para el año 201</w:t>
      </w:r>
      <w:r w:rsidR="006A0765">
        <w:rPr>
          <w:rFonts w:asciiTheme="minorHAnsi" w:hAnsiTheme="minorHAnsi" w:cstheme="minorHAnsi"/>
          <w:color w:val="000000" w:themeColor="text1"/>
          <w:sz w:val="22"/>
        </w:rPr>
        <w:t>3</w:t>
      </w:r>
      <w:r w:rsidR="00853143">
        <w:rPr>
          <w:rFonts w:asciiTheme="minorHAnsi" w:hAnsiTheme="minorHAnsi" w:cstheme="minorHAnsi"/>
          <w:color w:val="000000" w:themeColor="text1"/>
          <w:sz w:val="22"/>
        </w:rPr>
        <w:t>,</w:t>
      </w:r>
      <w:r w:rsidR="006A0765">
        <w:rPr>
          <w:rFonts w:asciiTheme="minorHAnsi" w:hAnsiTheme="minorHAnsi" w:cstheme="minorHAnsi"/>
          <w:color w:val="000000" w:themeColor="text1"/>
          <w:sz w:val="22"/>
        </w:rPr>
        <w:t xml:space="preserve"> de acuerdo al procedimiento anteriormente descrito</w:t>
      </w:r>
      <w:r w:rsidR="00853143">
        <w:rPr>
          <w:rFonts w:asciiTheme="minorHAnsi" w:hAnsiTheme="minorHAnsi" w:cstheme="minorHAnsi"/>
          <w:color w:val="000000" w:themeColor="text1"/>
          <w:sz w:val="22"/>
        </w:rPr>
        <w:t xml:space="preserve">. </w:t>
      </w:r>
    </w:p>
    <w:p w:rsidR="00AF14D3" w:rsidRPr="009C76DB" w:rsidRDefault="00AF14D3" w:rsidP="00AF14D3">
      <w:pPr>
        <w:rPr>
          <w:rFonts w:asciiTheme="minorHAnsi" w:hAnsiTheme="minorHAnsi" w:cstheme="minorHAnsi"/>
          <w:color w:val="000000" w:themeColor="text1"/>
          <w:sz w:val="22"/>
        </w:rPr>
      </w:pPr>
    </w:p>
    <w:p w:rsidR="00AF14D3" w:rsidRPr="009C76DB" w:rsidRDefault="00E52595" w:rsidP="00AF14D3">
      <w:pPr>
        <w:widowControl w:val="0"/>
        <w:autoSpaceDE w:val="0"/>
        <w:autoSpaceDN w:val="0"/>
        <w:adjustRightInd w:val="0"/>
        <w:ind w:right="23"/>
        <w:jc w:val="both"/>
        <w:rPr>
          <w:rFonts w:asciiTheme="minorHAnsi" w:hAnsiTheme="minorHAnsi" w:cstheme="minorHAnsi"/>
          <w:bCs/>
          <w:sz w:val="22"/>
        </w:rPr>
      </w:pPr>
      <m:oMath>
        <m:sSub>
          <m:sSubPr>
            <m:ctrlPr>
              <w:rPr>
                <w:rFonts w:ascii="Cambria Math" w:hAnsi="Cambria Math" w:cstheme="minorHAnsi"/>
                <w:bCs/>
                <w:sz w:val="22"/>
              </w:rPr>
            </m:ctrlPr>
          </m:sSubPr>
          <m:e>
            <m:r>
              <m:rPr>
                <m:sty m:val="p"/>
              </m:rPr>
              <w:rPr>
                <w:rFonts w:ascii="Cambria Math" w:hAnsi="Cambria Math" w:cstheme="minorHAnsi"/>
                <w:sz w:val="22"/>
              </w:rPr>
              <m:t>CE</m:t>
            </m:r>
          </m:e>
          <m:sub>
            <m:r>
              <m:rPr>
                <m:sty m:val="p"/>
              </m:rPr>
              <w:rPr>
                <w:rFonts w:ascii="Cambria Math" w:hAnsi="Cambria Math" w:cstheme="minorHAnsi"/>
                <w:sz w:val="22"/>
              </w:rPr>
              <m:t>t</m:t>
            </m:r>
          </m:sub>
        </m:sSub>
        <m:r>
          <m:rPr>
            <m:sty m:val="p"/>
          </m:rPr>
          <w:rPr>
            <w:rFonts w:ascii="Cambria Math" w:hAnsi="Cambria Math" w:cstheme="minorHAnsi"/>
            <w:sz w:val="22"/>
          </w:rPr>
          <m:t>=242.047+38.863∙t</m:t>
        </m:r>
      </m:oMath>
      <w:r w:rsidR="00AF14D3" w:rsidRPr="009C76DB">
        <w:rPr>
          <w:rFonts w:asciiTheme="minorHAnsi" w:hAnsiTheme="minorHAnsi" w:cstheme="minorHAnsi"/>
          <w:bCs/>
          <w:sz w:val="22"/>
        </w:rPr>
        <w:t xml:space="preserve">, </w:t>
      </w:r>
      <w:r w:rsidR="00AF14D3" w:rsidRPr="009C76DB">
        <w:rPr>
          <w:rFonts w:asciiTheme="minorHAnsi" w:hAnsiTheme="minorHAnsi" w:cstheme="minorHAnsi"/>
          <w:bCs/>
          <w:sz w:val="22"/>
        </w:rPr>
        <w:tab/>
      </w:r>
      <w:r w:rsidR="00AF14D3" w:rsidRPr="009C76DB">
        <w:rPr>
          <w:rFonts w:asciiTheme="minorHAnsi" w:hAnsiTheme="minorHAnsi" w:cstheme="minorHAnsi"/>
          <w:bCs/>
          <w:sz w:val="22"/>
        </w:rPr>
        <w:tab/>
        <w:t xml:space="preserve">para </w:t>
      </w:r>
      <w:r w:rsidR="00180DE1">
        <w:rPr>
          <w:rFonts w:asciiTheme="minorHAnsi" w:hAnsiTheme="minorHAnsi" w:cstheme="minorHAnsi"/>
          <w:bCs/>
          <w:sz w:val="22"/>
        </w:rPr>
        <w:t>0</w:t>
      </w:r>
      <w:r w:rsidR="00AF14D3" w:rsidRPr="009C76DB">
        <w:rPr>
          <w:rFonts w:asciiTheme="minorHAnsi" w:hAnsiTheme="minorHAnsi" w:cstheme="minorHAnsi"/>
          <w:bCs/>
          <w:sz w:val="22"/>
        </w:rPr>
        <w:t>≤t&lt;1</w:t>
      </w:r>
      <w:r w:rsidR="00C2406F">
        <w:rPr>
          <w:rFonts w:asciiTheme="minorHAnsi" w:hAnsiTheme="minorHAnsi" w:cstheme="minorHAnsi"/>
          <w:bCs/>
          <w:sz w:val="22"/>
        </w:rPr>
        <w:t>5</w:t>
      </w:r>
    </w:p>
    <w:p w:rsidR="00AF14D3" w:rsidRPr="009C76DB" w:rsidRDefault="00AF14D3" w:rsidP="00AF14D3">
      <w:pPr>
        <w:widowControl w:val="0"/>
        <w:autoSpaceDE w:val="0"/>
        <w:autoSpaceDN w:val="0"/>
        <w:adjustRightInd w:val="0"/>
        <w:ind w:right="23"/>
        <w:jc w:val="both"/>
        <w:rPr>
          <w:rFonts w:asciiTheme="minorHAnsi" w:hAnsiTheme="minorHAnsi" w:cstheme="minorHAnsi"/>
          <w:bCs/>
          <w:sz w:val="16"/>
          <w:szCs w:val="18"/>
        </w:rPr>
      </w:pPr>
    </w:p>
    <w:p w:rsidR="00AF14D3" w:rsidRPr="009C76DB" w:rsidRDefault="00E52595" w:rsidP="00AF14D3">
      <w:pPr>
        <w:widowControl w:val="0"/>
        <w:autoSpaceDE w:val="0"/>
        <w:autoSpaceDN w:val="0"/>
        <w:adjustRightInd w:val="0"/>
        <w:ind w:right="23"/>
        <w:jc w:val="both"/>
        <w:rPr>
          <w:rFonts w:asciiTheme="minorHAnsi" w:hAnsiTheme="minorHAnsi" w:cstheme="minorHAnsi"/>
          <w:bCs/>
          <w:sz w:val="22"/>
        </w:rPr>
      </w:pPr>
      <m:oMath>
        <m:sSub>
          <m:sSubPr>
            <m:ctrlPr>
              <w:rPr>
                <w:rFonts w:ascii="Cambria Math" w:hAnsi="Cambria Math" w:cstheme="minorHAnsi"/>
                <w:bCs/>
                <w:sz w:val="22"/>
              </w:rPr>
            </m:ctrlPr>
          </m:sSubPr>
          <m:e>
            <m:r>
              <m:rPr>
                <m:sty m:val="p"/>
              </m:rPr>
              <w:rPr>
                <w:rFonts w:ascii="Cambria Math" w:hAnsi="Cambria Math" w:cstheme="minorHAnsi"/>
                <w:sz w:val="22"/>
              </w:rPr>
              <m:t>CE</m:t>
            </m:r>
          </m:e>
          <m:sub>
            <m:r>
              <m:rPr>
                <m:sty m:val="p"/>
              </m:rPr>
              <w:rPr>
                <w:rFonts w:ascii="Cambria Math" w:hAnsi="Cambria Math" w:cstheme="minorHAnsi"/>
                <w:sz w:val="22"/>
              </w:rPr>
              <m:t>t</m:t>
            </m:r>
          </m:sub>
        </m:sSub>
        <m:r>
          <m:rPr>
            <m:sty m:val="p"/>
          </m:rPr>
          <w:rPr>
            <w:rFonts w:ascii="Cambria Math" w:hAnsi="Cambria Math" w:cstheme="minorHAnsi"/>
            <w:sz w:val="22"/>
          </w:rPr>
          <m:t>=0,292∙</m:t>
        </m:r>
        <m:sSub>
          <m:sSubPr>
            <m:ctrlPr>
              <w:rPr>
                <w:rFonts w:ascii="Cambria Math" w:hAnsi="Cambria Math" w:cstheme="minorHAnsi"/>
                <w:bCs/>
                <w:sz w:val="22"/>
              </w:rPr>
            </m:ctrlPr>
          </m:sSubPr>
          <m:e>
            <m:r>
              <m:rPr>
                <m:sty m:val="p"/>
              </m:rPr>
              <w:rPr>
                <w:rFonts w:ascii="Cambria Math" w:hAnsi="Cambria Math" w:cstheme="minorHAnsi"/>
                <w:sz w:val="22"/>
              </w:rPr>
              <m:t>Pob</m:t>
            </m:r>
          </m:e>
          <m:sub>
            <m:r>
              <m:rPr>
                <m:sty m:val="p"/>
              </m:rPr>
              <w:rPr>
                <w:rFonts w:ascii="Cambria Math" w:hAnsi="Cambria Math" w:cstheme="minorHAnsi"/>
                <w:sz w:val="22"/>
              </w:rPr>
              <m:t>t</m:t>
            </m:r>
          </m:sub>
        </m:sSub>
      </m:oMath>
      <w:r w:rsidR="00AF14D3" w:rsidRPr="009C76DB">
        <w:rPr>
          <w:rFonts w:asciiTheme="minorHAnsi" w:hAnsiTheme="minorHAnsi" w:cstheme="minorHAnsi"/>
          <w:bCs/>
          <w:sz w:val="22"/>
        </w:rPr>
        <w:t xml:space="preserve">, </w:t>
      </w:r>
      <w:r w:rsidR="00AF14D3" w:rsidRPr="009C76DB">
        <w:rPr>
          <w:rFonts w:asciiTheme="minorHAnsi" w:hAnsiTheme="minorHAnsi" w:cstheme="minorHAnsi"/>
          <w:bCs/>
          <w:sz w:val="22"/>
        </w:rPr>
        <w:tab/>
      </w:r>
      <w:r w:rsidR="00AF14D3" w:rsidRPr="009C76DB">
        <w:rPr>
          <w:rFonts w:asciiTheme="minorHAnsi" w:hAnsiTheme="minorHAnsi" w:cstheme="minorHAnsi"/>
          <w:bCs/>
          <w:sz w:val="22"/>
        </w:rPr>
        <w:tab/>
      </w:r>
      <w:r w:rsidR="00AF14D3" w:rsidRPr="009C76DB">
        <w:rPr>
          <w:rFonts w:asciiTheme="minorHAnsi" w:hAnsiTheme="minorHAnsi" w:cstheme="minorHAnsi"/>
          <w:bCs/>
          <w:sz w:val="22"/>
        </w:rPr>
        <w:tab/>
        <w:t xml:space="preserve">para </w:t>
      </w:r>
      <w:r w:rsidR="00180DE1">
        <w:rPr>
          <w:rFonts w:asciiTheme="minorHAnsi" w:hAnsiTheme="minorHAnsi" w:cstheme="minorHAnsi"/>
          <w:bCs/>
          <w:sz w:val="22"/>
        </w:rPr>
        <w:t>t</w:t>
      </w:r>
      <w:r w:rsidR="00AF14D3" w:rsidRPr="009C76DB">
        <w:rPr>
          <w:rFonts w:asciiTheme="minorHAnsi" w:hAnsiTheme="minorHAnsi" w:cstheme="minorHAnsi"/>
          <w:bCs/>
          <w:sz w:val="22"/>
        </w:rPr>
        <w:sym w:font="Symbol" w:char="F0B3"/>
      </w:r>
      <w:r w:rsidR="00AF14D3" w:rsidRPr="009C76DB">
        <w:rPr>
          <w:rFonts w:asciiTheme="minorHAnsi" w:hAnsiTheme="minorHAnsi" w:cstheme="minorHAnsi"/>
          <w:bCs/>
          <w:sz w:val="22"/>
        </w:rPr>
        <w:t>1</w:t>
      </w:r>
      <w:r w:rsidR="00C2406F">
        <w:rPr>
          <w:rFonts w:asciiTheme="minorHAnsi" w:hAnsiTheme="minorHAnsi" w:cstheme="minorHAnsi"/>
          <w:bCs/>
          <w:sz w:val="22"/>
        </w:rPr>
        <w:t>5</w:t>
      </w:r>
    </w:p>
    <w:p w:rsidR="00AF14D3" w:rsidRPr="009C76DB" w:rsidRDefault="00AF14D3" w:rsidP="00AF14D3">
      <w:pPr>
        <w:widowControl w:val="0"/>
        <w:autoSpaceDE w:val="0"/>
        <w:autoSpaceDN w:val="0"/>
        <w:adjustRightInd w:val="0"/>
        <w:ind w:right="23"/>
        <w:jc w:val="both"/>
        <w:rPr>
          <w:rFonts w:asciiTheme="minorHAnsi" w:hAnsiTheme="minorHAnsi" w:cstheme="minorHAnsi"/>
          <w:bCs/>
          <w:sz w:val="22"/>
        </w:rPr>
      </w:pPr>
    </w:p>
    <w:p w:rsidR="00AF14D3" w:rsidRPr="009C76DB" w:rsidRDefault="00AF14D3" w:rsidP="00AF14D3">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Donde,</w:t>
      </w:r>
    </w:p>
    <w:p w:rsidR="00AF14D3" w:rsidRPr="009C76DB" w:rsidRDefault="00AF14D3" w:rsidP="00AF14D3">
      <w:pPr>
        <w:widowControl w:val="0"/>
        <w:autoSpaceDE w:val="0"/>
        <w:autoSpaceDN w:val="0"/>
        <w:adjustRightInd w:val="0"/>
        <w:ind w:right="23"/>
        <w:jc w:val="both"/>
        <w:rPr>
          <w:rFonts w:asciiTheme="minorHAnsi" w:hAnsiTheme="minorHAnsi" w:cstheme="minorHAnsi"/>
          <w:bCs/>
          <w:sz w:val="22"/>
        </w:rPr>
      </w:pPr>
    </w:p>
    <w:p w:rsidR="00AF14D3" w:rsidRPr="009C76DB" w:rsidRDefault="00AF14D3" w:rsidP="00AF14D3">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CE</w:t>
      </w:r>
      <w:r w:rsidRPr="009C76DB">
        <w:rPr>
          <w:rFonts w:asciiTheme="minorHAnsi" w:hAnsiTheme="minorHAnsi" w:cstheme="minorHAnsi"/>
          <w:bCs/>
          <w:sz w:val="22"/>
          <w:vertAlign w:val="subscript"/>
        </w:rPr>
        <w:t>t</w:t>
      </w:r>
      <w:r w:rsidRPr="009C76DB">
        <w:rPr>
          <w:rFonts w:asciiTheme="minorHAnsi" w:hAnsiTheme="minorHAnsi" w:cstheme="minorHAnsi"/>
          <w:bCs/>
          <w:sz w:val="22"/>
        </w:rPr>
        <w:t xml:space="preserve"> = Nº Consultas de especialidad en el </w:t>
      </w:r>
      <w:r w:rsidR="00180DE1">
        <w:rPr>
          <w:rFonts w:asciiTheme="minorHAnsi" w:hAnsiTheme="minorHAnsi" w:cstheme="minorHAnsi"/>
          <w:bCs/>
          <w:sz w:val="22"/>
        </w:rPr>
        <w:t>periodo</w:t>
      </w:r>
      <w:r w:rsidRPr="009C76DB">
        <w:rPr>
          <w:rFonts w:asciiTheme="minorHAnsi" w:hAnsiTheme="minorHAnsi" w:cstheme="minorHAnsi"/>
          <w:bCs/>
          <w:sz w:val="22"/>
        </w:rPr>
        <w:t xml:space="preserve"> t</w:t>
      </w:r>
    </w:p>
    <w:p w:rsidR="00AF14D3" w:rsidRPr="009C76DB" w:rsidRDefault="00AF14D3" w:rsidP="00AF14D3">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 xml:space="preserve">t = </w:t>
      </w:r>
      <w:r w:rsidR="00180DE1">
        <w:rPr>
          <w:rFonts w:asciiTheme="minorHAnsi" w:hAnsiTheme="minorHAnsi" w:cstheme="minorHAnsi"/>
          <w:bCs/>
          <w:sz w:val="22"/>
        </w:rPr>
        <w:t>periodo</w:t>
      </w:r>
      <w:r w:rsidRPr="009C76DB">
        <w:rPr>
          <w:rFonts w:asciiTheme="minorHAnsi" w:hAnsiTheme="minorHAnsi" w:cstheme="minorHAnsi"/>
          <w:bCs/>
          <w:sz w:val="22"/>
        </w:rPr>
        <w:t xml:space="preserve"> de evaluación</w:t>
      </w:r>
    </w:p>
    <w:p w:rsidR="00AF14D3" w:rsidRPr="009C76DB" w:rsidRDefault="00AF14D3" w:rsidP="00AF14D3">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Pob</w:t>
      </w:r>
      <w:r w:rsidRPr="009C76DB">
        <w:rPr>
          <w:rFonts w:asciiTheme="minorHAnsi" w:hAnsiTheme="minorHAnsi" w:cstheme="minorHAnsi"/>
          <w:bCs/>
          <w:sz w:val="22"/>
          <w:vertAlign w:val="subscript"/>
        </w:rPr>
        <w:t>t</w:t>
      </w:r>
      <w:r w:rsidRPr="009C76DB">
        <w:rPr>
          <w:rFonts w:asciiTheme="minorHAnsi" w:hAnsiTheme="minorHAnsi" w:cstheme="minorHAnsi"/>
          <w:bCs/>
          <w:sz w:val="22"/>
        </w:rPr>
        <w:t xml:space="preserve"> = Población de referencia en el </w:t>
      </w:r>
      <w:r w:rsidR="00180DE1">
        <w:rPr>
          <w:rFonts w:asciiTheme="minorHAnsi" w:hAnsiTheme="minorHAnsi" w:cstheme="minorHAnsi"/>
          <w:bCs/>
          <w:sz w:val="22"/>
        </w:rPr>
        <w:t>periodo</w:t>
      </w:r>
      <w:r w:rsidRPr="009C76DB">
        <w:rPr>
          <w:rFonts w:asciiTheme="minorHAnsi" w:hAnsiTheme="minorHAnsi" w:cstheme="minorHAnsi"/>
          <w:bCs/>
          <w:sz w:val="22"/>
        </w:rPr>
        <w:t xml:space="preserve"> t.</w:t>
      </w:r>
    </w:p>
    <w:p w:rsidR="00AF14D3" w:rsidRDefault="00AF14D3" w:rsidP="00AF14D3">
      <w:pPr>
        <w:widowControl w:val="0"/>
        <w:autoSpaceDE w:val="0"/>
        <w:autoSpaceDN w:val="0"/>
        <w:adjustRightInd w:val="0"/>
        <w:ind w:right="23"/>
        <w:jc w:val="both"/>
        <w:rPr>
          <w:rFonts w:asciiTheme="minorHAnsi" w:hAnsiTheme="minorHAnsi" w:cstheme="minorHAnsi"/>
          <w:bCs/>
          <w:sz w:val="22"/>
        </w:rPr>
      </w:pPr>
    </w:p>
    <w:p w:rsidR="00536756" w:rsidRDefault="00536756" w:rsidP="00AF14D3">
      <w:pPr>
        <w:widowControl w:val="0"/>
        <w:autoSpaceDE w:val="0"/>
        <w:autoSpaceDN w:val="0"/>
        <w:adjustRightInd w:val="0"/>
        <w:ind w:right="23"/>
        <w:jc w:val="both"/>
        <w:rPr>
          <w:rFonts w:asciiTheme="minorHAnsi" w:hAnsiTheme="minorHAnsi" w:cstheme="minorHAnsi"/>
          <w:bCs/>
          <w:sz w:val="22"/>
        </w:rPr>
      </w:pPr>
    </w:p>
    <w:p w:rsidR="00536756" w:rsidRDefault="00536756" w:rsidP="00AF14D3">
      <w:pPr>
        <w:widowControl w:val="0"/>
        <w:autoSpaceDE w:val="0"/>
        <w:autoSpaceDN w:val="0"/>
        <w:adjustRightInd w:val="0"/>
        <w:ind w:right="23"/>
        <w:jc w:val="both"/>
        <w:rPr>
          <w:rFonts w:asciiTheme="minorHAnsi" w:hAnsiTheme="minorHAnsi" w:cstheme="minorHAnsi"/>
          <w:bCs/>
          <w:sz w:val="22"/>
        </w:rPr>
      </w:pPr>
    </w:p>
    <w:p w:rsidR="00536756" w:rsidRPr="009C76DB" w:rsidRDefault="00536756" w:rsidP="00AF14D3">
      <w:pPr>
        <w:widowControl w:val="0"/>
        <w:autoSpaceDE w:val="0"/>
        <w:autoSpaceDN w:val="0"/>
        <w:adjustRightInd w:val="0"/>
        <w:ind w:right="23"/>
        <w:jc w:val="both"/>
        <w:rPr>
          <w:rFonts w:asciiTheme="minorHAnsi" w:hAnsiTheme="minorHAnsi" w:cstheme="minorHAnsi"/>
          <w:bCs/>
          <w:sz w:val="22"/>
        </w:rPr>
      </w:pPr>
    </w:p>
    <w:p w:rsidR="004F4BCF" w:rsidRPr="00AF14D3" w:rsidRDefault="004F4BCF" w:rsidP="008A366B">
      <w:pPr>
        <w:pStyle w:val="Heading2"/>
        <w:numPr>
          <w:ilvl w:val="1"/>
          <w:numId w:val="1"/>
        </w:numPr>
        <w:spacing w:line="276" w:lineRule="auto"/>
        <w:rPr>
          <w:rFonts w:asciiTheme="minorHAnsi" w:hAnsiTheme="minorHAnsi" w:cstheme="minorHAnsi"/>
          <w:bCs w:val="0"/>
          <w:lang w:val="es-ES_tradnl"/>
        </w:rPr>
      </w:pPr>
      <w:bookmarkStart w:id="42" w:name="_Toc373093506"/>
      <w:r w:rsidRPr="00AF14D3">
        <w:rPr>
          <w:rFonts w:asciiTheme="minorHAnsi" w:hAnsiTheme="minorHAnsi" w:cstheme="minorHAnsi"/>
          <w:bCs w:val="0"/>
          <w:lang w:val="es-ES_tradnl"/>
        </w:rPr>
        <w:lastRenderedPageBreak/>
        <w:t xml:space="preserve">Consultas de </w:t>
      </w:r>
      <w:r w:rsidRPr="00AF14D3">
        <w:rPr>
          <w:rFonts w:asciiTheme="minorHAnsi" w:hAnsiTheme="minorHAnsi" w:cstheme="minorHAnsi"/>
          <w:lang w:val="es-ES_tradnl"/>
        </w:rPr>
        <w:t>urgencia</w:t>
      </w:r>
      <w:bookmarkEnd w:id="42"/>
    </w:p>
    <w:p w:rsidR="004F4BCF" w:rsidRDefault="004F4BCF" w:rsidP="004F4BCF">
      <w:pPr>
        <w:rPr>
          <w:rFonts w:asciiTheme="minorHAnsi" w:hAnsiTheme="minorHAnsi" w:cstheme="minorHAnsi"/>
          <w:bCs/>
          <w:sz w:val="16"/>
          <w:szCs w:val="18"/>
        </w:rPr>
      </w:pPr>
    </w:p>
    <w:p w:rsidR="004F4BCF" w:rsidRDefault="004F4BCF" w:rsidP="004F4BCF">
      <w:pPr>
        <w:rPr>
          <w:rFonts w:asciiTheme="minorHAnsi" w:hAnsiTheme="minorHAnsi" w:cstheme="minorHAnsi"/>
          <w:bCs/>
          <w:sz w:val="16"/>
          <w:szCs w:val="18"/>
        </w:rPr>
      </w:pPr>
    </w:p>
    <w:p w:rsidR="009A6B88" w:rsidRPr="009C76DB" w:rsidRDefault="0096165A" w:rsidP="009A6B88">
      <w:pPr>
        <w:widowControl w:val="0"/>
        <w:autoSpaceDE w:val="0"/>
        <w:autoSpaceDN w:val="0"/>
        <w:adjustRightInd w:val="0"/>
        <w:ind w:right="23"/>
        <w:jc w:val="both"/>
        <w:rPr>
          <w:rFonts w:asciiTheme="minorHAnsi" w:hAnsiTheme="minorHAnsi" w:cstheme="minorHAnsi"/>
          <w:bCs/>
          <w:sz w:val="22"/>
        </w:rPr>
      </w:pPr>
      <w:r>
        <w:rPr>
          <w:rFonts w:asciiTheme="minorHAnsi" w:hAnsiTheme="minorHAnsi" w:cstheme="minorHAnsi"/>
          <w:bCs/>
          <w:sz w:val="22"/>
          <w:szCs w:val="18"/>
        </w:rPr>
        <w:t>La demanda por atenciones de urgencia se estima utilizando un parámetro poblacional de 0,163</w:t>
      </w:r>
      <w:r>
        <w:rPr>
          <w:rStyle w:val="FootnoteReference"/>
          <w:rFonts w:asciiTheme="minorHAnsi" w:hAnsiTheme="minorHAnsi" w:cstheme="minorHAnsi"/>
          <w:bCs/>
          <w:sz w:val="22"/>
          <w:szCs w:val="18"/>
        </w:rPr>
        <w:footnoteReference w:id="35"/>
      </w:r>
      <w:r>
        <w:rPr>
          <w:rFonts w:asciiTheme="minorHAnsi" w:hAnsiTheme="minorHAnsi" w:cstheme="minorHAnsi"/>
          <w:bCs/>
          <w:sz w:val="22"/>
          <w:szCs w:val="18"/>
        </w:rPr>
        <w:t xml:space="preserve"> atenciones por habitante. </w:t>
      </w:r>
      <w:r w:rsidR="007A06C6">
        <w:rPr>
          <w:rFonts w:asciiTheme="minorHAnsi" w:hAnsiTheme="minorHAnsi" w:cstheme="minorHAnsi"/>
          <w:bCs/>
          <w:sz w:val="22"/>
          <w:szCs w:val="18"/>
        </w:rPr>
        <w:t xml:space="preserve">Esta demanda </w:t>
      </w:r>
      <w:r w:rsidR="00A35110">
        <w:rPr>
          <w:rFonts w:asciiTheme="minorHAnsi" w:hAnsiTheme="minorHAnsi" w:cstheme="minorHAnsi"/>
          <w:bCs/>
          <w:sz w:val="22"/>
          <w:szCs w:val="18"/>
        </w:rPr>
        <w:t>a</w:t>
      </w:r>
      <w:r w:rsidR="007A06C6">
        <w:rPr>
          <w:rFonts w:asciiTheme="minorHAnsi" w:hAnsiTheme="minorHAnsi" w:cstheme="minorHAnsi"/>
          <w:bCs/>
          <w:sz w:val="22"/>
          <w:szCs w:val="18"/>
        </w:rPr>
        <w:t>sumimos que se logra el periodo 1</w:t>
      </w:r>
      <w:r w:rsidR="00A35110">
        <w:rPr>
          <w:rFonts w:asciiTheme="minorHAnsi" w:hAnsiTheme="minorHAnsi" w:cstheme="minorHAnsi"/>
          <w:bCs/>
          <w:sz w:val="22"/>
          <w:szCs w:val="18"/>
        </w:rPr>
        <w:t>5</w:t>
      </w:r>
      <w:r w:rsidR="007A06C6">
        <w:rPr>
          <w:rFonts w:asciiTheme="minorHAnsi" w:hAnsiTheme="minorHAnsi" w:cstheme="minorHAnsi"/>
          <w:bCs/>
          <w:sz w:val="22"/>
          <w:szCs w:val="18"/>
        </w:rPr>
        <w:t xml:space="preserve"> de evaluación. En el periodo </w:t>
      </w:r>
      <w:r w:rsidR="00A35110">
        <w:rPr>
          <w:rFonts w:asciiTheme="minorHAnsi" w:hAnsiTheme="minorHAnsi" w:cstheme="minorHAnsi"/>
          <w:bCs/>
          <w:sz w:val="22"/>
          <w:szCs w:val="18"/>
        </w:rPr>
        <w:t>i</w:t>
      </w:r>
      <w:r>
        <w:rPr>
          <w:rFonts w:asciiTheme="minorHAnsi" w:hAnsiTheme="minorHAnsi" w:cstheme="minorHAnsi"/>
          <w:bCs/>
          <w:sz w:val="22"/>
          <w:szCs w:val="18"/>
        </w:rPr>
        <w:t>nt</w:t>
      </w:r>
      <w:r w:rsidR="00A35110">
        <w:rPr>
          <w:rFonts w:asciiTheme="minorHAnsi" w:hAnsiTheme="minorHAnsi" w:cstheme="minorHAnsi"/>
          <w:bCs/>
          <w:sz w:val="22"/>
          <w:szCs w:val="18"/>
        </w:rPr>
        <w:t>e</w:t>
      </w:r>
      <w:r>
        <w:rPr>
          <w:rFonts w:asciiTheme="minorHAnsi" w:hAnsiTheme="minorHAnsi" w:cstheme="minorHAnsi"/>
          <w:bCs/>
          <w:sz w:val="22"/>
          <w:szCs w:val="18"/>
        </w:rPr>
        <w:t>rmedio</w:t>
      </w:r>
      <w:r w:rsidR="007A06C6">
        <w:rPr>
          <w:rFonts w:asciiTheme="minorHAnsi" w:hAnsiTheme="minorHAnsi" w:cstheme="minorHAnsi"/>
          <w:bCs/>
          <w:sz w:val="22"/>
          <w:szCs w:val="18"/>
        </w:rPr>
        <w:t xml:space="preserve"> asumimos que la demanda aumenta a una tasa constante de </w:t>
      </w:r>
      <w:r w:rsidR="00A35110">
        <w:rPr>
          <w:rFonts w:asciiTheme="minorHAnsi" w:hAnsiTheme="minorHAnsi" w:cstheme="minorHAnsi"/>
          <w:bCs/>
          <w:sz w:val="22"/>
          <w:szCs w:val="18"/>
        </w:rPr>
        <w:t>10.103</w:t>
      </w:r>
      <w:r w:rsidR="007A06C6">
        <w:rPr>
          <w:rFonts w:asciiTheme="minorHAnsi" w:hAnsiTheme="minorHAnsi" w:cstheme="minorHAnsi"/>
          <w:bCs/>
          <w:sz w:val="22"/>
          <w:szCs w:val="18"/>
        </w:rPr>
        <w:t xml:space="preserve"> atenciones por año, </w:t>
      </w:r>
      <w:r w:rsidR="00946E3F">
        <w:rPr>
          <w:rFonts w:asciiTheme="minorHAnsi" w:hAnsiTheme="minorHAnsi" w:cstheme="minorHAnsi"/>
          <w:bCs/>
          <w:sz w:val="22"/>
          <w:szCs w:val="18"/>
        </w:rPr>
        <w:t xml:space="preserve">desde un piso de </w:t>
      </w:r>
      <w:r w:rsidR="00A35110">
        <w:rPr>
          <w:rFonts w:asciiTheme="minorHAnsi" w:hAnsiTheme="minorHAnsi" w:cstheme="minorHAnsi"/>
          <w:bCs/>
          <w:sz w:val="22"/>
          <w:szCs w:val="18"/>
        </w:rPr>
        <w:t>4</w:t>
      </w:r>
      <w:r w:rsidR="00946E3F">
        <w:rPr>
          <w:rFonts w:asciiTheme="minorHAnsi" w:hAnsiTheme="minorHAnsi" w:cstheme="minorHAnsi"/>
          <w:bCs/>
          <w:sz w:val="22"/>
          <w:szCs w:val="18"/>
        </w:rPr>
        <w:t>9.</w:t>
      </w:r>
      <w:r w:rsidR="00A35110">
        <w:rPr>
          <w:rFonts w:asciiTheme="minorHAnsi" w:hAnsiTheme="minorHAnsi" w:cstheme="minorHAnsi"/>
          <w:bCs/>
          <w:sz w:val="22"/>
          <w:szCs w:val="18"/>
        </w:rPr>
        <w:t>139</w:t>
      </w:r>
      <w:r w:rsidR="00946E3F">
        <w:rPr>
          <w:rFonts w:asciiTheme="minorHAnsi" w:hAnsiTheme="minorHAnsi" w:cstheme="minorHAnsi"/>
          <w:bCs/>
          <w:sz w:val="22"/>
          <w:szCs w:val="18"/>
        </w:rPr>
        <w:t xml:space="preserve"> atenciones </w:t>
      </w:r>
      <w:r w:rsidR="007A06C6">
        <w:rPr>
          <w:rFonts w:asciiTheme="minorHAnsi" w:hAnsiTheme="minorHAnsi" w:cstheme="minorHAnsi"/>
          <w:bCs/>
          <w:sz w:val="22"/>
          <w:szCs w:val="18"/>
        </w:rPr>
        <w:t>hasta el año 14.</w:t>
      </w:r>
      <w:r w:rsidR="00946E3F">
        <w:rPr>
          <w:rStyle w:val="FootnoteReference"/>
          <w:rFonts w:asciiTheme="minorHAnsi" w:hAnsiTheme="minorHAnsi" w:cstheme="minorHAnsi"/>
          <w:bCs/>
          <w:sz w:val="22"/>
          <w:szCs w:val="18"/>
        </w:rPr>
        <w:footnoteReference w:id="36"/>
      </w:r>
      <w:r w:rsidR="007A06C6">
        <w:rPr>
          <w:rFonts w:asciiTheme="minorHAnsi" w:hAnsiTheme="minorHAnsi" w:cstheme="minorHAnsi"/>
          <w:bCs/>
          <w:sz w:val="22"/>
          <w:szCs w:val="18"/>
        </w:rPr>
        <w:t xml:space="preserve"> A </w:t>
      </w:r>
      <w:r>
        <w:rPr>
          <w:rFonts w:asciiTheme="minorHAnsi" w:hAnsiTheme="minorHAnsi" w:cstheme="minorHAnsi"/>
          <w:bCs/>
          <w:sz w:val="22"/>
          <w:szCs w:val="18"/>
        </w:rPr>
        <w:t>partir</w:t>
      </w:r>
      <w:r w:rsidR="007A06C6">
        <w:rPr>
          <w:rFonts w:asciiTheme="minorHAnsi" w:hAnsiTheme="minorHAnsi" w:cstheme="minorHAnsi"/>
          <w:bCs/>
          <w:sz w:val="22"/>
          <w:szCs w:val="18"/>
        </w:rPr>
        <w:t xml:space="preserve"> de ese año la demanda se estabiliza</w:t>
      </w:r>
      <w:r w:rsidR="00A35110">
        <w:rPr>
          <w:rFonts w:asciiTheme="minorHAnsi" w:hAnsiTheme="minorHAnsi" w:cstheme="minorHAnsi"/>
          <w:bCs/>
          <w:sz w:val="22"/>
          <w:szCs w:val="18"/>
        </w:rPr>
        <w:t xml:space="preserve"> de acuerdo a la tasa poblacional</w:t>
      </w:r>
      <w:r w:rsidR="007A06C6">
        <w:rPr>
          <w:rFonts w:asciiTheme="minorHAnsi" w:hAnsiTheme="minorHAnsi" w:cstheme="minorHAnsi"/>
          <w:bCs/>
          <w:sz w:val="22"/>
          <w:szCs w:val="18"/>
        </w:rPr>
        <w:t>.</w:t>
      </w:r>
      <w:r w:rsidR="009A6B88" w:rsidRPr="009A6B88">
        <w:rPr>
          <w:rFonts w:asciiTheme="minorHAnsi" w:hAnsiTheme="minorHAnsi" w:cstheme="minorHAnsi"/>
          <w:bCs/>
          <w:sz w:val="22"/>
        </w:rPr>
        <w:t xml:space="preserve"> </w:t>
      </w:r>
    </w:p>
    <w:p w:rsidR="004F4BCF" w:rsidRPr="007A06C6" w:rsidRDefault="004F4BCF" w:rsidP="007A06C6">
      <w:pPr>
        <w:jc w:val="both"/>
        <w:rPr>
          <w:rFonts w:asciiTheme="minorHAnsi" w:hAnsiTheme="minorHAnsi" w:cstheme="minorHAnsi"/>
          <w:bCs/>
          <w:sz w:val="22"/>
          <w:szCs w:val="18"/>
        </w:rPr>
      </w:pPr>
    </w:p>
    <w:p w:rsidR="007A06C6" w:rsidRPr="009C76DB" w:rsidRDefault="007A06C6" w:rsidP="007A06C6">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 xml:space="preserve">De este modo la formula de proyección para </w:t>
      </w:r>
      <w:r>
        <w:rPr>
          <w:rFonts w:asciiTheme="minorHAnsi" w:hAnsiTheme="minorHAnsi" w:cstheme="minorHAnsi"/>
          <w:bCs/>
          <w:sz w:val="22"/>
        </w:rPr>
        <w:t>atenciones de urgencia</w:t>
      </w:r>
      <w:r w:rsidRPr="009C76DB">
        <w:rPr>
          <w:rFonts w:asciiTheme="minorHAnsi" w:hAnsiTheme="minorHAnsi" w:cstheme="minorHAnsi"/>
          <w:bCs/>
          <w:sz w:val="22"/>
        </w:rPr>
        <w:t xml:space="preserve"> será:</w:t>
      </w:r>
    </w:p>
    <w:p w:rsidR="007A06C6" w:rsidRPr="009C76DB" w:rsidRDefault="007A06C6" w:rsidP="007A06C6">
      <w:pPr>
        <w:widowControl w:val="0"/>
        <w:autoSpaceDE w:val="0"/>
        <w:autoSpaceDN w:val="0"/>
        <w:adjustRightInd w:val="0"/>
        <w:ind w:right="23"/>
        <w:jc w:val="both"/>
        <w:rPr>
          <w:rFonts w:asciiTheme="minorHAnsi" w:hAnsiTheme="minorHAnsi" w:cstheme="minorHAnsi"/>
          <w:bCs/>
          <w:sz w:val="22"/>
        </w:rPr>
      </w:pPr>
    </w:p>
    <w:p w:rsidR="007A06C6" w:rsidRPr="009C76DB" w:rsidRDefault="00E52595" w:rsidP="007A06C6">
      <w:pPr>
        <w:widowControl w:val="0"/>
        <w:autoSpaceDE w:val="0"/>
        <w:autoSpaceDN w:val="0"/>
        <w:adjustRightInd w:val="0"/>
        <w:ind w:right="23"/>
        <w:jc w:val="both"/>
        <w:rPr>
          <w:rFonts w:asciiTheme="minorHAnsi" w:hAnsiTheme="minorHAnsi" w:cstheme="minorHAnsi"/>
          <w:bCs/>
          <w:sz w:val="22"/>
        </w:rPr>
      </w:pPr>
      <m:oMath>
        <m:sSub>
          <m:sSubPr>
            <m:ctrlPr>
              <w:rPr>
                <w:rFonts w:ascii="Cambria Math" w:hAnsi="Cambria Math" w:cstheme="minorHAnsi"/>
                <w:bCs/>
                <w:sz w:val="22"/>
              </w:rPr>
            </m:ctrlPr>
          </m:sSubPr>
          <m:e>
            <m:r>
              <m:rPr>
                <m:sty m:val="p"/>
              </m:rPr>
              <w:rPr>
                <w:rFonts w:ascii="Cambria Math" w:hAnsi="Cambria Math" w:cstheme="minorHAnsi"/>
                <w:sz w:val="22"/>
              </w:rPr>
              <m:t>Urg</m:t>
            </m:r>
          </m:e>
          <m:sub>
            <m:r>
              <m:rPr>
                <m:sty m:val="p"/>
              </m:rPr>
              <w:rPr>
                <w:rFonts w:ascii="Cambria Math" w:hAnsi="Cambria Math" w:cstheme="minorHAnsi"/>
                <w:sz w:val="22"/>
              </w:rPr>
              <m:t>t</m:t>
            </m:r>
          </m:sub>
        </m:sSub>
        <m:r>
          <m:rPr>
            <m:sty m:val="p"/>
          </m:rPr>
          <w:rPr>
            <w:rFonts w:ascii="Cambria Math" w:hAnsi="Cambria Math" w:cstheme="minorHAnsi"/>
            <w:sz w:val="22"/>
          </w:rPr>
          <m:t>=49.139+49.139∙t</m:t>
        </m:r>
      </m:oMath>
      <w:r w:rsidR="007A06C6" w:rsidRPr="009C76DB">
        <w:rPr>
          <w:rFonts w:asciiTheme="minorHAnsi" w:hAnsiTheme="minorHAnsi" w:cstheme="minorHAnsi"/>
          <w:bCs/>
          <w:sz w:val="22"/>
        </w:rPr>
        <w:t xml:space="preserve">, </w:t>
      </w:r>
      <w:r w:rsidR="007A06C6" w:rsidRPr="009C76DB">
        <w:rPr>
          <w:rFonts w:asciiTheme="minorHAnsi" w:hAnsiTheme="minorHAnsi" w:cstheme="minorHAnsi"/>
          <w:bCs/>
          <w:sz w:val="22"/>
        </w:rPr>
        <w:tab/>
      </w:r>
      <w:r w:rsidR="007A06C6" w:rsidRPr="009C76DB">
        <w:rPr>
          <w:rFonts w:asciiTheme="minorHAnsi" w:hAnsiTheme="minorHAnsi" w:cstheme="minorHAnsi"/>
          <w:bCs/>
          <w:sz w:val="22"/>
        </w:rPr>
        <w:tab/>
      </w:r>
      <w:r w:rsidR="007A06C6" w:rsidRPr="009C76DB">
        <w:rPr>
          <w:rFonts w:asciiTheme="minorHAnsi" w:hAnsiTheme="minorHAnsi" w:cstheme="minorHAnsi"/>
          <w:bCs/>
          <w:sz w:val="22"/>
        </w:rPr>
        <w:tab/>
      </w:r>
      <w:r w:rsidR="007A06C6" w:rsidRPr="009C76DB">
        <w:rPr>
          <w:rFonts w:asciiTheme="minorHAnsi" w:hAnsiTheme="minorHAnsi" w:cstheme="minorHAnsi"/>
          <w:bCs/>
          <w:sz w:val="22"/>
        </w:rPr>
        <w:tab/>
        <w:t xml:space="preserve">para </w:t>
      </w:r>
      <w:r w:rsidR="007A06C6">
        <w:rPr>
          <w:rFonts w:asciiTheme="minorHAnsi" w:hAnsiTheme="minorHAnsi" w:cstheme="minorHAnsi"/>
          <w:bCs/>
          <w:sz w:val="22"/>
        </w:rPr>
        <w:t>0</w:t>
      </w:r>
      <w:r w:rsidR="007A06C6" w:rsidRPr="009C76DB">
        <w:rPr>
          <w:rFonts w:asciiTheme="minorHAnsi" w:hAnsiTheme="minorHAnsi" w:cstheme="minorHAnsi"/>
          <w:bCs/>
          <w:sz w:val="22"/>
        </w:rPr>
        <w:t>≤t&lt;</w:t>
      </w:r>
      <w:r w:rsidR="007A06C6">
        <w:rPr>
          <w:rFonts w:asciiTheme="minorHAnsi" w:hAnsiTheme="minorHAnsi" w:cstheme="minorHAnsi"/>
          <w:bCs/>
          <w:sz w:val="22"/>
        </w:rPr>
        <w:t>1</w:t>
      </w:r>
      <w:r w:rsidR="00107A9A">
        <w:rPr>
          <w:rFonts w:asciiTheme="minorHAnsi" w:hAnsiTheme="minorHAnsi" w:cstheme="minorHAnsi"/>
          <w:bCs/>
          <w:sz w:val="22"/>
        </w:rPr>
        <w:t>5</w:t>
      </w:r>
    </w:p>
    <w:p w:rsidR="007A06C6" w:rsidRPr="009C76DB" w:rsidRDefault="007A06C6" w:rsidP="007A06C6">
      <w:pPr>
        <w:widowControl w:val="0"/>
        <w:autoSpaceDE w:val="0"/>
        <w:autoSpaceDN w:val="0"/>
        <w:adjustRightInd w:val="0"/>
        <w:ind w:right="23"/>
        <w:jc w:val="both"/>
        <w:rPr>
          <w:rFonts w:asciiTheme="minorHAnsi" w:hAnsiTheme="minorHAnsi" w:cstheme="minorHAnsi"/>
          <w:bCs/>
          <w:sz w:val="22"/>
        </w:rPr>
      </w:pPr>
    </w:p>
    <w:p w:rsidR="007A06C6" w:rsidRPr="009C76DB" w:rsidRDefault="00E52595" w:rsidP="007A06C6">
      <w:pPr>
        <w:widowControl w:val="0"/>
        <w:autoSpaceDE w:val="0"/>
        <w:autoSpaceDN w:val="0"/>
        <w:adjustRightInd w:val="0"/>
        <w:ind w:right="23"/>
        <w:jc w:val="both"/>
        <w:rPr>
          <w:rFonts w:asciiTheme="minorHAnsi" w:hAnsiTheme="minorHAnsi" w:cstheme="minorHAnsi"/>
          <w:bCs/>
          <w:sz w:val="22"/>
        </w:rPr>
      </w:pPr>
      <m:oMath>
        <m:sSub>
          <m:sSubPr>
            <m:ctrlPr>
              <w:rPr>
                <w:rFonts w:ascii="Cambria Math" w:hAnsi="Cambria Math" w:cstheme="minorHAnsi"/>
                <w:bCs/>
                <w:sz w:val="22"/>
              </w:rPr>
            </m:ctrlPr>
          </m:sSubPr>
          <m:e>
            <m:r>
              <m:rPr>
                <m:sty m:val="p"/>
              </m:rPr>
              <w:rPr>
                <w:rFonts w:ascii="Cambria Math" w:hAnsi="Cambria Math" w:cstheme="minorHAnsi"/>
                <w:sz w:val="22"/>
              </w:rPr>
              <m:t>Urg</m:t>
            </m:r>
          </m:e>
          <m:sub>
            <m:r>
              <m:rPr>
                <m:sty m:val="p"/>
              </m:rPr>
              <w:rPr>
                <w:rFonts w:ascii="Cambria Math" w:hAnsi="Cambria Math" w:cstheme="minorHAnsi"/>
                <w:sz w:val="22"/>
              </w:rPr>
              <m:t>t</m:t>
            </m:r>
          </m:sub>
        </m:sSub>
        <m:r>
          <m:rPr>
            <m:sty m:val="p"/>
          </m:rPr>
          <w:rPr>
            <w:rFonts w:ascii="Cambria Math" w:hAnsi="Cambria Math" w:cstheme="minorHAnsi"/>
            <w:sz w:val="22"/>
          </w:rPr>
          <m:t>=0,163∙</m:t>
        </m:r>
        <m:sSub>
          <m:sSubPr>
            <m:ctrlPr>
              <w:rPr>
                <w:rFonts w:ascii="Cambria Math" w:hAnsi="Cambria Math" w:cstheme="minorHAnsi"/>
                <w:bCs/>
                <w:sz w:val="22"/>
              </w:rPr>
            </m:ctrlPr>
          </m:sSubPr>
          <m:e>
            <m:r>
              <m:rPr>
                <m:sty m:val="p"/>
              </m:rPr>
              <w:rPr>
                <w:rFonts w:ascii="Cambria Math" w:hAnsi="Cambria Math" w:cstheme="minorHAnsi"/>
                <w:sz w:val="22"/>
              </w:rPr>
              <m:t>Pob</m:t>
            </m:r>
          </m:e>
          <m:sub>
            <m:r>
              <m:rPr>
                <m:sty m:val="p"/>
              </m:rPr>
              <w:rPr>
                <w:rFonts w:ascii="Cambria Math" w:hAnsi="Cambria Math" w:cstheme="minorHAnsi"/>
                <w:sz w:val="22"/>
              </w:rPr>
              <m:t>t</m:t>
            </m:r>
          </m:sub>
        </m:sSub>
      </m:oMath>
      <w:r w:rsidR="007A06C6" w:rsidRPr="009C76DB">
        <w:rPr>
          <w:rFonts w:asciiTheme="minorHAnsi" w:hAnsiTheme="minorHAnsi" w:cstheme="minorHAnsi"/>
          <w:bCs/>
          <w:sz w:val="22"/>
        </w:rPr>
        <w:t xml:space="preserve">, </w:t>
      </w:r>
      <w:r w:rsidR="007A06C6" w:rsidRPr="009C76DB">
        <w:rPr>
          <w:rFonts w:asciiTheme="minorHAnsi" w:hAnsiTheme="minorHAnsi" w:cstheme="minorHAnsi"/>
          <w:bCs/>
          <w:sz w:val="22"/>
        </w:rPr>
        <w:tab/>
      </w:r>
      <w:r w:rsidR="007A06C6" w:rsidRPr="009C76DB">
        <w:rPr>
          <w:rFonts w:asciiTheme="minorHAnsi" w:hAnsiTheme="minorHAnsi" w:cstheme="minorHAnsi"/>
          <w:bCs/>
          <w:sz w:val="22"/>
        </w:rPr>
        <w:tab/>
      </w:r>
      <w:r w:rsidR="007A06C6" w:rsidRPr="009C76DB">
        <w:rPr>
          <w:rFonts w:asciiTheme="minorHAnsi" w:hAnsiTheme="minorHAnsi" w:cstheme="minorHAnsi"/>
          <w:bCs/>
          <w:sz w:val="22"/>
        </w:rPr>
        <w:tab/>
      </w:r>
      <w:r w:rsidR="007A06C6" w:rsidRPr="009C76DB">
        <w:rPr>
          <w:rFonts w:asciiTheme="minorHAnsi" w:hAnsiTheme="minorHAnsi" w:cstheme="minorHAnsi"/>
          <w:bCs/>
          <w:sz w:val="22"/>
        </w:rPr>
        <w:tab/>
      </w:r>
      <w:r w:rsidR="007A06C6">
        <w:rPr>
          <w:rFonts w:asciiTheme="minorHAnsi" w:hAnsiTheme="minorHAnsi" w:cstheme="minorHAnsi"/>
          <w:bCs/>
          <w:sz w:val="22"/>
        </w:rPr>
        <w:tab/>
      </w:r>
      <w:r w:rsidR="007A06C6" w:rsidRPr="009C76DB">
        <w:rPr>
          <w:rFonts w:asciiTheme="minorHAnsi" w:hAnsiTheme="minorHAnsi" w:cstheme="minorHAnsi"/>
          <w:bCs/>
          <w:sz w:val="22"/>
        </w:rPr>
        <w:t>para t</w:t>
      </w:r>
      <w:r w:rsidR="007A06C6" w:rsidRPr="009C76DB">
        <w:rPr>
          <w:rFonts w:asciiTheme="minorHAnsi" w:hAnsiTheme="minorHAnsi" w:cstheme="minorHAnsi"/>
          <w:bCs/>
          <w:sz w:val="22"/>
        </w:rPr>
        <w:sym w:font="Symbol" w:char="F0B3"/>
      </w:r>
      <w:r w:rsidR="007A06C6">
        <w:rPr>
          <w:rFonts w:asciiTheme="minorHAnsi" w:hAnsiTheme="minorHAnsi" w:cstheme="minorHAnsi"/>
          <w:bCs/>
          <w:sz w:val="22"/>
        </w:rPr>
        <w:t>1</w:t>
      </w:r>
      <w:r w:rsidR="00107A9A">
        <w:rPr>
          <w:rFonts w:asciiTheme="minorHAnsi" w:hAnsiTheme="minorHAnsi" w:cstheme="minorHAnsi"/>
          <w:bCs/>
          <w:sz w:val="22"/>
        </w:rPr>
        <w:t>5</w:t>
      </w:r>
    </w:p>
    <w:p w:rsidR="007A06C6" w:rsidRPr="009C76DB" w:rsidRDefault="007A06C6" w:rsidP="007A06C6">
      <w:pPr>
        <w:widowControl w:val="0"/>
        <w:autoSpaceDE w:val="0"/>
        <w:autoSpaceDN w:val="0"/>
        <w:adjustRightInd w:val="0"/>
        <w:ind w:right="23"/>
        <w:jc w:val="both"/>
        <w:rPr>
          <w:rFonts w:asciiTheme="minorHAnsi" w:hAnsiTheme="minorHAnsi" w:cstheme="minorHAnsi"/>
          <w:bCs/>
          <w:sz w:val="22"/>
        </w:rPr>
      </w:pPr>
    </w:p>
    <w:p w:rsidR="007A06C6" w:rsidRPr="009C76DB" w:rsidRDefault="007A06C6" w:rsidP="007A06C6">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Donde,</w:t>
      </w:r>
    </w:p>
    <w:p w:rsidR="007A06C6" w:rsidRPr="009C76DB" w:rsidRDefault="007A06C6" w:rsidP="007A06C6">
      <w:pPr>
        <w:widowControl w:val="0"/>
        <w:autoSpaceDE w:val="0"/>
        <w:autoSpaceDN w:val="0"/>
        <w:adjustRightInd w:val="0"/>
        <w:ind w:right="23"/>
        <w:jc w:val="both"/>
        <w:rPr>
          <w:rFonts w:asciiTheme="minorHAnsi" w:hAnsiTheme="minorHAnsi" w:cstheme="minorHAnsi"/>
          <w:bCs/>
          <w:sz w:val="22"/>
        </w:rPr>
      </w:pPr>
    </w:p>
    <w:p w:rsidR="007A06C6" w:rsidRPr="009C76DB" w:rsidRDefault="007A06C6" w:rsidP="007A06C6">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Urg</w:t>
      </w:r>
      <w:r w:rsidRPr="009C76DB">
        <w:rPr>
          <w:rFonts w:asciiTheme="minorHAnsi" w:hAnsiTheme="minorHAnsi" w:cstheme="minorHAnsi"/>
          <w:bCs/>
          <w:sz w:val="22"/>
          <w:vertAlign w:val="subscript"/>
        </w:rPr>
        <w:t>t</w:t>
      </w:r>
      <w:r w:rsidRPr="009C76DB">
        <w:rPr>
          <w:rFonts w:asciiTheme="minorHAnsi" w:hAnsiTheme="minorHAnsi" w:cstheme="minorHAnsi"/>
          <w:bCs/>
          <w:sz w:val="22"/>
        </w:rPr>
        <w:t xml:space="preserve"> = Nº de atenciones de urgencia</w:t>
      </w:r>
    </w:p>
    <w:p w:rsidR="007A06C6" w:rsidRPr="009C76DB" w:rsidRDefault="007A06C6" w:rsidP="007A06C6">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 xml:space="preserve">t = </w:t>
      </w:r>
      <w:r>
        <w:rPr>
          <w:rFonts w:asciiTheme="minorHAnsi" w:hAnsiTheme="minorHAnsi" w:cstheme="minorHAnsi"/>
          <w:bCs/>
          <w:sz w:val="22"/>
        </w:rPr>
        <w:t>periodo</w:t>
      </w:r>
      <w:r w:rsidRPr="009C76DB">
        <w:rPr>
          <w:rFonts w:asciiTheme="minorHAnsi" w:hAnsiTheme="minorHAnsi" w:cstheme="minorHAnsi"/>
          <w:bCs/>
          <w:sz w:val="22"/>
        </w:rPr>
        <w:t xml:space="preserve"> de evaluación</w:t>
      </w:r>
    </w:p>
    <w:p w:rsidR="007A06C6" w:rsidRPr="009C76DB" w:rsidRDefault="007A06C6" w:rsidP="007A06C6">
      <w:pPr>
        <w:widowControl w:val="0"/>
        <w:autoSpaceDE w:val="0"/>
        <w:autoSpaceDN w:val="0"/>
        <w:adjustRightInd w:val="0"/>
        <w:ind w:right="23"/>
        <w:jc w:val="both"/>
        <w:rPr>
          <w:rFonts w:asciiTheme="minorHAnsi" w:hAnsiTheme="minorHAnsi" w:cstheme="minorHAnsi"/>
          <w:bCs/>
          <w:sz w:val="16"/>
          <w:szCs w:val="18"/>
        </w:rPr>
      </w:pPr>
      <w:r w:rsidRPr="009C76DB">
        <w:rPr>
          <w:rFonts w:asciiTheme="minorHAnsi" w:hAnsiTheme="minorHAnsi" w:cstheme="minorHAnsi"/>
          <w:bCs/>
          <w:sz w:val="22"/>
        </w:rPr>
        <w:t>Pob</w:t>
      </w:r>
      <w:r w:rsidRPr="009C76DB">
        <w:rPr>
          <w:rFonts w:asciiTheme="minorHAnsi" w:hAnsiTheme="minorHAnsi" w:cstheme="minorHAnsi"/>
          <w:bCs/>
          <w:sz w:val="22"/>
          <w:vertAlign w:val="subscript"/>
        </w:rPr>
        <w:t>t</w:t>
      </w:r>
      <w:r w:rsidRPr="009C76DB">
        <w:rPr>
          <w:rFonts w:asciiTheme="minorHAnsi" w:hAnsiTheme="minorHAnsi" w:cstheme="minorHAnsi"/>
          <w:bCs/>
          <w:sz w:val="22"/>
        </w:rPr>
        <w:t xml:space="preserve"> = Población de referencia en el </w:t>
      </w:r>
      <w:r>
        <w:rPr>
          <w:rFonts w:asciiTheme="minorHAnsi" w:hAnsiTheme="minorHAnsi" w:cstheme="minorHAnsi"/>
          <w:bCs/>
          <w:sz w:val="22"/>
        </w:rPr>
        <w:t>periodo</w:t>
      </w:r>
      <w:r w:rsidRPr="009C76DB">
        <w:rPr>
          <w:rFonts w:asciiTheme="minorHAnsi" w:hAnsiTheme="minorHAnsi" w:cstheme="minorHAnsi"/>
          <w:bCs/>
          <w:sz w:val="22"/>
        </w:rPr>
        <w:t xml:space="preserve"> t.</w:t>
      </w:r>
      <w:r w:rsidR="00946B4B">
        <w:rPr>
          <w:rStyle w:val="FootnoteReference"/>
          <w:rFonts w:asciiTheme="minorHAnsi" w:hAnsiTheme="minorHAnsi" w:cstheme="minorHAnsi"/>
          <w:bCs/>
          <w:sz w:val="22"/>
        </w:rPr>
        <w:footnoteReference w:id="37"/>
      </w:r>
    </w:p>
    <w:p w:rsidR="007A06C6" w:rsidRPr="009C76DB" w:rsidRDefault="007A06C6" w:rsidP="007A06C6">
      <w:pPr>
        <w:widowControl w:val="0"/>
        <w:autoSpaceDE w:val="0"/>
        <w:autoSpaceDN w:val="0"/>
        <w:adjustRightInd w:val="0"/>
        <w:ind w:right="23"/>
        <w:jc w:val="both"/>
        <w:rPr>
          <w:rFonts w:asciiTheme="minorHAnsi" w:hAnsiTheme="minorHAnsi" w:cstheme="minorHAnsi"/>
          <w:bCs/>
          <w:sz w:val="22"/>
        </w:rPr>
      </w:pPr>
    </w:p>
    <w:p w:rsidR="004F4BCF" w:rsidRPr="00640E8B" w:rsidRDefault="004F4BCF" w:rsidP="008A366B">
      <w:pPr>
        <w:pStyle w:val="Heading2"/>
        <w:numPr>
          <w:ilvl w:val="1"/>
          <w:numId w:val="1"/>
        </w:numPr>
        <w:spacing w:line="276" w:lineRule="auto"/>
        <w:rPr>
          <w:rFonts w:asciiTheme="minorHAnsi" w:hAnsiTheme="minorHAnsi" w:cstheme="minorHAnsi"/>
          <w:lang w:val="es-ES_tradnl"/>
        </w:rPr>
      </w:pPr>
      <w:bookmarkStart w:id="43" w:name="_Toc373093507"/>
      <w:r w:rsidRPr="00640E8B">
        <w:rPr>
          <w:rFonts w:asciiTheme="minorHAnsi" w:hAnsiTheme="minorHAnsi" w:cstheme="minorHAnsi"/>
          <w:lang w:val="es-ES_tradnl"/>
        </w:rPr>
        <w:t>Días cama de hospitalización</w:t>
      </w:r>
      <w:bookmarkEnd w:id="43"/>
    </w:p>
    <w:p w:rsidR="004F4BCF" w:rsidRDefault="004F4BCF" w:rsidP="004F4BCF">
      <w:pPr>
        <w:rPr>
          <w:rFonts w:asciiTheme="minorHAnsi" w:hAnsiTheme="minorHAnsi" w:cstheme="minorHAnsi"/>
          <w:bCs/>
          <w:color w:val="000000"/>
          <w:sz w:val="22"/>
          <w:szCs w:val="22"/>
        </w:rPr>
      </w:pPr>
    </w:p>
    <w:p w:rsidR="00BC55D8" w:rsidRPr="009C76DB" w:rsidRDefault="00BC55D8" w:rsidP="00BC55D8">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La demanda de días cama se obtiene de forma indirecta utilizando el parámetro de egresos hospitalarios observado en la población Aymara de la Región de Arica y Parinacota de Chile, que es igual a 0,07355 egresos por persona</w:t>
      </w:r>
      <w:r>
        <w:rPr>
          <w:rFonts w:asciiTheme="minorHAnsi" w:hAnsiTheme="minorHAnsi" w:cstheme="minorHAnsi"/>
          <w:bCs/>
          <w:sz w:val="22"/>
        </w:rPr>
        <w:t xml:space="preserve"> el cual fue utilizado en el estudio de evaluación del Hospital Madre Obrera de Llallagua</w:t>
      </w:r>
      <w:r w:rsidR="00DF0F81">
        <w:rPr>
          <w:rFonts w:asciiTheme="minorHAnsi" w:hAnsiTheme="minorHAnsi" w:cstheme="minorHAnsi"/>
          <w:bCs/>
          <w:sz w:val="22"/>
        </w:rPr>
        <w:t xml:space="preserve"> y Hospital Daniel Bracamonte de Potosí</w:t>
      </w:r>
      <w:r>
        <w:rPr>
          <w:rFonts w:asciiTheme="minorHAnsi" w:hAnsiTheme="minorHAnsi" w:cstheme="minorHAnsi"/>
          <w:bCs/>
          <w:sz w:val="22"/>
        </w:rPr>
        <w:t>.</w:t>
      </w:r>
      <w:r>
        <w:rPr>
          <w:rStyle w:val="FootnoteReference"/>
          <w:rFonts w:asciiTheme="minorHAnsi" w:hAnsiTheme="minorHAnsi" w:cstheme="minorHAnsi"/>
          <w:bCs/>
          <w:sz w:val="22"/>
        </w:rPr>
        <w:footnoteReference w:id="38"/>
      </w:r>
    </w:p>
    <w:p w:rsidR="00BC55D8" w:rsidRPr="009C76DB" w:rsidRDefault="00BC55D8" w:rsidP="00BC55D8">
      <w:pPr>
        <w:widowControl w:val="0"/>
        <w:autoSpaceDE w:val="0"/>
        <w:autoSpaceDN w:val="0"/>
        <w:adjustRightInd w:val="0"/>
        <w:ind w:right="23"/>
        <w:jc w:val="both"/>
        <w:rPr>
          <w:rFonts w:asciiTheme="minorHAnsi" w:hAnsiTheme="minorHAnsi" w:cstheme="minorHAnsi"/>
          <w:bCs/>
          <w:sz w:val="22"/>
        </w:rPr>
      </w:pPr>
    </w:p>
    <w:p w:rsidR="00BC55D8" w:rsidRPr="009C76DB" w:rsidRDefault="00BC55D8" w:rsidP="00BC55D8">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Para efectos de proyectar la demanda por días cama, se ha considerado que los parámetros poblacionales de demanda son los “óptimos” a alcanzar</w:t>
      </w:r>
      <w:r w:rsidR="004448FA">
        <w:rPr>
          <w:rFonts w:asciiTheme="minorHAnsi" w:hAnsiTheme="minorHAnsi" w:cstheme="minorHAnsi"/>
          <w:bCs/>
          <w:sz w:val="22"/>
        </w:rPr>
        <w:t>.</w:t>
      </w:r>
      <w:r w:rsidRPr="009C76DB">
        <w:rPr>
          <w:rFonts w:asciiTheme="minorHAnsi" w:hAnsiTheme="minorHAnsi" w:cstheme="minorHAnsi"/>
          <w:bCs/>
          <w:sz w:val="22"/>
        </w:rPr>
        <w:t xml:space="preserve"> </w:t>
      </w:r>
      <w:r w:rsidR="004448FA">
        <w:rPr>
          <w:rFonts w:asciiTheme="minorHAnsi" w:hAnsiTheme="minorHAnsi" w:cstheme="minorHAnsi"/>
          <w:bCs/>
          <w:sz w:val="22"/>
        </w:rPr>
        <w:t>S</w:t>
      </w:r>
      <w:r w:rsidRPr="009C76DB">
        <w:rPr>
          <w:rFonts w:asciiTheme="minorHAnsi" w:hAnsiTheme="minorHAnsi" w:cstheme="minorHAnsi"/>
          <w:bCs/>
          <w:sz w:val="22"/>
        </w:rPr>
        <w:t>in embargo</w:t>
      </w:r>
      <w:r w:rsidR="004448FA">
        <w:rPr>
          <w:rFonts w:asciiTheme="minorHAnsi" w:hAnsiTheme="minorHAnsi" w:cstheme="minorHAnsi"/>
          <w:bCs/>
          <w:sz w:val="22"/>
        </w:rPr>
        <w:t>,</w:t>
      </w:r>
      <w:r w:rsidRPr="009C76DB">
        <w:rPr>
          <w:rFonts w:asciiTheme="minorHAnsi" w:hAnsiTheme="minorHAnsi" w:cstheme="minorHAnsi"/>
          <w:bCs/>
          <w:sz w:val="22"/>
        </w:rPr>
        <w:t xml:space="preserve"> en la proyección de la demanda se considera que esta se expresará totalmente en un lapso de 15 años.</w:t>
      </w:r>
      <w:r w:rsidRPr="009C76DB">
        <w:rPr>
          <w:rStyle w:val="FootnoteReference"/>
          <w:rFonts w:asciiTheme="minorHAnsi" w:hAnsiTheme="minorHAnsi" w:cstheme="minorHAnsi"/>
          <w:bCs/>
          <w:sz w:val="22"/>
        </w:rPr>
        <w:footnoteReference w:id="39"/>
      </w:r>
      <w:r w:rsidRPr="009C76DB">
        <w:rPr>
          <w:rFonts w:asciiTheme="minorHAnsi" w:hAnsiTheme="minorHAnsi" w:cstheme="minorHAnsi"/>
          <w:bCs/>
          <w:sz w:val="22"/>
        </w:rPr>
        <w:t xml:space="preserve"> De este modo la formula de proyección será:</w:t>
      </w:r>
    </w:p>
    <w:p w:rsidR="00BC55D8" w:rsidRPr="009C76DB" w:rsidRDefault="00BC55D8" w:rsidP="00BC55D8">
      <w:pPr>
        <w:widowControl w:val="0"/>
        <w:autoSpaceDE w:val="0"/>
        <w:autoSpaceDN w:val="0"/>
        <w:adjustRightInd w:val="0"/>
        <w:ind w:right="23"/>
        <w:jc w:val="both"/>
        <w:rPr>
          <w:rFonts w:asciiTheme="minorHAnsi" w:hAnsiTheme="minorHAnsi" w:cstheme="minorHAnsi"/>
          <w:bCs/>
          <w:sz w:val="22"/>
        </w:rPr>
      </w:pPr>
    </w:p>
    <w:p w:rsidR="00BC55D8" w:rsidRPr="009C76DB" w:rsidRDefault="00E52595" w:rsidP="00BC55D8">
      <w:pPr>
        <w:widowControl w:val="0"/>
        <w:autoSpaceDE w:val="0"/>
        <w:autoSpaceDN w:val="0"/>
        <w:adjustRightInd w:val="0"/>
        <w:ind w:right="23"/>
        <w:jc w:val="both"/>
        <w:rPr>
          <w:rFonts w:asciiTheme="minorHAnsi" w:hAnsiTheme="minorHAnsi" w:cstheme="minorHAnsi"/>
          <w:bCs/>
          <w:sz w:val="22"/>
        </w:rPr>
      </w:pPr>
      <m:oMath>
        <m:sSub>
          <m:sSubPr>
            <m:ctrlPr>
              <w:rPr>
                <w:rFonts w:ascii="Cambria Math" w:hAnsi="Cambria Math" w:cstheme="minorHAnsi"/>
                <w:bCs/>
                <w:sz w:val="22"/>
              </w:rPr>
            </m:ctrlPr>
          </m:sSubPr>
          <m:e>
            <m:r>
              <m:rPr>
                <m:sty m:val="p"/>
              </m:rPr>
              <w:rPr>
                <w:rFonts w:ascii="Cambria Math" w:hAnsi="Cambria Math" w:cstheme="minorHAnsi"/>
                <w:sz w:val="22"/>
              </w:rPr>
              <m:t>DC</m:t>
            </m:r>
          </m:e>
          <m:sub>
            <m:r>
              <m:rPr>
                <m:sty m:val="p"/>
              </m:rPr>
              <w:rPr>
                <w:rFonts w:ascii="Cambria Math" w:hAnsi="Cambria Math" w:cstheme="minorHAnsi"/>
                <w:sz w:val="22"/>
              </w:rPr>
              <m:t>t</m:t>
            </m:r>
          </m:sub>
        </m:sSub>
        <m:r>
          <m:rPr>
            <m:sty m:val="p"/>
          </m:rPr>
          <w:rPr>
            <w:rFonts w:ascii="Cambria Math" w:hAnsi="Cambria Math" w:cstheme="minorHAnsi"/>
            <w:sz w:val="22"/>
          </w:rPr>
          <m:t>=186.853+45.775∙t</m:t>
        </m:r>
      </m:oMath>
      <w:r w:rsidR="00BC55D8" w:rsidRPr="009C76DB">
        <w:rPr>
          <w:rFonts w:asciiTheme="minorHAnsi" w:hAnsiTheme="minorHAnsi" w:cstheme="minorHAnsi"/>
          <w:bCs/>
          <w:sz w:val="22"/>
        </w:rPr>
        <w:t xml:space="preserve">, </w:t>
      </w:r>
      <w:r w:rsidR="00BC55D8" w:rsidRPr="009C76DB">
        <w:rPr>
          <w:rFonts w:asciiTheme="minorHAnsi" w:hAnsiTheme="minorHAnsi" w:cstheme="minorHAnsi"/>
          <w:bCs/>
          <w:sz w:val="22"/>
        </w:rPr>
        <w:tab/>
      </w:r>
      <w:r w:rsidR="00BC55D8" w:rsidRPr="009C76DB">
        <w:rPr>
          <w:rFonts w:asciiTheme="minorHAnsi" w:hAnsiTheme="minorHAnsi" w:cstheme="minorHAnsi"/>
          <w:bCs/>
          <w:sz w:val="22"/>
        </w:rPr>
        <w:tab/>
      </w:r>
      <w:r w:rsidR="00BC55D8" w:rsidRPr="009C76DB">
        <w:rPr>
          <w:rFonts w:asciiTheme="minorHAnsi" w:hAnsiTheme="minorHAnsi" w:cstheme="minorHAnsi"/>
          <w:bCs/>
          <w:sz w:val="22"/>
        </w:rPr>
        <w:tab/>
        <w:t xml:space="preserve">para </w:t>
      </w:r>
      <w:r w:rsidR="00BC55D8">
        <w:rPr>
          <w:rFonts w:asciiTheme="minorHAnsi" w:hAnsiTheme="minorHAnsi" w:cstheme="minorHAnsi"/>
          <w:bCs/>
          <w:sz w:val="22"/>
        </w:rPr>
        <w:t>0</w:t>
      </w:r>
      <w:r w:rsidR="00BC55D8" w:rsidRPr="009C76DB">
        <w:rPr>
          <w:rFonts w:asciiTheme="minorHAnsi" w:hAnsiTheme="minorHAnsi" w:cstheme="minorHAnsi"/>
          <w:bCs/>
          <w:sz w:val="22"/>
        </w:rPr>
        <w:t>≤t&lt;1</w:t>
      </w:r>
      <w:r w:rsidR="00A57D10">
        <w:rPr>
          <w:rFonts w:asciiTheme="minorHAnsi" w:hAnsiTheme="minorHAnsi" w:cstheme="minorHAnsi"/>
          <w:bCs/>
          <w:sz w:val="22"/>
        </w:rPr>
        <w:t>5</w:t>
      </w:r>
    </w:p>
    <w:p w:rsidR="00BC55D8" w:rsidRPr="009C76DB" w:rsidRDefault="00BC55D8" w:rsidP="00BC55D8">
      <w:pPr>
        <w:widowControl w:val="0"/>
        <w:autoSpaceDE w:val="0"/>
        <w:autoSpaceDN w:val="0"/>
        <w:adjustRightInd w:val="0"/>
        <w:ind w:right="23"/>
        <w:jc w:val="both"/>
        <w:rPr>
          <w:rFonts w:asciiTheme="minorHAnsi" w:hAnsiTheme="minorHAnsi" w:cstheme="minorHAnsi"/>
          <w:bCs/>
          <w:sz w:val="16"/>
          <w:szCs w:val="18"/>
        </w:rPr>
      </w:pPr>
    </w:p>
    <w:p w:rsidR="00BC55D8" w:rsidRPr="009C76DB" w:rsidRDefault="00E52595" w:rsidP="00BC55D8">
      <w:pPr>
        <w:widowControl w:val="0"/>
        <w:autoSpaceDE w:val="0"/>
        <w:autoSpaceDN w:val="0"/>
        <w:adjustRightInd w:val="0"/>
        <w:ind w:right="23"/>
        <w:jc w:val="both"/>
        <w:rPr>
          <w:rFonts w:asciiTheme="minorHAnsi" w:hAnsiTheme="minorHAnsi" w:cstheme="minorHAnsi"/>
          <w:bCs/>
          <w:sz w:val="22"/>
        </w:rPr>
      </w:pPr>
      <m:oMath>
        <m:sSub>
          <m:sSubPr>
            <m:ctrlPr>
              <w:rPr>
                <w:rFonts w:ascii="Cambria Math" w:hAnsi="Cambria Math" w:cstheme="minorHAnsi"/>
                <w:bCs/>
                <w:sz w:val="22"/>
              </w:rPr>
            </m:ctrlPr>
          </m:sSubPr>
          <m:e>
            <m:r>
              <m:rPr>
                <m:sty m:val="p"/>
              </m:rPr>
              <w:rPr>
                <w:rFonts w:ascii="Cambria Math" w:hAnsi="Cambria Math" w:cstheme="minorHAnsi"/>
                <w:sz w:val="22"/>
              </w:rPr>
              <m:t>DC</m:t>
            </m:r>
          </m:e>
          <m:sub>
            <m:r>
              <m:rPr>
                <m:sty m:val="p"/>
              </m:rPr>
              <w:rPr>
                <w:rFonts w:ascii="Cambria Math" w:hAnsi="Cambria Math" w:cstheme="minorHAnsi"/>
                <w:sz w:val="22"/>
              </w:rPr>
              <m:t>t</m:t>
            </m:r>
          </m:sub>
        </m:sSub>
        <m:r>
          <m:rPr>
            <m:sty m:val="p"/>
          </m:rPr>
          <w:rPr>
            <w:rFonts w:ascii="Cambria Math" w:hAnsi="Cambria Math" w:cstheme="minorHAnsi"/>
            <w:sz w:val="22"/>
          </w:rPr>
          <m:t>=0,07355∙4,18∙</m:t>
        </m:r>
        <m:sSub>
          <m:sSubPr>
            <m:ctrlPr>
              <w:rPr>
                <w:rFonts w:ascii="Cambria Math" w:hAnsi="Cambria Math" w:cstheme="minorHAnsi"/>
                <w:bCs/>
                <w:sz w:val="22"/>
              </w:rPr>
            </m:ctrlPr>
          </m:sSubPr>
          <m:e>
            <m:r>
              <m:rPr>
                <m:sty m:val="p"/>
              </m:rPr>
              <w:rPr>
                <w:rFonts w:ascii="Cambria Math" w:hAnsi="Cambria Math" w:cstheme="minorHAnsi"/>
                <w:sz w:val="22"/>
              </w:rPr>
              <m:t>Pob</m:t>
            </m:r>
          </m:e>
          <m:sub>
            <m:r>
              <m:rPr>
                <m:sty m:val="p"/>
              </m:rPr>
              <w:rPr>
                <w:rFonts w:ascii="Cambria Math" w:hAnsi="Cambria Math" w:cstheme="minorHAnsi"/>
                <w:sz w:val="22"/>
              </w:rPr>
              <m:t>t</m:t>
            </m:r>
          </m:sub>
        </m:sSub>
      </m:oMath>
      <w:r w:rsidR="00BC55D8" w:rsidRPr="009C76DB">
        <w:rPr>
          <w:rFonts w:asciiTheme="minorHAnsi" w:hAnsiTheme="minorHAnsi" w:cstheme="minorHAnsi"/>
          <w:bCs/>
          <w:sz w:val="22"/>
        </w:rPr>
        <w:t xml:space="preserve">, </w:t>
      </w:r>
      <w:r w:rsidR="00BC55D8" w:rsidRPr="009C76DB">
        <w:rPr>
          <w:rFonts w:asciiTheme="minorHAnsi" w:hAnsiTheme="minorHAnsi" w:cstheme="minorHAnsi"/>
          <w:bCs/>
          <w:sz w:val="22"/>
        </w:rPr>
        <w:tab/>
      </w:r>
      <w:r w:rsidR="00BC55D8" w:rsidRPr="009C76DB">
        <w:rPr>
          <w:rFonts w:asciiTheme="minorHAnsi" w:hAnsiTheme="minorHAnsi" w:cstheme="minorHAnsi"/>
          <w:bCs/>
          <w:sz w:val="22"/>
        </w:rPr>
        <w:tab/>
      </w:r>
      <w:r w:rsidR="00BC55D8" w:rsidRPr="009C76DB">
        <w:rPr>
          <w:rFonts w:asciiTheme="minorHAnsi" w:hAnsiTheme="minorHAnsi" w:cstheme="minorHAnsi"/>
          <w:bCs/>
          <w:sz w:val="22"/>
        </w:rPr>
        <w:tab/>
        <w:t>para t</w:t>
      </w:r>
      <w:r w:rsidR="00BC55D8" w:rsidRPr="009C76DB">
        <w:rPr>
          <w:rFonts w:asciiTheme="minorHAnsi" w:hAnsiTheme="minorHAnsi" w:cstheme="minorHAnsi"/>
          <w:bCs/>
          <w:sz w:val="22"/>
        </w:rPr>
        <w:sym w:font="Symbol" w:char="F0B3"/>
      </w:r>
      <w:r w:rsidR="00BC55D8" w:rsidRPr="009C76DB">
        <w:rPr>
          <w:rFonts w:asciiTheme="minorHAnsi" w:hAnsiTheme="minorHAnsi" w:cstheme="minorHAnsi"/>
          <w:bCs/>
          <w:sz w:val="22"/>
        </w:rPr>
        <w:t>1</w:t>
      </w:r>
      <w:r w:rsidR="00A57D10">
        <w:rPr>
          <w:rFonts w:asciiTheme="minorHAnsi" w:hAnsiTheme="minorHAnsi" w:cstheme="minorHAnsi"/>
          <w:bCs/>
          <w:sz w:val="22"/>
        </w:rPr>
        <w:t>5</w:t>
      </w:r>
    </w:p>
    <w:p w:rsidR="00BC55D8" w:rsidRPr="009C76DB" w:rsidRDefault="00BC55D8" w:rsidP="00BC55D8">
      <w:pPr>
        <w:widowControl w:val="0"/>
        <w:autoSpaceDE w:val="0"/>
        <w:autoSpaceDN w:val="0"/>
        <w:adjustRightInd w:val="0"/>
        <w:ind w:right="23"/>
        <w:jc w:val="both"/>
        <w:rPr>
          <w:rFonts w:asciiTheme="minorHAnsi" w:hAnsiTheme="minorHAnsi" w:cstheme="minorHAnsi"/>
          <w:bCs/>
          <w:sz w:val="22"/>
        </w:rPr>
      </w:pPr>
    </w:p>
    <w:p w:rsidR="00BC55D8" w:rsidRPr="009C76DB" w:rsidRDefault="00BC55D8" w:rsidP="00BC55D8">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 xml:space="preserve">Donde </w:t>
      </w:r>
      <w:r w:rsidR="00A57D10">
        <w:rPr>
          <w:rFonts w:asciiTheme="minorHAnsi" w:hAnsiTheme="minorHAnsi" w:cstheme="minorHAnsi"/>
          <w:bCs/>
          <w:sz w:val="22"/>
        </w:rPr>
        <w:t>186.853</w:t>
      </w:r>
      <w:r w:rsidRPr="009C76DB">
        <w:rPr>
          <w:rFonts w:asciiTheme="minorHAnsi" w:hAnsiTheme="minorHAnsi" w:cstheme="minorHAnsi"/>
          <w:bCs/>
          <w:sz w:val="22"/>
        </w:rPr>
        <w:t xml:space="preserve"> corresponden al número de días cama para el año 201</w:t>
      </w:r>
      <w:r>
        <w:rPr>
          <w:rFonts w:asciiTheme="minorHAnsi" w:hAnsiTheme="minorHAnsi" w:cstheme="minorHAnsi"/>
          <w:bCs/>
          <w:sz w:val="22"/>
        </w:rPr>
        <w:t>3</w:t>
      </w:r>
      <w:r w:rsidRPr="009C76DB">
        <w:rPr>
          <w:rFonts w:asciiTheme="minorHAnsi" w:hAnsiTheme="minorHAnsi" w:cstheme="minorHAnsi"/>
          <w:bCs/>
          <w:sz w:val="22"/>
        </w:rPr>
        <w:t xml:space="preserve">, considerando </w:t>
      </w:r>
      <w:r>
        <w:rPr>
          <w:rFonts w:asciiTheme="minorHAnsi" w:hAnsiTheme="minorHAnsi" w:cstheme="minorHAnsi"/>
          <w:bCs/>
          <w:sz w:val="22"/>
        </w:rPr>
        <w:t>4,18</w:t>
      </w:r>
      <w:r w:rsidRPr="009C76DB">
        <w:rPr>
          <w:rFonts w:asciiTheme="minorHAnsi" w:hAnsiTheme="minorHAnsi" w:cstheme="minorHAnsi"/>
          <w:bCs/>
          <w:sz w:val="22"/>
        </w:rPr>
        <w:t xml:space="preserve"> días de estada y </w:t>
      </w:r>
      <w:r w:rsidR="00A57D10">
        <w:rPr>
          <w:rFonts w:asciiTheme="minorHAnsi" w:hAnsiTheme="minorHAnsi" w:cstheme="minorHAnsi"/>
          <w:bCs/>
          <w:sz w:val="22"/>
        </w:rPr>
        <w:t>45.775</w:t>
      </w:r>
      <w:r w:rsidRPr="009C76DB">
        <w:rPr>
          <w:rFonts w:asciiTheme="minorHAnsi" w:hAnsiTheme="minorHAnsi" w:cstheme="minorHAnsi"/>
          <w:bCs/>
          <w:sz w:val="22"/>
        </w:rPr>
        <w:t xml:space="preserve"> </w:t>
      </w:r>
      <w:r>
        <w:rPr>
          <w:rFonts w:asciiTheme="minorHAnsi" w:hAnsiTheme="minorHAnsi" w:cstheme="minorHAnsi"/>
          <w:bCs/>
          <w:sz w:val="22"/>
        </w:rPr>
        <w:t>corresponderá</w:t>
      </w:r>
      <w:r w:rsidRPr="009C76DB">
        <w:rPr>
          <w:rFonts w:asciiTheme="minorHAnsi" w:hAnsiTheme="minorHAnsi" w:cstheme="minorHAnsi"/>
          <w:bCs/>
          <w:sz w:val="22"/>
        </w:rPr>
        <w:t xml:space="preserve"> el aumento anual esperado de días cama obtenido a partir de la diferencia entre la demanda potencial estimada para el </w:t>
      </w:r>
      <w:r>
        <w:rPr>
          <w:rFonts w:asciiTheme="minorHAnsi" w:hAnsiTheme="minorHAnsi" w:cstheme="minorHAnsi"/>
          <w:bCs/>
          <w:sz w:val="22"/>
        </w:rPr>
        <w:t>periodo</w:t>
      </w:r>
      <w:r w:rsidRPr="009C76DB">
        <w:rPr>
          <w:rFonts w:asciiTheme="minorHAnsi" w:hAnsiTheme="minorHAnsi" w:cstheme="minorHAnsi"/>
          <w:bCs/>
          <w:sz w:val="22"/>
        </w:rPr>
        <w:t xml:space="preserve"> </w:t>
      </w:r>
      <w:r>
        <w:rPr>
          <w:rFonts w:asciiTheme="minorHAnsi" w:hAnsiTheme="minorHAnsi" w:cstheme="minorHAnsi"/>
          <w:bCs/>
          <w:sz w:val="22"/>
        </w:rPr>
        <w:t>14</w:t>
      </w:r>
      <w:r w:rsidRPr="009C76DB">
        <w:rPr>
          <w:rFonts w:asciiTheme="minorHAnsi" w:hAnsiTheme="minorHAnsi" w:cstheme="minorHAnsi"/>
          <w:bCs/>
          <w:sz w:val="22"/>
        </w:rPr>
        <w:t xml:space="preserve"> y la demanda esperada para el </w:t>
      </w:r>
      <w:r>
        <w:rPr>
          <w:rFonts w:asciiTheme="minorHAnsi" w:hAnsiTheme="minorHAnsi" w:cstheme="minorHAnsi"/>
          <w:bCs/>
          <w:sz w:val="22"/>
        </w:rPr>
        <w:t>periodo</w:t>
      </w:r>
      <w:r w:rsidRPr="009C76DB">
        <w:rPr>
          <w:rFonts w:asciiTheme="minorHAnsi" w:hAnsiTheme="minorHAnsi" w:cstheme="minorHAnsi"/>
          <w:bCs/>
          <w:sz w:val="22"/>
        </w:rPr>
        <w:t xml:space="preserve"> </w:t>
      </w:r>
      <w:r>
        <w:rPr>
          <w:rFonts w:asciiTheme="minorHAnsi" w:hAnsiTheme="minorHAnsi" w:cstheme="minorHAnsi"/>
          <w:bCs/>
          <w:sz w:val="22"/>
        </w:rPr>
        <w:t>-</w:t>
      </w:r>
      <w:r w:rsidR="00A57D10">
        <w:rPr>
          <w:rFonts w:asciiTheme="minorHAnsi" w:hAnsiTheme="minorHAnsi" w:cstheme="minorHAnsi"/>
          <w:bCs/>
          <w:sz w:val="22"/>
        </w:rPr>
        <w:t>2</w:t>
      </w:r>
      <w:r w:rsidRPr="009C76DB">
        <w:rPr>
          <w:rFonts w:asciiTheme="minorHAnsi" w:hAnsiTheme="minorHAnsi" w:cstheme="minorHAnsi"/>
          <w:bCs/>
          <w:sz w:val="22"/>
        </w:rPr>
        <w:t>,</w:t>
      </w:r>
      <w:r>
        <w:rPr>
          <w:rFonts w:asciiTheme="minorHAnsi" w:hAnsiTheme="minorHAnsi" w:cstheme="minorHAnsi"/>
          <w:bCs/>
          <w:sz w:val="22"/>
        </w:rPr>
        <w:t xml:space="preserve"> año 20</w:t>
      </w:r>
      <w:r w:rsidR="00A57D10">
        <w:rPr>
          <w:rFonts w:asciiTheme="minorHAnsi" w:hAnsiTheme="minorHAnsi" w:cstheme="minorHAnsi"/>
          <w:bCs/>
          <w:sz w:val="22"/>
        </w:rPr>
        <w:t>1</w:t>
      </w:r>
      <w:r>
        <w:rPr>
          <w:rFonts w:asciiTheme="minorHAnsi" w:hAnsiTheme="minorHAnsi" w:cstheme="minorHAnsi"/>
          <w:bCs/>
          <w:sz w:val="22"/>
        </w:rPr>
        <w:t>1, d</w:t>
      </w:r>
      <w:r w:rsidRPr="009C76DB">
        <w:rPr>
          <w:rFonts w:asciiTheme="minorHAnsi" w:hAnsiTheme="minorHAnsi" w:cstheme="minorHAnsi"/>
          <w:bCs/>
          <w:sz w:val="22"/>
        </w:rPr>
        <w:t xml:space="preserve">ividido por </w:t>
      </w:r>
      <w:r>
        <w:rPr>
          <w:rFonts w:asciiTheme="minorHAnsi" w:hAnsiTheme="minorHAnsi" w:cstheme="minorHAnsi"/>
          <w:bCs/>
          <w:sz w:val="22"/>
        </w:rPr>
        <w:t>1</w:t>
      </w:r>
      <w:r w:rsidR="00A57D10">
        <w:rPr>
          <w:rFonts w:asciiTheme="minorHAnsi" w:hAnsiTheme="minorHAnsi" w:cstheme="minorHAnsi"/>
          <w:bCs/>
          <w:sz w:val="22"/>
        </w:rPr>
        <w:t>6</w:t>
      </w:r>
      <w:r w:rsidRPr="009C76DB">
        <w:rPr>
          <w:rFonts w:asciiTheme="minorHAnsi" w:hAnsiTheme="minorHAnsi" w:cstheme="minorHAnsi"/>
          <w:bCs/>
          <w:sz w:val="22"/>
        </w:rPr>
        <w:t>.</w:t>
      </w:r>
    </w:p>
    <w:p w:rsidR="00BC55D8" w:rsidRPr="009C76DB" w:rsidRDefault="00BC55D8" w:rsidP="00BC55D8">
      <w:pPr>
        <w:widowControl w:val="0"/>
        <w:autoSpaceDE w:val="0"/>
        <w:autoSpaceDN w:val="0"/>
        <w:adjustRightInd w:val="0"/>
        <w:ind w:right="23"/>
        <w:jc w:val="both"/>
        <w:rPr>
          <w:rFonts w:asciiTheme="minorHAnsi" w:hAnsiTheme="minorHAnsi" w:cstheme="minorHAnsi"/>
          <w:bCs/>
          <w:sz w:val="22"/>
        </w:rPr>
      </w:pPr>
    </w:p>
    <w:p w:rsidR="00BC55D8" w:rsidRPr="009C76DB" w:rsidRDefault="00BC55D8" w:rsidP="00BC55D8">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DC = Días cama</w:t>
      </w:r>
    </w:p>
    <w:p w:rsidR="00BC55D8" w:rsidRPr="009C76DB" w:rsidRDefault="00BC55D8" w:rsidP="00BC55D8">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 xml:space="preserve">t = </w:t>
      </w:r>
      <w:r>
        <w:rPr>
          <w:rFonts w:asciiTheme="minorHAnsi" w:hAnsiTheme="minorHAnsi" w:cstheme="minorHAnsi"/>
          <w:bCs/>
          <w:sz w:val="22"/>
        </w:rPr>
        <w:t>periodo</w:t>
      </w:r>
      <w:r w:rsidRPr="009C76DB">
        <w:rPr>
          <w:rFonts w:asciiTheme="minorHAnsi" w:hAnsiTheme="minorHAnsi" w:cstheme="minorHAnsi"/>
          <w:bCs/>
          <w:sz w:val="22"/>
        </w:rPr>
        <w:t xml:space="preserve"> de evaluación</w:t>
      </w:r>
    </w:p>
    <w:p w:rsidR="00BC55D8" w:rsidRPr="009C76DB" w:rsidRDefault="00BC55D8" w:rsidP="00BC55D8">
      <w:pPr>
        <w:widowControl w:val="0"/>
        <w:autoSpaceDE w:val="0"/>
        <w:autoSpaceDN w:val="0"/>
        <w:adjustRightInd w:val="0"/>
        <w:ind w:right="23"/>
        <w:jc w:val="both"/>
        <w:rPr>
          <w:rFonts w:asciiTheme="minorHAnsi" w:hAnsiTheme="minorHAnsi" w:cstheme="minorHAnsi"/>
          <w:bCs/>
          <w:sz w:val="16"/>
          <w:szCs w:val="18"/>
        </w:rPr>
      </w:pPr>
      <w:r w:rsidRPr="009C76DB">
        <w:rPr>
          <w:rFonts w:asciiTheme="minorHAnsi" w:hAnsiTheme="minorHAnsi" w:cstheme="minorHAnsi"/>
          <w:bCs/>
          <w:sz w:val="22"/>
        </w:rPr>
        <w:t>Pob</w:t>
      </w:r>
      <w:r w:rsidRPr="009C76DB">
        <w:rPr>
          <w:rFonts w:asciiTheme="minorHAnsi" w:hAnsiTheme="minorHAnsi" w:cstheme="minorHAnsi"/>
          <w:bCs/>
          <w:sz w:val="22"/>
          <w:vertAlign w:val="subscript"/>
        </w:rPr>
        <w:t>t</w:t>
      </w:r>
      <w:r w:rsidRPr="009C76DB">
        <w:rPr>
          <w:rFonts w:asciiTheme="minorHAnsi" w:hAnsiTheme="minorHAnsi" w:cstheme="minorHAnsi"/>
          <w:bCs/>
          <w:sz w:val="22"/>
        </w:rPr>
        <w:t xml:space="preserve"> = Población de referencia en el </w:t>
      </w:r>
      <w:r>
        <w:rPr>
          <w:rFonts w:asciiTheme="minorHAnsi" w:hAnsiTheme="minorHAnsi" w:cstheme="minorHAnsi"/>
          <w:bCs/>
          <w:sz w:val="22"/>
        </w:rPr>
        <w:t>periodo</w:t>
      </w:r>
      <w:r w:rsidRPr="009C76DB">
        <w:rPr>
          <w:rFonts w:asciiTheme="minorHAnsi" w:hAnsiTheme="minorHAnsi" w:cstheme="minorHAnsi"/>
          <w:bCs/>
          <w:sz w:val="22"/>
        </w:rPr>
        <w:t xml:space="preserve"> t.</w:t>
      </w:r>
    </w:p>
    <w:p w:rsidR="004F4BCF" w:rsidRDefault="004F4BCF" w:rsidP="004F4BCF">
      <w:pPr>
        <w:rPr>
          <w:rFonts w:asciiTheme="minorHAnsi" w:hAnsiTheme="minorHAnsi" w:cstheme="minorHAnsi"/>
          <w:b/>
          <w:bCs/>
          <w:sz w:val="22"/>
          <w:szCs w:val="22"/>
        </w:rPr>
      </w:pPr>
    </w:p>
    <w:p w:rsidR="00BC55D8" w:rsidRDefault="00BC55D8" w:rsidP="004F4BCF">
      <w:pPr>
        <w:rPr>
          <w:rFonts w:asciiTheme="minorHAnsi" w:hAnsiTheme="minorHAnsi" w:cstheme="minorHAnsi"/>
          <w:b/>
          <w:bCs/>
          <w:sz w:val="22"/>
          <w:szCs w:val="22"/>
        </w:rPr>
      </w:pPr>
    </w:p>
    <w:p w:rsidR="004F4BCF" w:rsidRPr="000E45E9" w:rsidRDefault="004F4BCF" w:rsidP="008A366B">
      <w:pPr>
        <w:pStyle w:val="Heading2"/>
        <w:numPr>
          <w:ilvl w:val="1"/>
          <w:numId w:val="1"/>
        </w:numPr>
        <w:spacing w:line="276" w:lineRule="auto"/>
        <w:rPr>
          <w:rFonts w:asciiTheme="minorHAnsi" w:hAnsiTheme="minorHAnsi" w:cstheme="minorHAnsi"/>
          <w:b w:val="0"/>
          <w:color w:val="auto"/>
          <w:lang w:val="es-ES_tradnl"/>
        </w:rPr>
      </w:pPr>
      <w:bookmarkStart w:id="44" w:name="_Toc373093508"/>
      <w:r w:rsidRPr="000E45E9">
        <w:rPr>
          <w:rFonts w:asciiTheme="minorHAnsi" w:hAnsiTheme="minorHAnsi" w:cstheme="minorHAnsi"/>
          <w:b w:val="0"/>
          <w:color w:val="auto"/>
          <w:lang w:val="es-ES_tradnl"/>
        </w:rPr>
        <w:t>Días cama de hospitalización destinadas a parto</w:t>
      </w:r>
      <w:bookmarkEnd w:id="44"/>
    </w:p>
    <w:p w:rsidR="004F4BCF" w:rsidRDefault="004F4BCF" w:rsidP="004F4BCF">
      <w:pPr>
        <w:rPr>
          <w:rFonts w:asciiTheme="minorHAnsi" w:hAnsiTheme="minorHAnsi" w:cstheme="minorHAnsi"/>
          <w:b/>
          <w:bCs/>
          <w:sz w:val="22"/>
          <w:szCs w:val="22"/>
        </w:rPr>
      </w:pPr>
    </w:p>
    <w:p w:rsidR="0005008F" w:rsidRDefault="0005008F" w:rsidP="0005008F">
      <w:pPr>
        <w:jc w:val="both"/>
        <w:rPr>
          <w:rFonts w:asciiTheme="minorHAnsi" w:hAnsiTheme="minorHAnsi" w:cstheme="minorHAnsi"/>
          <w:bCs/>
          <w:sz w:val="22"/>
          <w:szCs w:val="22"/>
        </w:rPr>
      </w:pPr>
      <w:r w:rsidRPr="0005008F">
        <w:rPr>
          <w:rFonts w:asciiTheme="minorHAnsi" w:hAnsiTheme="minorHAnsi" w:cstheme="minorHAnsi"/>
          <w:bCs/>
          <w:sz w:val="22"/>
          <w:szCs w:val="22"/>
        </w:rPr>
        <w:t xml:space="preserve">El número de partos se </w:t>
      </w:r>
      <w:r w:rsidR="009D12C8">
        <w:rPr>
          <w:rFonts w:asciiTheme="minorHAnsi" w:hAnsiTheme="minorHAnsi" w:cstheme="minorHAnsi"/>
          <w:bCs/>
          <w:sz w:val="22"/>
          <w:szCs w:val="22"/>
        </w:rPr>
        <w:t>estima como proporción de los partos esperados en el año 2012 en la población total.</w:t>
      </w:r>
      <w:r>
        <w:rPr>
          <w:rFonts w:asciiTheme="minorHAnsi" w:hAnsiTheme="minorHAnsi" w:cstheme="minorHAnsi"/>
          <w:bCs/>
          <w:sz w:val="22"/>
          <w:szCs w:val="22"/>
        </w:rPr>
        <w:t xml:space="preserve"> </w:t>
      </w:r>
      <w:r w:rsidR="009D12C8">
        <w:rPr>
          <w:rFonts w:asciiTheme="minorHAnsi" w:hAnsiTheme="minorHAnsi" w:cstheme="minorHAnsi"/>
          <w:bCs/>
          <w:sz w:val="22"/>
          <w:szCs w:val="22"/>
        </w:rPr>
        <w:t>De acuerdo a los antecedentes con los que contamos los partos esperados durante el año 2012 alcanzaban a 27.548</w:t>
      </w:r>
      <w:r w:rsidR="00417BB6">
        <w:rPr>
          <w:rFonts w:asciiTheme="minorHAnsi" w:hAnsiTheme="minorHAnsi" w:cstheme="minorHAnsi"/>
          <w:bCs/>
          <w:sz w:val="22"/>
          <w:szCs w:val="22"/>
        </w:rPr>
        <w:t>, la proporción de estos partos respecto de la población de referencia es de 0,0134.</w:t>
      </w:r>
      <w:r w:rsidR="00417BB6">
        <w:rPr>
          <w:rStyle w:val="FootnoteReference"/>
          <w:rFonts w:asciiTheme="minorHAnsi" w:hAnsiTheme="minorHAnsi" w:cstheme="minorHAnsi"/>
          <w:bCs/>
          <w:sz w:val="22"/>
          <w:szCs w:val="22"/>
        </w:rPr>
        <w:footnoteReference w:id="40"/>
      </w:r>
      <w:r w:rsidR="00417BB6">
        <w:rPr>
          <w:rFonts w:asciiTheme="minorHAnsi" w:hAnsiTheme="minorHAnsi" w:cstheme="minorHAnsi"/>
          <w:bCs/>
          <w:sz w:val="22"/>
          <w:szCs w:val="22"/>
        </w:rPr>
        <w:t xml:space="preserve"> La expresión formal que utilizamos para estimar la demanda de atención de partos es la siguiente:</w:t>
      </w:r>
    </w:p>
    <w:p w:rsidR="00417BB6" w:rsidRDefault="00417BB6" w:rsidP="0005008F">
      <w:pPr>
        <w:jc w:val="both"/>
        <w:rPr>
          <w:rFonts w:asciiTheme="minorHAnsi" w:hAnsiTheme="minorHAnsi" w:cstheme="minorHAnsi"/>
          <w:bCs/>
          <w:sz w:val="22"/>
          <w:szCs w:val="22"/>
        </w:rPr>
      </w:pPr>
    </w:p>
    <w:p w:rsidR="00417BB6" w:rsidRDefault="00E52595" w:rsidP="0005008F">
      <w:pPr>
        <w:jc w:val="both"/>
        <w:rPr>
          <w:rFonts w:asciiTheme="minorHAnsi" w:hAnsiTheme="minorHAnsi" w:cstheme="minorHAnsi"/>
          <w:bCs/>
          <w:sz w:val="22"/>
          <w:szCs w:val="22"/>
        </w:rPr>
      </w:pPr>
      <m:oMath>
        <m:sSub>
          <m:sSubPr>
            <m:ctrlPr>
              <w:rPr>
                <w:rFonts w:ascii="Cambria Math" w:hAnsi="Cambria Math" w:cstheme="minorHAnsi"/>
                <w:bCs/>
                <w:sz w:val="22"/>
              </w:rPr>
            </m:ctrlPr>
          </m:sSubPr>
          <m:e>
            <m:r>
              <m:rPr>
                <m:sty m:val="p"/>
              </m:rPr>
              <w:rPr>
                <w:rFonts w:ascii="Cambria Math" w:hAnsi="Cambria Math" w:cstheme="minorHAnsi"/>
                <w:sz w:val="22"/>
              </w:rPr>
              <m:t>PE</m:t>
            </m:r>
          </m:e>
          <m:sub>
            <m:r>
              <m:rPr>
                <m:sty m:val="p"/>
              </m:rPr>
              <w:rPr>
                <w:rFonts w:ascii="Cambria Math" w:hAnsi="Cambria Math" w:cstheme="minorHAnsi"/>
                <w:sz w:val="22"/>
              </w:rPr>
              <m:t>t</m:t>
            </m:r>
          </m:sub>
        </m:sSub>
        <m:r>
          <m:rPr>
            <m:sty m:val="p"/>
          </m:rPr>
          <w:rPr>
            <w:rFonts w:ascii="Cambria Math" w:hAnsi="Cambria Math" w:cstheme="minorHAnsi"/>
            <w:sz w:val="22"/>
          </w:rPr>
          <m:t>=</m:t>
        </m:r>
        <m:d>
          <m:dPr>
            <m:ctrlPr>
              <w:rPr>
                <w:rFonts w:ascii="Cambria Math" w:hAnsi="Cambria Math" w:cstheme="minorHAnsi"/>
                <w:sz w:val="22"/>
              </w:rPr>
            </m:ctrlPr>
          </m:dPr>
          <m:e>
            <m:f>
              <m:fPr>
                <m:ctrlPr>
                  <w:rPr>
                    <w:rFonts w:ascii="Cambria Math" w:hAnsi="Cambria Math" w:cstheme="minorHAnsi"/>
                    <w:i/>
                    <w:sz w:val="22"/>
                  </w:rPr>
                </m:ctrlPr>
              </m:fPr>
              <m:num>
                <m:sSub>
                  <m:sSubPr>
                    <m:ctrlPr>
                      <w:rPr>
                        <w:rFonts w:ascii="Cambria Math" w:hAnsi="Cambria Math" w:cstheme="minorHAnsi"/>
                        <w:i/>
                        <w:sz w:val="22"/>
                      </w:rPr>
                    </m:ctrlPr>
                  </m:sSubPr>
                  <m:e>
                    <m:r>
                      <w:rPr>
                        <w:rFonts w:ascii="Cambria Math" w:hAnsi="Cambria Math" w:cstheme="minorHAnsi"/>
                        <w:sz w:val="22"/>
                      </w:rPr>
                      <m:t>PE</m:t>
                    </m:r>
                  </m:e>
                  <m:sub>
                    <m:r>
                      <w:rPr>
                        <w:rFonts w:ascii="Cambria Math" w:hAnsi="Cambria Math" w:cstheme="minorHAnsi"/>
                        <w:sz w:val="22"/>
                      </w:rPr>
                      <m:t>2012</m:t>
                    </m:r>
                  </m:sub>
                </m:sSub>
              </m:num>
              <m:den>
                <m:sSub>
                  <m:sSubPr>
                    <m:ctrlPr>
                      <w:rPr>
                        <w:rFonts w:ascii="Cambria Math" w:hAnsi="Cambria Math" w:cstheme="minorHAnsi"/>
                        <w:i/>
                        <w:sz w:val="22"/>
                      </w:rPr>
                    </m:ctrlPr>
                  </m:sSubPr>
                  <m:e>
                    <m:r>
                      <w:rPr>
                        <w:rFonts w:ascii="Cambria Math" w:hAnsi="Cambria Math" w:cstheme="minorHAnsi"/>
                        <w:sz w:val="22"/>
                      </w:rPr>
                      <m:t>Pob</m:t>
                    </m:r>
                  </m:e>
                  <m:sub>
                    <m:r>
                      <w:rPr>
                        <w:rFonts w:ascii="Cambria Math" w:hAnsi="Cambria Math" w:cstheme="minorHAnsi"/>
                        <w:sz w:val="22"/>
                      </w:rPr>
                      <m:t>2012</m:t>
                    </m:r>
                  </m:sub>
                </m:sSub>
              </m:den>
            </m:f>
          </m:e>
        </m:d>
        <m:r>
          <m:rPr>
            <m:sty m:val="p"/>
          </m:rPr>
          <w:rPr>
            <w:rFonts w:ascii="Cambria Math" w:hAnsi="Cambria Math" w:cstheme="minorHAnsi"/>
            <w:sz w:val="22"/>
          </w:rPr>
          <m:t>∙</m:t>
        </m:r>
        <m:sSub>
          <m:sSubPr>
            <m:ctrlPr>
              <w:rPr>
                <w:rFonts w:ascii="Cambria Math" w:hAnsi="Cambria Math" w:cstheme="minorHAnsi"/>
                <w:bCs/>
                <w:sz w:val="22"/>
              </w:rPr>
            </m:ctrlPr>
          </m:sSubPr>
          <m:e>
            <m:r>
              <m:rPr>
                <m:sty m:val="p"/>
              </m:rPr>
              <w:rPr>
                <w:rFonts w:ascii="Cambria Math" w:hAnsi="Cambria Math" w:cstheme="minorHAnsi"/>
                <w:sz w:val="22"/>
              </w:rPr>
              <m:t>Pob</m:t>
            </m:r>
          </m:e>
          <m:sub>
            <m:r>
              <m:rPr>
                <m:sty m:val="p"/>
              </m:rPr>
              <w:rPr>
                <w:rFonts w:ascii="Cambria Math" w:hAnsi="Cambria Math" w:cstheme="minorHAnsi"/>
                <w:sz w:val="22"/>
              </w:rPr>
              <m:t>t</m:t>
            </m:r>
          </m:sub>
        </m:sSub>
      </m:oMath>
      <w:r w:rsidR="00417BB6" w:rsidRPr="009C76DB">
        <w:rPr>
          <w:rFonts w:asciiTheme="minorHAnsi" w:hAnsiTheme="minorHAnsi" w:cstheme="minorHAnsi"/>
          <w:bCs/>
          <w:sz w:val="22"/>
        </w:rPr>
        <w:t xml:space="preserve">, </w:t>
      </w:r>
      <w:r w:rsidR="00417BB6" w:rsidRPr="009C76DB">
        <w:rPr>
          <w:rFonts w:asciiTheme="minorHAnsi" w:hAnsiTheme="minorHAnsi" w:cstheme="minorHAnsi"/>
          <w:bCs/>
          <w:sz w:val="22"/>
        </w:rPr>
        <w:tab/>
      </w:r>
      <w:r w:rsidR="00417BB6" w:rsidRPr="009C76DB">
        <w:rPr>
          <w:rFonts w:asciiTheme="minorHAnsi" w:hAnsiTheme="minorHAnsi" w:cstheme="minorHAnsi"/>
          <w:bCs/>
          <w:sz w:val="22"/>
        </w:rPr>
        <w:tab/>
      </w:r>
    </w:p>
    <w:p w:rsidR="0005008F" w:rsidRDefault="0005008F" w:rsidP="0005008F">
      <w:pPr>
        <w:jc w:val="both"/>
        <w:rPr>
          <w:rFonts w:asciiTheme="minorHAnsi" w:hAnsiTheme="minorHAnsi" w:cstheme="minorHAnsi"/>
          <w:bCs/>
          <w:sz w:val="22"/>
          <w:szCs w:val="22"/>
        </w:rPr>
      </w:pPr>
    </w:p>
    <w:p w:rsidR="00417BB6" w:rsidRDefault="00417BB6" w:rsidP="0005008F">
      <w:pPr>
        <w:jc w:val="both"/>
        <w:rPr>
          <w:rFonts w:asciiTheme="minorHAnsi" w:hAnsiTheme="minorHAnsi" w:cstheme="minorHAnsi"/>
          <w:bCs/>
          <w:sz w:val="22"/>
          <w:szCs w:val="22"/>
        </w:rPr>
      </w:pPr>
    </w:p>
    <w:p w:rsidR="00417BB6" w:rsidRDefault="00417BB6" w:rsidP="0005008F">
      <w:pPr>
        <w:jc w:val="both"/>
        <w:rPr>
          <w:rFonts w:asciiTheme="minorHAnsi" w:hAnsiTheme="minorHAnsi" w:cstheme="minorHAnsi"/>
          <w:bCs/>
          <w:sz w:val="22"/>
          <w:szCs w:val="22"/>
        </w:rPr>
      </w:pPr>
      <w:r>
        <w:rPr>
          <w:rFonts w:asciiTheme="minorHAnsi" w:hAnsiTheme="minorHAnsi" w:cstheme="minorHAnsi"/>
          <w:bCs/>
          <w:sz w:val="22"/>
          <w:szCs w:val="22"/>
        </w:rPr>
        <w:t>Donde,</w:t>
      </w:r>
    </w:p>
    <w:p w:rsidR="00417BB6" w:rsidRDefault="00417BB6" w:rsidP="0005008F">
      <w:pPr>
        <w:jc w:val="both"/>
        <w:rPr>
          <w:rFonts w:asciiTheme="minorHAnsi" w:hAnsiTheme="minorHAnsi" w:cstheme="minorHAnsi"/>
          <w:bCs/>
          <w:sz w:val="22"/>
          <w:szCs w:val="22"/>
        </w:rPr>
      </w:pPr>
    </w:p>
    <w:p w:rsidR="00417BB6" w:rsidRDefault="00417BB6" w:rsidP="0005008F">
      <w:pPr>
        <w:jc w:val="both"/>
        <w:rPr>
          <w:rFonts w:asciiTheme="minorHAnsi" w:hAnsiTheme="minorHAnsi" w:cstheme="minorHAnsi"/>
          <w:bCs/>
          <w:sz w:val="22"/>
          <w:szCs w:val="22"/>
        </w:rPr>
      </w:pPr>
      <w:r>
        <w:rPr>
          <w:rFonts w:asciiTheme="minorHAnsi" w:hAnsiTheme="minorHAnsi" w:cstheme="minorHAnsi"/>
          <w:bCs/>
          <w:sz w:val="22"/>
          <w:szCs w:val="22"/>
        </w:rPr>
        <w:t>PE</w:t>
      </w:r>
      <w:r>
        <w:rPr>
          <w:rFonts w:asciiTheme="minorHAnsi" w:hAnsiTheme="minorHAnsi" w:cstheme="minorHAnsi"/>
          <w:bCs/>
          <w:sz w:val="22"/>
          <w:szCs w:val="22"/>
          <w:vertAlign w:val="subscript"/>
        </w:rPr>
        <w:t>t</w:t>
      </w:r>
      <w:r>
        <w:rPr>
          <w:rFonts w:asciiTheme="minorHAnsi" w:hAnsiTheme="minorHAnsi" w:cstheme="minorHAnsi"/>
          <w:bCs/>
          <w:sz w:val="22"/>
          <w:szCs w:val="22"/>
        </w:rPr>
        <w:t xml:space="preserve"> = Partos esperados</w:t>
      </w:r>
    </w:p>
    <w:p w:rsidR="00417BB6" w:rsidRPr="00417BB6" w:rsidRDefault="00417BB6" w:rsidP="0005008F">
      <w:pPr>
        <w:jc w:val="both"/>
        <w:rPr>
          <w:rFonts w:asciiTheme="minorHAnsi" w:hAnsiTheme="minorHAnsi" w:cstheme="minorHAnsi"/>
          <w:bCs/>
          <w:sz w:val="22"/>
          <w:szCs w:val="22"/>
        </w:rPr>
      </w:pPr>
    </w:p>
    <w:p w:rsidR="0005008F" w:rsidRPr="0005008F" w:rsidRDefault="0005008F" w:rsidP="0005008F">
      <w:pPr>
        <w:jc w:val="both"/>
        <w:rPr>
          <w:rFonts w:asciiTheme="minorHAnsi" w:hAnsiTheme="minorHAnsi" w:cstheme="minorHAnsi"/>
          <w:bCs/>
          <w:sz w:val="22"/>
          <w:szCs w:val="22"/>
        </w:rPr>
      </w:pPr>
      <w:r>
        <w:rPr>
          <w:rFonts w:asciiTheme="minorHAnsi" w:hAnsiTheme="minorHAnsi" w:cstheme="minorHAnsi"/>
          <w:bCs/>
          <w:sz w:val="22"/>
          <w:szCs w:val="22"/>
        </w:rPr>
        <w:t xml:space="preserve">Los </w:t>
      </w:r>
      <w:r w:rsidR="0096165A">
        <w:rPr>
          <w:rFonts w:asciiTheme="minorHAnsi" w:hAnsiTheme="minorHAnsi" w:cstheme="minorHAnsi"/>
          <w:bCs/>
          <w:sz w:val="22"/>
          <w:szCs w:val="22"/>
        </w:rPr>
        <w:t>días</w:t>
      </w:r>
      <w:r>
        <w:rPr>
          <w:rFonts w:asciiTheme="minorHAnsi" w:hAnsiTheme="minorHAnsi" w:cstheme="minorHAnsi"/>
          <w:bCs/>
          <w:sz w:val="22"/>
          <w:szCs w:val="22"/>
        </w:rPr>
        <w:t xml:space="preserve"> cama asociados a partos los asumimos en tres días. Para estimar los partos normales y </w:t>
      </w:r>
      <w:r w:rsidR="00417BB6">
        <w:rPr>
          <w:rFonts w:asciiTheme="minorHAnsi" w:hAnsiTheme="minorHAnsi" w:cstheme="minorHAnsi"/>
          <w:bCs/>
          <w:sz w:val="22"/>
          <w:szCs w:val="22"/>
        </w:rPr>
        <w:t>cesárea</w:t>
      </w:r>
      <w:r w:rsidR="0096165A">
        <w:rPr>
          <w:rFonts w:asciiTheme="minorHAnsi" w:hAnsiTheme="minorHAnsi" w:cstheme="minorHAnsi"/>
          <w:bCs/>
          <w:sz w:val="22"/>
          <w:szCs w:val="22"/>
        </w:rPr>
        <w:t>s</w:t>
      </w:r>
      <w:r>
        <w:rPr>
          <w:rFonts w:asciiTheme="minorHAnsi" w:hAnsiTheme="minorHAnsi" w:cstheme="minorHAnsi"/>
          <w:bCs/>
          <w:sz w:val="22"/>
          <w:szCs w:val="22"/>
        </w:rPr>
        <w:t xml:space="preserve">, tomamos la cifras </w:t>
      </w:r>
      <w:r w:rsidR="00417BB6">
        <w:rPr>
          <w:rFonts w:asciiTheme="minorHAnsi" w:hAnsiTheme="minorHAnsi" w:cstheme="minorHAnsi"/>
          <w:bCs/>
          <w:sz w:val="22"/>
          <w:szCs w:val="22"/>
        </w:rPr>
        <w:t xml:space="preserve">del año 2011 del Hospital Boliviano </w:t>
      </w:r>
      <w:r w:rsidR="00D3593C">
        <w:rPr>
          <w:rFonts w:asciiTheme="minorHAnsi" w:hAnsiTheme="minorHAnsi" w:cstheme="minorHAnsi"/>
          <w:bCs/>
          <w:sz w:val="22"/>
          <w:szCs w:val="22"/>
        </w:rPr>
        <w:t>Holandés</w:t>
      </w:r>
      <w:r w:rsidR="00417BB6">
        <w:rPr>
          <w:rFonts w:asciiTheme="minorHAnsi" w:hAnsiTheme="minorHAnsi" w:cstheme="minorHAnsi"/>
          <w:bCs/>
          <w:sz w:val="22"/>
          <w:szCs w:val="22"/>
        </w:rPr>
        <w:t xml:space="preserve">, que nos indican que del total de partos un 75,5% son normales, y un 24,5% son mediante </w:t>
      </w:r>
      <w:r w:rsidR="00D3593C">
        <w:rPr>
          <w:rFonts w:asciiTheme="minorHAnsi" w:hAnsiTheme="minorHAnsi" w:cstheme="minorHAnsi"/>
          <w:bCs/>
          <w:sz w:val="22"/>
          <w:szCs w:val="22"/>
        </w:rPr>
        <w:t>cesárea</w:t>
      </w:r>
      <w:r>
        <w:rPr>
          <w:rFonts w:asciiTheme="minorHAnsi" w:hAnsiTheme="minorHAnsi" w:cstheme="minorHAnsi"/>
          <w:bCs/>
          <w:sz w:val="22"/>
          <w:szCs w:val="22"/>
        </w:rPr>
        <w:t xml:space="preserve">. </w:t>
      </w:r>
    </w:p>
    <w:p w:rsidR="0005008F" w:rsidRDefault="0005008F" w:rsidP="004F4BCF">
      <w:pPr>
        <w:rPr>
          <w:rFonts w:asciiTheme="minorHAnsi" w:hAnsiTheme="minorHAnsi" w:cstheme="minorHAnsi"/>
          <w:b/>
          <w:bCs/>
          <w:sz w:val="22"/>
          <w:szCs w:val="22"/>
        </w:rPr>
      </w:pPr>
    </w:p>
    <w:p w:rsidR="007A06C6" w:rsidRDefault="007A06C6" w:rsidP="004F4BCF">
      <w:pPr>
        <w:pStyle w:val="Heading3"/>
        <w:rPr>
          <w:rFonts w:asciiTheme="minorHAnsi" w:hAnsiTheme="minorHAnsi" w:cstheme="minorHAnsi"/>
          <w:sz w:val="22"/>
          <w:lang w:val="es-ES_tradnl"/>
        </w:rPr>
      </w:pPr>
    </w:p>
    <w:p w:rsidR="004F4BCF" w:rsidRPr="00640E8B" w:rsidRDefault="00640E8B" w:rsidP="008A366B">
      <w:pPr>
        <w:pStyle w:val="Heading2"/>
        <w:numPr>
          <w:ilvl w:val="1"/>
          <w:numId w:val="1"/>
        </w:numPr>
        <w:spacing w:line="276" w:lineRule="auto"/>
        <w:rPr>
          <w:rFonts w:asciiTheme="minorHAnsi" w:hAnsiTheme="minorHAnsi" w:cstheme="minorHAnsi"/>
          <w:bCs w:val="0"/>
          <w:szCs w:val="22"/>
        </w:rPr>
      </w:pPr>
      <w:bookmarkStart w:id="45" w:name="_Toc373093509"/>
      <w:r>
        <w:rPr>
          <w:rFonts w:asciiTheme="minorHAnsi" w:hAnsiTheme="minorHAnsi" w:cstheme="minorHAnsi"/>
          <w:bCs w:val="0"/>
          <w:szCs w:val="22"/>
        </w:rPr>
        <w:t>Cirugías</w:t>
      </w:r>
      <w:bookmarkEnd w:id="45"/>
    </w:p>
    <w:p w:rsidR="004F4BCF" w:rsidRDefault="004F4BCF" w:rsidP="004F4BCF"/>
    <w:p w:rsidR="00640E8B" w:rsidRPr="009C76DB" w:rsidRDefault="00640E8B" w:rsidP="00640E8B">
      <w:pPr>
        <w:widowControl w:val="0"/>
        <w:autoSpaceDE w:val="0"/>
        <w:autoSpaceDN w:val="0"/>
        <w:adjustRightInd w:val="0"/>
        <w:ind w:right="23"/>
        <w:jc w:val="both"/>
        <w:rPr>
          <w:rFonts w:asciiTheme="minorHAnsi" w:hAnsiTheme="minorHAnsi" w:cstheme="minorHAnsi"/>
          <w:bCs/>
          <w:sz w:val="22"/>
        </w:rPr>
      </w:pPr>
    </w:p>
    <w:p w:rsidR="00640E8B" w:rsidRPr="009C76DB" w:rsidRDefault="00640E8B" w:rsidP="00640E8B">
      <w:pPr>
        <w:widowControl w:val="0"/>
        <w:autoSpaceDE w:val="0"/>
        <w:autoSpaceDN w:val="0"/>
        <w:adjustRightInd w:val="0"/>
        <w:ind w:right="23"/>
        <w:jc w:val="both"/>
        <w:rPr>
          <w:rFonts w:asciiTheme="minorHAnsi" w:hAnsiTheme="minorHAnsi" w:cstheme="minorHAnsi"/>
          <w:bCs/>
          <w:sz w:val="22"/>
          <w:szCs w:val="22"/>
        </w:rPr>
      </w:pPr>
      <w:r w:rsidRPr="009C76DB">
        <w:rPr>
          <w:rFonts w:asciiTheme="minorHAnsi" w:hAnsiTheme="minorHAnsi" w:cstheme="minorHAnsi"/>
          <w:bCs/>
          <w:sz w:val="22"/>
        </w:rPr>
        <w:t>El parámetro para el cálculo de cirugías se toma del Manual de evaluación de proyectos de salud</w:t>
      </w:r>
      <w:r w:rsidR="00C47FE3">
        <w:rPr>
          <w:rFonts w:asciiTheme="minorHAnsi" w:hAnsiTheme="minorHAnsi" w:cstheme="minorHAnsi"/>
          <w:bCs/>
          <w:sz w:val="22"/>
        </w:rPr>
        <w:t xml:space="preserve"> de</w:t>
      </w:r>
      <w:r w:rsidRPr="009C76DB">
        <w:rPr>
          <w:rFonts w:asciiTheme="minorHAnsi" w:hAnsiTheme="minorHAnsi" w:cstheme="minorHAnsi"/>
          <w:bCs/>
          <w:sz w:val="22"/>
        </w:rPr>
        <w:t xml:space="preserve"> </w:t>
      </w:r>
      <w:r w:rsidRPr="009C76DB">
        <w:rPr>
          <w:rFonts w:asciiTheme="minorHAnsi" w:hAnsiTheme="minorHAnsi" w:cstheme="minorHAnsi"/>
          <w:bCs/>
          <w:sz w:val="22"/>
          <w:szCs w:val="22"/>
        </w:rPr>
        <w:t xml:space="preserve">Meixueiro, J. et al (2009: pp. 18), donde se muestra un ejemplo de evaluación de un hospital de segundo nivel de complejidad de México, </w:t>
      </w:r>
      <w:r w:rsidR="004448FA">
        <w:rPr>
          <w:rFonts w:asciiTheme="minorHAnsi" w:hAnsiTheme="minorHAnsi" w:cstheme="minorHAnsi"/>
          <w:bCs/>
          <w:sz w:val="22"/>
          <w:szCs w:val="22"/>
        </w:rPr>
        <w:t xml:space="preserve">donde se estima la demanda utilizando un parámetro de </w:t>
      </w:r>
      <w:r w:rsidRPr="009C76DB">
        <w:rPr>
          <w:rFonts w:asciiTheme="minorHAnsi" w:hAnsiTheme="minorHAnsi" w:cstheme="minorHAnsi"/>
          <w:bCs/>
          <w:sz w:val="22"/>
          <w:szCs w:val="22"/>
        </w:rPr>
        <w:t xml:space="preserve"> 0,029 por persona</w:t>
      </w:r>
      <w:r w:rsidR="004448FA">
        <w:rPr>
          <w:rFonts w:asciiTheme="minorHAnsi" w:hAnsiTheme="minorHAnsi" w:cstheme="minorHAnsi"/>
          <w:bCs/>
          <w:sz w:val="22"/>
          <w:szCs w:val="22"/>
        </w:rPr>
        <w:t xml:space="preserve"> al año</w:t>
      </w:r>
      <w:r w:rsidRPr="009C76DB">
        <w:rPr>
          <w:rFonts w:asciiTheme="minorHAnsi" w:hAnsiTheme="minorHAnsi" w:cstheme="minorHAnsi"/>
          <w:bCs/>
          <w:sz w:val="22"/>
          <w:szCs w:val="22"/>
        </w:rPr>
        <w:t>.</w:t>
      </w:r>
      <w:r w:rsidR="00E37032">
        <w:rPr>
          <w:rStyle w:val="FootnoteReference"/>
          <w:rFonts w:asciiTheme="minorHAnsi" w:hAnsiTheme="minorHAnsi" w:cstheme="minorHAnsi"/>
          <w:bCs/>
          <w:sz w:val="22"/>
          <w:szCs w:val="22"/>
        </w:rPr>
        <w:footnoteReference w:id="41"/>
      </w:r>
    </w:p>
    <w:p w:rsidR="004448FA" w:rsidRDefault="004448FA" w:rsidP="004448FA">
      <w:pPr>
        <w:widowControl w:val="0"/>
        <w:autoSpaceDE w:val="0"/>
        <w:autoSpaceDN w:val="0"/>
        <w:adjustRightInd w:val="0"/>
        <w:ind w:right="23"/>
        <w:jc w:val="both"/>
        <w:rPr>
          <w:rFonts w:asciiTheme="minorHAnsi" w:hAnsiTheme="minorHAnsi" w:cstheme="minorHAnsi"/>
          <w:bCs/>
          <w:sz w:val="22"/>
        </w:rPr>
      </w:pPr>
    </w:p>
    <w:p w:rsidR="004448FA" w:rsidRPr="009C76DB" w:rsidRDefault="004448FA" w:rsidP="004448FA">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 xml:space="preserve">Para efectos de proyectar la demanda por </w:t>
      </w:r>
      <w:r>
        <w:rPr>
          <w:rFonts w:asciiTheme="minorHAnsi" w:hAnsiTheme="minorHAnsi" w:cstheme="minorHAnsi"/>
          <w:bCs/>
          <w:sz w:val="22"/>
        </w:rPr>
        <w:t>cirugías</w:t>
      </w:r>
      <w:r w:rsidRPr="009C76DB">
        <w:rPr>
          <w:rFonts w:asciiTheme="minorHAnsi" w:hAnsiTheme="minorHAnsi" w:cstheme="minorHAnsi"/>
          <w:bCs/>
          <w:sz w:val="22"/>
        </w:rPr>
        <w:t xml:space="preserve">, se ha considerado que los parámetros </w:t>
      </w:r>
      <w:r w:rsidRPr="009C76DB">
        <w:rPr>
          <w:rFonts w:asciiTheme="minorHAnsi" w:hAnsiTheme="minorHAnsi" w:cstheme="minorHAnsi"/>
          <w:bCs/>
          <w:sz w:val="22"/>
        </w:rPr>
        <w:lastRenderedPageBreak/>
        <w:t>poblacionales de demanda son los “óptimos” a alcanzar</w:t>
      </w:r>
      <w:r>
        <w:rPr>
          <w:rFonts w:asciiTheme="minorHAnsi" w:hAnsiTheme="minorHAnsi" w:cstheme="minorHAnsi"/>
          <w:bCs/>
          <w:sz w:val="22"/>
        </w:rPr>
        <w:t>.</w:t>
      </w:r>
      <w:r w:rsidRPr="009C76DB">
        <w:rPr>
          <w:rFonts w:asciiTheme="minorHAnsi" w:hAnsiTheme="minorHAnsi" w:cstheme="minorHAnsi"/>
          <w:bCs/>
          <w:sz w:val="22"/>
        </w:rPr>
        <w:t xml:space="preserve"> </w:t>
      </w:r>
      <w:r>
        <w:rPr>
          <w:rFonts w:asciiTheme="minorHAnsi" w:hAnsiTheme="minorHAnsi" w:cstheme="minorHAnsi"/>
          <w:bCs/>
          <w:sz w:val="22"/>
        </w:rPr>
        <w:t>S</w:t>
      </w:r>
      <w:r w:rsidRPr="009C76DB">
        <w:rPr>
          <w:rFonts w:asciiTheme="minorHAnsi" w:hAnsiTheme="minorHAnsi" w:cstheme="minorHAnsi"/>
          <w:bCs/>
          <w:sz w:val="22"/>
        </w:rPr>
        <w:t>in embargo</w:t>
      </w:r>
      <w:r>
        <w:rPr>
          <w:rFonts w:asciiTheme="minorHAnsi" w:hAnsiTheme="minorHAnsi" w:cstheme="minorHAnsi"/>
          <w:bCs/>
          <w:sz w:val="22"/>
        </w:rPr>
        <w:t>,</w:t>
      </w:r>
      <w:r w:rsidRPr="009C76DB">
        <w:rPr>
          <w:rFonts w:asciiTheme="minorHAnsi" w:hAnsiTheme="minorHAnsi" w:cstheme="minorHAnsi"/>
          <w:bCs/>
          <w:sz w:val="22"/>
        </w:rPr>
        <w:t xml:space="preserve"> en la proyección de la demanda se considera que esta se expresará totalmente en un lapso de 15 años. De este modo</w:t>
      </w:r>
      <w:r w:rsidR="00C47FE3">
        <w:rPr>
          <w:rFonts w:asciiTheme="minorHAnsi" w:hAnsiTheme="minorHAnsi" w:cstheme="minorHAnsi"/>
          <w:bCs/>
          <w:sz w:val="22"/>
        </w:rPr>
        <w:t>,</w:t>
      </w:r>
      <w:r w:rsidRPr="009C76DB">
        <w:rPr>
          <w:rFonts w:asciiTheme="minorHAnsi" w:hAnsiTheme="minorHAnsi" w:cstheme="minorHAnsi"/>
          <w:bCs/>
          <w:sz w:val="22"/>
        </w:rPr>
        <w:t xml:space="preserve"> la formula de proyección será:</w:t>
      </w:r>
    </w:p>
    <w:p w:rsidR="00640E8B" w:rsidRPr="009C76DB" w:rsidRDefault="00640E8B" w:rsidP="00640E8B">
      <w:pPr>
        <w:widowControl w:val="0"/>
        <w:autoSpaceDE w:val="0"/>
        <w:autoSpaceDN w:val="0"/>
        <w:adjustRightInd w:val="0"/>
        <w:ind w:right="23"/>
        <w:jc w:val="both"/>
        <w:rPr>
          <w:rFonts w:asciiTheme="minorHAnsi" w:hAnsiTheme="minorHAnsi" w:cstheme="minorHAnsi"/>
          <w:bCs/>
          <w:sz w:val="22"/>
          <w:szCs w:val="22"/>
        </w:rPr>
      </w:pPr>
    </w:p>
    <w:p w:rsidR="00640E8B" w:rsidRPr="009C76DB" w:rsidRDefault="00640E8B" w:rsidP="00640E8B">
      <w:pPr>
        <w:widowControl w:val="0"/>
        <w:autoSpaceDE w:val="0"/>
        <w:autoSpaceDN w:val="0"/>
        <w:adjustRightInd w:val="0"/>
        <w:ind w:right="23"/>
        <w:jc w:val="both"/>
        <w:rPr>
          <w:rFonts w:asciiTheme="minorHAnsi" w:hAnsiTheme="minorHAnsi" w:cstheme="minorHAnsi"/>
          <w:bCs/>
          <w:sz w:val="22"/>
        </w:rPr>
      </w:pPr>
    </w:p>
    <w:p w:rsidR="00640E8B" w:rsidRPr="009C76DB" w:rsidRDefault="00E52595" w:rsidP="00640E8B">
      <w:pPr>
        <w:widowControl w:val="0"/>
        <w:autoSpaceDE w:val="0"/>
        <w:autoSpaceDN w:val="0"/>
        <w:adjustRightInd w:val="0"/>
        <w:ind w:right="23"/>
        <w:jc w:val="both"/>
        <w:rPr>
          <w:rFonts w:asciiTheme="minorHAnsi" w:hAnsiTheme="minorHAnsi" w:cstheme="minorHAnsi"/>
          <w:bCs/>
          <w:sz w:val="22"/>
        </w:rPr>
      </w:pPr>
      <m:oMath>
        <m:sSub>
          <m:sSubPr>
            <m:ctrlPr>
              <w:rPr>
                <w:rFonts w:ascii="Cambria Math" w:hAnsi="Cambria Math" w:cstheme="minorHAnsi"/>
                <w:bCs/>
                <w:sz w:val="22"/>
              </w:rPr>
            </m:ctrlPr>
          </m:sSubPr>
          <m:e>
            <m:r>
              <m:rPr>
                <m:sty m:val="p"/>
              </m:rPr>
              <w:rPr>
                <w:rFonts w:ascii="Cambria Math" w:hAnsi="Cambria Math" w:cstheme="minorHAnsi"/>
                <w:sz w:val="22"/>
              </w:rPr>
              <m:t>Cir</m:t>
            </m:r>
          </m:e>
          <m:sub>
            <m:r>
              <m:rPr>
                <m:sty m:val="p"/>
              </m:rPr>
              <w:rPr>
                <w:rFonts w:ascii="Cambria Math" w:hAnsi="Cambria Math" w:cstheme="minorHAnsi"/>
                <w:sz w:val="22"/>
              </w:rPr>
              <m:t>t</m:t>
            </m:r>
          </m:sub>
        </m:sSub>
        <m:r>
          <m:rPr>
            <m:sty m:val="p"/>
          </m:rPr>
          <w:rPr>
            <w:rFonts w:ascii="Cambria Math" w:hAnsi="Cambria Math" w:cstheme="minorHAnsi"/>
            <w:sz w:val="22"/>
          </w:rPr>
          <m:t>=13.741+4.595∙t</m:t>
        </m:r>
      </m:oMath>
      <w:r w:rsidR="00640E8B" w:rsidRPr="009C76DB">
        <w:rPr>
          <w:rFonts w:asciiTheme="minorHAnsi" w:hAnsiTheme="minorHAnsi" w:cstheme="minorHAnsi"/>
          <w:bCs/>
          <w:sz w:val="22"/>
        </w:rPr>
        <w:t xml:space="preserve">, </w:t>
      </w:r>
      <w:r w:rsidR="00640E8B" w:rsidRPr="009C76DB">
        <w:rPr>
          <w:rFonts w:asciiTheme="minorHAnsi" w:hAnsiTheme="minorHAnsi" w:cstheme="minorHAnsi"/>
          <w:bCs/>
          <w:sz w:val="22"/>
        </w:rPr>
        <w:tab/>
      </w:r>
      <w:r w:rsidR="00640E8B" w:rsidRPr="009C76DB">
        <w:rPr>
          <w:rFonts w:asciiTheme="minorHAnsi" w:hAnsiTheme="minorHAnsi" w:cstheme="minorHAnsi"/>
          <w:bCs/>
          <w:sz w:val="22"/>
        </w:rPr>
        <w:tab/>
      </w:r>
      <w:r w:rsidR="00640E8B" w:rsidRPr="009C76DB">
        <w:rPr>
          <w:rFonts w:asciiTheme="minorHAnsi" w:hAnsiTheme="minorHAnsi" w:cstheme="minorHAnsi"/>
          <w:bCs/>
          <w:sz w:val="22"/>
        </w:rPr>
        <w:tab/>
      </w:r>
      <w:r w:rsidR="004448FA">
        <w:rPr>
          <w:rFonts w:asciiTheme="minorHAnsi" w:hAnsiTheme="minorHAnsi" w:cstheme="minorHAnsi"/>
          <w:bCs/>
          <w:sz w:val="22"/>
        </w:rPr>
        <w:tab/>
      </w:r>
      <w:r w:rsidR="00640E8B" w:rsidRPr="009C76DB">
        <w:rPr>
          <w:rFonts w:asciiTheme="minorHAnsi" w:hAnsiTheme="minorHAnsi" w:cstheme="minorHAnsi"/>
          <w:bCs/>
          <w:sz w:val="22"/>
        </w:rPr>
        <w:t xml:space="preserve">para </w:t>
      </w:r>
      <w:r w:rsidR="00215DAF">
        <w:rPr>
          <w:rFonts w:asciiTheme="minorHAnsi" w:hAnsiTheme="minorHAnsi" w:cstheme="minorHAnsi"/>
          <w:bCs/>
          <w:sz w:val="22"/>
        </w:rPr>
        <w:t>0</w:t>
      </w:r>
      <w:r w:rsidR="00640E8B" w:rsidRPr="009C76DB">
        <w:rPr>
          <w:rFonts w:asciiTheme="minorHAnsi" w:hAnsiTheme="minorHAnsi" w:cstheme="minorHAnsi"/>
          <w:bCs/>
          <w:sz w:val="22"/>
        </w:rPr>
        <w:t>≤t&lt;</w:t>
      </w:r>
      <w:r w:rsidR="004448FA">
        <w:rPr>
          <w:rFonts w:asciiTheme="minorHAnsi" w:hAnsiTheme="minorHAnsi" w:cstheme="minorHAnsi"/>
          <w:bCs/>
          <w:sz w:val="22"/>
        </w:rPr>
        <w:t>1</w:t>
      </w:r>
      <w:r w:rsidR="006F20C3">
        <w:rPr>
          <w:rFonts w:asciiTheme="minorHAnsi" w:hAnsiTheme="minorHAnsi" w:cstheme="minorHAnsi"/>
          <w:bCs/>
          <w:sz w:val="22"/>
        </w:rPr>
        <w:t>5</w:t>
      </w:r>
    </w:p>
    <w:p w:rsidR="00640E8B" w:rsidRPr="009C76DB" w:rsidRDefault="00640E8B" w:rsidP="00640E8B">
      <w:pPr>
        <w:widowControl w:val="0"/>
        <w:autoSpaceDE w:val="0"/>
        <w:autoSpaceDN w:val="0"/>
        <w:adjustRightInd w:val="0"/>
        <w:ind w:right="23"/>
        <w:jc w:val="both"/>
        <w:rPr>
          <w:rFonts w:asciiTheme="minorHAnsi" w:hAnsiTheme="minorHAnsi" w:cstheme="minorHAnsi"/>
          <w:bCs/>
          <w:sz w:val="22"/>
        </w:rPr>
      </w:pPr>
    </w:p>
    <w:p w:rsidR="00640E8B" w:rsidRPr="009C76DB" w:rsidRDefault="00E52595" w:rsidP="00640E8B">
      <w:pPr>
        <w:widowControl w:val="0"/>
        <w:autoSpaceDE w:val="0"/>
        <w:autoSpaceDN w:val="0"/>
        <w:adjustRightInd w:val="0"/>
        <w:ind w:right="23"/>
        <w:jc w:val="both"/>
        <w:rPr>
          <w:rFonts w:asciiTheme="minorHAnsi" w:hAnsiTheme="minorHAnsi" w:cstheme="minorHAnsi"/>
          <w:bCs/>
          <w:sz w:val="22"/>
        </w:rPr>
      </w:pPr>
      <m:oMath>
        <m:sSub>
          <m:sSubPr>
            <m:ctrlPr>
              <w:rPr>
                <w:rFonts w:ascii="Cambria Math" w:hAnsi="Cambria Math" w:cstheme="minorHAnsi"/>
                <w:bCs/>
                <w:sz w:val="22"/>
              </w:rPr>
            </m:ctrlPr>
          </m:sSubPr>
          <m:e>
            <m:r>
              <m:rPr>
                <m:sty m:val="p"/>
              </m:rPr>
              <w:rPr>
                <w:rFonts w:ascii="Cambria Math" w:hAnsi="Cambria Math" w:cstheme="minorHAnsi"/>
                <w:sz w:val="22"/>
              </w:rPr>
              <m:t>Cir</m:t>
            </m:r>
          </m:e>
          <m:sub>
            <m:r>
              <m:rPr>
                <m:sty m:val="p"/>
              </m:rPr>
              <w:rPr>
                <w:rFonts w:ascii="Cambria Math" w:hAnsi="Cambria Math" w:cstheme="minorHAnsi"/>
                <w:sz w:val="22"/>
              </w:rPr>
              <m:t>t</m:t>
            </m:r>
          </m:sub>
        </m:sSub>
        <m:r>
          <m:rPr>
            <m:sty m:val="p"/>
          </m:rPr>
          <w:rPr>
            <w:rFonts w:ascii="Cambria Math" w:hAnsi="Cambria Math" w:cstheme="minorHAnsi"/>
            <w:sz w:val="22"/>
          </w:rPr>
          <m:t>=0,029∙</m:t>
        </m:r>
        <m:sSub>
          <m:sSubPr>
            <m:ctrlPr>
              <w:rPr>
                <w:rFonts w:ascii="Cambria Math" w:hAnsi="Cambria Math" w:cstheme="minorHAnsi"/>
                <w:bCs/>
                <w:sz w:val="22"/>
              </w:rPr>
            </m:ctrlPr>
          </m:sSubPr>
          <m:e>
            <m:r>
              <m:rPr>
                <m:sty m:val="p"/>
              </m:rPr>
              <w:rPr>
                <w:rFonts w:ascii="Cambria Math" w:hAnsi="Cambria Math" w:cstheme="minorHAnsi"/>
                <w:sz w:val="22"/>
              </w:rPr>
              <m:t>Pob</m:t>
            </m:r>
          </m:e>
          <m:sub>
            <m:r>
              <m:rPr>
                <m:sty m:val="p"/>
              </m:rPr>
              <w:rPr>
                <w:rFonts w:ascii="Cambria Math" w:hAnsi="Cambria Math" w:cstheme="minorHAnsi"/>
                <w:sz w:val="22"/>
              </w:rPr>
              <m:t>t</m:t>
            </m:r>
          </m:sub>
        </m:sSub>
      </m:oMath>
      <w:r w:rsidR="00640E8B" w:rsidRPr="009C76DB">
        <w:rPr>
          <w:rFonts w:asciiTheme="minorHAnsi" w:hAnsiTheme="minorHAnsi" w:cstheme="minorHAnsi"/>
          <w:bCs/>
          <w:sz w:val="22"/>
        </w:rPr>
        <w:t xml:space="preserve">, </w:t>
      </w:r>
      <w:r w:rsidR="00640E8B" w:rsidRPr="009C76DB">
        <w:rPr>
          <w:rFonts w:asciiTheme="minorHAnsi" w:hAnsiTheme="minorHAnsi" w:cstheme="minorHAnsi"/>
          <w:bCs/>
          <w:sz w:val="22"/>
        </w:rPr>
        <w:tab/>
      </w:r>
      <w:r w:rsidR="00640E8B" w:rsidRPr="009C76DB">
        <w:rPr>
          <w:rFonts w:asciiTheme="minorHAnsi" w:hAnsiTheme="minorHAnsi" w:cstheme="minorHAnsi"/>
          <w:bCs/>
          <w:sz w:val="22"/>
        </w:rPr>
        <w:tab/>
      </w:r>
      <w:r w:rsidR="00640E8B" w:rsidRPr="009C76DB">
        <w:rPr>
          <w:rFonts w:asciiTheme="minorHAnsi" w:hAnsiTheme="minorHAnsi" w:cstheme="minorHAnsi"/>
          <w:bCs/>
          <w:sz w:val="22"/>
        </w:rPr>
        <w:tab/>
      </w:r>
      <w:r w:rsidR="00640E8B" w:rsidRPr="009C76DB">
        <w:rPr>
          <w:rFonts w:asciiTheme="minorHAnsi" w:hAnsiTheme="minorHAnsi" w:cstheme="minorHAnsi"/>
          <w:bCs/>
          <w:sz w:val="22"/>
        </w:rPr>
        <w:tab/>
      </w:r>
      <w:r w:rsidR="004448FA">
        <w:rPr>
          <w:rFonts w:asciiTheme="minorHAnsi" w:hAnsiTheme="minorHAnsi" w:cstheme="minorHAnsi"/>
          <w:bCs/>
          <w:sz w:val="22"/>
        </w:rPr>
        <w:tab/>
      </w:r>
      <w:r w:rsidR="00640E8B" w:rsidRPr="009C76DB">
        <w:rPr>
          <w:rFonts w:asciiTheme="minorHAnsi" w:hAnsiTheme="minorHAnsi" w:cstheme="minorHAnsi"/>
          <w:bCs/>
          <w:sz w:val="22"/>
        </w:rPr>
        <w:t>para t</w:t>
      </w:r>
      <w:r w:rsidR="00640E8B" w:rsidRPr="009C76DB">
        <w:rPr>
          <w:rFonts w:asciiTheme="minorHAnsi" w:hAnsiTheme="minorHAnsi" w:cstheme="minorHAnsi"/>
          <w:bCs/>
          <w:sz w:val="22"/>
        </w:rPr>
        <w:sym w:font="Symbol" w:char="F0B3"/>
      </w:r>
      <w:r w:rsidR="004448FA">
        <w:rPr>
          <w:rFonts w:asciiTheme="minorHAnsi" w:hAnsiTheme="minorHAnsi" w:cstheme="minorHAnsi"/>
          <w:bCs/>
          <w:sz w:val="22"/>
        </w:rPr>
        <w:t>1</w:t>
      </w:r>
      <w:r w:rsidR="006F20C3">
        <w:rPr>
          <w:rFonts w:asciiTheme="minorHAnsi" w:hAnsiTheme="minorHAnsi" w:cstheme="minorHAnsi"/>
          <w:bCs/>
          <w:sz w:val="22"/>
        </w:rPr>
        <w:t>5</w:t>
      </w:r>
    </w:p>
    <w:p w:rsidR="00640E8B" w:rsidRPr="009C76DB" w:rsidRDefault="00640E8B" w:rsidP="00640E8B">
      <w:pPr>
        <w:widowControl w:val="0"/>
        <w:autoSpaceDE w:val="0"/>
        <w:autoSpaceDN w:val="0"/>
        <w:adjustRightInd w:val="0"/>
        <w:ind w:right="23"/>
        <w:jc w:val="both"/>
        <w:rPr>
          <w:rFonts w:asciiTheme="minorHAnsi" w:hAnsiTheme="minorHAnsi" w:cstheme="minorHAnsi"/>
          <w:bCs/>
          <w:sz w:val="22"/>
        </w:rPr>
      </w:pPr>
    </w:p>
    <w:p w:rsidR="00640E8B" w:rsidRPr="009C76DB" w:rsidRDefault="00640E8B" w:rsidP="00640E8B">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Donde,</w:t>
      </w:r>
    </w:p>
    <w:p w:rsidR="00640E8B" w:rsidRPr="009C76DB" w:rsidRDefault="00640E8B" w:rsidP="00640E8B">
      <w:pPr>
        <w:widowControl w:val="0"/>
        <w:autoSpaceDE w:val="0"/>
        <w:autoSpaceDN w:val="0"/>
        <w:adjustRightInd w:val="0"/>
        <w:ind w:right="23"/>
        <w:jc w:val="both"/>
        <w:rPr>
          <w:rFonts w:asciiTheme="minorHAnsi" w:hAnsiTheme="minorHAnsi" w:cstheme="minorHAnsi"/>
          <w:bCs/>
          <w:sz w:val="22"/>
        </w:rPr>
      </w:pPr>
    </w:p>
    <w:p w:rsidR="00640E8B" w:rsidRPr="009C76DB" w:rsidRDefault="00640E8B" w:rsidP="00640E8B">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Cir</w:t>
      </w:r>
      <w:r w:rsidRPr="009C76DB">
        <w:rPr>
          <w:rFonts w:asciiTheme="minorHAnsi" w:hAnsiTheme="minorHAnsi" w:cstheme="minorHAnsi"/>
          <w:bCs/>
          <w:sz w:val="22"/>
          <w:vertAlign w:val="subscript"/>
        </w:rPr>
        <w:t>t</w:t>
      </w:r>
      <w:r w:rsidRPr="009C76DB">
        <w:rPr>
          <w:rFonts w:asciiTheme="minorHAnsi" w:hAnsiTheme="minorHAnsi" w:cstheme="minorHAnsi"/>
          <w:bCs/>
          <w:sz w:val="22"/>
        </w:rPr>
        <w:t xml:space="preserve"> = Nº de cirugías</w:t>
      </w:r>
    </w:p>
    <w:p w:rsidR="00640E8B" w:rsidRPr="009C76DB" w:rsidRDefault="00640E8B" w:rsidP="00640E8B">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 xml:space="preserve">t = </w:t>
      </w:r>
      <w:r w:rsidR="004448FA">
        <w:rPr>
          <w:rFonts w:asciiTheme="minorHAnsi" w:hAnsiTheme="minorHAnsi" w:cstheme="minorHAnsi"/>
          <w:bCs/>
          <w:sz w:val="22"/>
        </w:rPr>
        <w:t xml:space="preserve">periodo de </w:t>
      </w:r>
      <w:r w:rsidRPr="009C76DB">
        <w:rPr>
          <w:rFonts w:asciiTheme="minorHAnsi" w:hAnsiTheme="minorHAnsi" w:cstheme="minorHAnsi"/>
          <w:bCs/>
          <w:sz w:val="22"/>
        </w:rPr>
        <w:t>evaluación</w:t>
      </w:r>
    </w:p>
    <w:p w:rsidR="00640E8B" w:rsidRPr="009C76DB" w:rsidRDefault="00640E8B" w:rsidP="00640E8B">
      <w:pPr>
        <w:widowControl w:val="0"/>
        <w:autoSpaceDE w:val="0"/>
        <w:autoSpaceDN w:val="0"/>
        <w:adjustRightInd w:val="0"/>
        <w:ind w:right="23"/>
        <w:jc w:val="both"/>
        <w:rPr>
          <w:rFonts w:asciiTheme="minorHAnsi" w:hAnsiTheme="minorHAnsi" w:cstheme="minorHAnsi"/>
          <w:bCs/>
          <w:sz w:val="16"/>
          <w:szCs w:val="18"/>
        </w:rPr>
      </w:pPr>
      <w:r w:rsidRPr="009C76DB">
        <w:rPr>
          <w:rFonts w:asciiTheme="minorHAnsi" w:hAnsiTheme="minorHAnsi" w:cstheme="minorHAnsi"/>
          <w:bCs/>
          <w:sz w:val="22"/>
        </w:rPr>
        <w:t>Pob</w:t>
      </w:r>
      <w:r w:rsidRPr="009C76DB">
        <w:rPr>
          <w:rFonts w:asciiTheme="minorHAnsi" w:hAnsiTheme="minorHAnsi" w:cstheme="minorHAnsi"/>
          <w:bCs/>
          <w:sz w:val="22"/>
          <w:vertAlign w:val="subscript"/>
        </w:rPr>
        <w:t>t</w:t>
      </w:r>
      <w:r w:rsidRPr="009C76DB">
        <w:rPr>
          <w:rFonts w:asciiTheme="minorHAnsi" w:hAnsiTheme="minorHAnsi" w:cstheme="minorHAnsi"/>
          <w:bCs/>
          <w:sz w:val="22"/>
        </w:rPr>
        <w:t xml:space="preserve"> = Población de referencia en el </w:t>
      </w:r>
      <w:r w:rsidR="004448FA">
        <w:rPr>
          <w:rFonts w:asciiTheme="minorHAnsi" w:hAnsiTheme="minorHAnsi" w:cstheme="minorHAnsi"/>
          <w:bCs/>
          <w:sz w:val="22"/>
        </w:rPr>
        <w:t>periodo</w:t>
      </w:r>
      <w:r w:rsidRPr="009C76DB">
        <w:rPr>
          <w:rFonts w:asciiTheme="minorHAnsi" w:hAnsiTheme="minorHAnsi" w:cstheme="minorHAnsi"/>
          <w:bCs/>
          <w:sz w:val="22"/>
        </w:rPr>
        <w:t xml:space="preserve"> t.</w:t>
      </w:r>
    </w:p>
    <w:p w:rsidR="00640E8B" w:rsidRPr="009C76DB" w:rsidRDefault="00640E8B" w:rsidP="00640E8B">
      <w:pPr>
        <w:widowControl w:val="0"/>
        <w:autoSpaceDE w:val="0"/>
        <w:autoSpaceDN w:val="0"/>
        <w:adjustRightInd w:val="0"/>
        <w:ind w:right="23"/>
        <w:jc w:val="both"/>
        <w:rPr>
          <w:rFonts w:asciiTheme="minorHAnsi" w:hAnsiTheme="minorHAnsi" w:cstheme="minorHAnsi"/>
          <w:bCs/>
          <w:sz w:val="22"/>
        </w:rPr>
      </w:pPr>
    </w:p>
    <w:p w:rsidR="00640E8B" w:rsidRDefault="00640E8B" w:rsidP="00640E8B">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 xml:space="preserve">El valor </w:t>
      </w:r>
      <w:r w:rsidR="006F20C3">
        <w:rPr>
          <w:rFonts w:asciiTheme="minorHAnsi" w:hAnsiTheme="minorHAnsi" w:cstheme="minorHAnsi"/>
          <w:bCs/>
          <w:sz w:val="22"/>
        </w:rPr>
        <w:t>1</w:t>
      </w:r>
      <w:r w:rsidR="004448FA">
        <w:rPr>
          <w:rFonts w:asciiTheme="minorHAnsi" w:hAnsiTheme="minorHAnsi" w:cstheme="minorHAnsi"/>
          <w:bCs/>
          <w:sz w:val="22"/>
        </w:rPr>
        <w:t>3.</w:t>
      </w:r>
      <w:r w:rsidR="006F20C3">
        <w:rPr>
          <w:rFonts w:asciiTheme="minorHAnsi" w:hAnsiTheme="minorHAnsi" w:cstheme="minorHAnsi"/>
          <w:bCs/>
          <w:sz w:val="22"/>
        </w:rPr>
        <w:t>741</w:t>
      </w:r>
      <w:r w:rsidRPr="009C76DB">
        <w:rPr>
          <w:rFonts w:asciiTheme="minorHAnsi" w:hAnsiTheme="minorHAnsi" w:cstheme="minorHAnsi"/>
          <w:bCs/>
          <w:sz w:val="22"/>
        </w:rPr>
        <w:t xml:space="preserve"> corresponde al número de cirugías</w:t>
      </w:r>
      <w:r w:rsidR="004448FA">
        <w:rPr>
          <w:rFonts w:asciiTheme="minorHAnsi" w:hAnsiTheme="minorHAnsi" w:cstheme="minorHAnsi"/>
          <w:bCs/>
          <w:sz w:val="22"/>
        </w:rPr>
        <w:t xml:space="preserve"> estimada</w:t>
      </w:r>
      <w:r w:rsidRPr="009C76DB">
        <w:rPr>
          <w:rFonts w:asciiTheme="minorHAnsi" w:hAnsiTheme="minorHAnsi" w:cstheme="minorHAnsi"/>
          <w:bCs/>
          <w:sz w:val="22"/>
        </w:rPr>
        <w:t xml:space="preserve"> para el año 201</w:t>
      </w:r>
      <w:r w:rsidR="004448FA">
        <w:rPr>
          <w:rFonts w:asciiTheme="minorHAnsi" w:hAnsiTheme="minorHAnsi" w:cstheme="minorHAnsi"/>
          <w:bCs/>
          <w:sz w:val="22"/>
        </w:rPr>
        <w:t>3</w:t>
      </w:r>
      <w:r w:rsidRPr="009C76DB">
        <w:rPr>
          <w:rFonts w:asciiTheme="minorHAnsi" w:hAnsiTheme="minorHAnsi" w:cstheme="minorHAnsi"/>
          <w:bCs/>
          <w:sz w:val="22"/>
        </w:rPr>
        <w:t xml:space="preserve">, el valor </w:t>
      </w:r>
      <w:r w:rsidR="006F20C3">
        <w:rPr>
          <w:rFonts w:asciiTheme="minorHAnsi" w:hAnsiTheme="minorHAnsi" w:cstheme="minorHAnsi"/>
          <w:bCs/>
          <w:sz w:val="22"/>
        </w:rPr>
        <w:t>4</w:t>
      </w:r>
      <w:r w:rsidR="004448FA">
        <w:rPr>
          <w:rFonts w:asciiTheme="minorHAnsi" w:hAnsiTheme="minorHAnsi" w:cstheme="minorHAnsi"/>
          <w:bCs/>
          <w:sz w:val="22"/>
        </w:rPr>
        <w:t>.</w:t>
      </w:r>
      <w:r w:rsidR="006F20C3">
        <w:rPr>
          <w:rFonts w:asciiTheme="minorHAnsi" w:hAnsiTheme="minorHAnsi" w:cstheme="minorHAnsi"/>
          <w:bCs/>
          <w:sz w:val="22"/>
        </w:rPr>
        <w:t>595</w:t>
      </w:r>
      <w:r w:rsidRPr="009C76DB">
        <w:rPr>
          <w:rFonts w:asciiTheme="minorHAnsi" w:hAnsiTheme="minorHAnsi" w:cstheme="minorHAnsi"/>
          <w:bCs/>
          <w:sz w:val="22"/>
        </w:rPr>
        <w:t xml:space="preserve"> será el aumento anual esperado de </w:t>
      </w:r>
      <w:r w:rsidR="006F20C3">
        <w:rPr>
          <w:rFonts w:asciiTheme="minorHAnsi" w:hAnsiTheme="minorHAnsi" w:cstheme="minorHAnsi"/>
          <w:bCs/>
          <w:sz w:val="22"/>
        </w:rPr>
        <w:t xml:space="preserve">demanda de </w:t>
      </w:r>
      <w:r w:rsidRPr="009C76DB">
        <w:rPr>
          <w:rFonts w:asciiTheme="minorHAnsi" w:hAnsiTheme="minorHAnsi" w:cstheme="minorHAnsi"/>
          <w:bCs/>
          <w:sz w:val="22"/>
        </w:rPr>
        <w:t xml:space="preserve">cirugías obtenido a partir de la diferencia entre la demanda potencial estimada para el año </w:t>
      </w:r>
      <w:r w:rsidR="004448FA">
        <w:rPr>
          <w:rFonts w:asciiTheme="minorHAnsi" w:hAnsiTheme="minorHAnsi" w:cstheme="minorHAnsi"/>
          <w:bCs/>
          <w:sz w:val="22"/>
        </w:rPr>
        <w:t>14</w:t>
      </w:r>
      <w:r w:rsidRPr="009C76DB">
        <w:rPr>
          <w:rFonts w:asciiTheme="minorHAnsi" w:hAnsiTheme="minorHAnsi" w:cstheme="minorHAnsi"/>
          <w:bCs/>
          <w:sz w:val="22"/>
        </w:rPr>
        <w:t xml:space="preserve"> y la demanda esperada para el año </w:t>
      </w:r>
      <w:r w:rsidR="004448FA">
        <w:rPr>
          <w:rFonts w:asciiTheme="minorHAnsi" w:hAnsiTheme="minorHAnsi" w:cstheme="minorHAnsi"/>
          <w:bCs/>
          <w:sz w:val="22"/>
        </w:rPr>
        <w:t>-</w:t>
      </w:r>
      <w:r w:rsidR="006F20C3">
        <w:rPr>
          <w:rFonts w:asciiTheme="minorHAnsi" w:hAnsiTheme="minorHAnsi" w:cstheme="minorHAnsi"/>
          <w:bCs/>
          <w:sz w:val="22"/>
        </w:rPr>
        <w:t>2</w:t>
      </w:r>
      <w:r w:rsidRPr="009C76DB">
        <w:rPr>
          <w:rFonts w:asciiTheme="minorHAnsi" w:hAnsiTheme="minorHAnsi" w:cstheme="minorHAnsi"/>
          <w:bCs/>
          <w:sz w:val="22"/>
        </w:rPr>
        <w:t xml:space="preserve">, dividido por </w:t>
      </w:r>
      <w:r w:rsidR="004448FA">
        <w:rPr>
          <w:rFonts w:asciiTheme="minorHAnsi" w:hAnsiTheme="minorHAnsi" w:cstheme="minorHAnsi"/>
          <w:bCs/>
          <w:sz w:val="22"/>
        </w:rPr>
        <w:t>1</w:t>
      </w:r>
      <w:r w:rsidR="006F20C3">
        <w:rPr>
          <w:rFonts w:asciiTheme="minorHAnsi" w:hAnsiTheme="minorHAnsi" w:cstheme="minorHAnsi"/>
          <w:bCs/>
          <w:sz w:val="22"/>
        </w:rPr>
        <w:t>6</w:t>
      </w:r>
      <w:r w:rsidRPr="009C76DB">
        <w:rPr>
          <w:rFonts w:asciiTheme="minorHAnsi" w:hAnsiTheme="minorHAnsi" w:cstheme="minorHAnsi"/>
          <w:bCs/>
          <w:sz w:val="22"/>
        </w:rPr>
        <w:t>.</w:t>
      </w:r>
      <w:r w:rsidR="006F20C3">
        <w:rPr>
          <w:rStyle w:val="FootnoteReference"/>
          <w:rFonts w:asciiTheme="minorHAnsi" w:hAnsiTheme="minorHAnsi" w:cstheme="minorHAnsi"/>
          <w:bCs/>
          <w:sz w:val="22"/>
        </w:rPr>
        <w:footnoteReference w:id="42"/>
      </w:r>
      <w:r w:rsidRPr="009C76DB">
        <w:rPr>
          <w:rFonts w:asciiTheme="minorHAnsi" w:hAnsiTheme="minorHAnsi" w:cstheme="minorHAnsi"/>
          <w:bCs/>
          <w:sz w:val="22"/>
        </w:rPr>
        <w:t xml:space="preserve"> El valor 0,029 corresponde número de cirugías por persona estimado para la población de referencia.</w:t>
      </w:r>
    </w:p>
    <w:p w:rsidR="004448FA" w:rsidRDefault="004448FA" w:rsidP="00640E8B">
      <w:pPr>
        <w:widowControl w:val="0"/>
        <w:autoSpaceDE w:val="0"/>
        <w:autoSpaceDN w:val="0"/>
        <w:adjustRightInd w:val="0"/>
        <w:ind w:right="23"/>
        <w:jc w:val="both"/>
        <w:rPr>
          <w:rFonts w:asciiTheme="minorHAnsi" w:hAnsiTheme="minorHAnsi" w:cstheme="minorHAnsi"/>
          <w:bCs/>
          <w:sz w:val="22"/>
        </w:rPr>
      </w:pPr>
    </w:p>
    <w:p w:rsidR="00140AAE" w:rsidRDefault="00140AAE" w:rsidP="00640E8B">
      <w:pPr>
        <w:widowControl w:val="0"/>
        <w:autoSpaceDE w:val="0"/>
        <w:autoSpaceDN w:val="0"/>
        <w:adjustRightInd w:val="0"/>
        <w:ind w:right="23"/>
        <w:jc w:val="both"/>
        <w:rPr>
          <w:rFonts w:asciiTheme="minorHAnsi" w:hAnsiTheme="minorHAnsi" w:cstheme="minorHAnsi"/>
          <w:bCs/>
          <w:sz w:val="22"/>
        </w:rPr>
      </w:pPr>
    </w:p>
    <w:p w:rsidR="004F4BCF" w:rsidRPr="00640E8B" w:rsidRDefault="009740B4" w:rsidP="008A366B">
      <w:pPr>
        <w:pStyle w:val="Heading2"/>
        <w:numPr>
          <w:ilvl w:val="1"/>
          <w:numId w:val="1"/>
        </w:numPr>
        <w:spacing w:line="276" w:lineRule="auto"/>
        <w:rPr>
          <w:rFonts w:asciiTheme="minorHAnsi" w:hAnsiTheme="minorHAnsi" w:cstheme="minorHAnsi"/>
          <w:bCs w:val="0"/>
          <w:szCs w:val="22"/>
        </w:rPr>
      </w:pPr>
      <w:bookmarkStart w:id="46" w:name="_Toc373093510"/>
      <w:r>
        <w:rPr>
          <w:rFonts w:asciiTheme="minorHAnsi" w:hAnsiTheme="minorHAnsi" w:cstheme="minorHAnsi"/>
          <w:lang w:val="es-ES_tradnl"/>
        </w:rPr>
        <w:lastRenderedPageBreak/>
        <w:t>Diá</w:t>
      </w:r>
      <w:r w:rsidR="004F4BCF" w:rsidRPr="00640E8B">
        <w:rPr>
          <w:rFonts w:asciiTheme="minorHAnsi" w:hAnsiTheme="minorHAnsi" w:cstheme="minorHAnsi"/>
          <w:lang w:val="es-ES_tradnl"/>
        </w:rPr>
        <w:t>lisis</w:t>
      </w:r>
      <w:bookmarkEnd w:id="46"/>
    </w:p>
    <w:p w:rsidR="004F4BCF" w:rsidRDefault="004F4BCF" w:rsidP="004F4BCF">
      <w:pPr>
        <w:keepNext/>
        <w:widowControl w:val="0"/>
        <w:autoSpaceDE w:val="0"/>
        <w:autoSpaceDN w:val="0"/>
        <w:adjustRightInd w:val="0"/>
        <w:spacing w:after="240"/>
        <w:ind w:right="23"/>
        <w:jc w:val="both"/>
        <w:rPr>
          <w:rFonts w:asciiTheme="minorHAnsi" w:hAnsiTheme="minorHAnsi" w:cstheme="minorHAnsi"/>
          <w:bCs/>
          <w:color w:val="000000"/>
          <w:sz w:val="22"/>
          <w:szCs w:val="22"/>
        </w:rPr>
      </w:pPr>
    </w:p>
    <w:p w:rsidR="00237091" w:rsidRDefault="00237091" w:rsidP="004F4BCF">
      <w:pPr>
        <w:keepNext/>
        <w:widowControl w:val="0"/>
        <w:autoSpaceDE w:val="0"/>
        <w:autoSpaceDN w:val="0"/>
        <w:adjustRightInd w:val="0"/>
        <w:spacing w:after="240"/>
        <w:ind w:right="23"/>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La demanda por sesiones de diálisis se estim</w:t>
      </w:r>
      <w:r w:rsidR="00015282">
        <w:rPr>
          <w:rFonts w:asciiTheme="minorHAnsi" w:hAnsiTheme="minorHAnsi" w:cstheme="minorHAnsi"/>
          <w:bCs/>
          <w:color w:val="000000"/>
          <w:sz w:val="22"/>
          <w:szCs w:val="22"/>
        </w:rPr>
        <w:t>ó</w:t>
      </w:r>
      <w:r>
        <w:rPr>
          <w:rFonts w:asciiTheme="minorHAnsi" w:hAnsiTheme="minorHAnsi" w:cstheme="minorHAnsi"/>
          <w:bCs/>
          <w:color w:val="000000"/>
          <w:sz w:val="22"/>
          <w:szCs w:val="22"/>
        </w:rPr>
        <w:t xml:space="preserve"> considerando la existencia de una demanda </w:t>
      </w:r>
      <w:r w:rsidR="0096165A">
        <w:rPr>
          <w:rFonts w:asciiTheme="minorHAnsi" w:hAnsiTheme="minorHAnsi" w:cstheme="minorHAnsi"/>
          <w:bCs/>
          <w:color w:val="000000"/>
          <w:sz w:val="22"/>
          <w:szCs w:val="22"/>
        </w:rPr>
        <w:t>no expresada</w:t>
      </w:r>
      <w:r>
        <w:rPr>
          <w:rFonts w:asciiTheme="minorHAnsi" w:hAnsiTheme="minorHAnsi" w:cstheme="minorHAnsi"/>
          <w:bCs/>
          <w:color w:val="000000"/>
          <w:sz w:val="22"/>
          <w:szCs w:val="22"/>
        </w:rPr>
        <w:t xml:space="preserve">. </w:t>
      </w:r>
      <w:r w:rsidR="0096165A">
        <w:rPr>
          <w:rFonts w:asciiTheme="minorHAnsi" w:hAnsiTheme="minorHAnsi" w:cstheme="minorHAnsi"/>
          <w:bCs/>
          <w:color w:val="000000"/>
          <w:sz w:val="22"/>
          <w:szCs w:val="22"/>
        </w:rPr>
        <w:t>Esto</w:t>
      </w:r>
      <w:r>
        <w:rPr>
          <w:rFonts w:asciiTheme="minorHAnsi" w:hAnsiTheme="minorHAnsi" w:cstheme="minorHAnsi"/>
          <w:bCs/>
          <w:color w:val="000000"/>
          <w:sz w:val="22"/>
          <w:szCs w:val="22"/>
        </w:rPr>
        <w:t xml:space="preserve"> a la luz de variados indicadores de incidencia de insuficiencia renal crónica. Para nuestra estimación utilizamos la tasa de incidencia de España </w:t>
      </w:r>
      <w:r w:rsidR="0067659A">
        <w:rPr>
          <w:rFonts w:asciiTheme="minorHAnsi" w:hAnsiTheme="minorHAnsi" w:cstheme="minorHAnsi"/>
          <w:bCs/>
          <w:color w:val="000000"/>
          <w:sz w:val="22"/>
          <w:szCs w:val="22"/>
        </w:rPr>
        <w:t xml:space="preserve">para 2007 </w:t>
      </w:r>
      <w:r>
        <w:rPr>
          <w:rFonts w:asciiTheme="minorHAnsi" w:hAnsiTheme="minorHAnsi" w:cstheme="minorHAnsi"/>
          <w:bCs/>
          <w:color w:val="000000"/>
          <w:sz w:val="22"/>
          <w:szCs w:val="22"/>
        </w:rPr>
        <w:t xml:space="preserve">que es de 125 por </w:t>
      </w:r>
      <w:r w:rsidR="002724C2">
        <w:rPr>
          <w:rFonts w:asciiTheme="minorHAnsi" w:hAnsiTheme="minorHAnsi" w:cstheme="minorHAnsi"/>
          <w:bCs/>
          <w:color w:val="000000"/>
          <w:sz w:val="22"/>
          <w:szCs w:val="22"/>
        </w:rPr>
        <w:t>millón de</w:t>
      </w:r>
      <w:r>
        <w:rPr>
          <w:rFonts w:asciiTheme="minorHAnsi" w:hAnsiTheme="minorHAnsi" w:cstheme="minorHAnsi"/>
          <w:bCs/>
          <w:color w:val="000000"/>
          <w:sz w:val="22"/>
          <w:szCs w:val="22"/>
        </w:rPr>
        <w:t xml:space="preserve"> hab</w:t>
      </w:r>
      <w:r w:rsidR="002724C2">
        <w:rPr>
          <w:rFonts w:asciiTheme="minorHAnsi" w:hAnsiTheme="minorHAnsi" w:cstheme="minorHAnsi"/>
          <w:bCs/>
          <w:color w:val="000000"/>
          <w:sz w:val="22"/>
          <w:szCs w:val="22"/>
        </w:rPr>
        <w:t>itantes</w:t>
      </w:r>
      <w:r>
        <w:rPr>
          <w:rFonts w:asciiTheme="minorHAnsi" w:hAnsiTheme="minorHAnsi" w:cstheme="minorHAnsi"/>
          <w:bCs/>
          <w:color w:val="000000"/>
          <w:sz w:val="22"/>
          <w:szCs w:val="22"/>
        </w:rPr>
        <w:t>.</w:t>
      </w:r>
      <w:r>
        <w:rPr>
          <w:rStyle w:val="FootnoteReference"/>
          <w:rFonts w:asciiTheme="minorHAnsi" w:hAnsiTheme="minorHAnsi" w:cstheme="minorHAnsi"/>
          <w:bCs/>
          <w:color w:val="000000"/>
          <w:sz w:val="22"/>
          <w:szCs w:val="22"/>
        </w:rPr>
        <w:footnoteReference w:id="43"/>
      </w:r>
      <w:r w:rsidR="0067659A">
        <w:rPr>
          <w:rFonts w:asciiTheme="minorHAnsi" w:hAnsiTheme="minorHAnsi" w:cstheme="minorHAnsi"/>
          <w:bCs/>
          <w:color w:val="000000"/>
          <w:sz w:val="22"/>
          <w:szCs w:val="22"/>
        </w:rPr>
        <w:t xml:space="preserve"> De acuerdo a los antecedentes reportados en el citado informe, la tasa que utilizamos en este estudio</w:t>
      </w:r>
      <w:r w:rsidR="002724C2">
        <w:rPr>
          <w:rFonts w:asciiTheme="minorHAnsi" w:hAnsiTheme="minorHAnsi" w:cstheme="minorHAnsi"/>
          <w:bCs/>
          <w:color w:val="000000"/>
          <w:sz w:val="22"/>
          <w:szCs w:val="22"/>
        </w:rPr>
        <w:t xml:space="preserve"> se puede considerar b</w:t>
      </w:r>
      <w:r w:rsidR="0067659A" w:rsidRPr="0067659A">
        <w:rPr>
          <w:rFonts w:asciiTheme="minorHAnsi" w:hAnsiTheme="minorHAnsi" w:cstheme="minorHAnsi"/>
          <w:bCs/>
          <w:color w:val="000000"/>
          <w:sz w:val="22"/>
          <w:szCs w:val="22"/>
        </w:rPr>
        <w:t xml:space="preserve">aja, en el mismo estudio se reportan incidencia de </w:t>
      </w:r>
      <w:r w:rsidR="002724C2">
        <w:rPr>
          <w:rFonts w:asciiTheme="minorHAnsi" w:hAnsiTheme="minorHAnsi" w:cstheme="minorHAnsi"/>
          <w:bCs/>
          <w:color w:val="000000"/>
          <w:sz w:val="22"/>
          <w:szCs w:val="22"/>
        </w:rPr>
        <w:t xml:space="preserve">346 por </w:t>
      </w:r>
      <w:r w:rsidR="0096165A">
        <w:rPr>
          <w:rFonts w:asciiTheme="minorHAnsi" w:hAnsiTheme="minorHAnsi" w:cstheme="minorHAnsi"/>
          <w:bCs/>
          <w:color w:val="000000"/>
          <w:sz w:val="22"/>
          <w:szCs w:val="22"/>
        </w:rPr>
        <w:t>millón</w:t>
      </w:r>
      <w:r w:rsidR="002724C2">
        <w:rPr>
          <w:rFonts w:asciiTheme="minorHAnsi" w:hAnsiTheme="minorHAnsi" w:cstheme="minorHAnsi"/>
          <w:bCs/>
          <w:color w:val="000000"/>
          <w:sz w:val="22"/>
          <w:szCs w:val="22"/>
        </w:rPr>
        <w:t xml:space="preserve"> de hab. para Jalisco -</w:t>
      </w:r>
      <w:r w:rsidR="0067659A" w:rsidRPr="0067659A">
        <w:rPr>
          <w:rFonts w:asciiTheme="minorHAnsi" w:hAnsiTheme="minorHAnsi" w:cstheme="minorHAnsi"/>
          <w:bCs/>
          <w:color w:val="000000"/>
          <w:sz w:val="22"/>
          <w:szCs w:val="22"/>
        </w:rPr>
        <w:t xml:space="preserve"> </w:t>
      </w:r>
      <w:r w:rsidR="002724C2">
        <w:rPr>
          <w:rFonts w:asciiTheme="minorHAnsi" w:hAnsiTheme="minorHAnsi" w:cstheme="minorHAnsi"/>
          <w:bCs/>
          <w:color w:val="000000"/>
          <w:sz w:val="22"/>
          <w:szCs w:val="22"/>
        </w:rPr>
        <w:t>M</w:t>
      </w:r>
      <w:r w:rsidR="0067659A" w:rsidRPr="0067659A">
        <w:rPr>
          <w:rFonts w:asciiTheme="minorHAnsi" w:hAnsiTheme="minorHAnsi" w:cstheme="minorHAnsi"/>
          <w:bCs/>
          <w:color w:val="000000"/>
          <w:sz w:val="22"/>
          <w:szCs w:val="22"/>
        </w:rPr>
        <w:t>éxico.</w:t>
      </w:r>
      <w:r w:rsidR="002724C2">
        <w:rPr>
          <w:rStyle w:val="FootnoteReference"/>
          <w:rFonts w:asciiTheme="minorHAnsi" w:hAnsiTheme="minorHAnsi" w:cstheme="minorHAnsi"/>
          <w:bCs/>
          <w:color w:val="000000"/>
          <w:sz w:val="22"/>
          <w:szCs w:val="22"/>
        </w:rPr>
        <w:footnoteReference w:id="44"/>
      </w:r>
    </w:p>
    <w:p w:rsidR="002724C2" w:rsidRDefault="00D3593C" w:rsidP="009724A8">
      <w:pPr>
        <w:keepNext/>
        <w:widowControl w:val="0"/>
        <w:autoSpaceDE w:val="0"/>
        <w:autoSpaceDN w:val="0"/>
        <w:adjustRightInd w:val="0"/>
        <w:spacing w:after="240"/>
        <w:ind w:right="23"/>
        <w:jc w:val="both"/>
        <w:rPr>
          <w:rFonts w:asciiTheme="minorHAnsi" w:hAnsiTheme="minorHAnsi" w:cstheme="minorHAnsi"/>
          <w:bCs/>
          <w:color w:val="000000"/>
          <w:sz w:val="22"/>
          <w:szCs w:val="22"/>
        </w:rPr>
      </w:pPr>
      <w:r w:rsidRPr="009724A8">
        <w:rPr>
          <w:rFonts w:asciiTheme="minorHAnsi" w:hAnsiTheme="minorHAnsi" w:cstheme="minorHAnsi"/>
          <w:bCs/>
          <w:color w:val="000000"/>
          <w:sz w:val="22"/>
          <w:szCs w:val="22"/>
        </w:rPr>
        <w:t xml:space="preserve">Se asumen 3 </w:t>
      </w:r>
      <w:r w:rsidR="00015282">
        <w:rPr>
          <w:rFonts w:asciiTheme="minorHAnsi" w:hAnsiTheme="minorHAnsi" w:cstheme="minorHAnsi"/>
          <w:bCs/>
          <w:color w:val="000000"/>
          <w:sz w:val="22"/>
          <w:szCs w:val="22"/>
        </w:rPr>
        <w:t xml:space="preserve">sesiones de </w:t>
      </w:r>
      <w:r w:rsidRPr="009724A8">
        <w:rPr>
          <w:rFonts w:asciiTheme="minorHAnsi" w:hAnsiTheme="minorHAnsi" w:cstheme="minorHAnsi"/>
          <w:bCs/>
          <w:color w:val="000000"/>
          <w:sz w:val="22"/>
          <w:szCs w:val="22"/>
        </w:rPr>
        <w:t>diálisis por semana por paciente, y luego se multiplica por 52 semanas y por el N° de pacientes estimado por la ta</w:t>
      </w:r>
      <w:r>
        <w:rPr>
          <w:rFonts w:asciiTheme="minorHAnsi" w:hAnsiTheme="minorHAnsi" w:cstheme="minorHAnsi"/>
          <w:bCs/>
          <w:color w:val="000000"/>
          <w:sz w:val="22"/>
          <w:szCs w:val="22"/>
        </w:rPr>
        <w:t>sa de incidencia, obteniéndose la demanda potencial po</w:t>
      </w:r>
      <w:r w:rsidR="00015282">
        <w:rPr>
          <w:rFonts w:asciiTheme="minorHAnsi" w:hAnsiTheme="minorHAnsi" w:cstheme="minorHAnsi"/>
          <w:bCs/>
          <w:color w:val="000000"/>
          <w:sz w:val="22"/>
          <w:szCs w:val="22"/>
        </w:rPr>
        <w:t>r</w:t>
      </w:r>
      <w:r>
        <w:rPr>
          <w:rFonts w:asciiTheme="minorHAnsi" w:hAnsiTheme="minorHAnsi" w:cstheme="minorHAnsi"/>
          <w:bCs/>
          <w:color w:val="000000"/>
          <w:sz w:val="22"/>
          <w:szCs w:val="22"/>
        </w:rPr>
        <w:t xml:space="preserve"> sesiones de diálisis, dando por resultado, para la población de referencia, 257 pacientes para el año 2013.</w:t>
      </w:r>
    </w:p>
    <w:p w:rsidR="00864EB1" w:rsidRDefault="00864EB1" w:rsidP="009724A8">
      <w:pPr>
        <w:keepNext/>
        <w:widowControl w:val="0"/>
        <w:autoSpaceDE w:val="0"/>
        <w:autoSpaceDN w:val="0"/>
        <w:adjustRightInd w:val="0"/>
        <w:spacing w:after="240"/>
        <w:ind w:right="23"/>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De este modo, el número de sesiones de diálisis se </w:t>
      </w:r>
      <w:r w:rsidR="00D3593C">
        <w:rPr>
          <w:rFonts w:asciiTheme="minorHAnsi" w:hAnsiTheme="minorHAnsi" w:cstheme="minorHAnsi"/>
          <w:bCs/>
          <w:color w:val="000000"/>
          <w:sz w:val="22"/>
          <w:szCs w:val="22"/>
        </w:rPr>
        <w:t>expresa</w:t>
      </w:r>
      <w:r>
        <w:rPr>
          <w:rFonts w:asciiTheme="minorHAnsi" w:hAnsiTheme="minorHAnsi" w:cstheme="minorHAnsi"/>
          <w:bCs/>
          <w:color w:val="000000"/>
          <w:sz w:val="22"/>
          <w:szCs w:val="22"/>
        </w:rPr>
        <w:t xml:space="preserve"> de la siguiente forma:</w:t>
      </w:r>
    </w:p>
    <w:p w:rsidR="00864EB1" w:rsidRPr="005004E7" w:rsidRDefault="00E52595" w:rsidP="009724A8">
      <w:pPr>
        <w:keepNext/>
        <w:widowControl w:val="0"/>
        <w:autoSpaceDE w:val="0"/>
        <w:autoSpaceDN w:val="0"/>
        <w:adjustRightInd w:val="0"/>
        <w:spacing w:after="240"/>
        <w:ind w:right="23"/>
        <w:jc w:val="both"/>
        <w:rPr>
          <w:rFonts w:asciiTheme="minorHAnsi" w:hAnsiTheme="minorHAnsi" w:cstheme="minorHAnsi"/>
          <w:bCs/>
          <w:color w:val="000000"/>
          <w:sz w:val="22"/>
          <w:szCs w:val="22"/>
          <w:lang w:val="fr-FR"/>
        </w:rPr>
      </w:pPr>
      <m:oMath>
        <m:sSub>
          <m:sSubPr>
            <m:ctrlPr>
              <w:rPr>
                <w:rFonts w:ascii="Cambria Math" w:hAnsi="Cambria Math" w:cstheme="minorHAnsi"/>
                <w:bCs/>
                <w:sz w:val="22"/>
              </w:rPr>
            </m:ctrlPr>
          </m:sSubPr>
          <m:e>
            <m:r>
              <m:rPr>
                <m:sty m:val="p"/>
              </m:rPr>
              <w:rPr>
                <w:rFonts w:ascii="Cambria Math" w:hAnsi="Cambria Math" w:cstheme="minorHAnsi"/>
                <w:sz w:val="22"/>
                <w:lang w:val="fr-FR"/>
              </w:rPr>
              <m:t>Dial</m:t>
            </m:r>
          </m:e>
          <m:sub>
            <m:r>
              <m:rPr>
                <m:sty m:val="p"/>
              </m:rPr>
              <w:rPr>
                <w:rFonts w:ascii="Cambria Math" w:hAnsi="Cambria Math" w:cstheme="minorHAnsi"/>
                <w:sz w:val="22"/>
                <w:lang w:val="fr-FR"/>
              </w:rPr>
              <m:t>t</m:t>
            </m:r>
          </m:sub>
        </m:sSub>
        <m:r>
          <m:rPr>
            <m:sty m:val="p"/>
          </m:rPr>
          <w:rPr>
            <w:rFonts w:ascii="Cambria Math" w:hAnsi="Cambria Math" w:cstheme="minorHAnsi"/>
            <w:sz w:val="22"/>
            <w:lang w:val="fr-FR"/>
          </w:rPr>
          <m:t>=</m:t>
        </m:r>
        <m:d>
          <m:dPr>
            <m:ctrlPr>
              <w:rPr>
                <w:rFonts w:ascii="Cambria Math" w:hAnsi="Cambria Math" w:cstheme="minorHAnsi"/>
                <w:sz w:val="22"/>
              </w:rPr>
            </m:ctrlPr>
          </m:dPr>
          <m:e>
            <m:f>
              <m:fPr>
                <m:ctrlPr>
                  <w:rPr>
                    <w:rFonts w:ascii="Cambria Math" w:hAnsi="Cambria Math" w:cstheme="minorHAnsi"/>
                    <w:i/>
                    <w:sz w:val="22"/>
                  </w:rPr>
                </m:ctrlPr>
              </m:fPr>
              <m:num>
                <m:r>
                  <w:rPr>
                    <w:rFonts w:ascii="Cambria Math" w:hAnsi="Cambria Math" w:cstheme="minorHAnsi"/>
                    <w:sz w:val="22"/>
                    <w:lang w:val="fr-FR"/>
                  </w:rPr>
                  <m:t>125</m:t>
                </m:r>
              </m:num>
              <m:den>
                <m:r>
                  <w:rPr>
                    <w:rFonts w:ascii="Cambria Math" w:hAnsi="Cambria Math" w:cstheme="minorHAnsi"/>
                    <w:sz w:val="22"/>
                    <w:lang w:val="fr-FR"/>
                  </w:rPr>
                  <m:t>1000000</m:t>
                </m:r>
              </m:den>
            </m:f>
          </m:e>
        </m:d>
        <m:r>
          <m:rPr>
            <m:sty m:val="p"/>
          </m:rPr>
          <w:rPr>
            <w:rFonts w:ascii="Cambria Math" w:hAnsi="Cambria Math" w:cstheme="minorHAnsi"/>
            <w:sz w:val="22"/>
            <w:lang w:val="fr-FR"/>
          </w:rPr>
          <m:t>∙52∙3∙</m:t>
        </m:r>
        <m:sSub>
          <m:sSubPr>
            <m:ctrlPr>
              <w:rPr>
                <w:rFonts w:ascii="Cambria Math" w:hAnsi="Cambria Math" w:cstheme="minorHAnsi"/>
                <w:bCs/>
                <w:sz w:val="22"/>
              </w:rPr>
            </m:ctrlPr>
          </m:sSubPr>
          <m:e>
            <m:r>
              <m:rPr>
                <m:sty m:val="p"/>
              </m:rPr>
              <w:rPr>
                <w:rFonts w:ascii="Cambria Math" w:hAnsi="Cambria Math" w:cstheme="minorHAnsi"/>
                <w:sz w:val="22"/>
                <w:lang w:val="fr-FR"/>
              </w:rPr>
              <m:t>Pob</m:t>
            </m:r>
          </m:e>
          <m:sub>
            <m:r>
              <m:rPr>
                <m:sty m:val="p"/>
              </m:rPr>
              <w:rPr>
                <w:rFonts w:ascii="Cambria Math" w:hAnsi="Cambria Math" w:cstheme="minorHAnsi"/>
                <w:sz w:val="22"/>
                <w:lang w:val="fr-FR"/>
              </w:rPr>
              <m:t>t</m:t>
            </m:r>
          </m:sub>
        </m:sSub>
      </m:oMath>
      <w:r w:rsidR="00864EB1" w:rsidRPr="005004E7">
        <w:rPr>
          <w:rFonts w:asciiTheme="minorHAnsi" w:hAnsiTheme="minorHAnsi" w:cstheme="minorHAnsi"/>
          <w:bCs/>
          <w:sz w:val="22"/>
          <w:lang w:val="fr-FR"/>
        </w:rPr>
        <w:tab/>
      </w:r>
      <w:r w:rsidR="00864EB1" w:rsidRPr="005004E7">
        <w:rPr>
          <w:rFonts w:asciiTheme="minorHAnsi" w:hAnsiTheme="minorHAnsi" w:cstheme="minorHAnsi"/>
          <w:bCs/>
          <w:sz w:val="22"/>
          <w:lang w:val="fr-FR"/>
        </w:rPr>
        <w:tab/>
        <w:t>para 0</w:t>
      </w:r>
      <w:r w:rsidR="00732BA6" w:rsidRPr="005004E7">
        <w:rPr>
          <w:rFonts w:asciiTheme="minorHAnsi" w:hAnsiTheme="minorHAnsi" w:cstheme="minorHAnsi"/>
          <w:bCs/>
          <w:sz w:val="22"/>
          <w:lang w:val="fr-FR"/>
        </w:rPr>
        <w:t xml:space="preserve"> </w:t>
      </w:r>
      <w:r w:rsidR="00864EB1" w:rsidRPr="005004E7">
        <w:rPr>
          <w:rFonts w:asciiTheme="minorHAnsi" w:hAnsiTheme="minorHAnsi" w:cstheme="minorHAnsi"/>
          <w:bCs/>
          <w:sz w:val="22"/>
          <w:lang w:val="fr-FR"/>
        </w:rPr>
        <w:t>≤ t ≤</w:t>
      </w:r>
      <w:r w:rsidR="00732BA6" w:rsidRPr="005004E7">
        <w:rPr>
          <w:rFonts w:asciiTheme="minorHAnsi" w:hAnsiTheme="minorHAnsi" w:cstheme="minorHAnsi"/>
          <w:bCs/>
          <w:sz w:val="22"/>
          <w:lang w:val="fr-FR"/>
        </w:rPr>
        <w:t xml:space="preserve"> 30</w:t>
      </w:r>
    </w:p>
    <w:p w:rsidR="002724C2" w:rsidRPr="005004E7" w:rsidRDefault="002724C2" w:rsidP="002724C2">
      <w:pPr>
        <w:keepNext/>
        <w:widowControl w:val="0"/>
        <w:autoSpaceDE w:val="0"/>
        <w:autoSpaceDN w:val="0"/>
        <w:adjustRightInd w:val="0"/>
        <w:spacing w:after="240"/>
        <w:ind w:right="23"/>
        <w:jc w:val="both"/>
        <w:rPr>
          <w:rFonts w:asciiTheme="minorHAnsi" w:hAnsiTheme="minorHAnsi" w:cstheme="minorHAnsi"/>
          <w:bCs/>
          <w:color w:val="000000"/>
          <w:sz w:val="22"/>
          <w:szCs w:val="22"/>
          <w:lang w:val="fr-FR"/>
        </w:rPr>
      </w:pPr>
    </w:p>
    <w:p w:rsidR="004F4BCF" w:rsidRPr="0067659A" w:rsidRDefault="004F4BCF" w:rsidP="008A366B">
      <w:pPr>
        <w:pStyle w:val="Heading2"/>
        <w:numPr>
          <w:ilvl w:val="1"/>
          <w:numId w:val="1"/>
        </w:numPr>
        <w:spacing w:line="276" w:lineRule="auto"/>
        <w:rPr>
          <w:rFonts w:asciiTheme="minorHAnsi" w:hAnsiTheme="minorHAnsi" w:cstheme="minorHAnsi"/>
          <w:bCs w:val="0"/>
          <w:szCs w:val="22"/>
        </w:rPr>
      </w:pPr>
      <w:bookmarkStart w:id="47" w:name="_Toc373093511"/>
      <w:r w:rsidRPr="0067659A">
        <w:rPr>
          <w:rFonts w:asciiTheme="minorHAnsi" w:hAnsiTheme="minorHAnsi" w:cstheme="minorHAnsi"/>
          <w:lang w:val="es-ES_tradnl"/>
        </w:rPr>
        <w:t>Rayos X</w:t>
      </w:r>
      <w:bookmarkEnd w:id="47"/>
    </w:p>
    <w:p w:rsidR="004F4BCF" w:rsidRDefault="004F4BCF" w:rsidP="004F4BCF">
      <w:pPr>
        <w:rPr>
          <w:rFonts w:asciiTheme="minorHAnsi" w:hAnsiTheme="minorHAnsi" w:cstheme="minorHAnsi"/>
          <w:bCs/>
          <w:color w:val="000000"/>
          <w:sz w:val="22"/>
        </w:rPr>
      </w:pPr>
    </w:p>
    <w:p w:rsidR="004777A1" w:rsidRDefault="004777A1" w:rsidP="004777A1">
      <w:pPr>
        <w:jc w:val="both"/>
        <w:rPr>
          <w:rFonts w:asciiTheme="minorHAnsi" w:hAnsiTheme="minorHAnsi" w:cstheme="minorHAnsi"/>
          <w:bCs/>
          <w:color w:val="000000"/>
          <w:sz w:val="22"/>
        </w:rPr>
      </w:pPr>
      <w:r>
        <w:rPr>
          <w:rFonts w:asciiTheme="minorHAnsi" w:hAnsiTheme="minorHAnsi" w:cstheme="minorHAnsi"/>
          <w:bCs/>
          <w:color w:val="000000"/>
          <w:sz w:val="22"/>
        </w:rPr>
        <w:t xml:space="preserve">Para la estimación de la demanda por placas de Rx, asumimos una tasa de 0,58 placas por consulta externa. Esta tasa la obtenemos de las estadísticas hospitalarias de Chile. </w:t>
      </w:r>
      <w:r w:rsidR="0096165A">
        <w:rPr>
          <w:rFonts w:asciiTheme="minorHAnsi" w:hAnsiTheme="minorHAnsi" w:cstheme="minorHAnsi"/>
          <w:bCs/>
          <w:color w:val="000000"/>
          <w:sz w:val="22"/>
        </w:rPr>
        <w:t xml:space="preserve">En la práctica, al igual que muchas de las demandas estimadas en este estudio, se asume indirectamente que la demanda real por placas se estabiliza posterior al periodo 14 de evaluación, dado que la demanda por consulta externa asume ese comportamiento, la demanda por placas de Rx sigue </w:t>
      </w:r>
      <w:r w:rsidR="00015282">
        <w:rPr>
          <w:rFonts w:asciiTheme="minorHAnsi" w:hAnsiTheme="minorHAnsi" w:cstheme="minorHAnsi"/>
          <w:bCs/>
          <w:color w:val="000000"/>
          <w:sz w:val="22"/>
        </w:rPr>
        <w:t>igual tendencia temporal</w:t>
      </w:r>
      <w:r w:rsidR="0096165A">
        <w:rPr>
          <w:rFonts w:asciiTheme="minorHAnsi" w:hAnsiTheme="minorHAnsi" w:cstheme="minorHAnsi"/>
          <w:bCs/>
          <w:color w:val="000000"/>
          <w:sz w:val="22"/>
        </w:rPr>
        <w:t>.</w:t>
      </w:r>
    </w:p>
    <w:p w:rsidR="004F4BCF" w:rsidRDefault="004F4BCF" w:rsidP="004F4BCF">
      <w:pPr>
        <w:keepNext/>
        <w:widowControl w:val="0"/>
        <w:autoSpaceDE w:val="0"/>
        <w:autoSpaceDN w:val="0"/>
        <w:adjustRightInd w:val="0"/>
        <w:spacing w:after="240"/>
        <w:ind w:right="23"/>
        <w:jc w:val="both"/>
        <w:rPr>
          <w:rFonts w:asciiTheme="minorHAnsi" w:hAnsiTheme="minorHAnsi" w:cstheme="minorHAnsi"/>
          <w:bCs/>
          <w:color w:val="000000"/>
          <w:sz w:val="22"/>
          <w:szCs w:val="22"/>
        </w:rPr>
      </w:pPr>
    </w:p>
    <w:p w:rsidR="004F4BCF" w:rsidRPr="00640E8B" w:rsidRDefault="004F4BCF" w:rsidP="008A366B">
      <w:pPr>
        <w:pStyle w:val="Heading2"/>
        <w:numPr>
          <w:ilvl w:val="1"/>
          <w:numId w:val="1"/>
        </w:numPr>
        <w:spacing w:line="276" w:lineRule="auto"/>
        <w:rPr>
          <w:rFonts w:asciiTheme="minorHAnsi" w:hAnsiTheme="minorHAnsi" w:cstheme="minorHAnsi"/>
          <w:bCs w:val="0"/>
          <w:szCs w:val="22"/>
        </w:rPr>
      </w:pPr>
      <w:bookmarkStart w:id="48" w:name="_Toc373093512"/>
      <w:r w:rsidRPr="00640E8B">
        <w:rPr>
          <w:rFonts w:asciiTheme="minorHAnsi" w:hAnsiTheme="minorHAnsi" w:cstheme="minorHAnsi"/>
          <w:lang w:val="es-ES_tradnl"/>
        </w:rPr>
        <w:t>Endoscopía</w:t>
      </w:r>
      <w:bookmarkEnd w:id="48"/>
    </w:p>
    <w:p w:rsidR="004F4BCF" w:rsidRDefault="004F4BCF" w:rsidP="004F4BCF">
      <w:pPr>
        <w:rPr>
          <w:rFonts w:asciiTheme="minorHAnsi" w:hAnsiTheme="minorHAnsi" w:cstheme="minorHAnsi"/>
          <w:bCs/>
          <w:color w:val="000000"/>
          <w:sz w:val="22"/>
        </w:rPr>
      </w:pPr>
    </w:p>
    <w:p w:rsidR="004F4BCF" w:rsidRDefault="004777A1" w:rsidP="004F4BCF">
      <w:pPr>
        <w:keepNext/>
        <w:widowControl w:val="0"/>
        <w:autoSpaceDE w:val="0"/>
        <w:autoSpaceDN w:val="0"/>
        <w:adjustRightInd w:val="0"/>
        <w:spacing w:after="240"/>
        <w:ind w:right="23"/>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Para la estimación de los </w:t>
      </w:r>
      <w:r w:rsidR="0096165A">
        <w:rPr>
          <w:rFonts w:asciiTheme="minorHAnsi" w:hAnsiTheme="minorHAnsi" w:cstheme="minorHAnsi"/>
          <w:bCs/>
          <w:color w:val="000000"/>
          <w:sz w:val="22"/>
          <w:szCs w:val="22"/>
        </w:rPr>
        <w:t>estudio</w:t>
      </w:r>
      <w:r>
        <w:rPr>
          <w:rFonts w:asciiTheme="minorHAnsi" w:hAnsiTheme="minorHAnsi" w:cstheme="minorHAnsi"/>
          <w:bCs/>
          <w:color w:val="000000"/>
          <w:sz w:val="22"/>
          <w:szCs w:val="22"/>
        </w:rPr>
        <w:t xml:space="preserve"> de endoscop</w:t>
      </w:r>
      <w:r w:rsidR="000D290C">
        <w:rPr>
          <w:rFonts w:asciiTheme="minorHAnsi" w:hAnsiTheme="minorHAnsi" w:cstheme="minorHAnsi"/>
          <w:bCs/>
          <w:color w:val="000000"/>
          <w:sz w:val="22"/>
          <w:szCs w:val="22"/>
        </w:rPr>
        <w:t>í</w:t>
      </w:r>
      <w:r>
        <w:rPr>
          <w:rFonts w:asciiTheme="minorHAnsi" w:hAnsiTheme="minorHAnsi" w:cstheme="minorHAnsi"/>
          <w:bCs/>
          <w:color w:val="000000"/>
          <w:sz w:val="22"/>
          <w:szCs w:val="22"/>
        </w:rPr>
        <w:t xml:space="preserve">a asumimos un </w:t>
      </w:r>
      <w:r w:rsidR="0096165A">
        <w:rPr>
          <w:rFonts w:asciiTheme="minorHAnsi" w:hAnsiTheme="minorHAnsi" w:cstheme="minorHAnsi"/>
          <w:bCs/>
          <w:color w:val="000000"/>
          <w:sz w:val="22"/>
          <w:szCs w:val="22"/>
        </w:rPr>
        <w:t>parámetro</w:t>
      </w:r>
      <w:r>
        <w:rPr>
          <w:rFonts w:asciiTheme="minorHAnsi" w:hAnsiTheme="minorHAnsi" w:cstheme="minorHAnsi"/>
          <w:bCs/>
          <w:color w:val="000000"/>
          <w:sz w:val="22"/>
          <w:szCs w:val="22"/>
        </w:rPr>
        <w:t xml:space="preserve"> </w:t>
      </w:r>
      <w:r w:rsidR="0096165A">
        <w:rPr>
          <w:rFonts w:asciiTheme="minorHAnsi" w:hAnsiTheme="minorHAnsi" w:cstheme="minorHAnsi"/>
          <w:bCs/>
          <w:color w:val="000000"/>
          <w:sz w:val="22"/>
          <w:szCs w:val="22"/>
        </w:rPr>
        <w:t>poblacional</w:t>
      </w:r>
      <w:r>
        <w:rPr>
          <w:rFonts w:asciiTheme="minorHAnsi" w:hAnsiTheme="minorHAnsi" w:cstheme="minorHAnsi"/>
          <w:bCs/>
          <w:color w:val="000000"/>
          <w:sz w:val="22"/>
          <w:szCs w:val="22"/>
        </w:rPr>
        <w:t xml:space="preserve"> tomado del manual de evaluación de proyectos </w:t>
      </w:r>
      <w:r w:rsidR="0096165A">
        <w:rPr>
          <w:rFonts w:asciiTheme="minorHAnsi" w:hAnsiTheme="minorHAnsi" w:cstheme="minorHAnsi"/>
          <w:bCs/>
          <w:color w:val="000000"/>
          <w:sz w:val="22"/>
          <w:szCs w:val="22"/>
        </w:rPr>
        <w:t>hospitalarios</w:t>
      </w:r>
      <w:r>
        <w:rPr>
          <w:rFonts w:asciiTheme="minorHAnsi" w:hAnsiTheme="minorHAnsi" w:cstheme="minorHAnsi"/>
          <w:bCs/>
          <w:color w:val="000000"/>
          <w:sz w:val="22"/>
          <w:szCs w:val="22"/>
        </w:rPr>
        <w:t xml:space="preserve"> de </w:t>
      </w:r>
      <w:r w:rsidRPr="004777A1">
        <w:rPr>
          <w:rFonts w:asciiTheme="minorHAnsi" w:hAnsiTheme="minorHAnsi" w:cstheme="minorHAnsi"/>
          <w:bCs/>
          <w:color w:val="000000"/>
          <w:sz w:val="22"/>
          <w:szCs w:val="22"/>
        </w:rPr>
        <w:t>Meixuiro, J. et al (2009</w:t>
      </w:r>
      <w:r>
        <w:rPr>
          <w:rFonts w:asciiTheme="minorHAnsi" w:hAnsiTheme="minorHAnsi" w:cstheme="minorHAnsi"/>
          <w:bCs/>
          <w:color w:val="000000"/>
          <w:sz w:val="22"/>
          <w:szCs w:val="22"/>
        </w:rPr>
        <w:t>)</w:t>
      </w:r>
      <w:r w:rsidR="000D290C">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que es de 0,007 por habitante.</w:t>
      </w:r>
    </w:p>
    <w:p w:rsidR="00E37032" w:rsidRDefault="00E37032" w:rsidP="004F4BCF">
      <w:pPr>
        <w:keepNext/>
        <w:widowControl w:val="0"/>
        <w:autoSpaceDE w:val="0"/>
        <w:autoSpaceDN w:val="0"/>
        <w:adjustRightInd w:val="0"/>
        <w:spacing w:after="240"/>
        <w:ind w:right="23"/>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Es decir, la cantidad de endoscopías se obtendrá a partir de la siguiente expresión:</w:t>
      </w:r>
    </w:p>
    <w:p w:rsidR="00E37032" w:rsidRPr="00AC3692" w:rsidRDefault="00E52595" w:rsidP="00E37032">
      <w:pPr>
        <w:widowControl w:val="0"/>
        <w:autoSpaceDE w:val="0"/>
        <w:autoSpaceDN w:val="0"/>
        <w:adjustRightInd w:val="0"/>
        <w:ind w:right="23"/>
        <w:jc w:val="both"/>
        <w:rPr>
          <w:rFonts w:asciiTheme="minorHAnsi" w:hAnsiTheme="minorHAnsi" w:cstheme="minorHAnsi"/>
          <w:bCs/>
          <w:sz w:val="22"/>
        </w:rPr>
      </w:pPr>
      <m:oMathPara>
        <m:oMathParaPr>
          <m:jc m:val="left"/>
        </m:oMathParaPr>
        <m:oMath>
          <m:sSub>
            <m:sSubPr>
              <m:ctrlPr>
                <w:rPr>
                  <w:rFonts w:ascii="Cambria Math" w:hAnsi="Cambria Math" w:cstheme="minorHAnsi"/>
                  <w:bCs/>
                  <w:sz w:val="22"/>
                </w:rPr>
              </m:ctrlPr>
            </m:sSubPr>
            <m:e>
              <m:r>
                <m:rPr>
                  <m:sty m:val="p"/>
                </m:rPr>
                <w:rPr>
                  <w:rFonts w:ascii="Cambria Math" w:hAnsi="Cambria Math" w:cstheme="minorHAnsi"/>
                  <w:sz w:val="22"/>
                </w:rPr>
                <m:t>Endco</m:t>
              </m:r>
            </m:e>
            <m:sub>
              <m:r>
                <m:rPr>
                  <m:sty m:val="p"/>
                </m:rPr>
                <w:rPr>
                  <w:rFonts w:ascii="Cambria Math" w:hAnsi="Cambria Math" w:cstheme="minorHAnsi"/>
                  <w:sz w:val="22"/>
                </w:rPr>
                <m:t>t</m:t>
              </m:r>
            </m:sub>
          </m:sSub>
          <m:r>
            <m:rPr>
              <m:sty m:val="p"/>
            </m:rPr>
            <w:rPr>
              <w:rFonts w:ascii="Cambria Math" w:hAnsi="Cambria Math" w:cstheme="minorHAnsi"/>
              <w:sz w:val="22"/>
            </w:rPr>
            <m:t>=0,007∙</m:t>
          </m:r>
          <m:sSub>
            <m:sSubPr>
              <m:ctrlPr>
                <w:rPr>
                  <w:rFonts w:ascii="Cambria Math" w:hAnsi="Cambria Math" w:cstheme="minorHAnsi"/>
                  <w:bCs/>
                  <w:sz w:val="22"/>
                </w:rPr>
              </m:ctrlPr>
            </m:sSubPr>
            <m:e>
              <m:r>
                <m:rPr>
                  <m:sty m:val="p"/>
                </m:rPr>
                <w:rPr>
                  <w:rFonts w:ascii="Cambria Math" w:hAnsi="Cambria Math" w:cstheme="minorHAnsi"/>
                  <w:sz w:val="22"/>
                </w:rPr>
                <m:t>Pob</m:t>
              </m:r>
            </m:e>
            <m:sub>
              <m:r>
                <m:rPr>
                  <m:sty m:val="p"/>
                </m:rPr>
                <w:rPr>
                  <w:rFonts w:ascii="Cambria Math" w:hAnsi="Cambria Math" w:cstheme="minorHAnsi"/>
                  <w:sz w:val="22"/>
                </w:rPr>
                <m:t>t</m:t>
              </m:r>
            </m:sub>
          </m:sSub>
        </m:oMath>
      </m:oMathPara>
    </w:p>
    <w:p w:rsidR="00AC3692" w:rsidRDefault="00AC3692" w:rsidP="00E37032">
      <w:pPr>
        <w:widowControl w:val="0"/>
        <w:autoSpaceDE w:val="0"/>
        <w:autoSpaceDN w:val="0"/>
        <w:adjustRightInd w:val="0"/>
        <w:ind w:right="23"/>
        <w:jc w:val="both"/>
        <w:rPr>
          <w:rFonts w:asciiTheme="minorHAnsi" w:hAnsiTheme="minorHAnsi" w:cstheme="minorHAnsi"/>
          <w:bCs/>
          <w:sz w:val="22"/>
        </w:rPr>
      </w:pPr>
    </w:p>
    <w:p w:rsidR="00AC3692" w:rsidRPr="009C76DB" w:rsidRDefault="00AC3692" w:rsidP="00E37032">
      <w:pPr>
        <w:widowControl w:val="0"/>
        <w:autoSpaceDE w:val="0"/>
        <w:autoSpaceDN w:val="0"/>
        <w:adjustRightInd w:val="0"/>
        <w:ind w:right="23"/>
        <w:jc w:val="both"/>
        <w:rPr>
          <w:rFonts w:asciiTheme="minorHAnsi" w:hAnsiTheme="minorHAnsi" w:cstheme="minorHAnsi"/>
          <w:bCs/>
          <w:sz w:val="22"/>
        </w:rPr>
      </w:pPr>
    </w:p>
    <w:p w:rsidR="000B193F" w:rsidRPr="00640E8B" w:rsidRDefault="000B193F" w:rsidP="008A366B">
      <w:pPr>
        <w:pStyle w:val="Heading2"/>
        <w:numPr>
          <w:ilvl w:val="1"/>
          <w:numId w:val="1"/>
        </w:numPr>
        <w:spacing w:line="276" w:lineRule="auto"/>
        <w:rPr>
          <w:rFonts w:asciiTheme="minorHAnsi" w:hAnsiTheme="minorHAnsi" w:cstheme="minorHAnsi"/>
          <w:bCs w:val="0"/>
          <w:szCs w:val="22"/>
        </w:rPr>
      </w:pPr>
      <w:bookmarkStart w:id="49" w:name="_Toc373093513"/>
      <w:r>
        <w:rPr>
          <w:rFonts w:asciiTheme="minorHAnsi" w:hAnsiTheme="minorHAnsi" w:cstheme="minorHAnsi"/>
          <w:lang w:val="es-ES_tradnl"/>
        </w:rPr>
        <w:lastRenderedPageBreak/>
        <w:t>Mamografía</w:t>
      </w:r>
      <w:bookmarkEnd w:id="49"/>
    </w:p>
    <w:p w:rsidR="00E37032" w:rsidRDefault="00E37032" w:rsidP="004F4BCF">
      <w:pPr>
        <w:keepNext/>
        <w:widowControl w:val="0"/>
        <w:autoSpaceDE w:val="0"/>
        <w:autoSpaceDN w:val="0"/>
        <w:adjustRightInd w:val="0"/>
        <w:spacing w:after="240"/>
        <w:ind w:right="23"/>
        <w:jc w:val="both"/>
        <w:rPr>
          <w:rFonts w:asciiTheme="minorHAnsi" w:hAnsiTheme="minorHAnsi" w:cstheme="minorHAnsi"/>
          <w:bCs/>
          <w:color w:val="000000"/>
          <w:sz w:val="22"/>
          <w:szCs w:val="22"/>
        </w:rPr>
      </w:pPr>
    </w:p>
    <w:p w:rsidR="008E0891" w:rsidRDefault="008E0891" w:rsidP="008E0891">
      <w:pPr>
        <w:jc w:val="both"/>
        <w:rPr>
          <w:rFonts w:asciiTheme="minorHAnsi" w:hAnsiTheme="minorHAnsi"/>
          <w:sz w:val="22"/>
          <w:szCs w:val="22"/>
        </w:rPr>
      </w:pPr>
      <w:r w:rsidRPr="008E0891">
        <w:rPr>
          <w:rFonts w:asciiTheme="minorHAnsi" w:hAnsiTheme="minorHAnsi"/>
          <w:sz w:val="22"/>
          <w:szCs w:val="22"/>
        </w:rPr>
        <w:t>El número de mamografías depende básicamente del número de consultas de especialidad, de este modo nuestra estimación se realiza a partir de la siguiente expresión:</w:t>
      </w:r>
    </w:p>
    <w:p w:rsidR="008E0891" w:rsidRPr="008E0891" w:rsidRDefault="008E0891" w:rsidP="008E0891">
      <w:pPr>
        <w:jc w:val="both"/>
        <w:rPr>
          <w:rFonts w:asciiTheme="minorHAnsi" w:hAnsiTheme="minorHAnsi"/>
          <w:sz w:val="22"/>
          <w:szCs w:val="22"/>
        </w:rPr>
      </w:pPr>
    </w:p>
    <w:p w:rsidR="008E0891" w:rsidRPr="008E0891" w:rsidRDefault="00E52595" w:rsidP="008E0891">
      <w:pPr>
        <w:rPr>
          <w:rFonts w:asciiTheme="minorHAnsi" w:hAnsiTheme="minorHAnsi"/>
          <w:sz w:val="22"/>
          <w:szCs w:val="22"/>
        </w:rPr>
      </w:pPr>
      <m:oMathPara>
        <m:oMathParaPr>
          <m:jc m:val="left"/>
        </m:oMathParaPr>
        <m:oMath>
          <m:sSub>
            <m:sSubPr>
              <m:ctrlPr>
                <w:rPr>
                  <w:rFonts w:ascii="Cambria Math" w:hAnsi="Cambria Math"/>
                  <w:sz w:val="22"/>
                  <w:szCs w:val="22"/>
                </w:rPr>
              </m:ctrlPr>
            </m:sSubPr>
            <m:e>
              <m:r>
                <m:rPr>
                  <m:sty m:val="p"/>
                </m:rPr>
                <w:rPr>
                  <w:rFonts w:ascii="Cambria Math" w:hAnsi="Cambria Math"/>
                  <w:sz w:val="22"/>
                  <w:szCs w:val="22"/>
                </w:rPr>
                <m:t>M</m:t>
              </m:r>
            </m:e>
            <m:sub>
              <m:r>
                <m:rPr>
                  <m:sty m:val="p"/>
                </m:rPr>
                <w:rPr>
                  <w:rFonts w:ascii="Cambria Math" w:hAnsi="Cambria Math"/>
                  <w:sz w:val="22"/>
                  <w:szCs w:val="22"/>
                </w:rPr>
                <m:t>t</m:t>
              </m:r>
            </m:sub>
          </m:sSub>
          <m:r>
            <m:rPr>
              <m:sty m:val="p"/>
            </m:rPr>
            <w:rPr>
              <w:rFonts w:ascii="Cambria Math" w:hAnsi="Cambria Math"/>
              <w:sz w:val="22"/>
              <w:szCs w:val="22"/>
            </w:rPr>
            <m:t>=e∙</m:t>
          </m:r>
          <m:sSub>
            <m:sSubPr>
              <m:ctrlPr>
                <w:rPr>
                  <w:rFonts w:ascii="Cambria Math" w:hAnsi="Cambria Math"/>
                  <w:sz w:val="22"/>
                  <w:szCs w:val="22"/>
                </w:rPr>
              </m:ctrlPr>
            </m:sSubPr>
            <m:e>
              <m:r>
                <m:rPr>
                  <m:sty m:val="p"/>
                </m:rPr>
                <w:rPr>
                  <w:rFonts w:ascii="Cambria Math" w:hAnsi="Cambria Math"/>
                  <w:sz w:val="22"/>
                  <w:szCs w:val="22"/>
                </w:rPr>
                <m:t>CE</m:t>
              </m:r>
            </m:e>
            <m:sub>
              <m:r>
                <m:rPr>
                  <m:sty m:val="p"/>
                </m:rPr>
                <w:rPr>
                  <w:rFonts w:ascii="Cambria Math" w:hAnsi="Cambria Math"/>
                  <w:sz w:val="22"/>
                  <w:szCs w:val="22"/>
                </w:rPr>
                <m:t>t</m:t>
              </m:r>
            </m:sub>
          </m:sSub>
        </m:oMath>
      </m:oMathPara>
    </w:p>
    <w:p w:rsidR="008E0891" w:rsidRDefault="008E0891" w:rsidP="008E0891">
      <w:pPr>
        <w:rPr>
          <w:rFonts w:asciiTheme="minorHAnsi" w:hAnsiTheme="minorHAnsi"/>
          <w:sz w:val="22"/>
          <w:szCs w:val="22"/>
        </w:rPr>
      </w:pPr>
    </w:p>
    <w:p w:rsidR="008E0891" w:rsidRPr="008E0891" w:rsidRDefault="008E0891" w:rsidP="008E0891">
      <w:pPr>
        <w:rPr>
          <w:rFonts w:asciiTheme="minorHAnsi" w:hAnsiTheme="minorHAnsi"/>
          <w:sz w:val="22"/>
          <w:szCs w:val="22"/>
        </w:rPr>
      </w:pPr>
      <w:r w:rsidRPr="008E0891">
        <w:rPr>
          <w:rFonts w:asciiTheme="minorHAnsi" w:hAnsiTheme="minorHAnsi"/>
          <w:sz w:val="22"/>
          <w:szCs w:val="22"/>
        </w:rPr>
        <w:t>Donde,</w:t>
      </w:r>
    </w:p>
    <w:p w:rsidR="008E0891" w:rsidRDefault="008E0891" w:rsidP="008E0891">
      <w:pPr>
        <w:jc w:val="both"/>
        <w:rPr>
          <w:rFonts w:asciiTheme="minorHAnsi" w:hAnsiTheme="minorHAnsi"/>
          <w:sz w:val="22"/>
          <w:szCs w:val="22"/>
        </w:rPr>
      </w:pPr>
    </w:p>
    <w:p w:rsidR="008E0891" w:rsidRPr="008E0891" w:rsidRDefault="008E0891" w:rsidP="008E0891">
      <w:pPr>
        <w:jc w:val="both"/>
        <w:rPr>
          <w:rFonts w:asciiTheme="minorHAnsi" w:hAnsiTheme="minorHAnsi"/>
          <w:sz w:val="22"/>
          <w:szCs w:val="22"/>
        </w:rPr>
      </w:pPr>
      <w:r w:rsidRPr="008E0891">
        <w:rPr>
          <w:rFonts w:asciiTheme="minorHAnsi" w:hAnsiTheme="minorHAnsi"/>
          <w:sz w:val="22"/>
          <w:szCs w:val="22"/>
        </w:rPr>
        <w:t>M</w:t>
      </w:r>
      <w:r w:rsidRPr="008E0891">
        <w:rPr>
          <w:rFonts w:asciiTheme="minorHAnsi" w:hAnsiTheme="minorHAnsi"/>
          <w:sz w:val="22"/>
          <w:szCs w:val="22"/>
          <w:vertAlign w:val="subscript"/>
        </w:rPr>
        <w:t>t</w:t>
      </w:r>
      <w:r w:rsidRPr="008E0891">
        <w:rPr>
          <w:rFonts w:asciiTheme="minorHAnsi" w:hAnsiTheme="minorHAnsi"/>
          <w:sz w:val="22"/>
          <w:szCs w:val="22"/>
        </w:rPr>
        <w:t xml:space="preserve"> = Número de mamografías en el periodo t</w:t>
      </w:r>
    </w:p>
    <w:p w:rsidR="008E0891" w:rsidRDefault="008E0891" w:rsidP="008E0891">
      <w:pPr>
        <w:jc w:val="both"/>
        <w:rPr>
          <w:rFonts w:asciiTheme="minorHAnsi" w:hAnsiTheme="minorHAnsi"/>
          <w:sz w:val="22"/>
          <w:szCs w:val="22"/>
        </w:rPr>
      </w:pPr>
    </w:p>
    <w:p w:rsidR="008E0891" w:rsidRPr="008E0891" w:rsidRDefault="008E0891" w:rsidP="008E0891">
      <w:pPr>
        <w:jc w:val="both"/>
        <w:rPr>
          <w:rFonts w:asciiTheme="minorHAnsi" w:hAnsiTheme="minorHAnsi"/>
          <w:sz w:val="22"/>
          <w:szCs w:val="22"/>
        </w:rPr>
      </w:pPr>
      <w:r w:rsidRPr="008E0891">
        <w:rPr>
          <w:rFonts w:asciiTheme="minorHAnsi" w:hAnsiTheme="minorHAnsi"/>
          <w:sz w:val="22"/>
          <w:szCs w:val="22"/>
        </w:rPr>
        <w:t>e = Coeficiente que indica número de mamografías por consulta externa de especialidad.</w:t>
      </w:r>
    </w:p>
    <w:p w:rsidR="008E0891" w:rsidRDefault="008E0891" w:rsidP="008E0891">
      <w:pPr>
        <w:jc w:val="both"/>
        <w:rPr>
          <w:rFonts w:asciiTheme="minorHAnsi" w:hAnsiTheme="minorHAnsi"/>
          <w:sz w:val="22"/>
          <w:szCs w:val="22"/>
        </w:rPr>
      </w:pPr>
    </w:p>
    <w:p w:rsidR="008E0891" w:rsidRPr="008E0891" w:rsidRDefault="008E0891" w:rsidP="008E0891">
      <w:pPr>
        <w:jc w:val="both"/>
        <w:rPr>
          <w:rFonts w:asciiTheme="minorHAnsi" w:hAnsiTheme="minorHAnsi"/>
          <w:sz w:val="22"/>
          <w:szCs w:val="22"/>
        </w:rPr>
      </w:pPr>
      <w:r w:rsidRPr="008E0891">
        <w:rPr>
          <w:rFonts w:asciiTheme="minorHAnsi" w:hAnsiTheme="minorHAnsi"/>
          <w:sz w:val="22"/>
          <w:szCs w:val="22"/>
        </w:rPr>
        <w:t xml:space="preserve">El valor del coeficiente </w:t>
      </w:r>
      <w:r>
        <w:rPr>
          <w:rFonts w:asciiTheme="minorHAnsi" w:hAnsiTheme="minorHAnsi"/>
          <w:sz w:val="22"/>
          <w:szCs w:val="22"/>
        </w:rPr>
        <w:t xml:space="preserve">e, </w:t>
      </w:r>
      <w:r w:rsidR="00D3593C">
        <w:rPr>
          <w:rFonts w:asciiTheme="minorHAnsi" w:hAnsiTheme="minorHAnsi"/>
          <w:sz w:val="22"/>
          <w:szCs w:val="22"/>
        </w:rPr>
        <w:t>asumimos</w:t>
      </w:r>
      <w:r w:rsidRPr="008E0891">
        <w:rPr>
          <w:rFonts w:asciiTheme="minorHAnsi" w:hAnsiTheme="minorHAnsi"/>
          <w:sz w:val="22"/>
          <w:szCs w:val="22"/>
        </w:rPr>
        <w:t xml:space="preserve"> igual a 0,0455.</w:t>
      </w:r>
      <w:r>
        <w:rPr>
          <w:rStyle w:val="FootnoteReference"/>
          <w:rFonts w:asciiTheme="minorHAnsi" w:hAnsiTheme="minorHAnsi"/>
          <w:sz w:val="22"/>
          <w:szCs w:val="22"/>
        </w:rPr>
        <w:footnoteReference w:id="45"/>
      </w:r>
      <w:r w:rsidRPr="008E0891">
        <w:rPr>
          <w:rFonts w:asciiTheme="minorHAnsi" w:hAnsiTheme="minorHAnsi"/>
          <w:sz w:val="22"/>
          <w:szCs w:val="22"/>
        </w:rPr>
        <w:t xml:space="preserve"> </w:t>
      </w:r>
    </w:p>
    <w:p w:rsidR="008E0891" w:rsidRDefault="008E0891" w:rsidP="004F4BCF">
      <w:pPr>
        <w:keepNext/>
        <w:widowControl w:val="0"/>
        <w:autoSpaceDE w:val="0"/>
        <w:autoSpaceDN w:val="0"/>
        <w:adjustRightInd w:val="0"/>
        <w:spacing w:after="240"/>
        <w:ind w:right="23"/>
        <w:jc w:val="both"/>
        <w:rPr>
          <w:rFonts w:asciiTheme="minorHAnsi" w:hAnsiTheme="minorHAnsi" w:cstheme="minorHAnsi"/>
          <w:bCs/>
          <w:color w:val="000000"/>
          <w:sz w:val="22"/>
          <w:szCs w:val="22"/>
        </w:rPr>
      </w:pPr>
    </w:p>
    <w:p w:rsidR="004777A1" w:rsidRDefault="004777A1" w:rsidP="004F4BCF">
      <w:pPr>
        <w:keepNext/>
        <w:widowControl w:val="0"/>
        <w:autoSpaceDE w:val="0"/>
        <w:autoSpaceDN w:val="0"/>
        <w:adjustRightInd w:val="0"/>
        <w:spacing w:after="240"/>
        <w:ind w:right="23"/>
        <w:jc w:val="both"/>
        <w:rPr>
          <w:rFonts w:asciiTheme="minorHAnsi" w:hAnsiTheme="minorHAnsi" w:cstheme="minorHAnsi"/>
          <w:bCs/>
          <w:color w:val="000000"/>
          <w:sz w:val="22"/>
          <w:szCs w:val="22"/>
        </w:rPr>
      </w:pPr>
    </w:p>
    <w:p w:rsidR="004F4BCF" w:rsidRPr="00640E8B" w:rsidRDefault="004F4BCF" w:rsidP="008A366B">
      <w:pPr>
        <w:pStyle w:val="Heading2"/>
        <w:numPr>
          <w:ilvl w:val="1"/>
          <w:numId w:val="1"/>
        </w:numPr>
        <w:spacing w:line="276" w:lineRule="auto"/>
        <w:rPr>
          <w:rFonts w:asciiTheme="minorHAnsi" w:hAnsiTheme="minorHAnsi" w:cstheme="minorHAnsi"/>
          <w:bCs w:val="0"/>
          <w:szCs w:val="22"/>
        </w:rPr>
      </w:pPr>
      <w:bookmarkStart w:id="50" w:name="_Toc373093514"/>
      <w:r w:rsidRPr="00640E8B">
        <w:rPr>
          <w:rFonts w:asciiTheme="minorHAnsi" w:hAnsiTheme="minorHAnsi" w:cstheme="minorHAnsi"/>
          <w:lang w:val="es-ES_tradnl"/>
        </w:rPr>
        <w:t>Ecografías</w:t>
      </w:r>
      <w:bookmarkEnd w:id="50"/>
    </w:p>
    <w:p w:rsidR="004F4BCF" w:rsidRDefault="004F4BCF" w:rsidP="004F4BCF">
      <w:pPr>
        <w:rPr>
          <w:rFonts w:asciiTheme="minorHAnsi" w:hAnsiTheme="minorHAnsi" w:cstheme="minorHAnsi"/>
          <w:bCs/>
          <w:color w:val="000000"/>
          <w:sz w:val="22"/>
        </w:rPr>
      </w:pPr>
    </w:p>
    <w:p w:rsidR="00225A36" w:rsidRDefault="00225A36" w:rsidP="00225A36">
      <w:pPr>
        <w:jc w:val="both"/>
        <w:rPr>
          <w:rFonts w:asciiTheme="minorHAnsi" w:hAnsiTheme="minorHAnsi" w:cstheme="minorHAnsi"/>
          <w:bCs/>
          <w:color w:val="000000"/>
          <w:sz w:val="22"/>
        </w:rPr>
      </w:pPr>
      <w:r>
        <w:rPr>
          <w:rFonts w:asciiTheme="minorHAnsi" w:hAnsiTheme="minorHAnsi" w:cstheme="minorHAnsi"/>
          <w:bCs/>
          <w:color w:val="000000"/>
          <w:sz w:val="22"/>
        </w:rPr>
        <w:t xml:space="preserve">Para la estimación del número de ecografías asumimos que estas </w:t>
      </w:r>
      <w:r w:rsidR="0096165A">
        <w:rPr>
          <w:rFonts w:asciiTheme="minorHAnsi" w:hAnsiTheme="minorHAnsi" w:cstheme="minorHAnsi"/>
          <w:bCs/>
          <w:color w:val="000000"/>
          <w:sz w:val="22"/>
        </w:rPr>
        <w:t>dependen</w:t>
      </w:r>
      <w:r>
        <w:rPr>
          <w:rFonts w:asciiTheme="minorHAnsi" w:hAnsiTheme="minorHAnsi" w:cstheme="minorHAnsi"/>
          <w:bCs/>
          <w:color w:val="000000"/>
          <w:sz w:val="22"/>
        </w:rPr>
        <w:t xml:space="preserve"> de los egresos y las consultas externas, asumiendo la metodología utilizada en el estudio de evaluación del Hospital Madre Obrera de Llallagua. De esta forma</w:t>
      </w:r>
      <w:r w:rsidR="000D290C">
        <w:rPr>
          <w:rFonts w:asciiTheme="minorHAnsi" w:hAnsiTheme="minorHAnsi" w:cstheme="minorHAnsi"/>
          <w:bCs/>
          <w:color w:val="000000"/>
          <w:sz w:val="22"/>
        </w:rPr>
        <w:t>,</w:t>
      </w:r>
      <w:r>
        <w:rPr>
          <w:rFonts w:asciiTheme="minorHAnsi" w:hAnsiTheme="minorHAnsi" w:cstheme="minorHAnsi"/>
          <w:bCs/>
          <w:color w:val="000000"/>
          <w:sz w:val="22"/>
        </w:rPr>
        <w:t xml:space="preserve"> la estimación del número de ecografías demandadas es</w:t>
      </w:r>
      <w:r w:rsidR="000D290C">
        <w:rPr>
          <w:rFonts w:asciiTheme="minorHAnsi" w:hAnsiTheme="minorHAnsi" w:cstheme="minorHAnsi"/>
          <w:bCs/>
          <w:color w:val="000000"/>
          <w:sz w:val="22"/>
        </w:rPr>
        <w:t>tá dada por</w:t>
      </w:r>
      <w:r>
        <w:rPr>
          <w:rFonts w:asciiTheme="minorHAnsi" w:hAnsiTheme="minorHAnsi" w:cstheme="minorHAnsi"/>
          <w:bCs/>
          <w:color w:val="000000"/>
          <w:sz w:val="22"/>
        </w:rPr>
        <w:t>:</w:t>
      </w:r>
    </w:p>
    <w:p w:rsidR="00225A36" w:rsidRDefault="00225A36" w:rsidP="004F4BCF">
      <w:pPr>
        <w:rPr>
          <w:rFonts w:asciiTheme="minorHAnsi" w:hAnsiTheme="minorHAnsi" w:cstheme="minorHAnsi"/>
          <w:bCs/>
          <w:color w:val="000000"/>
          <w:sz w:val="22"/>
        </w:rPr>
      </w:pPr>
    </w:p>
    <w:p w:rsidR="00225A36" w:rsidRPr="009C76DB" w:rsidRDefault="00E52595" w:rsidP="00225A36">
      <w:pPr>
        <w:widowControl w:val="0"/>
        <w:autoSpaceDE w:val="0"/>
        <w:autoSpaceDN w:val="0"/>
        <w:adjustRightInd w:val="0"/>
        <w:ind w:right="23"/>
        <w:jc w:val="both"/>
        <w:rPr>
          <w:rFonts w:asciiTheme="minorHAnsi" w:hAnsiTheme="minorHAnsi" w:cstheme="minorHAnsi"/>
          <w:bCs/>
          <w:sz w:val="22"/>
        </w:rPr>
      </w:pPr>
      <m:oMathPara>
        <m:oMathParaPr>
          <m:jc m:val="left"/>
        </m:oMathParaPr>
        <m:oMath>
          <m:sSub>
            <m:sSubPr>
              <m:ctrlPr>
                <w:rPr>
                  <w:rFonts w:ascii="Cambria Math" w:hAnsi="Cambria Math" w:cstheme="minorHAnsi"/>
                  <w:bCs/>
                  <w:sz w:val="22"/>
                </w:rPr>
              </m:ctrlPr>
            </m:sSubPr>
            <m:e>
              <m:r>
                <m:rPr>
                  <m:sty m:val="p"/>
                </m:rPr>
                <w:rPr>
                  <w:rFonts w:ascii="Cambria Math" w:hAnsi="Cambria Math" w:cstheme="minorHAnsi"/>
                  <w:sz w:val="22"/>
                </w:rPr>
                <m:t>Eco</m:t>
              </m:r>
            </m:e>
            <m:sub>
              <m:r>
                <m:rPr>
                  <m:sty m:val="p"/>
                </m:rPr>
                <w:rPr>
                  <w:rFonts w:ascii="Cambria Math" w:hAnsi="Cambria Math" w:cstheme="minorHAnsi"/>
                  <w:sz w:val="22"/>
                </w:rPr>
                <m:t>t</m:t>
              </m:r>
            </m:sub>
          </m:sSub>
          <m:r>
            <m:rPr>
              <m:sty m:val="p"/>
            </m:rPr>
            <w:rPr>
              <w:rFonts w:ascii="Cambria Math" w:hAnsi="Cambria Math" w:cstheme="minorHAnsi"/>
              <w:sz w:val="22"/>
            </w:rPr>
            <m:t>=</m:t>
          </m:r>
          <m:sSub>
            <m:sSubPr>
              <m:ctrlPr>
                <w:rPr>
                  <w:rFonts w:ascii="Cambria Math" w:hAnsi="Cambria Math" w:cstheme="minorHAnsi"/>
                  <w:bCs/>
                  <w:sz w:val="22"/>
                </w:rPr>
              </m:ctrlPr>
            </m:sSubPr>
            <m:e>
              <m:r>
                <m:rPr>
                  <m:sty m:val="p"/>
                </m:rPr>
                <w:rPr>
                  <w:rFonts w:ascii="Cambria Math" w:hAnsi="Cambria Math" w:cstheme="minorHAnsi"/>
                  <w:sz w:val="22"/>
                </w:rPr>
                <m:t>δ∙α</m:t>
              </m:r>
            </m:e>
            <m:sub>
              <m:r>
                <m:rPr>
                  <m:sty m:val="p"/>
                </m:rPr>
                <w:rPr>
                  <w:rFonts w:ascii="Cambria Math" w:hAnsi="Cambria Math" w:cstheme="minorHAnsi"/>
                  <w:sz w:val="22"/>
                </w:rPr>
                <m:t>t</m:t>
              </m:r>
            </m:sub>
          </m:sSub>
          <m:r>
            <m:rPr>
              <m:sty m:val="p"/>
            </m:rPr>
            <w:rPr>
              <w:rFonts w:ascii="Cambria Math" w:hAnsi="Cambria Math" w:cstheme="minorHAnsi"/>
              <w:sz w:val="22"/>
            </w:rPr>
            <m:t>∙</m:t>
          </m:r>
          <m:sSub>
            <m:sSubPr>
              <m:ctrlPr>
                <w:rPr>
                  <w:rFonts w:ascii="Cambria Math" w:hAnsi="Cambria Math" w:cstheme="minorHAnsi"/>
                  <w:bCs/>
                  <w:sz w:val="22"/>
                </w:rPr>
              </m:ctrlPr>
            </m:sSubPr>
            <m:e>
              <m:r>
                <m:rPr>
                  <m:sty m:val="p"/>
                </m:rPr>
                <w:rPr>
                  <w:rFonts w:ascii="Cambria Math" w:hAnsi="Cambria Math" w:cstheme="minorHAnsi"/>
                  <w:sz w:val="22"/>
                </w:rPr>
                <m:t>E</m:t>
              </m:r>
            </m:e>
            <m:sub>
              <m:r>
                <m:rPr>
                  <m:sty m:val="p"/>
                </m:rPr>
                <w:rPr>
                  <w:rFonts w:ascii="Cambria Math" w:hAnsi="Cambria Math" w:cstheme="minorHAnsi"/>
                  <w:sz w:val="22"/>
                </w:rPr>
                <m:t>t</m:t>
              </m:r>
            </m:sub>
          </m:sSub>
          <m:r>
            <m:rPr>
              <m:sty m:val="p"/>
            </m:rPr>
            <w:rPr>
              <w:rFonts w:ascii="Cambria Math" w:hAnsi="Cambria Math" w:cstheme="minorHAnsi"/>
              <w:sz w:val="22"/>
            </w:rPr>
            <m:t>+θ∙</m:t>
          </m:r>
          <m:sSub>
            <m:sSubPr>
              <m:ctrlPr>
                <w:rPr>
                  <w:rFonts w:ascii="Cambria Math" w:hAnsi="Cambria Math" w:cstheme="minorHAnsi"/>
                  <w:bCs/>
                  <w:sz w:val="22"/>
                </w:rPr>
              </m:ctrlPr>
            </m:sSubPr>
            <m:e>
              <m:r>
                <m:rPr>
                  <m:sty m:val="p"/>
                </m:rPr>
                <w:rPr>
                  <w:rFonts w:ascii="Cambria Math" w:hAnsi="Cambria Math" w:cstheme="minorHAnsi"/>
                  <w:sz w:val="22"/>
                </w:rPr>
                <m:t>β</m:t>
              </m:r>
            </m:e>
            <m:sub>
              <m:r>
                <m:rPr>
                  <m:sty m:val="p"/>
                </m:rPr>
                <w:rPr>
                  <w:rFonts w:ascii="Cambria Math" w:hAnsi="Cambria Math" w:cstheme="minorHAnsi"/>
                  <w:sz w:val="22"/>
                </w:rPr>
                <m:t>t</m:t>
              </m:r>
            </m:sub>
          </m:sSub>
          <m:r>
            <m:rPr>
              <m:sty m:val="p"/>
            </m:rPr>
            <w:rPr>
              <w:rFonts w:ascii="Cambria Math" w:hAnsi="Cambria Math" w:cstheme="minorHAnsi"/>
              <w:sz w:val="22"/>
            </w:rPr>
            <m:t>∙</m:t>
          </m:r>
          <m:sSub>
            <m:sSubPr>
              <m:ctrlPr>
                <w:rPr>
                  <w:rFonts w:ascii="Cambria Math" w:hAnsi="Cambria Math" w:cstheme="minorHAnsi"/>
                  <w:bCs/>
                  <w:sz w:val="22"/>
                </w:rPr>
              </m:ctrlPr>
            </m:sSubPr>
            <m:e>
              <m:r>
                <m:rPr>
                  <m:sty m:val="p"/>
                </m:rPr>
                <w:rPr>
                  <w:rFonts w:ascii="Cambria Math" w:hAnsi="Cambria Math" w:cstheme="minorHAnsi"/>
                  <w:sz w:val="22"/>
                </w:rPr>
                <m:t>C</m:t>
              </m:r>
            </m:e>
            <m:sub>
              <m:r>
                <m:rPr>
                  <m:sty m:val="p"/>
                </m:rPr>
                <w:rPr>
                  <w:rFonts w:ascii="Cambria Math" w:hAnsi="Cambria Math" w:cstheme="minorHAnsi"/>
                  <w:sz w:val="22"/>
                </w:rPr>
                <m:t>t</m:t>
              </m:r>
            </m:sub>
          </m:sSub>
        </m:oMath>
      </m:oMathPara>
    </w:p>
    <w:p w:rsidR="004F4BCF" w:rsidRDefault="004F4BCF" w:rsidP="004F4BCF">
      <w:pPr>
        <w:rPr>
          <w:rFonts w:asciiTheme="minorHAnsi" w:hAnsiTheme="minorHAnsi" w:cstheme="minorHAnsi"/>
          <w:bCs/>
          <w:color w:val="000000"/>
          <w:sz w:val="22"/>
        </w:rPr>
      </w:pPr>
    </w:p>
    <w:p w:rsidR="00225A36" w:rsidRPr="009C76DB" w:rsidRDefault="00225A36" w:rsidP="00225A36">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Donde,</w:t>
      </w:r>
    </w:p>
    <w:p w:rsidR="00225A36" w:rsidRPr="009C76DB" w:rsidRDefault="00225A36" w:rsidP="00225A36">
      <w:pPr>
        <w:widowControl w:val="0"/>
        <w:autoSpaceDE w:val="0"/>
        <w:autoSpaceDN w:val="0"/>
        <w:adjustRightInd w:val="0"/>
        <w:ind w:right="23"/>
        <w:jc w:val="both"/>
        <w:rPr>
          <w:rFonts w:asciiTheme="minorHAnsi" w:hAnsiTheme="minorHAnsi" w:cstheme="minorHAnsi"/>
          <w:bCs/>
          <w:sz w:val="22"/>
        </w:rPr>
      </w:pPr>
    </w:p>
    <w:p w:rsidR="00225A36" w:rsidRPr="009C76DB" w:rsidRDefault="00225A36" w:rsidP="00225A36">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Eco</w:t>
      </w:r>
      <w:r w:rsidRPr="009C76DB">
        <w:rPr>
          <w:rFonts w:asciiTheme="minorHAnsi" w:hAnsiTheme="minorHAnsi" w:cstheme="minorHAnsi"/>
          <w:bCs/>
          <w:sz w:val="22"/>
          <w:vertAlign w:val="subscript"/>
        </w:rPr>
        <w:t>t</w:t>
      </w:r>
      <w:r w:rsidRPr="009C76DB">
        <w:rPr>
          <w:rFonts w:asciiTheme="minorHAnsi" w:hAnsiTheme="minorHAnsi" w:cstheme="minorHAnsi"/>
          <w:bCs/>
          <w:sz w:val="22"/>
        </w:rPr>
        <w:t xml:space="preserve"> = Cantidad de ecografías en el </w:t>
      </w:r>
      <w:r>
        <w:rPr>
          <w:rFonts w:asciiTheme="minorHAnsi" w:hAnsiTheme="minorHAnsi" w:cstheme="minorHAnsi"/>
          <w:bCs/>
          <w:sz w:val="22"/>
        </w:rPr>
        <w:t>periodo</w:t>
      </w:r>
      <w:r w:rsidRPr="009C76DB">
        <w:rPr>
          <w:rFonts w:asciiTheme="minorHAnsi" w:hAnsiTheme="minorHAnsi" w:cstheme="minorHAnsi"/>
          <w:bCs/>
          <w:sz w:val="22"/>
        </w:rPr>
        <w:t xml:space="preserve"> t</w:t>
      </w:r>
    </w:p>
    <w:p w:rsidR="00225A36" w:rsidRPr="009C76DB" w:rsidRDefault="00225A36" w:rsidP="00225A36">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sym w:font="Symbol" w:char="F064"/>
      </w:r>
      <w:r w:rsidRPr="009C76DB">
        <w:rPr>
          <w:rFonts w:asciiTheme="minorHAnsi" w:hAnsiTheme="minorHAnsi" w:cstheme="minorHAnsi"/>
          <w:bCs/>
          <w:sz w:val="22"/>
        </w:rPr>
        <w:t xml:space="preserve"> = Parámetro que indica el número de ecografías por egreso</w:t>
      </w:r>
    </w:p>
    <w:p w:rsidR="00225A36" w:rsidRPr="009C76DB" w:rsidRDefault="00225A36" w:rsidP="00225A36">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t>E</w:t>
      </w:r>
      <w:r w:rsidRPr="009C76DB">
        <w:rPr>
          <w:rFonts w:asciiTheme="minorHAnsi" w:hAnsiTheme="minorHAnsi" w:cstheme="minorHAnsi"/>
          <w:bCs/>
          <w:sz w:val="22"/>
          <w:vertAlign w:val="subscript"/>
        </w:rPr>
        <w:t>t</w:t>
      </w:r>
      <w:r w:rsidRPr="009C76DB">
        <w:rPr>
          <w:rFonts w:asciiTheme="minorHAnsi" w:hAnsiTheme="minorHAnsi" w:cstheme="minorHAnsi"/>
          <w:bCs/>
          <w:sz w:val="22"/>
        </w:rPr>
        <w:t xml:space="preserve"> = Egresos en el </w:t>
      </w:r>
      <w:r>
        <w:rPr>
          <w:rFonts w:asciiTheme="minorHAnsi" w:hAnsiTheme="minorHAnsi" w:cstheme="minorHAnsi"/>
          <w:bCs/>
          <w:sz w:val="22"/>
        </w:rPr>
        <w:t>periodo</w:t>
      </w:r>
      <w:r w:rsidRPr="009C76DB">
        <w:rPr>
          <w:rFonts w:asciiTheme="minorHAnsi" w:hAnsiTheme="minorHAnsi" w:cstheme="minorHAnsi"/>
          <w:bCs/>
          <w:sz w:val="22"/>
        </w:rPr>
        <w:t xml:space="preserve"> t</w:t>
      </w:r>
    </w:p>
    <w:p w:rsidR="00225A36" w:rsidRPr="009C76DB" w:rsidRDefault="00225A36" w:rsidP="00225A36">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sym w:font="Symbol" w:char="F061"/>
      </w:r>
      <w:r w:rsidRPr="009C76DB">
        <w:rPr>
          <w:rFonts w:asciiTheme="minorHAnsi" w:hAnsiTheme="minorHAnsi" w:cstheme="minorHAnsi"/>
          <w:bCs/>
          <w:sz w:val="22"/>
          <w:vertAlign w:val="subscript"/>
        </w:rPr>
        <w:t>t</w:t>
      </w:r>
      <w:r w:rsidRPr="009C76DB">
        <w:rPr>
          <w:rFonts w:asciiTheme="minorHAnsi" w:hAnsiTheme="minorHAnsi" w:cstheme="minorHAnsi"/>
          <w:bCs/>
          <w:sz w:val="22"/>
        </w:rPr>
        <w:t xml:space="preserve"> = Participación del numero de egresos sobre la suma de egresos y consultas médicas totales en el año t</w:t>
      </w:r>
    </w:p>
    <w:p w:rsidR="00225A36" w:rsidRPr="009C76DB" w:rsidRDefault="00225A36" w:rsidP="00225A36">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sym w:font="Symbol" w:char="F062"/>
      </w:r>
      <w:r w:rsidRPr="009C76DB">
        <w:rPr>
          <w:rFonts w:asciiTheme="minorHAnsi" w:hAnsiTheme="minorHAnsi" w:cstheme="minorHAnsi"/>
          <w:bCs/>
          <w:sz w:val="22"/>
          <w:vertAlign w:val="subscript"/>
        </w:rPr>
        <w:t>t</w:t>
      </w:r>
      <w:r w:rsidRPr="009C76DB">
        <w:rPr>
          <w:rFonts w:asciiTheme="minorHAnsi" w:hAnsiTheme="minorHAnsi" w:cstheme="minorHAnsi"/>
          <w:bCs/>
          <w:sz w:val="22"/>
        </w:rPr>
        <w:t xml:space="preserve"> = Participación del número de consultas sobre la suma de egresos y consultas médicas totales en el </w:t>
      </w:r>
      <w:r>
        <w:rPr>
          <w:rFonts w:asciiTheme="minorHAnsi" w:hAnsiTheme="minorHAnsi" w:cstheme="minorHAnsi"/>
          <w:bCs/>
          <w:sz w:val="22"/>
        </w:rPr>
        <w:t>periodo</w:t>
      </w:r>
      <w:r w:rsidRPr="009C76DB">
        <w:rPr>
          <w:rFonts w:asciiTheme="minorHAnsi" w:hAnsiTheme="minorHAnsi" w:cstheme="minorHAnsi"/>
          <w:bCs/>
          <w:sz w:val="22"/>
        </w:rPr>
        <w:t xml:space="preserve"> t </w:t>
      </w:r>
    </w:p>
    <w:p w:rsidR="00225A36" w:rsidRPr="009C76DB" w:rsidRDefault="00225A36" w:rsidP="00225A36">
      <w:pPr>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sz w:val="22"/>
        </w:rPr>
        <w:sym w:font="Symbol" w:char="F071"/>
      </w:r>
      <w:r w:rsidRPr="009C76DB">
        <w:rPr>
          <w:rFonts w:asciiTheme="minorHAnsi" w:hAnsiTheme="minorHAnsi" w:cstheme="minorHAnsi"/>
          <w:bCs/>
          <w:sz w:val="22"/>
        </w:rPr>
        <w:t xml:space="preserve"> = Parámetro que indica el número de ecografías por consulta médica</w:t>
      </w:r>
    </w:p>
    <w:p w:rsidR="00225A36" w:rsidRDefault="00225A36" w:rsidP="004F4BCF">
      <w:pPr>
        <w:rPr>
          <w:rFonts w:asciiTheme="minorHAnsi" w:hAnsiTheme="minorHAnsi" w:cstheme="minorHAnsi"/>
          <w:bCs/>
          <w:color w:val="000000"/>
          <w:sz w:val="22"/>
        </w:rPr>
      </w:pPr>
    </w:p>
    <w:p w:rsidR="00225A36" w:rsidRDefault="00225A36" w:rsidP="004F4BCF">
      <w:pPr>
        <w:rPr>
          <w:rFonts w:asciiTheme="minorHAnsi" w:hAnsiTheme="minorHAnsi" w:cstheme="minorHAnsi"/>
          <w:bCs/>
          <w:color w:val="000000"/>
          <w:sz w:val="22"/>
        </w:rPr>
      </w:pPr>
      <w:r>
        <w:rPr>
          <w:rFonts w:asciiTheme="minorHAnsi" w:hAnsiTheme="minorHAnsi" w:cstheme="minorHAnsi"/>
          <w:bCs/>
          <w:color w:val="000000"/>
          <w:sz w:val="22"/>
        </w:rPr>
        <w:t xml:space="preserve">Los valores para los parámetros </w:t>
      </w:r>
      <w:r w:rsidRPr="009C76DB">
        <w:rPr>
          <w:rFonts w:asciiTheme="minorHAnsi" w:hAnsiTheme="minorHAnsi" w:cstheme="minorHAnsi"/>
          <w:bCs/>
          <w:sz w:val="22"/>
        </w:rPr>
        <w:sym w:font="Symbol" w:char="F064"/>
      </w:r>
      <w:r>
        <w:rPr>
          <w:rFonts w:asciiTheme="minorHAnsi" w:hAnsiTheme="minorHAnsi" w:cstheme="minorHAnsi"/>
          <w:bCs/>
          <w:sz w:val="22"/>
        </w:rPr>
        <w:t xml:space="preserve"> y </w:t>
      </w:r>
      <w:r w:rsidRPr="009C76DB">
        <w:rPr>
          <w:rFonts w:asciiTheme="minorHAnsi" w:hAnsiTheme="minorHAnsi" w:cstheme="minorHAnsi"/>
          <w:bCs/>
          <w:sz w:val="22"/>
        </w:rPr>
        <w:sym w:font="Symbol" w:char="F071"/>
      </w:r>
      <w:r>
        <w:rPr>
          <w:rFonts w:asciiTheme="minorHAnsi" w:hAnsiTheme="minorHAnsi" w:cstheme="minorHAnsi"/>
          <w:bCs/>
          <w:sz w:val="22"/>
        </w:rPr>
        <w:t>, son 1,87 y 0,24.</w:t>
      </w:r>
    </w:p>
    <w:p w:rsidR="00225A36" w:rsidRDefault="00225A36" w:rsidP="004F4BCF">
      <w:pPr>
        <w:rPr>
          <w:rFonts w:asciiTheme="minorHAnsi" w:hAnsiTheme="minorHAnsi" w:cstheme="minorHAnsi"/>
          <w:bCs/>
          <w:color w:val="000000"/>
          <w:sz w:val="22"/>
        </w:rPr>
      </w:pPr>
    </w:p>
    <w:p w:rsidR="004F4BCF" w:rsidRPr="00640E8B" w:rsidRDefault="00E37032" w:rsidP="008A366B">
      <w:pPr>
        <w:pStyle w:val="Heading2"/>
        <w:numPr>
          <w:ilvl w:val="1"/>
          <w:numId w:val="1"/>
        </w:numPr>
        <w:spacing w:line="276" w:lineRule="auto"/>
        <w:rPr>
          <w:rFonts w:asciiTheme="minorHAnsi" w:hAnsiTheme="minorHAnsi" w:cstheme="minorHAnsi"/>
          <w:bCs w:val="0"/>
          <w:szCs w:val="22"/>
        </w:rPr>
      </w:pPr>
      <w:bookmarkStart w:id="51" w:name="_Toc373093515"/>
      <w:r>
        <w:rPr>
          <w:rFonts w:asciiTheme="minorHAnsi" w:hAnsiTheme="minorHAnsi" w:cstheme="minorHAnsi"/>
          <w:lang w:val="es-ES_tradnl"/>
        </w:rPr>
        <w:lastRenderedPageBreak/>
        <w:t>Tomografía</w:t>
      </w:r>
      <w:bookmarkEnd w:id="51"/>
    </w:p>
    <w:p w:rsidR="004F4BCF" w:rsidRPr="009C76DB" w:rsidRDefault="004F4BCF" w:rsidP="004F4BCF">
      <w:pPr>
        <w:jc w:val="both"/>
        <w:rPr>
          <w:rFonts w:asciiTheme="minorHAnsi" w:hAnsiTheme="minorHAnsi" w:cstheme="minorHAnsi"/>
          <w:bCs/>
          <w:sz w:val="22"/>
          <w:szCs w:val="22"/>
        </w:rPr>
      </w:pPr>
    </w:p>
    <w:p w:rsidR="000F285D" w:rsidRPr="009C76DB" w:rsidRDefault="000F285D" w:rsidP="000F285D">
      <w:pPr>
        <w:rPr>
          <w:rFonts w:asciiTheme="minorHAnsi" w:hAnsiTheme="minorHAnsi" w:cstheme="minorHAnsi"/>
          <w:sz w:val="22"/>
        </w:rPr>
      </w:pPr>
    </w:p>
    <w:p w:rsidR="000F285D" w:rsidRDefault="00E37032" w:rsidP="000F285D">
      <w:pPr>
        <w:widowControl w:val="0"/>
        <w:autoSpaceDE w:val="0"/>
        <w:autoSpaceDN w:val="0"/>
        <w:adjustRightInd w:val="0"/>
        <w:ind w:right="23"/>
        <w:jc w:val="both"/>
        <w:rPr>
          <w:rFonts w:asciiTheme="minorHAnsi" w:hAnsiTheme="minorHAnsi" w:cstheme="minorHAnsi"/>
          <w:bCs/>
          <w:sz w:val="22"/>
        </w:rPr>
      </w:pPr>
      <w:r>
        <w:rPr>
          <w:rFonts w:asciiTheme="minorHAnsi" w:hAnsiTheme="minorHAnsi" w:cstheme="minorHAnsi"/>
          <w:bCs/>
          <w:sz w:val="22"/>
        </w:rPr>
        <w:t>Para estimar la demanda potencial por estudios de tomografía se ha considerado la tasa  más baja existente en Chile, correspondiente a la región de Coquimbo para el año 2009, que es de 0,0094 estudios por habitante.</w:t>
      </w:r>
    </w:p>
    <w:p w:rsidR="00E37032" w:rsidRDefault="00E37032" w:rsidP="000F285D">
      <w:pPr>
        <w:widowControl w:val="0"/>
        <w:autoSpaceDE w:val="0"/>
        <w:autoSpaceDN w:val="0"/>
        <w:adjustRightInd w:val="0"/>
        <w:ind w:right="23"/>
        <w:jc w:val="both"/>
        <w:rPr>
          <w:rFonts w:asciiTheme="minorHAnsi" w:hAnsiTheme="minorHAnsi" w:cstheme="minorHAnsi"/>
          <w:bCs/>
          <w:sz w:val="22"/>
        </w:rPr>
      </w:pPr>
    </w:p>
    <w:p w:rsidR="00E37032" w:rsidRDefault="00E37032" w:rsidP="000F285D">
      <w:pPr>
        <w:widowControl w:val="0"/>
        <w:autoSpaceDE w:val="0"/>
        <w:autoSpaceDN w:val="0"/>
        <w:adjustRightInd w:val="0"/>
        <w:ind w:right="23"/>
        <w:jc w:val="both"/>
        <w:rPr>
          <w:rFonts w:asciiTheme="minorHAnsi" w:hAnsiTheme="minorHAnsi" w:cstheme="minorHAnsi"/>
          <w:bCs/>
          <w:sz w:val="22"/>
        </w:rPr>
      </w:pPr>
      <w:r>
        <w:rPr>
          <w:rFonts w:asciiTheme="minorHAnsi" w:hAnsiTheme="minorHAnsi" w:cstheme="minorHAnsi"/>
          <w:bCs/>
          <w:sz w:val="22"/>
        </w:rPr>
        <w:t>De este modo, la cantidad de estudios de tomografía se expresará como:</w:t>
      </w:r>
    </w:p>
    <w:p w:rsidR="00E37032" w:rsidRDefault="00E37032" w:rsidP="000F285D">
      <w:pPr>
        <w:widowControl w:val="0"/>
        <w:autoSpaceDE w:val="0"/>
        <w:autoSpaceDN w:val="0"/>
        <w:adjustRightInd w:val="0"/>
        <w:ind w:right="23"/>
        <w:jc w:val="both"/>
        <w:rPr>
          <w:rFonts w:asciiTheme="minorHAnsi" w:hAnsiTheme="minorHAnsi" w:cstheme="minorHAnsi"/>
          <w:bCs/>
          <w:sz w:val="22"/>
        </w:rPr>
      </w:pPr>
    </w:p>
    <w:p w:rsidR="00E37032" w:rsidRPr="009C76DB" w:rsidRDefault="00E52595" w:rsidP="00E37032">
      <w:pPr>
        <w:widowControl w:val="0"/>
        <w:autoSpaceDE w:val="0"/>
        <w:autoSpaceDN w:val="0"/>
        <w:adjustRightInd w:val="0"/>
        <w:ind w:right="23"/>
        <w:jc w:val="both"/>
        <w:rPr>
          <w:rFonts w:asciiTheme="minorHAnsi" w:hAnsiTheme="minorHAnsi" w:cstheme="minorHAnsi"/>
          <w:bCs/>
          <w:sz w:val="22"/>
        </w:rPr>
      </w:pPr>
      <m:oMathPara>
        <m:oMathParaPr>
          <m:jc m:val="left"/>
        </m:oMathParaPr>
        <m:oMath>
          <m:sSub>
            <m:sSubPr>
              <m:ctrlPr>
                <w:rPr>
                  <w:rFonts w:ascii="Cambria Math" w:hAnsi="Cambria Math" w:cstheme="minorHAnsi"/>
                  <w:bCs/>
                  <w:sz w:val="22"/>
                </w:rPr>
              </m:ctrlPr>
            </m:sSubPr>
            <m:e>
              <m:r>
                <m:rPr>
                  <m:sty m:val="p"/>
                </m:rPr>
                <w:rPr>
                  <w:rFonts w:ascii="Cambria Math" w:hAnsi="Cambria Math" w:cstheme="minorHAnsi"/>
                  <w:sz w:val="22"/>
                </w:rPr>
                <m:t>TAC</m:t>
              </m:r>
            </m:e>
            <m:sub>
              <m:r>
                <m:rPr>
                  <m:sty m:val="p"/>
                </m:rPr>
                <w:rPr>
                  <w:rFonts w:ascii="Cambria Math" w:hAnsi="Cambria Math" w:cstheme="minorHAnsi"/>
                  <w:sz w:val="22"/>
                </w:rPr>
                <m:t>t</m:t>
              </m:r>
            </m:sub>
          </m:sSub>
          <m:r>
            <m:rPr>
              <m:sty m:val="p"/>
            </m:rPr>
            <w:rPr>
              <w:rFonts w:ascii="Cambria Math" w:hAnsi="Cambria Math" w:cstheme="minorHAnsi"/>
              <w:sz w:val="22"/>
            </w:rPr>
            <m:t>=0,0094∙</m:t>
          </m:r>
          <m:sSub>
            <m:sSubPr>
              <m:ctrlPr>
                <w:rPr>
                  <w:rFonts w:ascii="Cambria Math" w:hAnsi="Cambria Math" w:cstheme="minorHAnsi"/>
                  <w:bCs/>
                  <w:sz w:val="22"/>
                </w:rPr>
              </m:ctrlPr>
            </m:sSubPr>
            <m:e>
              <m:r>
                <m:rPr>
                  <m:sty m:val="p"/>
                </m:rPr>
                <w:rPr>
                  <w:rFonts w:ascii="Cambria Math" w:hAnsi="Cambria Math" w:cstheme="minorHAnsi"/>
                  <w:sz w:val="22"/>
                </w:rPr>
                <m:t>Pob</m:t>
              </m:r>
            </m:e>
            <m:sub>
              <m:r>
                <m:rPr>
                  <m:sty m:val="p"/>
                </m:rPr>
                <w:rPr>
                  <w:rFonts w:ascii="Cambria Math" w:hAnsi="Cambria Math" w:cstheme="minorHAnsi"/>
                  <w:sz w:val="22"/>
                </w:rPr>
                <m:t>t</m:t>
              </m:r>
            </m:sub>
          </m:sSub>
        </m:oMath>
      </m:oMathPara>
    </w:p>
    <w:p w:rsidR="00E37032" w:rsidRPr="009C76DB" w:rsidRDefault="00E37032" w:rsidP="000F285D">
      <w:pPr>
        <w:widowControl w:val="0"/>
        <w:autoSpaceDE w:val="0"/>
        <w:autoSpaceDN w:val="0"/>
        <w:adjustRightInd w:val="0"/>
        <w:ind w:right="23"/>
        <w:jc w:val="both"/>
        <w:rPr>
          <w:rFonts w:asciiTheme="minorHAnsi" w:hAnsiTheme="minorHAnsi" w:cstheme="minorHAnsi"/>
          <w:bCs/>
          <w:sz w:val="22"/>
        </w:rPr>
      </w:pPr>
    </w:p>
    <w:p w:rsidR="000F285D" w:rsidRPr="009C76DB" w:rsidRDefault="000F285D" w:rsidP="000F285D">
      <w:pPr>
        <w:rPr>
          <w:rFonts w:asciiTheme="minorHAnsi" w:hAnsiTheme="minorHAnsi" w:cstheme="minorHAnsi"/>
          <w:bCs/>
          <w:sz w:val="22"/>
        </w:rPr>
      </w:pPr>
    </w:p>
    <w:p w:rsidR="000F285D" w:rsidRPr="009C76DB" w:rsidRDefault="000F285D" w:rsidP="000F285D">
      <w:pPr>
        <w:widowControl w:val="0"/>
        <w:autoSpaceDE w:val="0"/>
        <w:autoSpaceDN w:val="0"/>
        <w:adjustRightInd w:val="0"/>
        <w:ind w:right="23"/>
        <w:jc w:val="both"/>
        <w:rPr>
          <w:rFonts w:asciiTheme="minorHAnsi" w:hAnsiTheme="minorHAnsi" w:cstheme="minorHAnsi"/>
          <w:bCs/>
          <w:sz w:val="22"/>
        </w:rPr>
      </w:pPr>
    </w:p>
    <w:p w:rsidR="00225A36" w:rsidRPr="00640E8B" w:rsidRDefault="00662F33" w:rsidP="008A366B">
      <w:pPr>
        <w:pStyle w:val="Heading2"/>
        <w:numPr>
          <w:ilvl w:val="1"/>
          <w:numId w:val="1"/>
        </w:numPr>
        <w:spacing w:line="276" w:lineRule="auto"/>
        <w:rPr>
          <w:rFonts w:asciiTheme="minorHAnsi" w:hAnsiTheme="minorHAnsi" w:cstheme="minorHAnsi"/>
          <w:bCs w:val="0"/>
          <w:szCs w:val="22"/>
        </w:rPr>
      </w:pPr>
      <w:bookmarkStart w:id="52" w:name="_Toc373093516"/>
      <w:r>
        <w:rPr>
          <w:rFonts w:asciiTheme="minorHAnsi" w:hAnsiTheme="minorHAnsi" w:cstheme="minorHAnsi"/>
          <w:lang w:val="es-ES_tradnl"/>
        </w:rPr>
        <w:t>Resonancia magnética</w:t>
      </w:r>
      <w:bookmarkEnd w:id="52"/>
    </w:p>
    <w:p w:rsidR="000F285D" w:rsidRPr="009C76DB" w:rsidRDefault="000F285D" w:rsidP="000F285D">
      <w:pPr>
        <w:widowControl w:val="0"/>
        <w:autoSpaceDE w:val="0"/>
        <w:autoSpaceDN w:val="0"/>
        <w:adjustRightInd w:val="0"/>
        <w:ind w:right="23"/>
        <w:jc w:val="both"/>
        <w:rPr>
          <w:rFonts w:asciiTheme="minorHAnsi" w:hAnsiTheme="minorHAnsi" w:cstheme="minorHAnsi"/>
          <w:bCs/>
          <w:sz w:val="22"/>
        </w:rPr>
      </w:pPr>
    </w:p>
    <w:p w:rsidR="000F285D" w:rsidRPr="00C47FE3" w:rsidRDefault="00225A36" w:rsidP="00C47FE3">
      <w:pPr>
        <w:widowControl w:val="0"/>
        <w:autoSpaceDE w:val="0"/>
        <w:autoSpaceDN w:val="0"/>
        <w:adjustRightInd w:val="0"/>
        <w:ind w:right="23"/>
        <w:jc w:val="both"/>
        <w:rPr>
          <w:rFonts w:asciiTheme="minorHAnsi" w:hAnsiTheme="minorHAnsi" w:cstheme="minorHAnsi"/>
          <w:bCs/>
          <w:sz w:val="22"/>
        </w:rPr>
      </w:pPr>
      <w:r w:rsidRPr="00C47FE3">
        <w:rPr>
          <w:rFonts w:asciiTheme="minorHAnsi" w:hAnsiTheme="minorHAnsi" w:cstheme="minorHAnsi"/>
          <w:bCs/>
          <w:sz w:val="22"/>
        </w:rPr>
        <w:t xml:space="preserve">La demanda </w:t>
      </w:r>
      <w:r w:rsidR="000B193F">
        <w:rPr>
          <w:rFonts w:asciiTheme="minorHAnsi" w:hAnsiTheme="minorHAnsi" w:cstheme="minorHAnsi"/>
          <w:bCs/>
          <w:sz w:val="22"/>
        </w:rPr>
        <w:t xml:space="preserve">potencial </w:t>
      </w:r>
      <w:r w:rsidRPr="00C47FE3">
        <w:rPr>
          <w:rFonts w:asciiTheme="minorHAnsi" w:hAnsiTheme="minorHAnsi" w:cstheme="minorHAnsi"/>
          <w:bCs/>
          <w:sz w:val="22"/>
        </w:rPr>
        <w:t xml:space="preserve">por estudios de </w:t>
      </w:r>
      <w:r w:rsidR="000B193F">
        <w:rPr>
          <w:rFonts w:asciiTheme="minorHAnsi" w:hAnsiTheme="minorHAnsi" w:cstheme="minorHAnsi"/>
          <w:bCs/>
          <w:sz w:val="22"/>
        </w:rPr>
        <w:t>resonancia magnética</w:t>
      </w:r>
      <w:r w:rsidR="000F285D" w:rsidRPr="00C47FE3">
        <w:rPr>
          <w:rFonts w:asciiTheme="minorHAnsi" w:hAnsiTheme="minorHAnsi" w:cstheme="minorHAnsi"/>
          <w:bCs/>
          <w:sz w:val="22"/>
        </w:rPr>
        <w:t xml:space="preserve">  </w:t>
      </w:r>
      <w:r w:rsidRPr="00C47FE3">
        <w:rPr>
          <w:rFonts w:asciiTheme="minorHAnsi" w:hAnsiTheme="minorHAnsi" w:cstheme="minorHAnsi"/>
          <w:bCs/>
          <w:sz w:val="22"/>
        </w:rPr>
        <w:t xml:space="preserve">se </w:t>
      </w:r>
      <w:r w:rsidR="000B193F">
        <w:rPr>
          <w:rFonts w:asciiTheme="minorHAnsi" w:hAnsiTheme="minorHAnsi" w:cstheme="minorHAnsi"/>
          <w:bCs/>
          <w:sz w:val="22"/>
        </w:rPr>
        <w:t xml:space="preserve">estima a partir </w:t>
      </w:r>
      <w:r w:rsidR="008824CC">
        <w:rPr>
          <w:rFonts w:asciiTheme="minorHAnsi" w:hAnsiTheme="minorHAnsi" w:cstheme="minorHAnsi"/>
          <w:bCs/>
          <w:sz w:val="22"/>
        </w:rPr>
        <w:t>de la tasa de estudios por habitante de Chile para el 2009, que es de 0,0017 estudios por habitante. De esta manera la estimación de la demanda potencial por este tipo de estudios sería:</w:t>
      </w:r>
    </w:p>
    <w:p w:rsidR="001942B8" w:rsidRPr="009C76DB" w:rsidRDefault="001942B8" w:rsidP="000F285D">
      <w:pPr>
        <w:widowControl w:val="0"/>
        <w:autoSpaceDE w:val="0"/>
        <w:autoSpaceDN w:val="0"/>
        <w:adjustRightInd w:val="0"/>
        <w:ind w:right="23"/>
        <w:jc w:val="both"/>
        <w:rPr>
          <w:rFonts w:asciiTheme="minorHAnsi" w:hAnsiTheme="minorHAnsi" w:cstheme="minorHAnsi"/>
          <w:bCs/>
          <w:sz w:val="22"/>
        </w:rPr>
      </w:pPr>
    </w:p>
    <w:p w:rsidR="008824CC" w:rsidRPr="009C76DB" w:rsidRDefault="00E52595" w:rsidP="008824CC">
      <w:pPr>
        <w:widowControl w:val="0"/>
        <w:autoSpaceDE w:val="0"/>
        <w:autoSpaceDN w:val="0"/>
        <w:adjustRightInd w:val="0"/>
        <w:ind w:right="23"/>
        <w:jc w:val="both"/>
        <w:rPr>
          <w:rFonts w:asciiTheme="minorHAnsi" w:hAnsiTheme="minorHAnsi" w:cstheme="minorHAnsi"/>
          <w:bCs/>
          <w:sz w:val="22"/>
        </w:rPr>
      </w:pPr>
      <m:oMathPara>
        <m:oMathParaPr>
          <m:jc m:val="left"/>
        </m:oMathParaPr>
        <m:oMath>
          <m:sSub>
            <m:sSubPr>
              <m:ctrlPr>
                <w:rPr>
                  <w:rFonts w:ascii="Cambria Math" w:hAnsi="Cambria Math" w:cstheme="minorHAnsi"/>
                  <w:bCs/>
                  <w:sz w:val="22"/>
                </w:rPr>
              </m:ctrlPr>
            </m:sSubPr>
            <m:e>
              <m:r>
                <m:rPr>
                  <m:sty m:val="p"/>
                </m:rPr>
                <w:rPr>
                  <w:rFonts w:ascii="Cambria Math" w:hAnsi="Cambria Math" w:cstheme="minorHAnsi"/>
                  <w:sz w:val="22"/>
                </w:rPr>
                <m:t>RM</m:t>
              </m:r>
            </m:e>
            <m:sub>
              <m:r>
                <m:rPr>
                  <m:sty m:val="p"/>
                </m:rPr>
                <w:rPr>
                  <w:rFonts w:ascii="Cambria Math" w:hAnsi="Cambria Math" w:cstheme="minorHAnsi"/>
                  <w:sz w:val="22"/>
                </w:rPr>
                <m:t>t</m:t>
              </m:r>
            </m:sub>
          </m:sSub>
          <m:r>
            <m:rPr>
              <m:sty m:val="p"/>
            </m:rPr>
            <w:rPr>
              <w:rFonts w:ascii="Cambria Math" w:hAnsi="Cambria Math" w:cstheme="minorHAnsi"/>
              <w:sz w:val="22"/>
            </w:rPr>
            <m:t>=0,0017∙</m:t>
          </m:r>
          <m:sSub>
            <m:sSubPr>
              <m:ctrlPr>
                <w:rPr>
                  <w:rFonts w:ascii="Cambria Math" w:hAnsi="Cambria Math" w:cstheme="minorHAnsi"/>
                  <w:bCs/>
                  <w:sz w:val="22"/>
                </w:rPr>
              </m:ctrlPr>
            </m:sSubPr>
            <m:e>
              <m:r>
                <m:rPr>
                  <m:sty m:val="p"/>
                </m:rPr>
                <w:rPr>
                  <w:rFonts w:ascii="Cambria Math" w:hAnsi="Cambria Math" w:cstheme="minorHAnsi"/>
                  <w:sz w:val="22"/>
                </w:rPr>
                <m:t>Pob</m:t>
              </m:r>
            </m:e>
            <m:sub>
              <m:r>
                <m:rPr>
                  <m:sty m:val="p"/>
                </m:rPr>
                <w:rPr>
                  <w:rFonts w:ascii="Cambria Math" w:hAnsi="Cambria Math" w:cstheme="minorHAnsi"/>
                  <w:sz w:val="22"/>
                </w:rPr>
                <m:t>t</m:t>
              </m:r>
            </m:sub>
          </m:sSub>
        </m:oMath>
      </m:oMathPara>
    </w:p>
    <w:p w:rsidR="000F285D" w:rsidRDefault="000F285D" w:rsidP="000F285D">
      <w:pPr>
        <w:widowControl w:val="0"/>
        <w:autoSpaceDE w:val="0"/>
        <w:autoSpaceDN w:val="0"/>
        <w:adjustRightInd w:val="0"/>
        <w:ind w:right="23"/>
        <w:jc w:val="both"/>
        <w:rPr>
          <w:rFonts w:asciiTheme="minorHAnsi" w:hAnsiTheme="minorHAnsi" w:cstheme="minorHAnsi"/>
          <w:bCs/>
          <w:sz w:val="22"/>
        </w:rPr>
      </w:pPr>
    </w:p>
    <w:p w:rsidR="00767C40" w:rsidRDefault="00767C40" w:rsidP="000F285D">
      <w:pPr>
        <w:widowControl w:val="0"/>
        <w:autoSpaceDE w:val="0"/>
        <w:autoSpaceDN w:val="0"/>
        <w:adjustRightInd w:val="0"/>
        <w:ind w:right="23"/>
        <w:jc w:val="both"/>
        <w:rPr>
          <w:rFonts w:asciiTheme="minorHAnsi" w:hAnsiTheme="minorHAnsi" w:cstheme="minorHAnsi"/>
          <w:bCs/>
          <w:sz w:val="22"/>
        </w:rPr>
      </w:pPr>
    </w:p>
    <w:p w:rsidR="00486F8E" w:rsidRDefault="00486F8E" w:rsidP="000F285D">
      <w:pPr>
        <w:widowControl w:val="0"/>
        <w:autoSpaceDE w:val="0"/>
        <w:autoSpaceDN w:val="0"/>
        <w:adjustRightInd w:val="0"/>
        <w:ind w:right="23"/>
        <w:jc w:val="both"/>
        <w:rPr>
          <w:rFonts w:asciiTheme="minorHAnsi" w:hAnsiTheme="minorHAnsi" w:cstheme="minorHAnsi"/>
          <w:bCs/>
          <w:sz w:val="22"/>
        </w:rPr>
      </w:pPr>
    </w:p>
    <w:p w:rsidR="00662F33" w:rsidRDefault="008A7D20" w:rsidP="008A366B">
      <w:pPr>
        <w:pStyle w:val="Heading2"/>
        <w:numPr>
          <w:ilvl w:val="1"/>
          <w:numId w:val="1"/>
        </w:numPr>
        <w:spacing w:line="276" w:lineRule="auto"/>
        <w:rPr>
          <w:rFonts w:asciiTheme="minorHAnsi" w:hAnsiTheme="minorHAnsi" w:cstheme="minorHAnsi"/>
          <w:lang w:val="es-ES_tradnl"/>
        </w:rPr>
      </w:pPr>
      <w:bookmarkStart w:id="53" w:name="_Toc373093517"/>
      <w:r>
        <w:rPr>
          <w:rFonts w:asciiTheme="minorHAnsi" w:hAnsiTheme="minorHAnsi" w:cstheme="minorHAnsi"/>
          <w:lang w:val="es-ES_tradnl"/>
        </w:rPr>
        <w:t>Radioterapia</w:t>
      </w:r>
      <w:bookmarkEnd w:id="53"/>
    </w:p>
    <w:p w:rsidR="00662F33" w:rsidRDefault="00662F33" w:rsidP="00662F33">
      <w:pPr>
        <w:rPr>
          <w:lang w:val="es-ES_tradnl"/>
        </w:rPr>
      </w:pPr>
    </w:p>
    <w:p w:rsidR="006D74B1" w:rsidRDefault="00880983" w:rsidP="006D74B1">
      <w:pPr>
        <w:jc w:val="both"/>
        <w:rPr>
          <w:rFonts w:asciiTheme="minorHAnsi" w:hAnsiTheme="minorHAnsi"/>
          <w:sz w:val="22"/>
          <w:szCs w:val="22"/>
          <w:lang w:val="es-ES_tradnl"/>
        </w:rPr>
      </w:pPr>
      <w:r w:rsidRPr="00880983">
        <w:rPr>
          <w:rFonts w:asciiTheme="minorHAnsi" w:hAnsiTheme="minorHAnsi"/>
          <w:sz w:val="22"/>
          <w:szCs w:val="22"/>
          <w:lang w:val="es-ES_tradnl"/>
        </w:rPr>
        <w:t>La de</w:t>
      </w:r>
      <w:r>
        <w:rPr>
          <w:rFonts w:asciiTheme="minorHAnsi" w:hAnsiTheme="minorHAnsi"/>
          <w:sz w:val="22"/>
          <w:szCs w:val="22"/>
          <w:lang w:val="es-ES_tradnl"/>
        </w:rPr>
        <w:t>manda potencial por tratamientos de radioterapia para la población de referencia la estimamos a partir</w:t>
      </w:r>
      <w:r w:rsidR="006D74B1">
        <w:rPr>
          <w:rFonts w:asciiTheme="minorHAnsi" w:hAnsiTheme="minorHAnsi"/>
          <w:sz w:val="22"/>
          <w:szCs w:val="22"/>
          <w:lang w:val="es-ES_tradnl"/>
        </w:rPr>
        <w:t xml:space="preserve"> de la información reportada en Aparicio, A. (2012: pp. 43), quién muestra la distribución promedio del uso de distintas estrategias de tratamiento de cáncer en el Instituto Oncológico de Panamá. En el caso de radioterapia, ésta se le aplica al 29% de los pacientes. De acuerdo a CENETEC (2005: pp.</w:t>
      </w:r>
      <w:r w:rsidR="004D3B86">
        <w:rPr>
          <w:rFonts w:asciiTheme="minorHAnsi" w:hAnsiTheme="minorHAnsi"/>
          <w:sz w:val="22"/>
          <w:szCs w:val="22"/>
          <w:lang w:val="es-ES_tradnl"/>
        </w:rPr>
        <w:t xml:space="preserve"> 21</w:t>
      </w:r>
      <w:r w:rsidR="006D74B1">
        <w:rPr>
          <w:rFonts w:asciiTheme="minorHAnsi" w:hAnsiTheme="minorHAnsi"/>
          <w:sz w:val="22"/>
          <w:szCs w:val="22"/>
          <w:lang w:val="es-ES_tradnl"/>
        </w:rPr>
        <w:t xml:space="preserve">), el número de sesiones de radioterapia </w:t>
      </w:r>
      <w:r w:rsidR="00D3593C">
        <w:rPr>
          <w:rFonts w:asciiTheme="minorHAnsi" w:hAnsiTheme="minorHAnsi"/>
          <w:sz w:val="22"/>
          <w:szCs w:val="22"/>
          <w:lang w:val="es-ES_tradnl"/>
        </w:rPr>
        <w:t>fluctúan</w:t>
      </w:r>
      <w:r w:rsidR="006D74B1">
        <w:rPr>
          <w:rFonts w:asciiTheme="minorHAnsi" w:hAnsiTheme="minorHAnsi"/>
          <w:sz w:val="22"/>
          <w:szCs w:val="22"/>
          <w:lang w:val="es-ES_tradnl"/>
        </w:rPr>
        <w:t xml:space="preserve"> en torno a 20. </w:t>
      </w:r>
    </w:p>
    <w:p w:rsidR="006D74B1" w:rsidRDefault="006D74B1" w:rsidP="006D74B1">
      <w:pPr>
        <w:jc w:val="both"/>
        <w:rPr>
          <w:rFonts w:asciiTheme="minorHAnsi" w:hAnsiTheme="minorHAnsi"/>
          <w:sz w:val="22"/>
          <w:szCs w:val="22"/>
          <w:lang w:val="es-ES_tradnl"/>
        </w:rPr>
      </w:pPr>
    </w:p>
    <w:p w:rsidR="006D74B1" w:rsidRDefault="006D74B1" w:rsidP="006D74B1">
      <w:pPr>
        <w:jc w:val="both"/>
        <w:rPr>
          <w:rFonts w:asciiTheme="minorHAnsi" w:hAnsiTheme="minorHAnsi"/>
          <w:sz w:val="22"/>
          <w:szCs w:val="22"/>
          <w:lang w:val="es-ES_tradnl"/>
        </w:rPr>
      </w:pPr>
      <w:r>
        <w:rPr>
          <w:rFonts w:asciiTheme="minorHAnsi" w:hAnsiTheme="minorHAnsi"/>
          <w:sz w:val="22"/>
          <w:szCs w:val="22"/>
          <w:lang w:val="es-ES_tradnl"/>
        </w:rPr>
        <w:t xml:space="preserve">Por otra parte, a partir de los recientes reportes del registro de cáncer de Bolivia se informa que la tasa de incidencia cruda de cáncer para hombres y mujeres alcanzaría a </w:t>
      </w:r>
      <w:r w:rsidRPr="006D74B1">
        <w:rPr>
          <w:rFonts w:asciiTheme="minorHAnsi" w:hAnsiTheme="minorHAnsi"/>
          <w:sz w:val="22"/>
          <w:szCs w:val="22"/>
          <w:lang w:val="es-ES_tradnl"/>
        </w:rPr>
        <w:t>104,18</w:t>
      </w:r>
      <w:r>
        <w:rPr>
          <w:rFonts w:asciiTheme="minorHAnsi" w:hAnsiTheme="minorHAnsi"/>
          <w:sz w:val="22"/>
          <w:szCs w:val="22"/>
          <w:lang w:val="es-ES_tradnl"/>
        </w:rPr>
        <w:t xml:space="preserve"> y </w:t>
      </w:r>
      <w:r w:rsidRPr="006D74B1">
        <w:rPr>
          <w:rFonts w:asciiTheme="minorHAnsi" w:hAnsiTheme="minorHAnsi"/>
          <w:sz w:val="22"/>
          <w:szCs w:val="22"/>
          <w:lang w:val="es-ES_tradnl"/>
        </w:rPr>
        <w:t>211,9</w:t>
      </w:r>
      <w:r>
        <w:rPr>
          <w:rFonts w:asciiTheme="minorHAnsi" w:hAnsiTheme="minorHAnsi"/>
          <w:sz w:val="22"/>
          <w:szCs w:val="22"/>
          <w:lang w:val="es-ES_tradnl"/>
        </w:rPr>
        <w:t xml:space="preserve"> por cada 100 mil habitantes respectivamente.</w:t>
      </w:r>
    </w:p>
    <w:p w:rsidR="00F76AEC" w:rsidRDefault="00F76AEC" w:rsidP="006D74B1">
      <w:pPr>
        <w:jc w:val="both"/>
        <w:rPr>
          <w:rFonts w:asciiTheme="minorHAnsi" w:hAnsiTheme="minorHAnsi"/>
          <w:sz w:val="22"/>
          <w:szCs w:val="22"/>
          <w:lang w:val="es-ES_tradnl"/>
        </w:rPr>
      </w:pPr>
    </w:p>
    <w:p w:rsidR="00F76AEC" w:rsidRDefault="00F76AEC" w:rsidP="006D74B1">
      <w:pPr>
        <w:jc w:val="both"/>
        <w:rPr>
          <w:rFonts w:asciiTheme="minorHAnsi" w:hAnsiTheme="minorHAnsi"/>
          <w:sz w:val="22"/>
          <w:szCs w:val="22"/>
          <w:lang w:val="es-ES_tradnl"/>
        </w:rPr>
      </w:pPr>
      <w:r>
        <w:rPr>
          <w:rFonts w:asciiTheme="minorHAnsi" w:hAnsiTheme="minorHAnsi"/>
          <w:sz w:val="22"/>
          <w:szCs w:val="22"/>
          <w:lang w:val="es-ES_tradnl"/>
        </w:rPr>
        <w:t>A diferencia de la estimación de demanda potencial de otras prestaciones, en el caso de las demandas relativas a tratamientos de cáncer, la población de referencia considerada se amplia a las poblaciones de La Paz, Oruro y Potosí.</w:t>
      </w:r>
    </w:p>
    <w:p w:rsidR="006D74B1" w:rsidRDefault="006D74B1" w:rsidP="006D74B1">
      <w:pPr>
        <w:jc w:val="both"/>
        <w:rPr>
          <w:rFonts w:asciiTheme="minorHAnsi" w:hAnsiTheme="minorHAnsi"/>
          <w:sz w:val="22"/>
          <w:szCs w:val="22"/>
          <w:lang w:val="es-ES_tradnl"/>
        </w:rPr>
      </w:pPr>
    </w:p>
    <w:p w:rsidR="006D74B1" w:rsidRDefault="006D74B1" w:rsidP="006D74B1">
      <w:pPr>
        <w:jc w:val="both"/>
        <w:rPr>
          <w:rFonts w:asciiTheme="minorHAnsi" w:hAnsiTheme="minorHAnsi"/>
          <w:sz w:val="22"/>
          <w:szCs w:val="22"/>
          <w:lang w:val="es-ES_tradnl"/>
        </w:rPr>
      </w:pPr>
      <w:r>
        <w:rPr>
          <w:rFonts w:asciiTheme="minorHAnsi" w:hAnsiTheme="minorHAnsi"/>
          <w:sz w:val="22"/>
          <w:szCs w:val="22"/>
          <w:lang w:val="es-ES_tradnl"/>
        </w:rPr>
        <w:t>De este modo, la estimación de la demanda potencial por sesiones de radioterapia se realiza a partir de la siguiente expresión:</w:t>
      </w:r>
    </w:p>
    <w:p w:rsidR="006D74B1" w:rsidRDefault="006D74B1" w:rsidP="006D74B1">
      <w:pPr>
        <w:jc w:val="both"/>
        <w:rPr>
          <w:rFonts w:asciiTheme="minorHAnsi" w:hAnsiTheme="minorHAnsi"/>
          <w:sz w:val="22"/>
          <w:szCs w:val="22"/>
          <w:lang w:val="es-ES_tradnl"/>
        </w:rPr>
      </w:pPr>
    </w:p>
    <w:p w:rsidR="006D74B1" w:rsidRPr="009C76DB" w:rsidRDefault="00E52595" w:rsidP="006D74B1">
      <w:pPr>
        <w:widowControl w:val="0"/>
        <w:autoSpaceDE w:val="0"/>
        <w:autoSpaceDN w:val="0"/>
        <w:adjustRightInd w:val="0"/>
        <w:ind w:right="23"/>
        <w:jc w:val="both"/>
        <w:rPr>
          <w:rFonts w:asciiTheme="minorHAnsi" w:hAnsiTheme="minorHAnsi" w:cstheme="minorHAnsi"/>
          <w:bCs/>
          <w:sz w:val="22"/>
        </w:rPr>
      </w:pPr>
      <m:oMathPara>
        <m:oMathParaPr>
          <m:jc m:val="left"/>
        </m:oMathParaPr>
        <m:oMath>
          <m:sSub>
            <m:sSubPr>
              <m:ctrlPr>
                <w:rPr>
                  <w:rFonts w:ascii="Cambria Math" w:hAnsi="Cambria Math" w:cstheme="minorHAnsi"/>
                  <w:bCs/>
                  <w:sz w:val="22"/>
                </w:rPr>
              </m:ctrlPr>
            </m:sSubPr>
            <m:e>
              <m:r>
                <m:rPr>
                  <m:sty m:val="p"/>
                </m:rPr>
                <w:rPr>
                  <w:rFonts w:ascii="Cambria Math" w:hAnsi="Cambria Math" w:cstheme="minorHAnsi"/>
                  <w:sz w:val="22"/>
                </w:rPr>
                <m:t>Rd</m:t>
              </m:r>
            </m:e>
            <m:sub>
              <m:r>
                <m:rPr>
                  <m:sty m:val="p"/>
                </m:rPr>
                <w:rPr>
                  <w:rFonts w:ascii="Cambria Math" w:hAnsi="Cambria Math" w:cstheme="minorHAnsi"/>
                  <w:sz w:val="22"/>
                </w:rPr>
                <m:t>t</m:t>
              </m:r>
            </m:sub>
          </m:sSub>
          <m:r>
            <m:rPr>
              <m:sty m:val="p"/>
            </m:rPr>
            <w:rPr>
              <w:rFonts w:ascii="Cambria Math" w:hAnsi="Cambria Math" w:cstheme="minorHAnsi"/>
              <w:sz w:val="22"/>
            </w:rPr>
            <m:t>=</m:t>
          </m:r>
          <m:sSub>
            <m:sSubPr>
              <m:ctrlPr>
                <w:rPr>
                  <w:rFonts w:ascii="Cambria Math" w:hAnsi="Cambria Math" w:cstheme="minorHAnsi"/>
                  <w:sz w:val="22"/>
                </w:rPr>
              </m:ctrlPr>
            </m:sSubPr>
            <m:e>
              <m:r>
                <m:rPr>
                  <m:sty m:val="p"/>
                </m:rPr>
                <w:rPr>
                  <w:rFonts w:ascii="Cambria Math" w:hAnsi="Cambria Math" w:cstheme="minorHAnsi"/>
                  <w:sz w:val="22"/>
                </w:rPr>
                <m:t>Rd</m:t>
              </m:r>
            </m:e>
            <m:sub>
              <m:r>
                <m:rPr>
                  <m:sty m:val="p"/>
                </m:rPr>
                <w:rPr>
                  <w:rFonts w:ascii="Cambria Math" w:hAnsi="Cambria Math" w:cstheme="minorHAnsi"/>
                  <w:sz w:val="22"/>
                </w:rPr>
                <m:t>Ht</m:t>
              </m:r>
            </m:sub>
          </m:sSub>
          <m:r>
            <m:rPr>
              <m:sty m:val="p"/>
            </m:rPr>
            <w:rPr>
              <w:rFonts w:ascii="Cambria Math" w:hAnsi="Cambria Math" w:cstheme="minorHAnsi"/>
              <w:sz w:val="22"/>
            </w:rPr>
            <m:t>+</m:t>
          </m:r>
          <m:sSub>
            <m:sSubPr>
              <m:ctrlPr>
                <w:rPr>
                  <w:rFonts w:ascii="Cambria Math" w:hAnsi="Cambria Math" w:cstheme="minorHAnsi"/>
                  <w:bCs/>
                  <w:sz w:val="22"/>
                </w:rPr>
              </m:ctrlPr>
            </m:sSubPr>
            <m:e>
              <m:r>
                <m:rPr>
                  <m:sty m:val="p"/>
                </m:rPr>
                <w:rPr>
                  <w:rFonts w:ascii="Cambria Math" w:hAnsi="Cambria Math" w:cstheme="minorHAnsi"/>
                  <w:sz w:val="22"/>
                </w:rPr>
                <m:t>Rd</m:t>
              </m:r>
            </m:e>
            <m:sub>
              <m:r>
                <m:rPr>
                  <m:sty m:val="p"/>
                </m:rPr>
                <w:rPr>
                  <w:rFonts w:ascii="Cambria Math" w:hAnsi="Cambria Math" w:cstheme="minorHAnsi"/>
                  <w:sz w:val="22"/>
                </w:rPr>
                <m:t>Mt</m:t>
              </m:r>
            </m:sub>
          </m:sSub>
        </m:oMath>
      </m:oMathPara>
    </w:p>
    <w:p w:rsidR="006D74B1" w:rsidRDefault="006D74B1" w:rsidP="006D74B1">
      <w:pPr>
        <w:jc w:val="both"/>
        <w:rPr>
          <w:rFonts w:asciiTheme="minorHAnsi" w:hAnsiTheme="minorHAnsi"/>
          <w:sz w:val="22"/>
          <w:szCs w:val="22"/>
          <w:lang w:val="es-ES_tradnl"/>
        </w:rPr>
      </w:pPr>
    </w:p>
    <w:p w:rsidR="00F76AEC" w:rsidRDefault="00F76AEC" w:rsidP="006D74B1">
      <w:pPr>
        <w:jc w:val="both"/>
        <w:rPr>
          <w:rFonts w:asciiTheme="minorHAnsi" w:hAnsiTheme="minorHAnsi"/>
          <w:sz w:val="22"/>
          <w:szCs w:val="22"/>
          <w:lang w:val="es-ES_tradnl"/>
        </w:rPr>
      </w:pPr>
      <w:r>
        <w:rPr>
          <w:rFonts w:asciiTheme="minorHAnsi" w:hAnsiTheme="minorHAnsi"/>
          <w:sz w:val="22"/>
          <w:szCs w:val="22"/>
          <w:lang w:val="es-ES_tradnl"/>
        </w:rPr>
        <w:lastRenderedPageBreak/>
        <w:t>Donde,</w:t>
      </w:r>
    </w:p>
    <w:p w:rsidR="00F76AEC" w:rsidRDefault="00F76AEC" w:rsidP="006D74B1">
      <w:pPr>
        <w:jc w:val="both"/>
        <w:rPr>
          <w:rFonts w:asciiTheme="minorHAnsi" w:hAnsiTheme="minorHAnsi"/>
          <w:sz w:val="22"/>
          <w:szCs w:val="22"/>
          <w:lang w:val="es-ES_tradnl"/>
        </w:rPr>
      </w:pPr>
    </w:p>
    <w:p w:rsidR="008965B3" w:rsidRPr="008965B3" w:rsidRDefault="00E52595" w:rsidP="008965B3">
      <w:pPr>
        <w:widowControl w:val="0"/>
        <w:autoSpaceDE w:val="0"/>
        <w:autoSpaceDN w:val="0"/>
        <w:adjustRightInd w:val="0"/>
        <w:ind w:right="23"/>
        <w:jc w:val="both"/>
        <w:rPr>
          <w:rFonts w:asciiTheme="minorHAnsi" w:hAnsiTheme="minorHAnsi" w:cstheme="minorHAnsi"/>
          <w:bCs/>
          <w:sz w:val="22"/>
        </w:rPr>
      </w:pPr>
      <m:oMathPara>
        <m:oMathParaPr>
          <m:jc m:val="left"/>
        </m:oMathParaPr>
        <m:oMath>
          <m:sSub>
            <m:sSubPr>
              <m:ctrlPr>
                <w:rPr>
                  <w:rFonts w:ascii="Cambria Math" w:hAnsi="Cambria Math" w:cstheme="minorHAnsi"/>
                  <w:sz w:val="22"/>
                </w:rPr>
              </m:ctrlPr>
            </m:sSubPr>
            <m:e>
              <m:r>
                <m:rPr>
                  <m:sty m:val="p"/>
                </m:rPr>
                <w:rPr>
                  <w:rFonts w:ascii="Cambria Math" w:hAnsi="Cambria Math" w:cstheme="minorHAnsi"/>
                  <w:sz w:val="22"/>
                </w:rPr>
                <m:t>Rd</m:t>
              </m:r>
            </m:e>
            <m:sub>
              <m:r>
                <m:rPr>
                  <m:sty m:val="p"/>
                </m:rPr>
                <w:rPr>
                  <w:rFonts w:ascii="Cambria Math" w:hAnsi="Cambria Math" w:cstheme="minorHAnsi"/>
                  <w:sz w:val="22"/>
                </w:rPr>
                <m:t>Ht</m:t>
              </m:r>
            </m:sub>
          </m:sSub>
          <m:r>
            <m:rPr>
              <m:sty m:val="p"/>
            </m:rPr>
            <w:rPr>
              <w:rFonts w:ascii="Cambria Math" w:hAnsi="Cambria Math" w:cstheme="minorHAnsi"/>
              <w:sz w:val="22"/>
            </w:rPr>
            <m:t>=</m:t>
          </m:r>
          <m:d>
            <m:dPr>
              <m:ctrlPr>
                <w:rPr>
                  <w:rFonts w:ascii="Cambria Math" w:hAnsi="Cambria Math" w:cstheme="minorHAnsi"/>
                  <w:sz w:val="22"/>
                </w:rPr>
              </m:ctrlPr>
            </m:dPr>
            <m:e>
              <m:f>
                <m:fPr>
                  <m:ctrlPr>
                    <w:rPr>
                      <w:rFonts w:ascii="Cambria Math" w:hAnsi="Cambria Math" w:cstheme="minorHAnsi"/>
                      <w:sz w:val="22"/>
                    </w:rPr>
                  </m:ctrlPr>
                </m:fPr>
                <m:num>
                  <m:r>
                    <w:rPr>
                      <w:rFonts w:ascii="Cambria Math" w:hAnsi="Cambria Math" w:cstheme="minorHAnsi"/>
                      <w:sz w:val="22"/>
                    </w:rPr>
                    <m:t>104,18</m:t>
                  </m:r>
                </m:num>
                <m:den>
                  <m:r>
                    <w:rPr>
                      <w:rFonts w:ascii="Cambria Math" w:hAnsi="Cambria Math" w:cstheme="minorHAnsi"/>
                      <w:sz w:val="22"/>
                    </w:rPr>
                    <m:t>100000</m:t>
                  </m:r>
                </m:den>
              </m:f>
            </m:e>
          </m:d>
          <m:r>
            <m:rPr>
              <m:sty m:val="p"/>
            </m:rPr>
            <w:rPr>
              <w:rFonts w:ascii="Cambria Math" w:hAnsi="Cambria Math" w:cstheme="minorHAnsi"/>
              <w:sz w:val="22"/>
            </w:rPr>
            <m:t>∙0,29∙20∙</m:t>
          </m:r>
          <m:sSub>
            <m:sSubPr>
              <m:ctrlPr>
                <w:rPr>
                  <w:rFonts w:ascii="Cambria Math" w:hAnsi="Cambria Math" w:cstheme="minorHAnsi"/>
                  <w:bCs/>
                  <w:sz w:val="22"/>
                </w:rPr>
              </m:ctrlPr>
            </m:sSubPr>
            <m:e>
              <m:r>
                <m:rPr>
                  <m:sty m:val="p"/>
                </m:rPr>
                <w:rPr>
                  <w:rFonts w:ascii="Cambria Math" w:hAnsi="Cambria Math" w:cstheme="minorHAnsi"/>
                  <w:sz w:val="22"/>
                </w:rPr>
                <m:t>α∙Pob</m:t>
              </m:r>
            </m:e>
            <m:sub>
              <m:r>
                <m:rPr>
                  <m:sty m:val="p"/>
                </m:rPr>
                <w:rPr>
                  <w:rFonts w:ascii="Cambria Math" w:hAnsi="Cambria Math" w:cstheme="minorHAnsi"/>
                  <w:sz w:val="22"/>
                </w:rPr>
                <m:t>Ht</m:t>
              </m:r>
            </m:sub>
          </m:sSub>
        </m:oMath>
      </m:oMathPara>
    </w:p>
    <w:p w:rsidR="008965B3" w:rsidRPr="009C76DB" w:rsidRDefault="008965B3" w:rsidP="008965B3">
      <w:pPr>
        <w:widowControl w:val="0"/>
        <w:autoSpaceDE w:val="0"/>
        <w:autoSpaceDN w:val="0"/>
        <w:adjustRightInd w:val="0"/>
        <w:ind w:right="23"/>
        <w:jc w:val="both"/>
        <w:rPr>
          <w:rFonts w:asciiTheme="minorHAnsi" w:hAnsiTheme="minorHAnsi" w:cstheme="minorHAnsi"/>
          <w:bCs/>
          <w:sz w:val="22"/>
        </w:rPr>
      </w:pPr>
    </w:p>
    <w:p w:rsidR="008965B3" w:rsidRPr="008965B3" w:rsidRDefault="00E52595" w:rsidP="008965B3">
      <w:pPr>
        <w:widowControl w:val="0"/>
        <w:autoSpaceDE w:val="0"/>
        <w:autoSpaceDN w:val="0"/>
        <w:adjustRightInd w:val="0"/>
        <w:ind w:right="23"/>
        <w:jc w:val="both"/>
        <w:rPr>
          <w:rFonts w:asciiTheme="minorHAnsi" w:hAnsiTheme="minorHAnsi" w:cstheme="minorHAnsi"/>
          <w:bCs/>
          <w:sz w:val="22"/>
        </w:rPr>
      </w:pPr>
      <m:oMathPara>
        <m:oMathParaPr>
          <m:jc m:val="left"/>
        </m:oMathParaPr>
        <m:oMath>
          <m:sSub>
            <m:sSubPr>
              <m:ctrlPr>
                <w:rPr>
                  <w:rFonts w:ascii="Cambria Math" w:hAnsi="Cambria Math" w:cstheme="minorHAnsi"/>
                  <w:sz w:val="22"/>
                </w:rPr>
              </m:ctrlPr>
            </m:sSubPr>
            <m:e>
              <m:r>
                <m:rPr>
                  <m:sty m:val="p"/>
                </m:rPr>
                <w:rPr>
                  <w:rFonts w:ascii="Cambria Math" w:hAnsi="Cambria Math" w:cstheme="minorHAnsi"/>
                  <w:sz w:val="22"/>
                </w:rPr>
                <m:t>Rd</m:t>
              </m:r>
            </m:e>
            <m:sub>
              <m:r>
                <m:rPr>
                  <m:sty m:val="p"/>
                </m:rPr>
                <w:rPr>
                  <w:rFonts w:ascii="Cambria Math" w:hAnsi="Cambria Math" w:cstheme="minorHAnsi"/>
                  <w:sz w:val="22"/>
                </w:rPr>
                <m:t>Mt</m:t>
              </m:r>
            </m:sub>
          </m:sSub>
          <m:r>
            <m:rPr>
              <m:sty m:val="p"/>
            </m:rPr>
            <w:rPr>
              <w:rFonts w:ascii="Cambria Math" w:hAnsi="Cambria Math" w:cstheme="minorHAnsi"/>
              <w:sz w:val="22"/>
            </w:rPr>
            <m:t>=</m:t>
          </m:r>
          <m:d>
            <m:dPr>
              <m:ctrlPr>
                <w:rPr>
                  <w:rFonts w:ascii="Cambria Math" w:hAnsi="Cambria Math" w:cstheme="minorHAnsi"/>
                  <w:sz w:val="22"/>
                </w:rPr>
              </m:ctrlPr>
            </m:dPr>
            <m:e>
              <m:f>
                <m:fPr>
                  <m:ctrlPr>
                    <w:rPr>
                      <w:rFonts w:ascii="Cambria Math" w:hAnsi="Cambria Math" w:cstheme="minorHAnsi"/>
                      <w:sz w:val="22"/>
                    </w:rPr>
                  </m:ctrlPr>
                </m:fPr>
                <m:num>
                  <m:r>
                    <w:rPr>
                      <w:rFonts w:ascii="Cambria Math" w:hAnsi="Cambria Math" w:cstheme="minorHAnsi"/>
                      <w:sz w:val="22"/>
                    </w:rPr>
                    <m:t>211,9</m:t>
                  </m:r>
                </m:num>
                <m:den>
                  <m:r>
                    <w:rPr>
                      <w:rFonts w:ascii="Cambria Math" w:hAnsi="Cambria Math" w:cstheme="minorHAnsi"/>
                      <w:sz w:val="22"/>
                    </w:rPr>
                    <m:t>100000</m:t>
                  </m:r>
                </m:den>
              </m:f>
            </m:e>
          </m:d>
          <m:r>
            <m:rPr>
              <m:sty m:val="p"/>
            </m:rPr>
            <w:rPr>
              <w:rFonts w:ascii="Cambria Math" w:hAnsi="Cambria Math" w:cstheme="minorHAnsi"/>
              <w:sz w:val="22"/>
            </w:rPr>
            <m:t>∙0,29∙</m:t>
          </m:r>
          <m:sSub>
            <m:sSubPr>
              <m:ctrlPr>
                <w:rPr>
                  <w:rFonts w:ascii="Cambria Math" w:hAnsi="Cambria Math" w:cstheme="minorHAnsi"/>
                  <w:bCs/>
                  <w:sz w:val="22"/>
                </w:rPr>
              </m:ctrlPr>
            </m:sSubPr>
            <m:e>
              <m:r>
                <m:rPr>
                  <m:sty m:val="p"/>
                </m:rPr>
                <w:rPr>
                  <w:rFonts w:ascii="Cambria Math" w:hAnsi="Cambria Math" w:cstheme="minorHAnsi"/>
                  <w:sz w:val="22"/>
                </w:rPr>
                <m:t>20∙β∙Pob</m:t>
              </m:r>
            </m:e>
            <m:sub>
              <m:r>
                <m:rPr>
                  <m:sty m:val="p"/>
                </m:rPr>
                <w:rPr>
                  <w:rFonts w:ascii="Cambria Math" w:hAnsi="Cambria Math" w:cstheme="minorHAnsi"/>
                  <w:sz w:val="22"/>
                </w:rPr>
                <m:t>Mt</m:t>
              </m:r>
            </m:sub>
          </m:sSub>
        </m:oMath>
      </m:oMathPara>
    </w:p>
    <w:p w:rsidR="008965B3" w:rsidRDefault="008965B3" w:rsidP="006D74B1">
      <w:pPr>
        <w:jc w:val="both"/>
        <w:rPr>
          <w:rFonts w:asciiTheme="minorHAnsi" w:hAnsiTheme="minorHAnsi"/>
          <w:sz w:val="22"/>
          <w:szCs w:val="22"/>
          <w:lang w:val="es-ES_tradnl"/>
        </w:rPr>
      </w:pPr>
    </w:p>
    <w:p w:rsidR="006D66C7" w:rsidRDefault="006D66C7" w:rsidP="006D74B1">
      <w:pPr>
        <w:jc w:val="both"/>
        <w:rPr>
          <w:rFonts w:asciiTheme="minorHAnsi" w:hAnsiTheme="minorHAnsi"/>
          <w:sz w:val="22"/>
          <w:szCs w:val="22"/>
          <w:lang w:val="es-ES_tradnl"/>
        </w:rPr>
      </w:pPr>
    </w:p>
    <w:p w:rsidR="008965B3" w:rsidRDefault="008965B3" w:rsidP="006D74B1">
      <w:pPr>
        <w:jc w:val="both"/>
        <w:rPr>
          <w:rFonts w:asciiTheme="minorHAnsi" w:hAnsiTheme="minorHAnsi"/>
          <w:sz w:val="22"/>
          <w:szCs w:val="22"/>
          <w:lang w:val="es-ES_tradnl"/>
        </w:rPr>
      </w:pPr>
      <w:r>
        <w:rPr>
          <w:rFonts w:asciiTheme="minorHAnsi" w:hAnsiTheme="minorHAnsi"/>
          <w:sz w:val="22"/>
          <w:szCs w:val="22"/>
          <w:lang w:val="es-ES_tradnl"/>
        </w:rPr>
        <w:t>Donde,</w:t>
      </w:r>
    </w:p>
    <w:p w:rsidR="006D66C7" w:rsidRDefault="006D66C7" w:rsidP="006D74B1">
      <w:pPr>
        <w:jc w:val="both"/>
        <w:rPr>
          <w:rFonts w:asciiTheme="minorHAnsi" w:hAnsiTheme="minorHAnsi"/>
          <w:sz w:val="22"/>
          <w:szCs w:val="22"/>
          <w:lang w:val="es-ES_tradnl"/>
        </w:rPr>
      </w:pPr>
    </w:p>
    <w:p w:rsidR="006D66C7" w:rsidRPr="008965B3" w:rsidRDefault="00E52595" w:rsidP="006D66C7">
      <w:pPr>
        <w:widowControl w:val="0"/>
        <w:autoSpaceDE w:val="0"/>
        <w:autoSpaceDN w:val="0"/>
        <w:adjustRightInd w:val="0"/>
        <w:ind w:right="23"/>
        <w:jc w:val="both"/>
        <w:rPr>
          <w:rFonts w:asciiTheme="minorHAnsi" w:hAnsiTheme="minorHAnsi" w:cstheme="minorHAnsi"/>
          <w:bCs/>
          <w:sz w:val="22"/>
        </w:rPr>
      </w:pPr>
      <m:oMath>
        <m:sSub>
          <m:sSubPr>
            <m:ctrlPr>
              <w:rPr>
                <w:rFonts w:ascii="Cambria Math" w:hAnsi="Cambria Math" w:cstheme="minorHAnsi"/>
                <w:sz w:val="22"/>
              </w:rPr>
            </m:ctrlPr>
          </m:sSubPr>
          <m:e>
            <m:r>
              <m:rPr>
                <m:sty m:val="p"/>
              </m:rPr>
              <w:rPr>
                <w:rFonts w:ascii="Cambria Math" w:hAnsi="Cambria Math" w:cstheme="minorHAnsi"/>
                <w:sz w:val="22"/>
              </w:rPr>
              <m:t>Rd</m:t>
            </m:r>
          </m:e>
          <m:sub>
            <m:r>
              <m:rPr>
                <m:sty m:val="p"/>
              </m:rPr>
              <w:rPr>
                <w:rFonts w:ascii="Cambria Math" w:hAnsi="Cambria Math" w:cstheme="minorHAnsi"/>
                <w:sz w:val="22"/>
              </w:rPr>
              <m:t>t</m:t>
            </m:r>
          </m:sub>
        </m:sSub>
        <m:r>
          <m:rPr>
            <m:sty m:val="p"/>
          </m:rPr>
          <w:rPr>
            <w:rFonts w:ascii="Cambria Math" w:hAnsi="Cambria Math" w:cstheme="minorHAnsi"/>
            <w:sz w:val="22"/>
          </w:rPr>
          <m:t>=</m:t>
        </m:r>
      </m:oMath>
      <w:r w:rsidR="006D66C7">
        <w:rPr>
          <w:rFonts w:asciiTheme="minorHAnsi" w:hAnsiTheme="minorHAnsi" w:cstheme="minorHAnsi"/>
          <w:sz w:val="22"/>
        </w:rPr>
        <w:t xml:space="preserve"> N° total de sesiones de radioterapia</w:t>
      </w:r>
    </w:p>
    <w:p w:rsidR="006D66C7" w:rsidRDefault="006D66C7" w:rsidP="006D74B1">
      <w:pPr>
        <w:jc w:val="both"/>
        <w:rPr>
          <w:rFonts w:asciiTheme="minorHAnsi" w:hAnsiTheme="minorHAnsi"/>
          <w:sz w:val="22"/>
          <w:szCs w:val="22"/>
          <w:lang w:val="es-ES_tradnl"/>
        </w:rPr>
      </w:pPr>
    </w:p>
    <w:p w:rsidR="008965B3" w:rsidRPr="008965B3" w:rsidRDefault="00E52595" w:rsidP="008965B3">
      <w:pPr>
        <w:widowControl w:val="0"/>
        <w:autoSpaceDE w:val="0"/>
        <w:autoSpaceDN w:val="0"/>
        <w:adjustRightInd w:val="0"/>
        <w:ind w:right="23"/>
        <w:jc w:val="both"/>
        <w:rPr>
          <w:rFonts w:asciiTheme="minorHAnsi" w:hAnsiTheme="minorHAnsi" w:cstheme="minorHAnsi"/>
          <w:bCs/>
          <w:sz w:val="22"/>
        </w:rPr>
      </w:pPr>
      <m:oMath>
        <m:sSub>
          <m:sSubPr>
            <m:ctrlPr>
              <w:rPr>
                <w:rFonts w:ascii="Cambria Math" w:hAnsi="Cambria Math" w:cstheme="minorHAnsi"/>
                <w:sz w:val="22"/>
              </w:rPr>
            </m:ctrlPr>
          </m:sSubPr>
          <m:e>
            <m:r>
              <m:rPr>
                <m:sty m:val="p"/>
              </m:rPr>
              <w:rPr>
                <w:rFonts w:ascii="Cambria Math" w:hAnsi="Cambria Math" w:cstheme="minorHAnsi"/>
                <w:sz w:val="22"/>
              </w:rPr>
              <m:t>Rd</m:t>
            </m:r>
          </m:e>
          <m:sub>
            <m:r>
              <m:rPr>
                <m:sty m:val="p"/>
              </m:rPr>
              <w:rPr>
                <w:rFonts w:ascii="Cambria Math" w:hAnsi="Cambria Math" w:cstheme="minorHAnsi"/>
                <w:sz w:val="22"/>
              </w:rPr>
              <m:t>Ht</m:t>
            </m:r>
          </m:sub>
        </m:sSub>
        <m:r>
          <m:rPr>
            <m:sty m:val="p"/>
          </m:rPr>
          <w:rPr>
            <w:rFonts w:ascii="Cambria Math" w:hAnsi="Cambria Math" w:cstheme="minorHAnsi"/>
            <w:sz w:val="22"/>
          </w:rPr>
          <m:t>=</m:t>
        </m:r>
      </m:oMath>
      <w:r w:rsidR="008965B3">
        <w:rPr>
          <w:rFonts w:asciiTheme="minorHAnsi" w:hAnsiTheme="minorHAnsi" w:cstheme="minorHAnsi"/>
          <w:sz w:val="22"/>
        </w:rPr>
        <w:t xml:space="preserve"> N° de sesiones de radioterapia en hombres</w:t>
      </w:r>
    </w:p>
    <w:p w:rsidR="008965B3" w:rsidRPr="009C76DB" w:rsidRDefault="008965B3" w:rsidP="008965B3">
      <w:pPr>
        <w:widowControl w:val="0"/>
        <w:autoSpaceDE w:val="0"/>
        <w:autoSpaceDN w:val="0"/>
        <w:adjustRightInd w:val="0"/>
        <w:ind w:right="23"/>
        <w:jc w:val="both"/>
        <w:rPr>
          <w:rFonts w:asciiTheme="minorHAnsi" w:hAnsiTheme="minorHAnsi" w:cstheme="minorHAnsi"/>
          <w:bCs/>
          <w:sz w:val="22"/>
        </w:rPr>
      </w:pPr>
    </w:p>
    <w:p w:rsidR="008965B3" w:rsidRPr="008965B3" w:rsidRDefault="00E52595" w:rsidP="008965B3">
      <w:pPr>
        <w:widowControl w:val="0"/>
        <w:autoSpaceDE w:val="0"/>
        <w:autoSpaceDN w:val="0"/>
        <w:adjustRightInd w:val="0"/>
        <w:ind w:right="23"/>
        <w:jc w:val="both"/>
        <w:rPr>
          <w:rFonts w:asciiTheme="minorHAnsi" w:hAnsiTheme="minorHAnsi" w:cstheme="minorHAnsi"/>
          <w:bCs/>
          <w:sz w:val="22"/>
        </w:rPr>
      </w:pPr>
      <m:oMath>
        <m:sSub>
          <m:sSubPr>
            <m:ctrlPr>
              <w:rPr>
                <w:rFonts w:ascii="Cambria Math" w:hAnsi="Cambria Math" w:cstheme="minorHAnsi"/>
                <w:sz w:val="22"/>
              </w:rPr>
            </m:ctrlPr>
          </m:sSubPr>
          <m:e>
            <m:r>
              <m:rPr>
                <m:sty m:val="p"/>
              </m:rPr>
              <w:rPr>
                <w:rFonts w:ascii="Cambria Math" w:hAnsi="Cambria Math" w:cstheme="minorHAnsi"/>
                <w:sz w:val="22"/>
              </w:rPr>
              <m:t>Rd</m:t>
            </m:r>
          </m:e>
          <m:sub>
            <m:r>
              <m:rPr>
                <m:sty m:val="p"/>
              </m:rPr>
              <w:rPr>
                <w:rFonts w:ascii="Cambria Math" w:hAnsi="Cambria Math" w:cstheme="minorHAnsi"/>
                <w:sz w:val="22"/>
              </w:rPr>
              <m:t>Mt</m:t>
            </m:r>
          </m:sub>
        </m:sSub>
        <m:r>
          <m:rPr>
            <m:sty m:val="p"/>
          </m:rPr>
          <w:rPr>
            <w:rFonts w:ascii="Cambria Math" w:hAnsi="Cambria Math" w:cstheme="minorHAnsi"/>
            <w:sz w:val="22"/>
          </w:rPr>
          <m:t>=</m:t>
        </m:r>
      </m:oMath>
      <w:r w:rsidR="008965B3">
        <w:rPr>
          <w:rFonts w:asciiTheme="minorHAnsi" w:hAnsiTheme="minorHAnsi" w:cstheme="minorHAnsi"/>
          <w:sz w:val="22"/>
        </w:rPr>
        <w:t xml:space="preserve"> N° de sesiones de radioterapia en mujeres</w:t>
      </w:r>
    </w:p>
    <w:p w:rsidR="008965B3" w:rsidRDefault="008965B3" w:rsidP="006D74B1">
      <w:pPr>
        <w:jc w:val="both"/>
        <w:rPr>
          <w:rFonts w:asciiTheme="minorHAnsi" w:hAnsiTheme="minorHAnsi"/>
          <w:sz w:val="22"/>
          <w:szCs w:val="22"/>
          <w:lang w:val="es-ES_tradnl"/>
        </w:rPr>
      </w:pPr>
    </w:p>
    <w:p w:rsidR="008965B3" w:rsidRDefault="00E52595" w:rsidP="008965B3">
      <w:pPr>
        <w:widowControl w:val="0"/>
        <w:autoSpaceDE w:val="0"/>
        <w:autoSpaceDN w:val="0"/>
        <w:adjustRightInd w:val="0"/>
        <w:ind w:right="23"/>
        <w:jc w:val="both"/>
        <w:rPr>
          <w:rFonts w:asciiTheme="minorHAnsi" w:hAnsiTheme="minorHAnsi"/>
          <w:sz w:val="22"/>
        </w:rPr>
      </w:pPr>
      <m:oMath>
        <m:d>
          <m:dPr>
            <m:ctrlPr>
              <w:rPr>
                <w:rFonts w:ascii="Cambria Math" w:hAnsi="Cambria Math" w:cstheme="minorHAnsi"/>
                <w:i/>
                <w:sz w:val="22"/>
              </w:rPr>
            </m:ctrlPr>
          </m:dPr>
          <m:e>
            <m:f>
              <m:fPr>
                <m:ctrlPr>
                  <w:rPr>
                    <w:rFonts w:ascii="Cambria Math" w:hAnsi="Cambria Math" w:cstheme="minorHAnsi"/>
                    <w:sz w:val="22"/>
                  </w:rPr>
                </m:ctrlPr>
              </m:fPr>
              <m:num>
                <m:r>
                  <w:rPr>
                    <w:rFonts w:ascii="Cambria Math" w:hAnsi="Cambria Math" w:cstheme="minorHAnsi"/>
                    <w:sz w:val="22"/>
                  </w:rPr>
                  <m:t>104,18</m:t>
                </m:r>
              </m:num>
              <m:den>
                <m:r>
                  <w:rPr>
                    <w:rFonts w:ascii="Cambria Math" w:hAnsi="Cambria Math" w:cstheme="minorHAnsi"/>
                    <w:sz w:val="22"/>
                  </w:rPr>
                  <m:t>100000</m:t>
                </m:r>
              </m:den>
            </m:f>
          </m:e>
        </m:d>
        <m:r>
          <m:rPr>
            <m:sty m:val="p"/>
          </m:rPr>
          <w:rPr>
            <w:rFonts w:ascii="Cambria Math" w:hAnsi="Cambria Math" w:cstheme="minorHAnsi"/>
            <w:sz w:val="22"/>
          </w:rPr>
          <m:t>=</m:t>
        </m:r>
      </m:oMath>
      <w:r w:rsidR="008965B3">
        <w:rPr>
          <w:rFonts w:asciiTheme="minorHAnsi" w:hAnsiTheme="minorHAnsi"/>
          <w:sz w:val="22"/>
        </w:rPr>
        <w:t xml:space="preserve"> Tasa de incidencia cruda de cáncer en hombres</w:t>
      </w:r>
    </w:p>
    <w:p w:rsidR="008965B3" w:rsidRDefault="008965B3" w:rsidP="008965B3">
      <w:pPr>
        <w:widowControl w:val="0"/>
        <w:autoSpaceDE w:val="0"/>
        <w:autoSpaceDN w:val="0"/>
        <w:adjustRightInd w:val="0"/>
        <w:ind w:right="23"/>
        <w:jc w:val="both"/>
        <w:rPr>
          <w:rFonts w:asciiTheme="minorHAnsi" w:hAnsiTheme="minorHAnsi"/>
          <w:sz w:val="22"/>
          <w:szCs w:val="22"/>
          <w:lang w:val="es-ES_tradnl"/>
        </w:rPr>
      </w:pPr>
    </w:p>
    <w:p w:rsidR="008965B3" w:rsidRDefault="00E52595" w:rsidP="008965B3">
      <w:pPr>
        <w:widowControl w:val="0"/>
        <w:autoSpaceDE w:val="0"/>
        <w:autoSpaceDN w:val="0"/>
        <w:adjustRightInd w:val="0"/>
        <w:ind w:right="23"/>
        <w:jc w:val="both"/>
        <w:rPr>
          <w:rFonts w:asciiTheme="minorHAnsi" w:hAnsiTheme="minorHAnsi"/>
          <w:sz w:val="22"/>
        </w:rPr>
      </w:pPr>
      <m:oMath>
        <m:d>
          <m:dPr>
            <m:ctrlPr>
              <w:rPr>
                <w:rFonts w:ascii="Cambria Math" w:hAnsi="Cambria Math" w:cstheme="minorHAnsi"/>
                <w:i/>
                <w:sz w:val="22"/>
              </w:rPr>
            </m:ctrlPr>
          </m:dPr>
          <m:e>
            <m:f>
              <m:fPr>
                <m:ctrlPr>
                  <w:rPr>
                    <w:rFonts w:ascii="Cambria Math" w:hAnsi="Cambria Math" w:cstheme="minorHAnsi"/>
                    <w:sz w:val="22"/>
                  </w:rPr>
                </m:ctrlPr>
              </m:fPr>
              <m:num>
                <m:r>
                  <w:rPr>
                    <w:rFonts w:ascii="Cambria Math" w:hAnsi="Cambria Math" w:cstheme="minorHAnsi"/>
                    <w:sz w:val="22"/>
                  </w:rPr>
                  <m:t>211,9</m:t>
                </m:r>
              </m:num>
              <m:den>
                <m:r>
                  <w:rPr>
                    <w:rFonts w:ascii="Cambria Math" w:hAnsi="Cambria Math" w:cstheme="minorHAnsi"/>
                    <w:sz w:val="22"/>
                  </w:rPr>
                  <m:t>100000</m:t>
                </m:r>
              </m:den>
            </m:f>
          </m:e>
        </m:d>
        <m:r>
          <m:rPr>
            <m:sty m:val="p"/>
          </m:rPr>
          <w:rPr>
            <w:rFonts w:ascii="Cambria Math" w:hAnsi="Cambria Math" w:cstheme="minorHAnsi"/>
            <w:sz w:val="22"/>
          </w:rPr>
          <m:t>=</m:t>
        </m:r>
      </m:oMath>
      <w:r w:rsidR="008965B3">
        <w:rPr>
          <w:rFonts w:asciiTheme="minorHAnsi" w:hAnsiTheme="minorHAnsi"/>
          <w:sz w:val="22"/>
        </w:rPr>
        <w:t xml:space="preserve"> Tasa de incidencia cruda de cáncer en mujeres</w:t>
      </w:r>
    </w:p>
    <w:p w:rsidR="008965B3" w:rsidRDefault="008965B3" w:rsidP="008965B3">
      <w:pPr>
        <w:jc w:val="both"/>
        <w:rPr>
          <w:rFonts w:asciiTheme="minorHAnsi" w:hAnsiTheme="minorHAnsi"/>
          <w:sz w:val="22"/>
          <w:szCs w:val="22"/>
          <w:lang w:val="es-ES_tradnl"/>
        </w:rPr>
      </w:pPr>
    </w:p>
    <w:p w:rsidR="008965B3" w:rsidRDefault="008965B3" w:rsidP="008965B3">
      <w:pPr>
        <w:jc w:val="both"/>
        <w:rPr>
          <w:rFonts w:asciiTheme="minorHAnsi" w:hAnsiTheme="minorHAnsi"/>
          <w:sz w:val="22"/>
          <w:szCs w:val="22"/>
          <w:lang w:val="es-ES_tradnl"/>
        </w:rPr>
      </w:pPr>
      <w:r>
        <w:rPr>
          <w:rFonts w:asciiTheme="minorHAnsi" w:hAnsiTheme="minorHAnsi"/>
          <w:sz w:val="22"/>
          <w:szCs w:val="22"/>
          <w:lang w:val="es-ES_tradnl"/>
        </w:rPr>
        <w:t xml:space="preserve">0,29 = Tasa de casos </w:t>
      </w:r>
      <w:r w:rsidR="004562D9">
        <w:rPr>
          <w:rFonts w:asciiTheme="minorHAnsi" w:hAnsiTheme="minorHAnsi"/>
          <w:sz w:val="22"/>
          <w:szCs w:val="22"/>
          <w:lang w:val="es-ES_tradnl"/>
        </w:rPr>
        <w:t>en los que se aplica tratamient</w:t>
      </w:r>
      <w:r>
        <w:rPr>
          <w:rFonts w:asciiTheme="minorHAnsi" w:hAnsiTheme="minorHAnsi"/>
          <w:sz w:val="22"/>
          <w:szCs w:val="22"/>
          <w:lang w:val="es-ES_tradnl"/>
        </w:rPr>
        <w:t>o de radioterapia</w:t>
      </w:r>
    </w:p>
    <w:p w:rsidR="008965B3" w:rsidRDefault="008965B3" w:rsidP="008965B3">
      <w:pPr>
        <w:jc w:val="both"/>
        <w:rPr>
          <w:rFonts w:asciiTheme="minorHAnsi" w:hAnsiTheme="minorHAnsi"/>
          <w:sz w:val="22"/>
          <w:szCs w:val="22"/>
          <w:lang w:val="es-ES_tradnl"/>
        </w:rPr>
      </w:pPr>
    </w:p>
    <w:p w:rsidR="008965B3" w:rsidRDefault="008965B3" w:rsidP="008965B3">
      <w:pPr>
        <w:jc w:val="both"/>
        <w:rPr>
          <w:rFonts w:asciiTheme="minorHAnsi" w:hAnsiTheme="minorHAnsi"/>
          <w:sz w:val="22"/>
        </w:rPr>
      </w:pPr>
      <m:oMath>
        <m:r>
          <m:rPr>
            <m:sty m:val="p"/>
          </m:rPr>
          <w:rPr>
            <w:rFonts w:ascii="Cambria Math" w:hAnsi="Cambria Math" w:cstheme="minorHAnsi"/>
            <w:sz w:val="22"/>
          </w:rPr>
          <m:t>α=</m:t>
        </m:r>
      </m:oMath>
      <w:r>
        <w:rPr>
          <w:rFonts w:asciiTheme="minorHAnsi" w:hAnsiTheme="minorHAnsi"/>
          <w:sz w:val="22"/>
        </w:rPr>
        <w:t xml:space="preserve"> % de población masculina</w:t>
      </w:r>
    </w:p>
    <w:p w:rsidR="006D66C7" w:rsidRDefault="006D66C7" w:rsidP="008965B3">
      <w:pPr>
        <w:jc w:val="both"/>
        <w:rPr>
          <w:rFonts w:asciiTheme="minorHAnsi" w:hAnsiTheme="minorHAnsi"/>
          <w:sz w:val="22"/>
        </w:rPr>
      </w:pPr>
    </w:p>
    <w:p w:rsidR="008965B3" w:rsidRDefault="008965B3" w:rsidP="008965B3">
      <w:pPr>
        <w:jc w:val="both"/>
        <w:rPr>
          <w:rFonts w:asciiTheme="minorHAnsi" w:hAnsiTheme="minorHAnsi"/>
          <w:sz w:val="22"/>
        </w:rPr>
      </w:pPr>
      <m:oMath>
        <m:r>
          <m:rPr>
            <m:sty m:val="p"/>
          </m:rPr>
          <w:rPr>
            <w:rFonts w:ascii="Cambria Math" w:hAnsi="Cambria Math" w:cstheme="minorHAnsi"/>
            <w:sz w:val="22"/>
          </w:rPr>
          <m:t>β</m:t>
        </m:r>
      </m:oMath>
      <w:r>
        <w:rPr>
          <w:rFonts w:asciiTheme="minorHAnsi" w:hAnsiTheme="minorHAnsi"/>
          <w:sz w:val="22"/>
        </w:rPr>
        <w:t>= % de población femenina</w:t>
      </w:r>
    </w:p>
    <w:p w:rsidR="00486F8E" w:rsidRPr="008965B3" w:rsidRDefault="00486F8E" w:rsidP="008965B3">
      <w:pPr>
        <w:jc w:val="both"/>
        <w:rPr>
          <w:rFonts w:asciiTheme="minorHAnsi" w:hAnsiTheme="minorHAnsi"/>
          <w:sz w:val="22"/>
          <w:szCs w:val="22"/>
          <w:lang w:val="es-ES_tradnl"/>
        </w:rPr>
      </w:pPr>
    </w:p>
    <w:p w:rsidR="008965B3" w:rsidRPr="008965B3" w:rsidRDefault="008965B3" w:rsidP="008965B3">
      <w:pPr>
        <w:widowControl w:val="0"/>
        <w:autoSpaceDE w:val="0"/>
        <w:autoSpaceDN w:val="0"/>
        <w:adjustRightInd w:val="0"/>
        <w:ind w:right="23"/>
        <w:jc w:val="both"/>
        <w:rPr>
          <w:rFonts w:asciiTheme="minorHAnsi" w:hAnsiTheme="minorHAnsi"/>
          <w:sz w:val="22"/>
          <w:szCs w:val="22"/>
          <w:lang w:val="es-ES_tradnl"/>
        </w:rPr>
      </w:pPr>
    </w:p>
    <w:p w:rsidR="00662F33" w:rsidRDefault="008A7D20" w:rsidP="008A366B">
      <w:pPr>
        <w:pStyle w:val="Heading2"/>
        <w:numPr>
          <w:ilvl w:val="1"/>
          <w:numId w:val="1"/>
        </w:numPr>
        <w:spacing w:line="276" w:lineRule="auto"/>
        <w:rPr>
          <w:rFonts w:asciiTheme="minorHAnsi" w:hAnsiTheme="minorHAnsi" w:cstheme="minorHAnsi"/>
          <w:lang w:val="es-ES_tradnl"/>
        </w:rPr>
      </w:pPr>
      <w:bookmarkStart w:id="54" w:name="_Toc373093518"/>
      <w:r>
        <w:rPr>
          <w:rFonts w:asciiTheme="minorHAnsi" w:hAnsiTheme="minorHAnsi" w:cstheme="minorHAnsi"/>
          <w:lang w:val="es-ES_tradnl"/>
        </w:rPr>
        <w:t>Quimioterapia</w:t>
      </w:r>
      <w:bookmarkEnd w:id="54"/>
    </w:p>
    <w:p w:rsidR="008A7D20" w:rsidRDefault="008A7D20" w:rsidP="008A7D20">
      <w:pPr>
        <w:rPr>
          <w:lang w:val="es-ES_tradnl"/>
        </w:rPr>
      </w:pPr>
    </w:p>
    <w:p w:rsidR="00531F5E" w:rsidRDefault="00531F5E" w:rsidP="008A7D20">
      <w:pPr>
        <w:rPr>
          <w:lang w:val="es-ES_tradnl"/>
        </w:rPr>
      </w:pPr>
    </w:p>
    <w:p w:rsidR="00531F5E" w:rsidRDefault="00531F5E" w:rsidP="00531F5E">
      <w:pPr>
        <w:jc w:val="both"/>
        <w:rPr>
          <w:rFonts w:asciiTheme="minorHAnsi" w:hAnsiTheme="minorHAnsi"/>
          <w:sz w:val="22"/>
          <w:szCs w:val="22"/>
          <w:lang w:val="es-ES_tradnl"/>
        </w:rPr>
      </w:pPr>
      <w:r>
        <w:rPr>
          <w:rFonts w:asciiTheme="minorHAnsi" w:hAnsiTheme="minorHAnsi"/>
          <w:sz w:val="22"/>
          <w:szCs w:val="22"/>
          <w:lang w:val="es-ES_tradnl"/>
        </w:rPr>
        <w:t>Al igual que en el caso de tratamiento de radioterapia, l</w:t>
      </w:r>
      <w:r w:rsidRPr="00880983">
        <w:rPr>
          <w:rFonts w:asciiTheme="minorHAnsi" w:hAnsiTheme="minorHAnsi"/>
          <w:sz w:val="22"/>
          <w:szCs w:val="22"/>
          <w:lang w:val="es-ES_tradnl"/>
        </w:rPr>
        <w:t>a de</w:t>
      </w:r>
      <w:r>
        <w:rPr>
          <w:rFonts w:asciiTheme="minorHAnsi" w:hAnsiTheme="minorHAnsi"/>
          <w:sz w:val="22"/>
          <w:szCs w:val="22"/>
          <w:lang w:val="es-ES_tradnl"/>
        </w:rPr>
        <w:t xml:space="preserve">manda potencial por tratamientos de quimioterapia para la población de referencia la estimamos a partir de la información reportada en Aparicio, A. (2012: pp. 43), quién muestra la distribución promedio del uso de distintas estrategias de tratamiento de cáncer en el Instituto Oncológico de Panamá. En el caso de </w:t>
      </w:r>
      <w:r w:rsidR="00351209">
        <w:rPr>
          <w:rFonts w:asciiTheme="minorHAnsi" w:hAnsiTheme="minorHAnsi"/>
          <w:sz w:val="22"/>
          <w:szCs w:val="22"/>
          <w:lang w:val="es-ES_tradnl"/>
        </w:rPr>
        <w:t>quimioterapia</w:t>
      </w:r>
      <w:r>
        <w:rPr>
          <w:rFonts w:asciiTheme="minorHAnsi" w:hAnsiTheme="minorHAnsi"/>
          <w:sz w:val="22"/>
          <w:szCs w:val="22"/>
          <w:lang w:val="es-ES_tradnl"/>
        </w:rPr>
        <w:t xml:space="preserve">, ésta se le aplica al </w:t>
      </w:r>
      <w:r w:rsidR="00351209">
        <w:rPr>
          <w:rFonts w:asciiTheme="minorHAnsi" w:hAnsiTheme="minorHAnsi"/>
          <w:sz w:val="22"/>
          <w:szCs w:val="22"/>
          <w:lang w:val="es-ES_tradnl"/>
        </w:rPr>
        <w:t>35,5</w:t>
      </w:r>
      <w:r>
        <w:rPr>
          <w:rFonts w:asciiTheme="minorHAnsi" w:hAnsiTheme="minorHAnsi"/>
          <w:sz w:val="22"/>
          <w:szCs w:val="22"/>
          <w:lang w:val="es-ES_tradnl"/>
        </w:rPr>
        <w:t xml:space="preserve">% de los pacientes. </w:t>
      </w:r>
      <w:r w:rsidR="005A5640">
        <w:rPr>
          <w:rFonts w:asciiTheme="minorHAnsi" w:hAnsiTheme="minorHAnsi"/>
          <w:sz w:val="22"/>
          <w:szCs w:val="22"/>
          <w:lang w:val="es-ES_tradnl"/>
        </w:rPr>
        <w:t xml:space="preserve">La práctica de la quimioterapia, en términos del número de veces que se </w:t>
      </w:r>
      <w:r w:rsidR="00D3593C">
        <w:rPr>
          <w:rFonts w:asciiTheme="minorHAnsi" w:hAnsiTheme="minorHAnsi"/>
          <w:sz w:val="22"/>
          <w:szCs w:val="22"/>
          <w:lang w:val="es-ES_tradnl"/>
        </w:rPr>
        <w:t>suministran</w:t>
      </w:r>
      <w:r w:rsidR="005A5640">
        <w:rPr>
          <w:rFonts w:asciiTheme="minorHAnsi" w:hAnsiTheme="minorHAnsi"/>
          <w:sz w:val="22"/>
          <w:szCs w:val="22"/>
          <w:lang w:val="es-ES_tradnl"/>
        </w:rPr>
        <w:t xml:space="preserve"> los medicamentos, varía de acuerdo al caso específico, sin embargo, </w:t>
      </w:r>
      <w:r w:rsidR="00EA7A64">
        <w:rPr>
          <w:rFonts w:asciiTheme="minorHAnsi" w:hAnsiTheme="minorHAnsi"/>
          <w:sz w:val="22"/>
          <w:szCs w:val="22"/>
          <w:lang w:val="es-ES_tradnl"/>
        </w:rPr>
        <w:t xml:space="preserve">en este estudio </w:t>
      </w:r>
      <w:r w:rsidR="00D3593C">
        <w:rPr>
          <w:rFonts w:asciiTheme="minorHAnsi" w:hAnsiTheme="minorHAnsi"/>
          <w:sz w:val="22"/>
          <w:szCs w:val="22"/>
          <w:lang w:val="es-ES_tradnl"/>
        </w:rPr>
        <w:t>consideramos</w:t>
      </w:r>
      <w:r w:rsidR="00EA7A64">
        <w:rPr>
          <w:rFonts w:asciiTheme="minorHAnsi" w:hAnsiTheme="minorHAnsi"/>
          <w:sz w:val="22"/>
          <w:szCs w:val="22"/>
          <w:lang w:val="es-ES_tradnl"/>
        </w:rPr>
        <w:t xml:space="preserve"> que por paciente requiere de </w:t>
      </w:r>
      <w:r w:rsidR="005A5640">
        <w:rPr>
          <w:rFonts w:asciiTheme="minorHAnsi" w:hAnsiTheme="minorHAnsi"/>
          <w:sz w:val="22"/>
          <w:szCs w:val="22"/>
          <w:lang w:val="es-ES_tradnl"/>
        </w:rPr>
        <w:t>25 sesiones</w:t>
      </w:r>
      <w:r w:rsidR="00EA7A64">
        <w:rPr>
          <w:rFonts w:asciiTheme="minorHAnsi" w:hAnsiTheme="minorHAnsi"/>
          <w:sz w:val="22"/>
          <w:szCs w:val="22"/>
          <w:lang w:val="es-ES_tradnl"/>
        </w:rPr>
        <w:t xml:space="preserve"> por año</w:t>
      </w:r>
      <w:r>
        <w:rPr>
          <w:rFonts w:asciiTheme="minorHAnsi" w:hAnsiTheme="minorHAnsi"/>
          <w:sz w:val="22"/>
          <w:szCs w:val="22"/>
          <w:lang w:val="es-ES_tradnl"/>
        </w:rPr>
        <w:t>.</w:t>
      </w:r>
      <w:r w:rsidR="00EA7A64">
        <w:rPr>
          <w:rStyle w:val="FootnoteReference"/>
          <w:rFonts w:asciiTheme="minorHAnsi" w:hAnsiTheme="minorHAnsi"/>
          <w:sz w:val="22"/>
          <w:szCs w:val="22"/>
          <w:lang w:val="es-ES_tradnl"/>
        </w:rPr>
        <w:footnoteReference w:id="46"/>
      </w:r>
      <w:r>
        <w:rPr>
          <w:rFonts w:asciiTheme="minorHAnsi" w:hAnsiTheme="minorHAnsi"/>
          <w:sz w:val="22"/>
          <w:szCs w:val="22"/>
          <w:lang w:val="es-ES_tradnl"/>
        </w:rPr>
        <w:t xml:space="preserve"> </w:t>
      </w:r>
    </w:p>
    <w:p w:rsidR="00531F5E" w:rsidRDefault="00531F5E" w:rsidP="00531F5E">
      <w:pPr>
        <w:jc w:val="both"/>
        <w:rPr>
          <w:rFonts w:asciiTheme="minorHAnsi" w:hAnsiTheme="minorHAnsi"/>
          <w:sz w:val="22"/>
          <w:szCs w:val="22"/>
          <w:lang w:val="es-ES_tradnl"/>
        </w:rPr>
      </w:pPr>
    </w:p>
    <w:p w:rsidR="00531F5E" w:rsidRDefault="00531F5E" w:rsidP="00531F5E">
      <w:pPr>
        <w:jc w:val="both"/>
        <w:rPr>
          <w:rFonts w:asciiTheme="minorHAnsi" w:hAnsiTheme="minorHAnsi"/>
          <w:sz w:val="22"/>
          <w:szCs w:val="22"/>
          <w:lang w:val="es-ES_tradnl"/>
        </w:rPr>
      </w:pPr>
      <w:r>
        <w:rPr>
          <w:rFonts w:asciiTheme="minorHAnsi" w:hAnsiTheme="minorHAnsi"/>
          <w:sz w:val="22"/>
          <w:szCs w:val="22"/>
          <w:lang w:val="es-ES_tradnl"/>
        </w:rPr>
        <w:lastRenderedPageBreak/>
        <w:t xml:space="preserve">Por otra parte, a partir de los recientes reportes del registro de cáncer de Bolivia se informa que la tasa de incidencia cruda de cáncer para hombres y mujeres alcanzaría a </w:t>
      </w:r>
      <w:r w:rsidRPr="006D74B1">
        <w:rPr>
          <w:rFonts w:asciiTheme="minorHAnsi" w:hAnsiTheme="minorHAnsi"/>
          <w:sz w:val="22"/>
          <w:szCs w:val="22"/>
          <w:lang w:val="es-ES_tradnl"/>
        </w:rPr>
        <w:t>104,18</w:t>
      </w:r>
      <w:r>
        <w:rPr>
          <w:rFonts w:asciiTheme="minorHAnsi" w:hAnsiTheme="minorHAnsi"/>
          <w:sz w:val="22"/>
          <w:szCs w:val="22"/>
          <w:lang w:val="es-ES_tradnl"/>
        </w:rPr>
        <w:t xml:space="preserve"> y </w:t>
      </w:r>
      <w:r w:rsidRPr="006D74B1">
        <w:rPr>
          <w:rFonts w:asciiTheme="minorHAnsi" w:hAnsiTheme="minorHAnsi"/>
          <w:sz w:val="22"/>
          <w:szCs w:val="22"/>
          <w:lang w:val="es-ES_tradnl"/>
        </w:rPr>
        <w:t>211,9</w:t>
      </w:r>
      <w:r>
        <w:rPr>
          <w:rFonts w:asciiTheme="minorHAnsi" w:hAnsiTheme="minorHAnsi"/>
          <w:sz w:val="22"/>
          <w:szCs w:val="22"/>
          <w:lang w:val="es-ES_tradnl"/>
        </w:rPr>
        <w:t xml:space="preserve"> por cada 100 mil habitantes respectivamente.</w:t>
      </w:r>
    </w:p>
    <w:p w:rsidR="00FB22B3" w:rsidRDefault="00FB22B3" w:rsidP="00FB22B3">
      <w:pPr>
        <w:jc w:val="both"/>
        <w:rPr>
          <w:rFonts w:asciiTheme="minorHAnsi" w:hAnsiTheme="minorHAnsi"/>
          <w:sz w:val="22"/>
          <w:szCs w:val="22"/>
          <w:lang w:val="es-ES_tradnl"/>
        </w:rPr>
      </w:pPr>
    </w:p>
    <w:p w:rsidR="00FB22B3" w:rsidRDefault="00FB22B3" w:rsidP="00FB22B3">
      <w:pPr>
        <w:jc w:val="both"/>
        <w:rPr>
          <w:rFonts w:asciiTheme="minorHAnsi" w:hAnsiTheme="minorHAnsi"/>
          <w:sz w:val="22"/>
          <w:szCs w:val="22"/>
          <w:lang w:val="es-ES_tradnl"/>
        </w:rPr>
      </w:pPr>
      <w:r>
        <w:rPr>
          <w:rFonts w:asciiTheme="minorHAnsi" w:hAnsiTheme="minorHAnsi"/>
          <w:sz w:val="22"/>
          <w:szCs w:val="22"/>
          <w:lang w:val="es-ES_tradnl"/>
        </w:rPr>
        <w:t>A diferencia de la estimación de demanda potencial de otras prestaciones, en el caso de las demandas relativas a tratamientos de cáncer, la población de referencia considerada se amplia a las poblaciones de La Paz, Oruro y Potosí.</w:t>
      </w:r>
    </w:p>
    <w:p w:rsidR="00531F5E" w:rsidRDefault="00531F5E" w:rsidP="00531F5E">
      <w:pPr>
        <w:jc w:val="both"/>
        <w:rPr>
          <w:rFonts w:asciiTheme="minorHAnsi" w:hAnsiTheme="minorHAnsi"/>
          <w:sz w:val="22"/>
          <w:szCs w:val="22"/>
          <w:lang w:val="es-ES_tradnl"/>
        </w:rPr>
      </w:pPr>
    </w:p>
    <w:p w:rsidR="00531F5E" w:rsidRDefault="00531F5E" w:rsidP="00531F5E">
      <w:pPr>
        <w:jc w:val="both"/>
        <w:rPr>
          <w:rFonts w:asciiTheme="minorHAnsi" w:hAnsiTheme="minorHAnsi"/>
          <w:sz w:val="22"/>
          <w:szCs w:val="22"/>
          <w:lang w:val="es-ES_tradnl"/>
        </w:rPr>
      </w:pPr>
      <w:r>
        <w:rPr>
          <w:rFonts w:asciiTheme="minorHAnsi" w:hAnsiTheme="minorHAnsi"/>
          <w:sz w:val="22"/>
          <w:szCs w:val="22"/>
          <w:lang w:val="es-ES_tradnl"/>
        </w:rPr>
        <w:t xml:space="preserve">De este modo, </w:t>
      </w:r>
      <w:r w:rsidR="004562D9">
        <w:rPr>
          <w:rFonts w:asciiTheme="minorHAnsi" w:hAnsiTheme="minorHAnsi"/>
          <w:sz w:val="22"/>
          <w:szCs w:val="22"/>
          <w:lang w:val="es-ES_tradnl"/>
        </w:rPr>
        <w:t xml:space="preserve"> considerando las tasas de incidencia de cáncer ya mencionadas, </w:t>
      </w:r>
      <w:r>
        <w:rPr>
          <w:rFonts w:asciiTheme="minorHAnsi" w:hAnsiTheme="minorHAnsi"/>
          <w:sz w:val="22"/>
          <w:szCs w:val="22"/>
          <w:lang w:val="es-ES_tradnl"/>
        </w:rPr>
        <w:t xml:space="preserve">la estimación de la demanda potencial por sesiones de </w:t>
      </w:r>
      <w:r w:rsidR="004562D9">
        <w:rPr>
          <w:rFonts w:asciiTheme="minorHAnsi" w:hAnsiTheme="minorHAnsi"/>
          <w:sz w:val="22"/>
          <w:szCs w:val="22"/>
          <w:lang w:val="es-ES_tradnl"/>
        </w:rPr>
        <w:t>quimioterapia</w:t>
      </w:r>
      <w:r>
        <w:rPr>
          <w:rFonts w:asciiTheme="minorHAnsi" w:hAnsiTheme="minorHAnsi"/>
          <w:sz w:val="22"/>
          <w:szCs w:val="22"/>
          <w:lang w:val="es-ES_tradnl"/>
        </w:rPr>
        <w:t xml:space="preserve"> se realiza a partir de la siguiente expresión:</w:t>
      </w:r>
    </w:p>
    <w:p w:rsidR="00531F5E" w:rsidRDefault="00531F5E" w:rsidP="00531F5E">
      <w:pPr>
        <w:jc w:val="both"/>
        <w:rPr>
          <w:rFonts w:asciiTheme="minorHAnsi" w:hAnsiTheme="minorHAnsi"/>
          <w:sz w:val="22"/>
          <w:szCs w:val="22"/>
          <w:lang w:val="es-ES_tradnl"/>
        </w:rPr>
      </w:pPr>
    </w:p>
    <w:p w:rsidR="00531F5E" w:rsidRPr="009C76DB" w:rsidRDefault="00E52595" w:rsidP="00531F5E">
      <w:pPr>
        <w:widowControl w:val="0"/>
        <w:autoSpaceDE w:val="0"/>
        <w:autoSpaceDN w:val="0"/>
        <w:adjustRightInd w:val="0"/>
        <w:ind w:right="23"/>
        <w:jc w:val="both"/>
        <w:rPr>
          <w:rFonts w:asciiTheme="minorHAnsi" w:hAnsiTheme="minorHAnsi" w:cstheme="minorHAnsi"/>
          <w:bCs/>
          <w:sz w:val="22"/>
        </w:rPr>
      </w:pPr>
      <m:oMathPara>
        <m:oMathParaPr>
          <m:jc m:val="left"/>
        </m:oMathParaPr>
        <m:oMath>
          <m:sSub>
            <m:sSubPr>
              <m:ctrlPr>
                <w:rPr>
                  <w:rFonts w:ascii="Cambria Math" w:hAnsi="Cambria Math" w:cstheme="minorHAnsi"/>
                  <w:bCs/>
                  <w:sz w:val="22"/>
                </w:rPr>
              </m:ctrlPr>
            </m:sSubPr>
            <m:e>
              <m:r>
                <m:rPr>
                  <m:sty m:val="p"/>
                </m:rPr>
                <w:rPr>
                  <w:rFonts w:ascii="Cambria Math" w:hAnsi="Cambria Math" w:cstheme="minorHAnsi"/>
                  <w:sz w:val="22"/>
                </w:rPr>
                <m:t>QuiT</m:t>
              </m:r>
            </m:e>
            <m:sub>
              <m:r>
                <m:rPr>
                  <m:sty m:val="p"/>
                </m:rPr>
                <w:rPr>
                  <w:rFonts w:ascii="Cambria Math" w:hAnsi="Cambria Math" w:cstheme="minorHAnsi"/>
                  <w:sz w:val="22"/>
                </w:rPr>
                <m:t>t</m:t>
              </m:r>
            </m:sub>
          </m:sSub>
          <m:r>
            <m:rPr>
              <m:sty m:val="p"/>
            </m:rPr>
            <w:rPr>
              <w:rFonts w:ascii="Cambria Math" w:hAnsi="Cambria Math" w:cstheme="minorHAnsi"/>
              <w:sz w:val="22"/>
            </w:rPr>
            <m:t>=</m:t>
          </m:r>
          <m:sSub>
            <m:sSubPr>
              <m:ctrlPr>
                <w:rPr>
                  <w:rFonts w:ascii="Cambria Math" w:hAnsi="Cambria Math" w:cstheme="minorHAnsi"/>
                  <w:sz w:val="22"/>
                </w:rPr>
              </m:ctrlPr>
            </m:sSubPr>
            <m:e>
              <m:r>
                <m:rPr>
                  <m:sty m:val="p"/>
                </m:rPr>
                <w:rPr>
                  <w:rFonts w:ascii="Cambria Math" w:hAnsi="Cambria Math" w:cstheme="minorHAnsi"/>
                  <w:sz w:val="22"/>
                </w:rPr>
                <m:t>Qui</m:t>
              </m:r>
            </m:e>
            <m:sub>
              <m:r>
                <m:rPr>
                  <m:sty m:val="p"/>
                </m:rPr>
                <w:rPr>
                  <w:rFonts w:ascii="Cambria Math" w:hAnsi="Cambria Math" w:cstheme="minorHAnsi"/>
                  <w:sz w:val="22"/>
                </w:rPr>
                <m:t>Ht</m:t>
              </m:r>
            </m:sub>
          </m:sSub>
          <m:r>
            <m:rPr>
              <m:sty m:val="p"/>
            </m:rPr>
            <w:rPr>
              <w:rFonts w:ascii="Cambria Math" w:hAnsi="Cambria Math" w:cstheme="minorHAnsi"/>
              <w:sz w:val="22"/>
            </w:rPr>
            <m:t>+</m:t>
          </m:r>
          <m:sSub>
            <m:sSubPr>
              <m:ctrlPr>
                <w:rPr>
                  <w:rFonts w:ascii="Cambria Math" w:hAnsi="Cambria Math" w:cstheme="minorHAnsi"/>
                  <w:bCs/>
                  <w:sz w:val="22"/>
                </w:rPr>
              </m:ctrlPr>
            </m:sSubPr>
            <m:e>
              <m:r>
                <m:rPr>
                  <m:sty m:val="p"/>
                </m:rPr>
                <w:rPr>
                  <w:rFonts w:ascii="Cambria Math" w:hAnsi="Cambria Math" w:cstheme="minorHAnsi"/>
                  <w:sz w:val="22"/>
                </w:rPr>
                <m:t>Qui</m:t>
              </m:r>
            </m:e>
            <m:sub>
              <m:r>
                <m:rPr>
                  <m:sty m:val="p"/>
                </m:rPr>
                <w:rPr>
                  <w:rFonts w:ascii="Cambria Math" w:hAnsi="Cambria Math" w:cstheme="minorHAnsi"/>
                  <w:sz w:val="22"/>
                </w:rPr>
                <m:t>Mt</m:t>
              </m:r>
            </m:sub>
          </m:sSub>
        </m:oMath>
      </m:oMathPara>
    </w:p>
    <w:p w:rsidR="00531F5E" w:rsidRDefault="00531F5E" w:rsidP="00531F5E">
      <w:pPr>
        <w:jc w:val="both"/>
        <w:rPr>
          <w:rFonts w:asciiTheme="minorHAnsi" w:hAnsiTheme="minorHAnsi"/>
          <w:sz w:val="22"/>
          <w:szCs w:val="22"/>
          <w:lang w:val="es-ES_tradnl"/>
        </w:rPr>
      </w:pPr>
    </w:p>
    <w:p w:rsidR="00531F5E" w:rsidRPr="008965B3" w:rsidRDefault="00E52595" w:rsidP="00531F5E">
      <w:pPr>
        <w:widowControl w:val="0"/>
        <w:autoSpaceDE w:val="0"/>
        <w:autoSpaceDN w:val="0"/>
        <w:adjustRightInd w:val="0"/>
        <w:ind w:right="23"/>
        <w:jc w:val="both"/>
        <w:rPr>
          <w:rFonts w:asciiTheme="minorHAnsi" w:hAnsiTheme="minorHAnsi" w:cstheme="minorHAnsi"/>
          <w:bCs/>
          <w:sz w:val="22"/>
        </w:rPr>
      </w:pPr>
      <m:oMathPara>
        <m:oMathParaPr>
          <m:jc m:val="left"/>
        </m:oMathParaPr>
        <m:oMath>
          <m:sSub>
            <m:sSubPr>
              <m:ctrlPr>
                <w:rPr>
                  <w:rFonts w:ascii="Cambria Math" w:hAnsi="Cambria Math" w:cstheme="minorHAnsi"/>
                  <w:sz w:val="22"/>
                </w:rPr>
              </m:ctrlPr>
            </m:sSubPr>
            <m:e>
              <m:r>
                <m:rPr>
                  <m:sty m:val="p"/>
                </m:rPr>
                <w:rPr>
                  <w:rFonts w:ascii="Cambria Math" w:hAnsi="Cambria Math" w:cstheme="minorHAnsi"/>
                  <w:sz w:val="22"/>
                </w:rPr>
                <m:t>Qui</m:t>
              </m:r>
            </m:e>
            <m:sub>
              <m:r>
                <m:rPr>
                  <m:sty m:val="p"/>
                </m:rPr>
                <w:rPr>
                  <w:rFonts w:ascii="Cambria Math" w:hAnsi="Cambria Math" w:cstheme="minorHAnsi"/>
                  <w:sz w:val="22"/>
                </w:rPr>
                <m:t>Ht</m:t>
              </m:r>
            </m:sub>
          </m:sSub>
          <m:r>
            <m:rPr>
              <m:sty m:val="p"/>
            </m:rPr>
            <w:rPr>
              <w:rFonts w:ascii="Cambria Math" w:hAnsi="Cambria Math" w:cstheme="minorHAnsi"/>
              <w:sz w:val="22"/>
            </w:rPr>
            <m:t>=</m:t>
          </m:r>
          <m:d>
            <m:dPr>
              <m:ctrlPr>
                <w:rPr>
                  <w:rFonts w:ascii="Cambria Math" w:hAnsi="Cambria Math" w:cstheme="minorHAnsi"/>
                  <w:sz w:val="22"/>
                </w:rPr>
              </m:ctrlPr>
            </m:dPr>
            <m:e>
              <m:f>
                <m:fPr>
                  <m:ctrlPr>
                    <w:rPr>
                      <w:rFonts w:ascii="Cambria Math" w:hAnsi="Cambria Math" w:cstheme="minorHAnsi"/>
                      <w:sz w:val="22"/>
                    </w:rPr>
                  </m:ctrlPr>
                </m:fPr>
                <m:num>
                  <m:r>
                    <w:rPr>
                      <w:rFonts w:ascii="Cambria Math" w:hAnsi="Cambria Math" w:cstheme="minorHAnsi"/>
                      <w:sz w:val="22"/>
                    </w:rPr>
                    <m:t>104,18</m:t>
                  </m:r>
                </m:num>
                <m:den>
                  <m:r>
                    <w:rPr>
                      <w:rFonts w:ascii="Cambria Math" w:hAnsi="Cambria Math" w:cstheme="minorHAnsi"/>
                      <w:sz w:val="22"/>
                    </w:rPr>
                    <m:t>100000</m:t>
                  </m:r>
                </m:den>
              </m:f>
            </m:e>
          </m:d>
          <m:r>
            <m:rPr>
              <m:sty m:val="p"/>
            </m:rPr>
            <w:rPr>
              <w:rFonts w:ascii="Cambria Math" w:hAnsi="Cambria Math" w:cstheme="minorHAnsi"/>
              <w:sz w:val="22"/>
            </w:rPr>
            <m:t>∙0,355∙25∙</m:t>
          </m:r>
          <m:sSub>
            <m:sSubPr>
              <m:ctrlPr>
                <w:rPr>
                  <w:rFonts w:ascii="Cambria Math" w:hAnsi="Cambria Math" w:cstheme="minorHAnsi"/>
                  <w:bCs/>
                  <w:sz w:val="22"/>
                </w:rPr>
              </m:ctrlPr>
            </m:sSubPr>
            <m:e>
              <m:r>
                <m:rPr>
                  <m:sty m:val="p"/>
                </m:rPr>
                <w:rPr>
                  <w:rFonts w:ascii="Cambria Math" w:hAnsi="Cambria Math" w:cstheme="minorHAnsi"/>
                  <w:sz w:val="22"/>
                </w:rPr>
                <m:t>α∙Pob</m:t>
              </m:r>
            </m:e>
            <m:sub>
              <m:r>
                <m:rPr>
                  <m:sty m:val="p"/>
                </m:rPr>
                <w:rPr>
                  <w:rFonts w:ascii="Cambria Math" w:hAnsi="Cambria Math" w:cstheme="minorHAnsi"/>
                  <w:sz w:val="22"/>
                </w:rPr>
                <m:t>Ht</m:t>
              </m:r>
            </m:sub>
          </m:sSub>
        </m:oMath>
      </m:oMathPara>
    </w:p>
    <w:p w:rsidR="00531F5E" w:rsidRPr="009C76DB" w:rsidRDefault="00531F5E" w:rsidP="00531F5E">
      <w:pPr>
        <w:widowControl w:val="0"/>
        <w:autoSpaceDE w:val="0"/>
        <w:autoSpaceDN w:val="0"/>
        <w:adjustRightInd w:val="0"/>
        <w:ind w:right="23"/>
        <w:jc w:val="both"/>
        <w:rPr>
          <w:rFonts w:asciiTheme="minorHAnsi" w:hAnsiTheme="minorHAnsi" w:cstheme="minorHAnsi"/>
          <w:bCs/>
          <w:sz w:val="22"/>
        </w:rPr>
      </w:pPr>
    </w:p>
    <w:p w:rsidR="00531F5E" w:rsidRPr="008965B3" w:rsidRDefault="00E52595" w:rsidP="00531F5E">
      <w:pPr>
        <w:widowControl w:val="0"/>
        <w:autoSpaceDE w:val="0"/>
        <w:autoSpaceDN w:val="0"/>
        <w:adjustRightInd w:val="0"/>
        <w:ind w:right="23"/>
        <w:jc w:val="both"/>
        <w:rPr>
          <w:rFonts w:asciiTheme="minorHAnsi" w:hAnsiTheme="minorHAnsi" w:cstheme="minorHAnsi"/>
          <w:bCs/>
          <w:sz w:val="22"/>
        </w:rPr>
      </w:pPr>
      <m:oMathPara>
        <m:oMathParaPr>
          <m:jc m:val="left"/>
        </m:oMathParaPr>
        <m:oMath>
          <m:sSub>
            <m:sSubPr>
              <m:ctrlPr>
                <w:rPr>
                  <w:rFonts w:ascii="Cambria Math" w:hAnsi="Cambria Math" w:cstheme="minorHAnsi"/>
                  <w:sz w:val="22"/>
                </w:rPr>
              </m:ctrlPr>
            </m:sSubPr>
            <m:e>
              <m:r>
                <m:rPr>
                  <m:sty m:val="p"/>
                </m:rPr>
                <w:rPr>
                  <w:rFonts w:ascii="Cambria Math" w:hAnsi="Cambria Math" w:cstheme="minorHAnsi"/>
                  <w:sz w:val="22"/>
                </w:rPr>
                <m:t>Qui</m:t>
              </m:r>
            </m:e>
            <m:sub>
              <m:r>
                <m:rPr>
                  <m:sty m:val="p"/>
                </m:rPr>
                <w:rPr>
                  <w:rFonts w:ascii="Cambria Math" w:hAnsi="Cambria Math" w:cstheme="minorHAnsi"/>
                  <w:sz w:val="22"/>
                </w:rPr>
                <m:t>Mt</m:t>
              </m:r>
            </m:sub>
          </m:sSub>
          <m:r>
            <m:rPr>
              <m:sty m:val="p"/>
            </m:rPr>
            <w:rPr>
              <w:rFonts w:ascii="Cambria Math" w:hAnsi="Cambria Math" w:cstheme="minorHAnsi"/>
              <w:sz w:val="22"/>
            </w:rPr>
            <m:t>=</m:t>
          </m:r>
          <m:d>
            <m:dPr>
              <m:ctrlPr>
                <w:rPr>
                  <w:rFonts w:ascii="Cambria Math" w:hAnsi="Cambria Math" w:cstheme="minorHAnsi"/>
                  <w:sz w:val="22"/>
                </w:rPr>
              </m:ctrlPr>
            </m:dPr>
            <m:e>
              <m:f>
                <m:fPr>
                  <m:ctrlPr>
                    <w:rPr>
                      <w:rFonts w:ascii="Cambria Math" w:hAnsi="Cambria Math" w:cstheme="minorHAnsi"/>
                      <w:sz w:val="22"/>
                    </w:rPr>
                  </m:ctrlPr>
                </m:fPr>
                <m:num>
                  <m:r>
                    <w:rPr>
                      <w:rFonts w:ascii="Cambria Math" w:hAnsi="Cambria Math" w:cstheme="minorHAnsi"/>
                      <w:sz w:val="22"/>
                    </w:rPr>
                    <m:t>211,9</m:t>
                  </m:r>
                </m:num>
                <m:den>
                  <m:r>
                    <w:rPr>
                      <w:rFonts w:ascii="Cambria Math" w:hAnsi="Cambria Math" w:cstheme="minorHAnsi"/>
                      <w:sz w:val="22"/>
                    </w:rPr>
                    <m:t>100000</m:t>
                  </m:r>
                </m:den>
              </m:f>
            </m:e>
          </m:d>
          <m:r>
            <m:rPr>
              <m:sty m:val="p"/>
            </m:rPr>
            <w:rPr>
              <w:rFonts w:ascii="Cambria Math" w:hAnsi="Cambria Math" w:cstheme="minorHAnsi"/>
              <w:sz w:val="22"/>
            </w:rPr>
            <m:t>∙0,355∙25∙</m:t>
          </m:r>
          <m:sSub>
            <m:sSubPr>
              <m:ctrlPr>
                <w:rPr>
                  <w:rFonts w:ascii="Cambria Math" w:hAnsi="Cambria Math" w:cstheme="minorHAnsi"/>
                  <w:bCs/>
                  <w:sz w:val="22"/>
                </w:rPr>
              </m:ctrlPr>
            </m:sSubPr>
            <m:e>
              <m:r>
                <m:rPr>
                  <m:sty m:val="p"/>
                </m:rPr>
                <w:rPr>
                  <w:rFonts w:ascii="Cambria Math" w:hAnsi="Cambria Math" w:cstheme="minorHAnsi"/>
                  <w:sz w:val="22"/>
                </w:rPr>
                <m:t>β∙Pob</m:t>
              </m:r>
            </m:e>
            <m:sub>
              <m:r>
                <m:rPr>
                  <m:sty m:val="p"/>
                </m:rPr>
                <w:rPr>
                  <w:rFonts w:ascii="Cambria Math" w:hAnsi="Cambria Math" w:cstheme="minorHAnsi"/>
                  <w:sz w:val="22"/>
                </w:rPr>
                <m:t>Mt</m:t>
              </m:r>
            </m:sub>
          </m:sSub>
        </m:oMath>
      </m:oMathPara>
    </w:p>
    <w:p w:rsidR="00531F5E" w:rsidRDefault="00531F5E" w:rsidP="00531F5E">
      <w:pPr>
        <w:jc w:val="both"/>
        <w:rPr>
          <w:rFonts w:asciiTheme="minorHAnsi" w:hAnsiTheme="minorHAnsi"/>
          <w:sz w:val="22"/>
          <w:szCs w:val="22"/>
          <w:lang w:val="es-ES_tradnl"/>
        </w:rPr>
      </w:pPr>
    </w:p>
    <w:p w:rsidR="00531F5E" w:rsidRDefault="00531F5E" w:rsidP="00531F5E">
      <w:pPr>
        <w:jc w:val="both"/>
        <w:rPr>
          <w:rFonts w:asciiTheme="minorHAnsi" w:hAnsiTheme="minorHAnsi"/>
          <w:sz w:val="22"/>
          <w:szCs w:val="22"/>
          <w:lang w:val="es-ES_tradnl"/>
        </w:rPr>
      </w:pPr>
    </w:p>
    <w:p w:rsidR="00531F5E" w:rsidRDefault="00531F5E" w:rsidP="00531F5E">
      <w:pPr>
        <w:jc w:val="both"/>
        <w:rPr>
          <w:rFonts w:asciiTheme="minorHAnsi" w:hAnsiTheme="minorHAnsi"/>
          <w:sz w:val="22"/>
          <w:szCs w:val="22"/>
          <w:lang w:val="es-ES_tradnl"/>
        </w:rPr>
      </w:pPr>
      <w:r>
        <w:rPr>
          <w:rFonts w:asciiTheme="minorHAnsi" w:hAnsiTheme="minorHAnsi"/>
          <w:sz w:val="22"/>
          <w:szCs w:val="22"/>
          <w:lang w:val="es-ES_tradnl"/>
        </w:rPr>
        <w:t>Donde,</w:t>
      </w:r>
    </w:p>
    <w:p w:rsidR="00531F5E" w:rsidRDefault="00531F5E" w:rsidP="00531F5E">
      <w:pPr>
        <w:jc w:val="both"/>
        <w:rPr>
          <w:rFonts w:asciiTheme="minorHAnsi" w:hAnsiTheme="minorHAnsi"/>
          <w:sz w:val="22"/>
          <w:szCs w:val="22"/>
          <w:lang w:val="es-ES_tradnl"/>
        </w:rPr>
      </w:pPr>
    </w:p>
    <w:p w:rsidR="00531F5E" w:rsidRPr="008965B3" w:rsidRDefault="00E52595" w:rsidP="00531F5E">
      <w:pPr>
        <w:widowControl w:val="0"/>
        <w:autoSpaceDE w:val="0"/>
        <w:autoSpaceDN w:val="0"/>
        <w:adjustRightInd w:val="0"/>
        <w:ind w:right="23"/>
        <w:jc w:val="both"/>
        <w:rPr>
          <w:rFonts w:asciiTheme="minorHAnsi" w:hAnsiTheme="minorHAnsi" w:cstheme="minorHAnsi"/>
          <w:bCs/>
          <w:sz w:val="22"/>
        </w:rPr>
      </w:pPr>
      <m:oMath>
        <m:sSub>
          <m:sSubPr>
            <m:ctrlPr>
              <w:rPr>
                <w:rFonts w:ascii="Cambria Math" w:hAnsi="Cambria Math" w:cstheme="minorHAnsi"/>
                <w:sz w:val="22"/>
              </w:rPr>
            </m:ctrlPr>
          </m:sSubPr>
          <m:e>
            <m:r>
              <m:rPr>
                <m:sty m:val="p"/>
              </m:rPr>
              <w:rPr>
                <w:rFonts w:ascii="Cambria Math" w:hAnsi="Cambria Math" w:cstheme="minorHAnsi"/>
                <w:sz w:val="22"/>
              </w:rPr>
              <m:t>QuiT</m:t>
            </m:r>
          </m:e>
          <m:sub>
            <m:r>
              <m:rPr>
                <m:sty m:val="p"/>
              </m:rPr>
              <w:rPr>
                <w:rFonts w:ascii="Cambria Math" w:hAnsi="Cambria Math" w:cstheme="minorHAnsi"/>
                <w:sz w:val="22"/>
              </w:rPr>
              <m:t>t</m:t>
            </m:r>
          </m:sub>
        </m:sSub>
        <m:r>
          <m:rPr>
            <m:sty m:val="p"/>
          </m:rPr>
          <w:rPr>
            <w:rFonts w:ascii="Cambria Math" w:hAnsi="Cambria Math" w:cstheme="minorHAnsi"/>
            <w:sz w:val="22"/>
          </w:rPr>
          <m:t>=</m:t>
        </m:r>
      </m:oMath>
      <w:r w:rsidR="00531F5E">
        <w:rPr>
          <w:rFonts w:asciiTheme="minorHAnsi" w:hAnsiTheme="minorHAnsi" w:cstheme="minorHAnsi"/>
          <w:sz w:val="22"/>
        </w:rPr>
        <w:t xml:space="preserve"> N° total de sesiones de </w:t>
      </w:r>
      <w:r w:rsidR="004562D9">
        <w:rPr>
          <w:rFonts w:asciiTheme="minorHAnsi" w:hAnsiTheme="minorHAnsi" w:cstheme="minorHAnsi"/>
          <w:sz w:val="22"/>
        </w:rPr>
        <w:t>quimioterapia</w:t>
      </w:r>
    </w:p>
    <w:p w:rsidR="00531F5E" w:rsidRDefault="00531F5E" w:rsidP="00531F5E">
      <w:pPr>
        <w:jc w:val="both"/>
        <w:rPr>
          <w:rFonts w:asciiTheme="minorHAnsi" w:hAnsiTheme="minorHAnsi"/>
          <w:sz w:val="22"/>
          <w:szCs w:val="22"/>
          <w:lang w:val="es-ES_tradnl"/>
        </w:rPr>
      </w:pPr>
    </w:p>
    <w:p w:rsidR="00531F5E" w:rsidRPr="008965B3" w:rsidRDefault="00E52595" w:rsidP="00531F5E">
      <w:pPr>
        <w:widowControl w:val="0"/>
        <w:autoSpaceDE w:val="0"/>
        <w:autoSpaceDN w:val="0"/>
        <w:adjustRightInd w:val="0"/>
        <w:ind w:right="23"/>
        <w:jc w:val="both"/>
        <w:rPr>
          <w:rFonts w:asciiTheme="minorHAnsi" w:hAnsiTheme="minorHAnsi" w:cstheme="minorHAnsi"/>
          <w:bCs/>
          <w:sz w:val="22"/>
        </w:rPr>
      </w:pPr>
      <m:oMath>
        <m:sSub>
          <m:sSubPr>
            <m:ctrlPr>
              <w:rPr>
                <w:rFonts w:ascii="Cambria Math" w:hAnsi="Cambria Math" w:cstheme="minorHAnsi"/>
                <w:sz w:val="22"/>
              </w:rPr>
            </m:ctrlPr>
          </m:sSubPr>
          <m:e>
            <m:r>
              <m:rPr>
                <m:sty m:val="p"/>
              </m:rPr>
              <w:rPr>
                <w:rFonts w:ascii="Cambria Math" w:hAnsi="Cambria Math" w:cstheme="minorHAnsi"/>
                <w:sz w:val="22"/>
              </w:rPr>
              <m:t>Qui</m:t>
            </m:r>
          </m:e>
          <m:sub>
            <m:r>
              <m:rPr>
                <m:sty m:val="p"/>
              </m:rPr>
              <w:rPr>
                <w:rFonts w:ascii="Cambria Math" w:hAnsi="Cambria Math" w:cstheme="minorHAnsi"/>
                <w:sz w:val="22"/>
              </w:rPr>
              <m:t>Ht</m:t>
            </m:r>
          </m:sub>
        </m:sSub>
        <m:r>
          <m:rPr>
            <m:sty m:val="p"/>
          </m:rPr>
          <w:rPr>
            <w:rFonts w:ascii="Cambria Math" w:hAnsi="Cambria Math" w:cstheme="minorHAnsi"/>
            <w:sz w:val="22"/>
          </w:rPr>
          <m:t>=</m:t>
        </m:r>
      </m:oMath>
      <w:r w:rsidR="00531F5E">
        <w:rPr>
          <w:rFonts w:asciiTheme="minorHAnsi" w:hAnsiTheme="minorHAnsi" w:cstheme="minorHAnsi"/>
          <w:sz w:val="22"/>
        </w:rPr>
        <w:t xml:space="preserve"> N° de sesiones de </w:t>
      </w:r>
      <w:r w:rsidR="004562D9">
        <w:rPr>
          <w:rFonts w:asciiTheme="minorHAnsi" w:hAnsiTheme="minorHAnsi" w:cstheme="minorHAnsi"/>
          <w:sz w:val="22"/>
        </w:rPr>
        <w:t xml:space="preserve">quimioterapia </w:t>
      </w:r>
      <w:r w:rsidR="00531F5E">
        <w:rPr>
          <w:rFonts w:asciiTheme="minorHAnsi" w:hAnsiTheme="minorHAnsi" w:cstheme="minorHAnsi"/>
          <w:sz w:val="22"/>
        </w:rPr>
        <w:t>en hombres</w:t>
      </w:r>
    </w:p>
    <w:p w:rsidR="00531F5E" w:rsidRPr="009C76DB" w:rsidRDefault="00531F5E" w:rsidP="00531F5E">
      <w:pPr>
        <w:widowControl w:val="0"/>
        <w:autoSpaceDE w:val="0"/>
        <w:autoSpaceDN w:val="0"/>
        <w:adjustRightInd w:val="0"/>
        <w:ind w:right="23"/>
        <w:jc w:val="both"/>
        <w:rPr>
          <w:rFonts w:asciiTheme="minorHAnsi" w:hAnsiTheme="minorHAnsi" w:cstheme="minorHAnsi"/>
          <w:bCs/>
          <w:sz w:val="22"/>
        </w:rPr>
      </w:pPr>
    </w:p>
    <w:p w:rsidR="00531F5E" w:rsidRPr="008965B3" w:rsidRDefault="00E52595" w:rsidP="00531F5E">
      <w:pPr>
        <w:widowControl w:val="0"/>
        <w:autoSpaceDE w:val="0"/>
        <w:autoSpaceDN w:val="0"/>
        <w:adjustRightInd w:val="0"/>
        <w:ind w:right="23"/>
        <w:jc w:val="both"/>
        <w:rPr>
          <w:rFonts w:asciiTheme="minorHAnsi" w:hAnsiTheme="minorHAnsi" w:cstheme="minorHAnsi"/>
          <w:bCs/>
          <w:sz w:val="22"/>
        </w:rPr>
      </w:pPr>
      <m:oMath>
        <m:sSub>
          <m:sSubPr>
            <m:ctrlPr>
              <w:rPr>
                <w:rFonts w:ascii="Cambria Math" w:hAnsi="Cambria Math" w:cstheme="minorHAnsi"/>
                <w:sz w:val="22"/>
              </w:rPr>
            </m:ctrlPr>
          </m:sSubPr>
          <m:e>
            <m:r>
              <m:rPr>
                <m:sty m:val="p"/>
              </m:rPr>
              <w:rPr>
                <w:rFonts w:ascii="Cambria Math" w:hAnsi="Cambria Math" w:cstheme="minorHAnsi"/>
                <w:sz w:val="22"/>
              </w:rPr>
              <m:t>Qui</m:t>
            </m:r>
          </m:e>
          <m:sub>
            <m:r>
              <m:rPr>
                <m:sty m:val="p"/>
              </m:rPr>
              <w:rPr>
                <w:rFonts w:ascii="Cambria Math" w:hAnsi="Cambria Math" w:cstheme="minorHAnsi"/>
                <w:sz w:val="22"/>
              </w:rPr>
              <m:t>Mt</m:t>
            </m:r>
          </m:sub>
        </m:sSub>
        <m:r>
          <m:rPr>
            <m:sty m:val="p"/>
          </m:rPr>
          <w:rPr>
            <w:rFonts w:ascii="Cambria Math" w:hAnsi="Cambria Math" w:cstheme="minorHAnsi"/>
            <w:sz w:val="22"/>
          </w:rPr>
          <m:t>=</m:t>
        </m:r>
      </m:oMath>
      <w:r w:rsidR="00531F5E">
        <w:rPr>
          <w:rFonts w:asciiTheme="minorHAnsi" w:hAnsiTheme="minorHAnsi" w:cstheme="minorHAnsi"/>
          <w:sz w:val="22"/>
        </w:rPr>
        <w:t xml:space="preserve"> N° de sesiones de </w:t>
      </w:r>
      <w:r w:rsidR="004562D9">
        <w:rPr>
          <w:rFonts w:asciiTheme="minorHAnsi" w:hAnsiTheme="minorHAnsi" w:cstheme="minorHAnsi"/>
          <w:sz w:val="22"/>
        </w:rPr>
        <w:t xml:space="preserve">quimioterapia </w:t>
      </w:r>
      <w:r w:rsidR="00531F5E">
        <w:rPr>
          <w:rFonts w:asciiTheme="minorHAnsi" w:hAnsiTheme="minorHAnsi" w:cstheme="minorHAnsi"/>
          <w:sz w:val="22"/>
        </w:rPr>
        <w:t>en mujeres</w:t>
      </w:r>
    </w:p>
    <w:p w:rsidR="00531F5E" w:rsidRDefault="00531F5E" w:rsidP="00531F5E">
      <w:pPr>
        <w:jc w:val="both"/>
        <w:rPr>
          <w:rFonts w:asciiTheme="minorHAnsi" w:hAnsiTheme="minorHAnsi"/>
          <w:sz w:val="22"/>
          <w:szCs w:val="22"/>
          <w:lang w:val="es-ES_tradnl"/>
        </w:rPr>
      </w:pPr>
    </w:p>
    <w:p w:rsidR="00531F5E" w:rsidRDefault="00E52595" w:rsidP="00531F5E">
      <w:pPr>
        <w:widowControl w:val="0"/>
        <w:autoSpaceDE w:val="0"/>
        <w:autoSpaceDN w:val="0"/>
        <w:adjustRightInd w:val="0"/>
        <w:ind w:right="23"/>
        <w:jc w:val="both"/>
        <w:rPr>
          <w:rFonts w:asciiTheme="minorHAnsi" w:hAnsiTheme="minorHAnsi"/>
          <w:sz w:val="22"/>
        </w:rPr>
      </w:pPr>
      <m:oMath>
        <m:d>
          <m:dPr>
            <m:ctrlPr>
              <w:rPr>
                <w:rFonts w:ascii="Cambria Math" w:hAnsi="Cambria Math" w:cstheme="minorHAnsi"/>
                <w:i/>
                <w:sz w:val="22"/>
              </w:rPr>
            </m:ctrlPr>
          </m:dPr>
          <m:e>
            <m:f>
              <m:fPr>
                <m:ctrlPr>
                  <w:rPr>
                    <w:rFonts w:ascii="Cambria Math" w:hAnsi="Cambria Math" w:cstheme="minorHAnsi"/>
                    <w:sz w:val="22"/>
                  </w:rPr>
                </m:ctrlPr>
              </m:fPr>
              <m:num>
                <m:r>
                  <w:rPr>
                    <w:rFonts w:ascii="Cambria Math" w:hAnsi="Cambria Math" w:cstheme="minorHAnsi"/>
                    <w:sz w:val="22"/>
                  </w:rPr>
                  <m:t>104,18</m:t>
                </m:r>
              </m:num>
              <m:den>
                <m:r>
                  <w:rPr>
                    <w:rFonts w:ascii="Cambria Math" w:hAnsi="Cambria Math" w:cstheme="minorHAnsi"/>
                    <w:sz w:val="22"/>
                  </w:rPr>
                  <m:t>100000</m:t>
                </m:r>
              </m:den>
            </m:f>
          </m:e>
        </m:d>
        <m:r>
          <m:rPr>
            <m:sty m:val="p"/>
          </m:rPr>
          <w:rPr>
            <w:rFonts w:ascii="Cambria Math" w:hAnsi="Cambria Math" w:cstheme="minorHAnsi"/>
            <w:sz w:val="22"/>
          </w:rPr>
          <m:t>=</m:t>
        </m:r>
      </m:oMath>
      <w:r w:rsidR="00531F5E">
        <w:rPr>
          <w:rFonts w:asciiTheme="minorHAnsi" w:hAnsiTheme="minorHAnsi"/>
          <w:sz w:val="22"/>
        </w:rPr>
        <w:t xml:space="preserve"> Tasa de incidencia cruda de cáncer en hombres</w:t>
      </w:r>
    </w:p>
    <w:p w:rsidR="00531F5E" w:rsidRDefault="00531F5E" w:rsidP="00531F5E">
      <w:pPr>
        <w:widowControl w:val="0"/>
        <w:autoSpaceDE w:val="0"/>
        <w:autoSpaceDN w:val="0"/>
        <w:adjustRightInd w:val="0"/>
        <w:ind w:right="23"/>
        <w:jc w:val="both"/>
        <w:rPr>
          <w:rFonts w:asciiTheme="minorHAnsi" w:hAnsiTheme="minorHAnsi"/>
          <w:sz w:val="22"/>
          <w:szCs w:val="22"/>
          <w:lang w:val="es-ES_tradnl"/>
        </w:rPr>
      </w:pPr>
    </w:p>
    <w:p w:rsidR="00531F5E" w:rsidRDefault="00E52595" w:rsidP="00531F5E">
      <w:pPr>
        <w:widowControl w:val="0"/>
        <w:autoSpaceDE w:val="0"/>
        <w:autoSpaceDN w:val="0"/>
        <w:adjustRightInd w:val="0"/>
        <w:ind w:right="23"/>
        <w:jc w:val="both"/>
        <w:rPr>
          <w:rFonts w:asciiTheme="minorHAnsi" w:hAnsiTheme="minorHAnsi"/>
          <w:sz w:val="22"/>
        </w:rPr>
      </w:pPr>
      <m:oMath>
        <m:d>
          <m:dPr>
            <m:ctrlPr>
              <w:rPr>
                <w:rFonts w:ascii="Cambria Math" w:hAnsi="Cambria Math" w:cstheme="minorHAnsi"/>
                <w:i/>
                <w:sz w:val="22"/>
              </w:rPr>
            </m:ctrlPr>
          </m:dPr>
          <m:e>
            <m:f>
              <m:fPr>
                <m:ctrlPr>
                  <w:rPr>
                    <w:rFonts w:ascii="Cambria Math" w:hAnsi="Cambria Math" w:cstheme="minorHAnsi"/>
                    <w:sz w:val="22"/>
                  </w:rPr>
                </m:ctrlPr>
              </m:fPr>
              <m:num>
                <m:r>
                  <w:rPr>
                    <w:rFonts w:ascii="Cambria Math" w:hAnsi="Cambria Math" w:cstheme="minorHAnsi"/>
                    <w:sz w:val="22"/>
                  </w:rPr>
                  <m:t>211,9</m:t>
                </m:r>
              </m:num>
              <m:den>
                <m:r>
                  <w:rPr>
                    <w:rFonts w:ascii="Cambria Math" w:hAnsi="Cambria Math" w:cstheme="minorHAnsi"/>
                    <w:sz w:val="22"/>
                  </w:rPr>
                  <m:t>100000</m:t>
                </m:r>
              </m:den>
            </m:f>
          </m:e>
        </m:d>
        <m:r>
          <m:rPr>
            <m:sty m:val="p"/>
          </m:rPr>
          <w:rPr>
            <w:rFonts w:ascii="Cambria Math" w:hAnsi="Cambria Math" w:cstheme="minorHAnsi"/>
            <w:sz w:val="22"/>
          </w:rPr>
          <m:t>=</m:t>
        </m:r>
      </m:oMath>
      <w:r w:rsidR="00531F5E">
        <w:rPr>
          <w:rFonts w:asciiTheme="minorHAnsi" w:hAnsiTheme="minorHAnsi"/>
          <w:sz w:val="22"/>
        </w:rPr>
        <w:t xml:space="preserve"> Tasa de incidencia cruda de cáncer en mujeres</w:t>
      </w:r>
    </w:p>
    <w:p w:rsidR="00531F5E" w:rsidRDefault="00531F5E" w:rsidP="00531F5E">
      <w:pPr>
        <w:jc w:val="both"/>
        <w:rPr>
          <w:rFonts w:asciiTheme="minorHAnsi" w:hAnsiTheme="minorHAnsi"/>
          <w:sz w:val="22"/>
          <w:szCs w:val="22"/>
          <w:lang w:val="es-ES_tradnl"/>
        </w:rPr>
      </w:pPr>
    </w:p>
    <w:p w:rsidR="00531F5E" w:rsidRDefault="00531F5E" w:rsidP="00531F5E">
      <w:pPr>
        <w:jc w:val="both"/>
        <w:rPr>
          <w:rFonts w:asciiTheme="minorHAnsi" w:hAnsiTheme="minorHAnsi"/>
          <w:sz w:val="22"/>
          <w:szCs w:val="22"/>
          <w:lang w:val="es-ES_tradnl"/>
        </w:rPr>
      </w:pPr>
      <w:r>
        <w:rPr>
          <w:rFonts w:asciiTheme="minorHAnsi" w:hAnsiTheme="minorHAnsi"/>
          <w:sz w:val="22"/>
          <w:szCs w:val="22"/>
          <w:lang w:val="es-ES_tradnl"/>
        </w:rPr>
        <w:t>0,</w:t>
      </w:r>
      <w:r w:rsidR="004562D9">
        <w:rPr>
          <w:rFonts w:asciiTheme="minorHAnsi" w:hAnsiTheme="minorHAnsi"/>
          <w:sz w:val="22"/>
          <w:szCs w:val="22"/>
          <w:lang w:val="es-ES_tradnl"/>
        </w:rPr>
        <w:t>355</w:t>
      </w:r>
      <w:r>
        <w:rPr>
          <w:rFonts w:asciiTheme="minorHAnsi" w:hAnsiTheme="minorHAnsi"/>
          <w:sz w:val="22"/>
          <w:szCs w:val="22"/>
          <w:lang w:val="es-ES_tradnl"/>
        </w:rPr>
        <w:t xml:space="preserve"> = Tasa de casos </w:t>
      </w:r>
      <w:r w:rsidR="004562D9">
        <w:rPr>
          <w:rFonts w:asciiTheme="minorHAnsi" w:hAnsiTheme="minorHAnsi"/>
          <w:sz w:val="22"/>
          <w:szCs w:val="22"/>
          <w:lang w:val="es-ES_tradnl"/>
        </w:rPr>
        <w:t>en los que se aplica tratamient</w:t>
      </w:r>
      <w:r>
        <w:rPr>
          <w:rFonts w:asciiTheme="minorHAnsi" w:hAnsiTheme="minorHAnsi"/>
          <w:sz w:val="22"/>
          <w:szCs w:val="22"/>
          <w:lang w:val="es-ES_tradnl"/>
        </w:rPr>
        <w:t xml:space="preserve">o de </w:t>
      </w:r>
      <w:r w:rsidR="004562D9">
        <w:rPr>
          <w:rFonts w:asciiTheme="minorHAnsi" w:hAnsiTheme="minorHAnsi" w:cstheme="minorHAnsi"/>
          <w:sz w:val="22"/>
        </w:rPr>
        <w:t>quimioterapia</w:t>
      </w:r>
    </w:p>
    <w:p w:rsidR="00531F5E" w:rsidRDefault="00531F5E" w:rsidP="00531F5E">
      <w:pPr>
        <w:jc w:val="both"/>
        <w:rPr>
          <w:rFonts w:asciiTheme="minorHAnsi" w:hAnsiTheme="minorHAnsi"/>
          <w:sz w:val="22"/>
          <w:szCs w:val="22"/>
          <w:lang w:val="es-ES_tradnl"/>
        </w:rPr>
      </w:pPr>
    </w:p>
    <w:p w:rsidR="00531F5E" w:rsidRDefault="00531F5E" w:rsidP="00531F5E">
      <w:pPr>
        <w:jc w:val="both"/>
        <w:rPr>
          <w:rFonts w:asciiTheme="minorHAnsi" w:hAnsiTheme="minorHAnsi"/>
          <w:sz w:val="22"/>
        </w:rPr>
      </w:pPr>
      <m:oMath>
        <m:r>
          <m:rPr>
            <m:sty m:val="p"/>
          </m:rPr>
          <w:rPr>
            <w:rFonts w:ascii="Cambria Math" w:hAnsi="Cambria Math" w:cstheme="minorHAnsi"/>
            <w:sz w:val="22"/>
          </w:rPr>
          <m:t>α=</m:t>
        </m:r>
      </m:oMath>
      <w:r>
        <w:rPr>
          <w:rFonts w:asciiTheme="minorHAnsi" w:hAnsiTheme="minorHAnsi"/>
          <w:sz w:val="22"/>
        </w:rPr>
        <w:t xml:space="preserve"> % de población masculina</w:t>
      </w:r>
    </w:p>
    <w:p w:rsidR="00531F5E" w:rsidRDefault="00531F5E" w:rsidP="00531F5E">
      <w:pPr>
        <w:jc w:val="both"/>
        <w:rPr>
          <w:rFonts w:asciiTheme="minorHAnsi" w:hAnsiTheme="minorHAnsi"/>
          <w:sz w:val="22"/>
        </w:rPr>
      </w:pPr>
    </w:p>
    <w:p w:rsidR="00531F5E" w:rsidRPr="008965B3" w:rsidRDefault="00531F5E" w:rsidP="00531F5E">
      <w:pPr>
        <w:jc w:val="both"/>
        <w:rPr>
          <w:rFonts w:asciiTheme="minorHAnsi" w:hAnsiTheme="minorHAnsi"/>
          <w:sz w:val="22"/>
          <w:szCs w:val="22"/>
          <w:lang w:val="es-ES_tradnl"/>
        </w:rPr>
      </w:pPr>
      <m:oMath>
        <m:r>
          <m:rPr>
            <m:sty m:val="p"/>
          </m:rPr>
          <w:rPr>
            <w:rFonts w:ascii="Cambria Math" w:hAnsi="Cambria Math" w:cstheme="minorHAnsi"/>
            <w:sz w:val="22"/>
          </w:rPr>
          <m:t>β</m:t>
        </m:r>
      </m:oMath>
      <w:r>
        <w:rPr>
          <w:rFonts w:asciiTheme="minorHAnsi" w:hAnsiTheme="minorHAnsi"/>
          <w:sz w:val="22"/>
        </w:rPr>
        <w:t>= % de población femenina</w:t>
      </w:r>
    </w:p>
    <w:p w:rsidR="00531F5E" w:rsidRDefault="00531F5E" w:rsidP="008A7D20">
      <w:pPr>
        <w:rPr>
          <w:lang w:val="es-ES_tradnl"/>
        </w:rPr>
      </w:pPr>
    </w:p>
    <w:p w:rsidR="00531F5E" w:rsidRDefault="00531F5E" w:rsidP="008A7D20">
      <w:pPr>
        <w:rPr>
          <w:lang w:val="es-ES_tradnl"/>
        </w:rPr>
      </w:pPr>
    </w:p>
    <w:p w:rsidR="008A7D20" w:rsidRPr="00640E8B" w:rsidRDefault="008A7D20" w:rsidP="008A366B">
      <w:pPr>
        <w:pStyle w:val="Heading2"/>
        <w:numPr>
          <w:ilvl w:val="1"/>
          <w:numId w:val="1"/>
        </w:numPr>
        <w:spacing w:line="276" w:lineRule="auto"/>
        <w:rPr>
          <w:rFonts w:asciiTheme="minorHAnsi" w:hAnsiTheme="minorHAnsi" w:cstheme="minorHAnsi"/>
          <w:bCs w:val="0"/>
          <w:szCs w:val="22"/>
        </w:rPr>
      </w:pPr>
      <w:bookmarkStart w:id="55" w:name="_Toc373093519"/>
      <w:r>
        <w:rPr>
          <w:rFonts w:asciiTheme="minorHAnsi" w:hAnsiTheme="minorHAnsi" w:cstheme="minorHAnsi"/>
          <w:lang w:val="es-ES_tradnl"/>
        </w:rPr>
        <w:t>Braquiterapia</w:t>
      </w:r>
      <w:bookmarkEnd w:id="55"/>
    </w:p>
    <w:p w:rsidR="008A7D20" w:rsidRPr="008A7D20" w:rsidRDefault="008A7D20" w:rsidP="008A7D20">
      <w:pPr>
        <w:rPr>
          <w:lang w:val="es-ES_tradnl"/>
        </w:rPr>
      </w:pPr>
    </w:p>
    <w:p w:rsidR="00BB476A" w:rsidRDefault="004B5BDC" w:rsidP="00403592">
      <w:pPr>
        <w:jc w:val="both"/>
        <w:rPr>
          <w:rFonts w:asciiTheme="minorHAnsi" w:hAnsiTheme="minorHAnsi" w:cstheme="minorHAnsi"/>
          <w:bCs/>
          <w:sz w:val="22"/>
        </w:rPr>
      </w:pPr>
      <w:r>
        <w:rPr>
          <w:rFonts w:asciiTheme="minorHAnsi" w:hAnsiTheme="minorHAnsi" w:cstheme="minorHAnsi"/>
          <w:bCs/>
          <w:sz w:val="22"/>
        </w:rPr>
        <w:t xml:space="preserve">La estimación de la demanda por tratamientos de braquiterapia se fundamenta en los tipos de cáncer tratados con esta tecnología, entre los cuales consideramos al cáncer de </w:t>
      </w:r>
      <w:r w:rsidR="00D3593C">
        <w:rPr>
          <w:rFonts w:asciiTheme="minorHAnsi" w:hAnsiTheme="minorHAnsi" w:cstheme="minorHAnsi"/>
          <w:bCs/>
          <w:sz w:val="22"/>
        </w:rPr>
        <w:t>próstata</w:t>
      </w:r>
      <w:r>
        <w:rPr>
          <w:rFonts w:asciiTheme="minorHAnsi" w:hAnsiTheme="minorHAnsi" w:cstheme="minorHAnsi"/>
          <w:bCs/>
          <w:sz w:val="22"/>
        </w:rPr>
        <w:t xml:space="preserve"> y el de cuello uterino.</w:t>
      </w:r>
      <w:r w:rsidR="00403592">
        <w:rPr>
          <w:rFonts w:asciiTheme="minorHAnsi" w:hAnsiTheme="minorHAnsi" w:cstheme="minorHAnsi"/>
          <w:bCs/>
          <w:sz w:val="22"/>
        </w:rPr>
        <w:t xml:space="preserve"> De este modo, se considera la población de referencia de atención de cáncer, se </w:t>
      </w:r>
      <w:r w:rsidR="00403592">
        <w:rPr>
          <w:rFonts w:asciiTheme="minorHAnsi" w:hAnsiTheme="minorHAnsi" w:cstheme="minorHAnsi"/>
          <w:bCs/>
          <w:sz w:val="22"/>
        </w:rPr>
        <w:lastRenderedPageBreak/>
        <w:t xml:space="preserve">estima, mediante el uso de las tasas de incidencia de cáncer de </w:t>
      </w:r>
      <w:r w:rsidR="00D3593C">
        <w:rPr>
          <w:rFonts w:asciiTheme="minorHAnsi" w:hAnsiTheme="minorHAnsi" w:cstheme="minorHAnsi"/>
          <w:bCs/>
          <w:sz w:val="22"/>
        </w:rPr>
        <w:t>próstata</w:t>
      </w:r>
      <w:r w:rsidR="00403592">
        <w:rPr>
          <w:rFonts w:asciiTheme="minorHAnsi" w:hAnsiTheme="minorHAnsi" w:cstheme="minorHAnsi"/>
          <w:bCs/>
          <w:sz w:val="22"/>
        </w:rPr>
        <w:t xml:space="preserve"> y de cuello uterino. Evidentemente, para el cáncer de </w:t>
      </w:r>
      <w:r w:rsidR="00D3593C">
        <w:rPr>
          <w:rFonts w:asciiTheme="minorHAnsi" w:hAnsiTheme="minorHAnsi" w:cstheme="minorHAnsi"/>
          <w:bCs/>
          <w:sz w:val="22"/>
        </w:rPr>
        <w:t>próstata</w:t>
      </w:r>
      <w:r w:rsidR="00403592">
        <w:rPr>
          <w:rFonts w:asciiTheme="minorHAnsi" w:hAnsiTheme="minorHAnsi" w:cstheme="minorHAnsi"/>
          <w:bCs/>
          <w:sz w:val="22"/>
        </w:rPr>
        <w:t xml:space="preserve"> se considera la población masculina, y para cáncer de cuello uterino la población femenina. </w:t>
      </w:r>
      <w:r w:rsidR="00F550FA">
        <w:rPr>
          <w:rFonts w:asciiTheme="minorHAnsi" w:hAnsiTheme="minorHAnsi" w:cstheme="minorHAnsi"/>
          <w:bCs/>
          <w:sz w:val="22"/>
        </w:rPr>
        <w:t>Para el cáncer de cuello uterino se considera que el 80% de la incidencia requiere este tipo de tratamiento.</w:t>
      </w:r>
      <w:r w:rsidR="00F550FA">
        <w:rPr>
          <w:rStyle w:val="FootnoteReference"/>
          <w:rFonts w:asciiTheme="minorHAnsi" w:hAnsiTheme="minorHAnsi" w:cstheme="minorHAnsi"/>
          <w:bCs/>
          <w:sz w:val="22"/>
        </w:rPr>
        <w:footnoteReference w:id="47"/>
      </w:r>
      <w:r w:rsidR="00D20FD8">
        <w:rPr>
          <w:rFonts w:asciiTheme="minorHAnsi" w:hAnsiTheme="minorHAnsi" w:cstheme="minorHAnsi"/>
          <w:bCs/>
          <w:sz w:val="22"/>
        </w:rPr>
        <w:t xml:space="preserve"> Para el cáncer de </w:t>
      </w:r>
      <w:r w:rsidR="00D3593C">
        <w:rPr>
          <w:rFonts w:asciiTheme="minorHAnsi" w:hAnsiTheme="minorHAnsi" w:cstheme="minorHAnsi"/>
          <w:bCs/>
          <w:sz w:val="22"/>
        </w:rPr>
        <w:t>próstata</w:t>
      </w:r>
      <w:r w:rsidR="00D20FD8">
        <w:rPr>
          <w:rFonts w:asciiTheme="minorHAnsi" w:hAnsiTheme="minorHAnsi" w:cstheme="minorHAnsi"/>
          <w:bCs/>
          <w:sz w:val="22"/>
        </w:rPr>
        <w:t xml:space="preserve"> se </w:t>
      </w:r>
      <w:r w:rsidR="00D3593C">
        <w:rPr>
          <w:rFonts w:asciiTheme="minorHAnsi" w:hAnsiTheme="minorHAnsi" w:cstheme="minorHAnsi"/>
          <w:bCs/>
          <w:sz w:val="22"/>
        </w:rPr>
        <w:t>utiliza</w:t>
      </w:r>
      <w:r w:rsidR="00D20FD8">
        <w:rPr>
          <w:rFonts w:asciiTheme="minorHAnsi" w:hAnsiTheme="minorHAnsi" w:cstheme="minorHAnsi"/>
          <w:bCs/>
          <w:sz w:val="22"/>
        </w:rPr>
        <w:t xml:space="preserve"> el mismo porcentaje de pacientes con requerimiento de este tipo de tratamiento.</w:t>
      </w:r>
    </w:p>
    <w:p w:rsidR="00FB22B3" w:rsidRDefault="00FB22B3" w:rsidP="00403592">
      <w:pPr>
        <w:jc w:val="both"/>
        <w:rPr>
          <w:rFonts w:asciiTheme="minorHAnsi" w:hAnsiTheme="minorHAnsi" w:cstheme="minorHAnsi"/>
          <w:bCs/>
          <w:sz w:val="22"/>
        </w:rPr>
      </w:pPr>
    </w:p>
    <w:p w:rsidR="00FB22B3" w:rsidRDefault="00FB22B3" w:rsidP="00FB22B3">
      <w:pPr>
        <w:jc w:val="both"/>
        <w:rPr>
          <w:rFonts w:asciiTheme="minorHAnsi" w:hAnsiTheme="minorHAnsi"/>
          <w:sz w:val="22"/>
          <w:szCs w:val="22"/>
          <w:lang w:val="es-ES_tradnl"/>
        </w:rPr>
      </w:pPr>
      <w:r>
        <w:rPr>
          <w:rFonts w:asciiTheme="minorHAnsi" w:hAnsiTheme="minorHAnsi"/>
          <w:sz w:val="22"/>
          <w:szCs w:val="22"/>
          <w:lang w:val="es-ES_tradnl"/>
        </w:rPr>
        <w:t>A diferencia de la estimación de demanda potencial de otras prestaciones, en el caso de las demandas relativas a tratamientos de cáncer, la población de referencia considerada se amplia a las poblaciones de La Paz, Oruro y Potosí.</w:t>
      </w:r>
    </w:p>
    <w:p w:rsidR="00FB22B3" w:rsidRDefault="00FB22B3" w:rsidP="00FB22B3">
      <w:pPr>
        <w:jc w:val="both"/>
        <w:rPr>
          <w:rFonts w:asciiTheme="minorHAnsi" w:hAnsiTheme="minorHAnsi"/>
          <w:sz w:val="22"/>
          <w:szCs w:val="22"/>
          <w:lang w:val="es-ES_tradnl"/>
        </w:rPr>
      </w:pPr>
    </w:p>
    <w:p w:rsidR="00FB22B3" w:rsidRDefault="00FB22B3" w:rsidP="00FB22B3">
      <w:pPr>
        <w:jc w:val="both"/>
        <w:rPr>
          <w:rFonts w:asciiTheme="minorHAnsi" w:hAnsiTheme="minorHAnsi"/>
          <w:sz w:val="22"/>
          <w:szCs w:val="22"/>
          <w:lang w:val="es-ES_tradnl"/>
        </w:rPr>
      </w:pPr>
      <w:r>
        <w:rPr>
          <w:rFonts w:asciiTheme="minorHAnsi" w:hAnsiTheme="minorHAnsi"/>
          <w:sz w:val="22"/>
          <w:szCs w:val="22"/>
          <w:lang w:val="es-ES_tradnl"/>
        </w:rPr>
        <w:t>De este modo, la demanda potencial se obtiene a partir de la siguiente expresión:</w:t>
      </w:r>
    </w:p>
    <w:p w:rsidR="00FB22B3" w:rsidRDefault="00FB22B3" w:rsidP="00403592">
      <w:pPr>
        <w:jc w:val="both"/>
        <w:rPr>
          <w:rFonts w:asciiTheme="minorHAnsi" w:hAnsiTheme="minorHAnsi" w:cstheme="minorHAnsi"/>
          <w:bCs/>
          <w:sz w:val="22"/>
        </w:rPr>
      </w:pPr>
    </w:p>
    <w:p w:rsidR="00F550FA" w:rsidRPr="009C76DB" w:rsidRDefault="00E52595" w:rsidP="00F550FA">
      <w:pPr>
        <w:widowControl w:val="0"/>
        <w:autoSpaceDE w:val="0"/>
        <w:autoSpaceDN w:val="0"/>
        <w:adjustRightInd w:val="0"/>
        <w:ind w:right="23"/>
        <w:jc w:val="both"/>
        <w:rPr>
          <w:rFonts w:asciiTheme="minorHAnsi" w:hAnsiTheme="minorHAnsi" w:cstheme="minorHAnsi"/>
          <w:bCs/>
          <w:sz w:val="22"/>
        </w:rPr>
      </w:pPr>
      <m:oMathPara>
        <m:oMathParaPr>
          <m:jc m:val="left"/>
        </m:oMathParaPr>
        <m:oMath>
          <m:sSub>
            <m:sSubPr>
              <m:ctrlPr>
                <w:rPr>
                  <w:rFonts w:ascii="Cambria Math" w:hAnsi="Cambria Math" w:cstheme="minorHAnsi"/>
                  <w:bCs/>
                  <w:sz w:val="22"/>
                </w:rPr>
              </m:ctrlPr>
            </m:sSubPr>
            <m:e>
              <m:r>
                <m:rPr>
                  <m:sty m:val="p"/>
                </m:rPr>
                <w:rPr>
                  <w:rFonts w:ascii="Cambria Math" w:hAnsi="Cambria Math" w:cstheme="minorHAnsi"/>
                  <w:sz w:val="22"/>
                </w:rPr>
                <m:t>Braq</m:t>
              </m:r>
            </m:e>
            <m:sub>
              <m:r>
                <m:rPr>
                  <m:sty m:val="p"/>
                </m:rPr>
                <w:rPr>
                  <w:rFonts w:ascii="Cambria Math" w:hAnsi="Cambria Math" w:cstheme="minorHAnsi"/>
                  <w:sz w:val="22"/>
                </w:rPr>
                <m:t>t</m:t>
              </m:r>
            </m:sub>
          </m:sSub>
          <m:r>
            <m:rPr>
              <m:sty m:val="p"/>
            </m:rPr>
            <w:rPr>
              <w:rFonts w:ascii="Cambria Math" w:hAnsi="Cambria Math" w:cstheme="minorHAnsi"/>
              <w:sz w:val="22"/>
            </w:rPr>
            <m:t>=</m:t>
          </m:r>
          <m:sSub>
            <m:sSubPr>
              <m:ctrlPr>
                <w:rPr>
                  <w:rFonts w:ascii="Cambria Math" w:hAnsi="Cambria Math" w:cstheme="minorHAnsi"/>
                  <w:sz w:val="22"/>
                </w:rPr>
              </m:ctrlPr>
            </m:sSubPr>
            <m:e>
              <m:r>
                <m:rPr>
                  <m:sty m:val="p"/>
                </m:rPr>
                <w:rPr>
                  <w:rFonts w:ascii="Cambria Math" w:hAnsi="Cambria Math" w:cstheme="minorHAnsi"/>
                  <w:sz w:val="22"/>
                </w:rPr>
                <m:t>BraqP</m:t>
              </m:r>
            </m:e>
            <m:sub>
              <m:r>
                <m:rPr>
                  <m:sty m:val="p"/>
                </m:rPr>
                <w:rPr>
                  <w:rFonts w:ascii="Cambria Math" w:hAnsi="Cambria Math" w:cstheme="minorHAnsi"/>
                  <w:sz w:val="22"/>
                </w:rPr>
                <m:t>Ht</m:t>
              </m:r>
            </m:sub>
          </m:sSub>
          <m:r>
            <m:rPr>
              <m:sty m:val="p"/>
            </m:rPr>
            <w:rPr>
              <w:rFonts w:ascii="Cambria Math" w:hAnsi="Cambria Math" w:cstheme="minorHAnsi"/>
              <w:sz w:val="22"/>
            </w:rPr>
            <m:t>+</m:t>
          </m:r>
          <m:sSub>
            <m:sSubPr>
              <m:ctrlPr>
                <w:rPr>
                  <w:rFonts w:ascii="Cambria Math" w:hAnsi="Cambria Math" w:cstheme="minorHAnsi"/>
                  <w:bCs/>
                  <w:sz w:val="22"/>
                </w:rPr>
              </m:ctrlPr>
            </m:sSubPr>
            <m:e>
              <m:r>
                <m:rPr>
                  <m:sty m:val="p"/>
                </m:rPr>
                <w:rPr>
                  <w:rFonts w:ascii="Cambria Math" w:hAnsi="Cambria Math" w:cstheme="minorHAnsi"/>
                  <w:sz w:val="22"/>
                </w:rPr>
                <m:t>BraqCU</m:t>
              </m:r>
            </m:e>
            <m:sub>
              <m:r>
                <m:rPr>
                  <m:sty m:val="p"/>
                </m:rPr>
                <w:rPr>
                  <w:rFonts w:ascii="Cambria Math" w:hAnsi="Cambria Math" w:cstheme="minorHAnsi"/>
                  <w:sz w:val="22"/>
                </w:rPr>
                <m:t>Mt</m:t>
              </m:r>
            </m:sub>
          </m:sSub>
        </m:oMath>
      </m:oMathPara>
    </w:p>
    <w:p w:rsidR="00F550FA" w:rsidRDefault="00F550FA" w:rsidP="00F550FA">
      <w:pPr>
        <w:jc w:val="both"/>
        <w:rPr>
          <w:rFonts w:asciiTheme="minorHAnsi" w:hAnsiTheme="minorHAnsi"/>
          <w:sz w:val="22"/>
          <w:szCs w:val="22"/>
          <w:lang w:val="es-ES_tradnl"/>
        </w:rPr>
      </w:pPr>
    </w:p>
    <w:p w:rsidR="00F550FA" w:rsidRPr="008965B3" w:rsidRDefault="00E52595" w:rsidP="00F550FA">
      <w:pPr>
        <w:widowControl w:val="0"/>
        <w:autoSpaceDE w:val="0"/>
        <w:autoSpaceDN w:val="0"/>
        <w:adjustRightInd w:val="0"/>
        <w:ind w:right="23"/>
        <w:jc w:val="both"/>
        <w:rPr>
          <w:rFonts w:asciiTheme="minorHAnsi" w:hAnsiTheme="minorHAnsi" w:cstheme="minorHAnsi"/>
          <w:bCs/>
          <w:sz w:val="22"/>
        </w:rPr>
      </w:pPr>
      <m:oMathPara>
        <m:oMathParaPr>
          <m:jc m:val="left"/>
        </m:oMathParaPr>
        <m:oMath>
          <m:sSub>
            <m:sSubPr>
              <m:ctrlPr>
                <w:rPr>
                  <w:rFonts w:ascii="Cambria Math" w:hAnsi="Cambria Math" w:cstheme="minorHAnsi"/>
                  <w:sz w:val="22"/>
                </w:rPr>
              </m:ctrlPr>
            </m:sSubPr>
            <m:e>
              <m:r>
                <m:rPr>
                  <m:sty m:val="p"/>
                </m:rPr>
                <w:rPr>
                  <w:rFonts w:ascii="Cambria Math" w:hAnsi="Cambria Math" w:cstheme="minorHAnsi"/>
                  <w:sz w:val="22"/>
                </w:rPr>
                <m:t>BraqP</m:t>
              </m:r>
            </m:e>
            <m:sub>
              <m:r>
                <m:rPr>
                  <m:sty m:val="p"/>
                </m:rPr>
                <w:rPr>
                  <w:rFonts w:ascii="Cambria Math" w:hAnsi="Cambria Math" w:cstheme="minorHAnsi"/>
                  <w:sz w:val="22"/>
                </w:rPr>
                <m:t>Ht</m:t>
              </m:r>
            </m:sub>
          </m:sSub>
          <m:r>
            <m:rPr>
              <m:sty m:val="p"/>
            </m:rPr>
            <w:rPr>
              <w:rFonts w:ascii="Cambria Math" w:hAnsi="Cambria Math" w:cstheme="minorHAnsi"/>
              <w:sz w:val="22"/>
            </w:rPr>
            <m:t>=</m:t>
          </m:r>
          <m:d>
            <m:dPr>
              <m:ctrlPr>
                <w:rPr>
                  <w:rFonts w:ascii="Cambria Math" w:hAnsi="Cambria Math" w:cstheme="minorHAnsi"/>
                  <w:sz w:val="22"/>
                </w:rPr>
              </m:ctrlPr>
            </m:dPr>
            <m:e>
              <m:f>
                <m:fPr>
                  <m:ctrlPr>
                    <w:rPr>
                      <w:rFonts w:ascii="Cambria Math" w:hAnsi="Cambria Math" w:cstheme="minorHAnsi"/>
                      <w:sz w:val="22"/>
                    </w:rPr>
                  </m:ctrlPr>
                </m:fPr>
                <m:num>
                  <m:r>
                    <w:rPr>
                      <w:rFonts w:ascii="Cambria Math" w:hAnsi="Cambria Math" w:cstheme="minorHAnsi"/>
                      <w:sz w:val="22"/>
                    </w:rPr>
                    <m:t>19,92</m:t>
                  </m:r>
                </m:num>
                <m:den>
                  <m:r>
                    <w:rPr>
                      <w:rFonts w:ascii="Cambria Math" w:hAnsi="Cambria Math" w:cstheme="minorHAnsi"/>
                      <w:sz w:val="22"/>
                    </w:rPr>
                    <m:t>100000</m:t>
                  </m:r>
                </m:den>
              </m:f>
            </m:e>
          </m:d>
          <m:r>
            <m:rPr>
              <m:sty m:val="p"/>
            </m:rPr>
            <w:rPr>
              <w:rFonts w:ascii="Cambria Math" w:hAnsi="Cambria Math" w:cstheme="minorHAnsi"/>
              <w:sz w:val="22"/>
            </w:rPr>
            <m:t>∙0,8</m:t>
          </m:r>
          <m:sSub>
            <m:sSubPr>
              <m:ctrlPr>
                <w:rPr>
                  <w:rFonts w:ascii="Cambria Math" w:hAnsi="Cambria Math" w:cstheme="minorHAnsi"/>
                  <w:bCs/>
                  <w:sz w:val="22"/>
                </w:rPr>
              </m:ctrlPr>
            </m:sSubPr>
            <m:e>
              <m:r>
                <m:rPr>
                  <m:sty m:val="p"/>
                </m:rPr>
                <w:rPr>
                  <w:rFonts w:ascii="Cambria Math" w:hAnsi="Cambria Math" w:cstheme="minorHAnsi"/>
                  <w:sz w:val="22"/>
                </w:rPr>
                <m:t>∙Pob</m:t>
              </m:r>
            </m:e>
            <m:sub>
              <m:r>
                <m:rPr>
                  <m:sty m:val="p"/>
                </m:rPr>
                <w:rPr>
                  <w:rFonts w:ascii="Cambria Math" w:hAnsi="Cambria Math" w:cstheme="minorHAnsi"/>
                  <w:sz w:val="22"/>
                </w:rPr>
                <m:t>Ht</m:t>
              </m:r>
            </m:sub>
          </m:sSub>
        </m:oMath>
      </m:oMathPara>
    </w:p>
    <w:p w:rsidR="00F550FA" w:rsidRPr="009C76DB" w:rsidRDefault="00F550FA" w:rsidP="00F550FA">
      <w:pPr>
        <w:widowControl w:val="0"/>
        <w:autoSpaceDE w:val="0"/>
        <w:autoSpaceDN w:val="0"/>
        <w:adjustRightInd w:val="0"/>
        <w:ind w:right="23"/>
        <w:jc w:val="both"/>
        <w:rPr>
          <w:rFonts w:asciiTheme="minorHAnsi" w:hAnsiTheme="minorHAnsi" w:cstheme="minorHAnsi"/>
          <w:bCs/>
          <w:sz w:val="22"/>
        </w:rPr>
      </w:pPr>
    </w:p>
    <w:p w:rsidR="00F550FA" w:rsidRPr="008965B3" w:rsidRDefault="00E52595" w:rsidP="00F550FA">
      <w:pPr>
        <w:widowControl w:val="0"/>
        <w:autoSpaceDE w:val="0"/>
        <w:autoSpaceDN w:val="0"/>
        <w:adjustRightInd w:val="0"/>
        <w:ind w:right="23"/>
        <w:jc w:val="both"/>
        <w:rPr>
          <w:rFonts w:asciiTheme="minorHAnsi" w:hAnsiTheme="minorHAnsi" w:cstheme="minorHAnsi"/>
          <w:bCs/>
          <w:sz w:val="22"/>
        </w:rPr>
      </w:pPr>
      <m:oMathPara>
        <m:oMathParaPr>
          <m:jc m:val="left"/>
        </m:oMathParaPr>
        <m:oMath>
          <m:sSub>
            <m:sSubPr>
              <m:ctrlPr>
                <w:rPr>
                  <w:rFonts w:ascii="Cambria Math" w:hAnsi="Cambria Math" w:cstheme="minorHAnsi"/>
                  <w:sz w:val="22"/>
                </w:rPr>
              </m:ctrlPr>
            </m:sSubPr>
            <m:e>
              <m:r>
                <m:rPr>
                  <m:sty m:val="p"/>
                </m:rPr>
                <w:rPr>
                  <w:rFonts w:ascii="Cambria Math" w:hAnsi="Cambria Math" w:cstheme="minorHAnsi"/>
                  <w:sz w:val="22"/>
                </w:rPr>
                <m:t>BraqCU</m:t>
              </m:r>
            </m:e>
            <m:sub>
              <m:r>
                <m:rPr>
                  <m:sty m:val="p"/>
                </m:rPr>
                <w:rPr>
                  <w:rFonts w:ascii="Cambria Math" w:hAnsi="Cambria Math" w:cstheme="minorHAnsi"/>
                  <w:sz w:val="22"/>
                </w:rPr>
                <m:t>Mt</m:t>
              </m:r>
            </m:sub>
          </m:sSub>
          <m:r>
            <m:rPr>
              <m:sty m:val="p"/>
            </m:rPr>
            <w:rPr>
              <w:rFonts w:ascii="Cambria Math" w:hAnsi="Cambria Math" w:cstheme="minorHAnsi"/>
              <w:sz w:val="22"/>
            </w:rPr>
            <m:t>=</m:t>
          </m:r>
          <m:d>
            <m:dPr>
              <m:ctrlPr>
                <w:rPr>
                  <w:rFonts w:ascii="Cambria Math" w:hAnsi="Cambria Math" w:cstheme="minorHAnsi"/>
                  <w:sz w:val="22"/>
                </w:rPr>
              </m:ctrlPr>
            </m:dPr>
            <m:e>
              <m:f>
                <m:fPr>
                  <m:ctrlPr>
                    <w:rPr>
                      <w:rFonts w:ascii="Cambria Math" w:hAnsi="Cambria Math" w:cstheme="minorHAnsi"/>
                      <w:sz w:val="22"/>
                    </w:rPr>
                  </m:ctrlPr>
                </m:fPr>
                <m:num>
                  <m:r>
                    <w:rPr>
                      <w:rFonts w:ascii="Cambria Math" w:hAnsi="Cambria Math" w:cstheme="minorHAnsi"/>
                      <w:sz w:val="22"/>
                    </w:rPr>
                    <m:t>65,13</m:t>
                  </m:r>
                </m:num>
                <m:den>
                  <m:r>
                    <w:rPr>
                      <w:rFonts w:ascii="Cambria Math" w:hAnsi="Cambria Math" w:cstheme="minorHAnsi"/>
                      <w:sz w:val="22"/>
                    </w:rPr>
                    <m:t>100000</m:t>
                  </m:r>
                </m:den>
              </m:f>
            </m:e>
          </m:d>
          <m:r>
            <m:rPr>
              <m:sty m:val="p"/>
            </m:rPr>
            <w:rPr>
              <w:rFonts w:ascii="Cambria Math" w:hAnsi="Cambria Math" w:cstheme="minorHAnsi"/>
              <w:sz w:val="22"/>
            </w:rPr>
            <m:t>∙0,8</m:t>
          </m:r>
          <m:sSub>
            <m:sSubPr>
              <m:ctrlPr>
                <w:rPr>
                  <w:rFonts w:ascii="Cambria Math" w:hAnsi="Cambria Math" w:cstheme="minorHAnsi"/>
                  <w:bCs/>
                  <w:sz w:val="22"/>
                </w:rPr>
              </m:ctrlPr>
            </m:sSubPr>
            <m:e>
              <m:r>
                <m:rPr>
                  <m:sty m:val="p"/>
                </m:rPr>
                <w:rPr>
                  <w:rFonts w:ascii="Cambria Math" w:hAnsi="Cambria Math" w:cstheme="minorHAnsi"/>
                  <w:sz w:val="22"/>
                </w:rPr>
                <m:t>∙Pob</m:t>
              </m:r>
            </m:e>
            <m:sub>
              <m:r>
                <m:rPr>
                  <m:sty m:val="p"/>
                </m:rPr>
                <w:rPr>
                  <w:rFonts w:ascii="Cambria Math" w:hAnsi="Cambria Math" w:cstheme="minorHAnsi"/>
                  <w:sz w:val="22"/>
                </w:rPr>
                <m:t>Mt</m:t>
              </m:r>
            </m:sub>
          </m:sSub>
        </m:oMath>
      </m:oMathPara>
    </w:p>
    <w:p w:rsidR="00F550FA" w:rsidRDefault="00F550FA" w:rsidP="00F550FA">
      <w:pPr>
        <w:jc w:val="both"/>
        <w:rPr>
          <w:rFonts w:asciiTheme="minorHAnsi" w:hAnsiTheme="minorHAnsi"/>
          <w:sz w:val="22"/>
          <w:szCs w:val="22"/>
          <w:lang w:val="es-ES_tradnl"/>
        </w:rPr>
      </w:pPr>
    </w:p>
    <w:p w:rsidR="00F550FA" w:rsidRDefault="00F550FA" w:rsidP="00F550FA">
      <w:pPr>
        <w:jc w:val="both"/>
        <w:rPr>
          <w:rFonts w:asciiTheme="minorHAnsi" w:hAnsiTheme="minorHAnsi"/>
          <w:sz w:val="22"/>
          <w:szCs w:val="22"/>
          <w:lang w:val="es-ES_tradnl"/>
        </w:rPr>
      </w:pPr>
    </w:p>
    <w:p w:rsidR="00F550FA" w:rsidRDefault="00F550FA" w:rsidP="00F550FA">
      <w:pPr>
        <w:jc w:val="both"/>
        <w:rPr>
          <w:rFonts w:asciiTheme="minorHAnsi" w:hAnsiTheme="minorHAnsi"/>
          <w:sz w:val="22"/>
          <w:szCs w:val="22"/>
          <w:lang w:val="es-ES_tradnl"/>
        </w:rPr>
      </w:pPr>
      <w:r>
        <w:rPr>
          <w:rFonts w:asciiTheme="minorHAnsi" w:hAnsiTheme="minorHAnsi"/>
          <w:sz w:val="22"/>
          <w:szCs w:val="22"/>
          <w:lang w:val="es-ES_tradnl"/>
        </w:rPr>
        <w:t>Donde,</w:t>
      </w:r>
    </w:p>
    <w:p w:rsidR="00F550FA" w:rsidRDefault="00F550FA" w:rsidP="00F550FA">
      <w:pPr>
        <w:jc w:val="both"/>
        <w:rPr>
          <w:rFonts w:asciiTheme="minorHAnsi" w:hAnsiTheme="minorHAnsi"/>
          <w:sz w:val="22"/>
          <w:szCs w:val="22"/>
          <w:lang w:val="es-ES_tradnl"/>
        </w:rPr>
      </w:pPr>
    </w:p>
    <w:p w:rsidR="00F550FA" w:rsidRPr="008965B3" w:rsidRDefault="00E52595" w:rsidP="00F550FA">
      <w:pPr>
        <w:widowControl w:val="0"/>
        <w:autoSpaceDE w:val="0"/>
        <w:autoSpaceDN w:val="0"/>
        <w:adjustRightInd w:val="0"/>
        <w:ind w:right="23"/>
        <w:jc w:val="both"/>
        <w:rPr>
          <w:rFonts w:asciiTheme="minorHAnsi" w:hAnsiTheme="minorHAnsi" w:cstheme="minorHAnsi"/>
          <w:bCs/>
          <w:sz w:val="22"/>
        </w:rPr>
      </w:pPr>
      <m:oMath>
        <m:sSub>
          <m:sSubPr>
            <m:ctrlPr>
              <w:rPr>
                <w:rFonts w:ascii="Cambria Math" w:hAnsi="Cambria Math" w:cstheme="minorHAnsi"/>
                <w:sz w:val="22"/>
              </w:rPr>
            </m:ctrlPr>
          </m:sSubPr>
          <m:e>
            <m:r>
              <m:rPr>
                <m:sty m:val="p"/>
              </m:rPr>
              <w:rPr>
                <w:rFonts w:ascii="Cambria Math" w:hAnsi="Cambria Math" w:cstheme="minorHAnsi"/>
                <w:sz w:val="22"/>
              </w:rPr>
              <m:t>Braq</m:t>
            </m:r>
          </m:e>
          <m:sub>
            <m:r>
              <m:rPr>
                <m:sty m:val="p"/>
              </m:rPr>
              <w:rPr>
                <w:rFonts w:ascii="Cambria Math" w:hAnsi="Cambria Math" w:cstheme="minorHAnsi"/>
                <w:sz w:val="22"/>
              </w:rPr>
              <m:t>t</m:t>
            </m:r>
          </m:sub>
        </m:sSub>
        <m:r>
          <m:rPr>
            <m:sty m:val="p"/>
          </m:rPr>
          <w:rPr>
            <w:rFonts w:ascii="Cambria Math" w:hAnsi="Cambria Math" w:cstheme="minorHAnsi"/>
            <w:sz w:val="22"/>
          </w:rPr>
          <m:t>=</m:t>
        </m:r>
      </m:oMath>
      <w:r w:rsidR="00F550FA">
        <w:rPr>
          <w:rFonts w:asciiTheme="minorHAnsi" w:hAnsiTheme="minorHAnsi" w:cstheme="minorHAnsi"/>
          <w:sz w:val="22"/>
        </w:rPr>
        <w:t xml:space="preserve"> N° total de </w:t>
      </w:r>
      <w:r w:rsidR="00D3593C">
        <w:rPr>
          <w:rFonts w:asciiTheme="minorHAnsi" w:hAnsiTheme="minorHAnsi" w:cstheme="minorHAnsi"/>
          <w:sz w:val="22"/>
        </w:rPr>
        <w:t>tratamientos</w:t>
      </w:r>
      <w:r w:rsidR="00F550FA">
        <w:rPr>
          <w:rFonts w:asciiTheme="minorHAnsi" w:hAnsiTheme="minorHAnsi" w:cstheme="minorHAnsi"/>
          <w:sz w:val="22"/>
        </w:rPr>
        <w:t xml:space="preserve"> de </w:t>
      </w:r>
      <w:r w:rsidR="00D20FD8">
        <w:rPr>
          <w:rFonts w:asciiTheme="minorHAnsi" w:hAnsiTheme="minorHAnsi" w:cstheme="minorHAnsi"/>
          <w:sz w:val="22"/>
        </w:rPr>
        <w:t>braquiterapia</w:t>
      </w:r>
    </w:p>
    <w:p w:rsidR="00F550FA" w:rsidRDefault="00F550FA" w:rsidP="00F550FA">
      <w:pPr>
        <w:jc w:val="both"/>
        <w:rPr>
          <w:rFonts w:asciiTheme="minorHAnsi" w:hAnsiTheme="minorHAnsi"/>
          <w:sz w:val="22"/>
          <w:szCs w:val="22"/>
          <w:lang w:val="es-ES_tradnl"/>
        </w:rPr>
      </w:pPr>
    </w:p>
    <w:p w:rsidR="00F550FA" w:rsidRPr="008965B3" w:rsidRDefault="00E52595" w:rsidP="00F550FA">
      <w:pPr>
        <w:widowControl w:val="0"/>
        <w:autoSpaceDE w:val="0"/>
        <w:autoSpaceDN w:val="0"/>
        <w:adjustRightInd w:val="0"/>
        <w:ind w:right="23"/>
        <w:jc w:val="both"/>
        <w:rPr>
          <w:rFonts w:asciiTheme="minorHAnsi" w:hAnsiTheme="minorHAnsi" w:cstheme="minorHAnsi"/>
          <w:bCs/>
          <w:sz w:val="22"/>
        </w:rPr>
      </w:pPr>
      <m:oMath>
        <m:sSub>
          <m:sSubPr>
            <m:ctrlPr>
              <w:rPr>
                <w:rFonts w:ascii="Cambria Math" w:hAnsi="Cambria Math" w:cstheme="minorHAnsi"/>
                <w:sz w:val="22"/>
              </w:rPr>
            </m:ctrlPr>
          </m:sSubPr>
          <m:e>
            <m:r>
              <m:rPr>
                <m:sty m:val="p"/>
              </m:rPr>
              <w:rPr>
                <w:rFonts w:ascii="Cambria Math" w:hAnsi="Cambria Math" w:cstheme="minorHAnsi"/>
                <w:sz w:val="22"/>
              </w:rPr>
              <m:t>BraqP</m:t>
            </m:r>
          </m:e>
          <m:sub>
            <m:r>
              <m:rPr>
                <m:sty m:val="p"/>
              </m:rPr>
              <w:rPr>
                <w:rFonts w:ascii="Cambria Math" w:hAnsi="Cambria Math" w:cstheme="minorHAnsi"/>
                <w:sz w:val="22"/>
              </w:rPr>
              <m:t>Ht</m:t>
            </m:r>
          </m:sub>
        </m:sSub>
        <m:r>
          <m:rPr>
            <m:sty m:val="p"/>
          </m:rPr>
          <w:rPr>
            <w:rFonts w:ascii="Cambria Math" w:hAnsi="Cambria Math" w:cstheme="minorHAnsi"/>
            <w:sz w:val="22"/>
          </w:rPr>
          <m:t>=</m:t>
        </m:r>
      </m:oMath>
      <w:r w:rsidR="00F550FA">
        <w:rPr>
          <w:rFonts w:asciiTheme="minorHAnsi" w:hAnsiTheme="minorHAnsi" w:cstheme="minorHAnsi"/>
          <w:sz w:val="22"/>
        </w:rPr>
        <w:t xml:space="preserve"> N° de </w:t>
      </w:r>
      <w:r w:rsidR="00D20FD8">
        <w:rPr>
          <w:rFonts w:asciiTheme="minorHAnsi" w:hAnsiTheme="minorHAnsi" w:cstheme="minorHAnsi"/>
          <w:sz w:val="22"/>
        </w:rPr>
        <w:t>tratamientos</w:t>
      </w:r>
      <w:r w:rsidR="00F550FA">
        <w:rPr>
          <w:rFonts w:asciiTheme="minorHAnsi" w:hAnsiTheme="minorHAnsi" w:cstheme="minorHAnsi"/>
          <w:sz w:val="22"/>
        </w:rPr>
        <w:t xml:space="preserve"> de </w:t>
      </w:r>
      <w:r w:rsidR="00D20FD8">
        <w:rPr>
          <w:rFonts w:asciiTheme="minorHAnsi" w:hAnsiTheme="minorHAnsi" w:cstheme="minorHAnsi"/>
          <w:sz w:val="22"/>
        </w:rPr>
        <w:t>braquiterapia</w:t>
      </w:r>
      <w:r w:rsidR="00F550FA">
        <w:rPr>
          <w:rFonts w:asciiTheme="minorHAnsi" w:hAnsiTheme="minorHAnsi" w:cstheme="minorHAnsi"/>
          <w:sz w:val="22"/>
        </w:rPr>
        <w:t xml:space="preserve"> </w:t>
      </w:r>
      <w:r w:rsidR="00D20FD8">
        <w:rPr>
          <w:rFonts w:asciiTheme="minorHAnsi" w:hAnsiTheme="minorHAnsi" w:cstheme="minorHAnsi"/>
          <w:sz w:val="22"/>
        </w:rPr>
        <w:t xml:space="preserve">en cáncer de </w:t>
      </w:r>
      <w:r w:rsidR="00D3593C">
        <w:rPr>
          <w:rFonts w:asciiTheme="minorHAnsi" w:hAnsiTheme="minorHAnsi" w:cstheme="minorHAnsi"/>
          <w:sz w:val="22"/>
        </w:rPr>
        <w:t>próstata</w:t>
      </w:r>
      <w:r w:rsidR="00D20FD8">
        <w:rPr>
          <w:rFonts w:asciiTheme="minorHAnsi" w:hAnsiTheme="minorHAnsi" w:cstheme="minorHAnsi"/>
          <w:sz w:val="22"/>
        </w:rPr>
        <w:t xml:space="preserve"> </w:t>
      </w:r>
      <w:r w:rsidR="00F550FA">
        <w:rPr>
          <w:rFonts w:asciiTheme="minorHAnsi" w:hAnsiTheme="minorHAnsi" w:cstheme="minorHAnsi"/>
          <w:sz w:val="22"/>
        </w:rPr>
        <w:t>en hombres</w:t>
      </w:r>
    </w:p>
    <w:p w:rsidR="00F550FA" w:rsidRPr="009C76DB" w:rsidRDefault="00F550FA" w:rsidP="00F550FA">
      <w:pPr>
        <w:widowControl w:val="0"/>
        <w:autoSpaceDE w:val="0"/>
        <w:autoSpaceDN w:val="0"/>
        <w:adjustRightInd w:val="0"/>
        <w:ind w:right="23"/>
        <w:jc w:val="both"/>
        <w:rPr>
          <w:rFonts w:asciiTheme="minorHAnsi" w:hAnsiTheme="minorHAnsi" w:cstheme="minorHAnsi"/>
          <w:bCs/>
          <w:sz w:val="22"/>
        </w:rPr>
      </w:pPr>
    </w:p>
    <w:p w:rsidR="00F550FA" w:rsidRPr="008965B3" w:rsidRDefault="00E52595" w:rsidP="00F550FA">
      <w:pPr>
        <w:widowControl w:val="0"/>
        <w:autoSpaceDE w:val="0"/>
        <w:autoSpaceDN w:val="0"/>
        <w:adjustRightInd w:val="0"/>
        <w:ind w:right="23"/>
        <w:jc w:val="both"/>
        <w:rPr>
          <w:rFonts w:asciiTheme="minorHAnsi" w:hAnsiTheme="minorHAnsi" w:cstheme="minorHAnsi"/>
          <w:bCs/>
          <w:sz w:val="22"/>
        </w:rPr>
      </w:pPr>
      <m:oMath>
        <m:sSub>
          <m:sSubPr>
            <m:ctrlPr>
              <w:rPr>
                <w:rFonts w:ascii="Cambria Math" w:hAnsi="Cambria Math" w:cstheme="minorHAnsi"/>
                <w:sz w:val="22"/>
              </w:rPr>
            </m:ctrlPr>
          </m:sSubPr>
          <m:e>
            <m:r>
              <m:rPr>
                <m:sty m:val="p"/>
              </m:rPr>
              <w:rPr>
                <w:rFonts w:ascii="Cambria Math" w:hAnsi="Cambria Math" w:cstheme="minorHAnsi"/>
                <w:sz w:val="22"/>
              </w:rPr>
              <m:t>BraqCU</m:t>
            </m:r>
          </m:e>
          <m:sub>
            <m:r>
              <m:rPr>
                <m:sty m:val="p"/>
              </m:rPr>
              <w:rPr>
                <w:rFonts w:ascii="Cambria Math" w:hAnsi="Cambria Math" w:cstheme="minorHAnsi"/>
                <w:sz w:val="22"/>
              </w:rPr>
              <m:t>Mt</m:t>
            </m:r>
          </m:sub>
        </m:sSub>
        <m:r>
          <m:rPr>
            <m:sty m:val="p"/>
          </m:rPr>
          <w:rPr>
            <w:rFonts w:ascii="Cambria Math" w:hAnsi="Cambria Math" w:cstheme="minorHAnsi"/>
            <w:sz w:val="22"/>
          </w:rPr>
          <m:t>=</m:t>
        </m:r>
      </m:oMath>
      <w:r w:rsidR="00F550FA">
        <w:rPr>
          <w:rFonts w:asciiTheme="minorHAnsi" w:hAnsiTheme="minorHAnsi" w:cstheme="minorHAnsi"/>
          <w:sz w:val="22"/>
        </w:rPr>
        <w:t xml:space="preserve"> N° de </w:t>
      </w:r>
      <w:r w:rsidR="00D20FD8">
        <w:rPr>
          <w:rFonts w:asciiTheme="minorHAnsi" w:hAnsiTheme="minorHAnsi" w:cstheme="minorHAnsi"/>
          <w:sz w:val="22"/>
        </w:rPr>
        <w:t>tratamientos</w:t>
      </w:r>
      <w:r w:rsidR="00F550FA">
        <w:rPr>
          <w:rFonts w:asciiTheme="minorHAnsi" w:hAnsiTheme="minorHAnsi" w:cstheme="minorHAnsi"/>
          <w:sz w:val="22"/>
        </w:rPr>
        <w:t xml:space="preserve"> de </w:t>
      </w:r>
      <w:r w:rsidR="00D20FD8">
        <w:rPr>
          <w:rFonts w:asciiTheme="minorHAnsi" w:hAnsiTheme="minorHAnsi" w:cstheme="minorHAnsi"/>
          <w:sz w:val="22"/>
        </w:rPr>
        <w:t xml:space="preserve">braquiterapia </w:t>
      </w:r>
      <w:r w:rsidR="00F550FA">
        <w:rPr>
          <w:rFonts w:asciiTheme="minorHAnsi" w:hAnsiTheme="minorHAnsi" w:cstheme="minorHAnsi"/>
          <w:sz w:val="22"/>
        </w:rPr>
        <w:t xml:space="preserve">en </w:t>
      </w:r>
      <w:r w:rsidR="00D20FD8">
        <w:rPr>
          <w:rFonts w:asciiTheme="minorHAnsi" w:hAnsiTheme="minorHAnsi" w:cstheme="minorHAnsi"/>
          <w:sz w:val="22"/>
        </w:rPr>
        <w:t xml:space="preserve">cáncer de cuello uterino en </w:t>
      </w:r>
      <w:r w:rsidR="00F550FA">
        <w:rPr>
          <w:rFonts w:asciiTheme="minorHAnsi" w:hAnsiTheme="minorHAnsi" w:cstheme="minorHAnsi"/>
          <w:sz w:val="22"/>
        </w:rPr>
        <w:t>mujeres</w:t>
      </w:r>
    </w:p>
    <w:p w:rsidR="00F550FA" w:rsidRDefault="00F550FA" w:rsidP="00F550FA">
      <w:pPr>
        <w:jc w:val="both"/>
        <w:rPr>
          <w:rFonts w:asciiTheme="minorHAnsi" w:hAnsiTheme="minorHAnsi"/>
          <w:sz w:val="22"/>
          <w:szCs w:val="22"/>
          <w:lang w:val="es-ES_tradnl"/>
        </w:rPr>
      </w:pPr>
    </w:p>
    <w:p w:rsidR="00F550FA" w:rsidRDefault="00E52595" w:rsidP="00F550FA">
      <w:pPr>
        <w:widowControl w:val="0"/>
        <w:autoSpaceDE w:val="0"/>
        <w:autoSpaceDN w:val="0"/>
        <w:adjustRightInd w:val="0"/>
        <w:ind w:right="23"/>
        <w:jc w:val="both"/>
        <w:rPr>
          <w:rFonts w:asciiTheme="minorHAnsi" w:hAnsiTheme="minorHAnsi"/>
          <w:sz w:val="22"/>
        </w:rPr>
      </w:pPr>
      <m:oMath>
        <m:d>
          <m:dPr>
            <m:ctrlPr>
              <w:rPr>
                <w:rFonts w:ascii="Cambria Math" w:hAnsi="Cambria Math" w:cstheme="minorHAnsi"/>
                <w:i/>
                <w:sz w:val="22"/>
              </w:rPr>
            </m:ctrlPr>
          </m:dPr>
          <m:e>
            <m:f>
              <m:fPr>
                <m:ctrlPr>
                  <w:rPr>
                    <w:rFonts w:ascii="Cambria Math" w:hAnsi="Cambria Math" w:cstheme="minorHAnsi"/>
                    <w:sz w:val="22"/>
                  </w:rPr>
                </m:ctrlPr>
              </m:fPr>
              <m:num>
                <m:r>
                  <w:rPr>
                    <w:rFonts w:ascii="Cambria Math" w:hAnsi="Cambria Math" w:cstheme="minorHAnsi"/>
                    <w:sz w:val="22"/>
                  </w:rPr>
                  <m:t>19,92</m:t>
                </m:r>
              </m:num>
              <m:den>
                <m:r>
                  <w:rPr>
                    <w:rFonts w:ascii="Cambria Math" w:hAnsi="Cambria Math" w:cstheme="minorHAnsi"/>
                    <w:sz w:val="22"/>
                  </w:rPr>
                  <m:t>100000</m:t>
                </m:r>
              </m:den>
            </m:f>
          </m:e>
        </m:d>
        <m:r>
          <m:rPr>
            <m:sty m:val="p"/>
          </m:rPr>
          <w:rPr>
            <w:rFonts w:ascii="Cambria Math" w:hAnsi="Cambria Math" w:cstheme="minorHAnsi"/>
            <w:sz w:val="22"/>
          </w:rPr>
          <m:t>=</m:t>
        </m:r>
      </m:oMath>
      <w:r w:rsidR="00F550FA">
        <w:rPr>
          <w:rFonts w:asciiTheme="minorHAnsi" w:hAnsiTheme="minorHAnsi"/>
          <w:sz w:val="22"/>
        </w:rPr>
        <w:t xml:space="preserve"> Tasa de incidencia cruda de cáncer </w:t>
      </w:r>
      <w:r w:rsidR="00D20FD8">
        <w:rPr>
          <w:rFonts w:asciiTheme="minorHAnsi" w:hAnsiTheme="minorHAnsi"/>
          <w:sz w:val="22"/>
        </w:rPr>
        <w:t xml:space="preserve">de </w:t>
      </w:r>
      <w:r w:rsidR="00D3593C">
        <w:rPr>
          <w:rFonts w:asciiTheme="minorHAnsi" w:hAnsiTheme="minorHAnsi"/>
          <w:sz w:val="22"/>
        </w:rPr>
        <w:t>próstata</w:t>
      </w:r>
      <w:r w:rsidR="00D20FD8">
        <w:rPr>
          <w:rFonts w:asciiTheme="minorHAnsi" w:hAnsiTheme="minorHAnsi"/>
          <w:sz w:val="22"/>
        </w:rPr>
        <w:t xml:space="preserve"> </w:t>
      </w:r>
      <w:r w:rsidR="00F550FA">
        <w:rPr>
          <w:rFonts w:asciiTheme="minorHAnsi" w:hAnsiTheme="minorHAnsi"/>
          <w:sz w:val="22"/>
        </w:rPr>
        <w:t>en hombres</w:t>
      </w:r>
    </w:p>
    <w:p w:rsidR="00F550FA" w:rsidRDefault="00F550FA" w:rsidP="00F550FA">
      <w:pPr>
        <w:widowControl w:val="0"/>
        <w:autoSpaceDE w:val="0"/>
        <w:autoSpaceDN w:val="0"/>
        <w:adjustRightInd w:val="0"/>
        <w:ind w:right="23"/>
        <w:jc w:val="both"/>
        <w:rPr>
          <w:rFonts w:asciiTheme="minorHAnsi" w:hAnsiTheme="minorHAnsi"/>
          <w:sz w:val="22"/>
          <w:szCs w:val="22"/>
          <w:lang w:val="es-ES_tradnl"/>
        </w:rPr>
      </w:pPr>
    </w:p>
    <w:p w:rsidR="00F550FA" w:rsidRDefault="00E52595" w:rsidP="00F550FA">
      <w:pPr>
        <w:widowControl w:val="0"/>
        <w:autoSpaceDE w:val="0"/>
        <w:autoSpaceDN w:val="0"/>
        <w:adjustRightInd w:val="0"/>
        <w:ind w:right="23"/>
        <w:jc w:val="both"/>
        <w:rPr>
          <w:rFonts w:asciiTheme="minorHAnsi" w:hAnsiTheme="minorHAnsi"/>
          <w:sz w:val="22"/>
        </w:rPr>
      </w:pPr>
      <m:oMath>
        <m:d>
          <m:dPr>
            <m:ctrlPr>
              <w:rPr>
                <w:rFonts w:ascii="Cambria Math" w:hAnsi="Cambria Math" w:cstheme="minorHAnsi"/>
                <w:i/>
                <w:sz w:val="22"/>
              </w:rPr>
            </m:ctrlPr>
          </m:dPr>
          <m:e>
            <m:f>
              <m:fPr>
                <m:ctrlPr>
                  <w:rPr>
                    <w:rFonts w:ascii="Cambria Math" w:hAnsi="Cambria Math" w:cstheme="minorHAnsi"/>
                    <w:sz w:val="22"/>
                  </w:rPr>
                </m:ctrlPr>
              </m:fPr>
              <m:num>
                <m:r>
                  <w:rPr>
                    <w:rFonts w:ascii="Cambria Math" w:hAnsi="Cambria Math" w:cstheme="minorHAnsi"/>
                    <w:sz w:val="22"/>
                  </w:rPr>
                  <m:t>65,13</m:t>
                </m:r>
              </m:num>
              <m:den>
                <m:r>
                  <w:rPr>
                    <w:rFonts w:ascii="Cambria Math" w:hAnsi="Cambria Math" w:cstheme="minorHAnsi"/>
                    <w:sz w:val="22"/>
                  </w:rPr>
                  <m:t>100000</m:t>
                </m:r>
              </m:den>
            </m:f>
          </m:e>
        </m:d>
        <m:r>
          <m:rPr>
            <m:sty m:val="p"/>
          </m:rPr>
          <w:rPr>
            <w:rFonts w:ascii="Cambria Math" w:hAnsi="Cambria Math" w:cstheme="minorHAnsi"/>
            <w:sz w:val="22"/>
          </w:rPr>
          <m:t>=</m:t>
        </m:r>
      </m:oMath>
      <w:r w:rsidR="00F550FA">
        <w:rPr>
          <w:rFonts w:asciiTheme="minorHAnsi" w:hAnsiTheme="minorHAnsi"/>
          <w:sz w:val="22"/>
        </w:rPr>
        <w:t xml:space="preserve"> Tasa de incidencia cruda de cáncer </w:t>
      </w:r>
      <w:r w:rsidR="00D20FD8">
        <w:rPr>
          <w:rFonts w:asciiTheme="minorHAnsi" w:hAnsiTheme="minorHAnsi"/>
          <w:sz w:val="22"/>
        </w:rPr>
        <w:t xml:space="preserve">de cuello uterino </w:t>
      </w:r>
      <w:r w:rsidR="00F550FA">
        <w:rPr>
          <w:rFonts w:asciiTheme="minorHAnsi" w:hAnsiTheme="minorHAnsi"/>
          <w:sz w:val="22"/>
        </w:rPr>
        <w:t>en mujeres</w:t>
      </w:r>
    </w:p>
    <w:p w:rsidR="00F550FA" w:rsidRDefault="00F550FA" w:rsidP="00F550FA">
      <w:pPr>
        <w:jc w:val="both"/>
        <w:rPr>
          <w:rFonts w:asciiTheme="minorHAnsi" w:hAnsiTheme="minorHAnsi"/>
          <w:sz w:val="22"/>
          <w:szCs w:val="22"/>
          <w:lang w:val="es-ES_tradnl"/>
        </w:rPr>
      </w:pPr>
    </w:p>
    <w:p w:rsidR="00F550FA" w:rsidRDefault="00F550FA" w:rsidP="00F550FA">
      <w:pPr>
        <w:jc w:val="both"/>
        <w:rPr>
          <w:rFonts w:asciiTheme="minorHAnsi" w:hAnsiTheme="minorHAnsi"/>
          <w:sz w:val="22"/>
          <w:szCs w:val="22"/>
          <w:lang w:val="es-ES_tradnl"/>
        </w:rPr>
      </w:pPr>
      <w:r>
        <w:rPr>
          <w:rFonts w:asciiTheme="minorHAnsi" w:hAnsiTheme="minorHAnsi"/>
          <w:sz w:val="22"/>
          <w:szCs w:val="22"/>
          <w:lang w:val="es-ES_tradnl"/>
        </w:rPr>
        <w:t>0,</w:t>
      </w:r>
      <w:r w:rsidR="00D20FD8">
        <w:rPr>
          <w:rFonts w:asciiTheme="minorHAnsi" w:hAnsiTheme="minorHAnsi"/>
          <w:sz w:val="22"/>
          <w:szCs w:val="22"/>
          <w:lang w:val="es-ES_tradnl"/>
        </w:rPr>
        <w:t>8</w:t>
      </w:r>
      <w:r>
        <w:rPr>
          <w:rFonts w:asciiTheme="minorHAnsi" w:hAnsiTheme="minorHAnsi"/>
          <w:sz w:val="22"/>
          <w:szCs w:val="22"/>
          <w:lang w:val="es-ES_tradnl"/>
        </w:rPr>
        <w:t xml:space="preserve"> = Tasa de casos en los que se aplica tratamiento de </w:t>
      </w:r>
      <w:r w:rsidR="00D20FD8">
        <w:rPr>
          <w:rFonts w:asciiTheme="minorHAnsi" w:hAnsiTheme="minorHAnsi" w:cstheme="minorHAnsi"/>
          <w:sz w:val="22"/>
        </w:rPr>
        <w:t>braquiterapia</w:t>
      </w:r>
    </w:p>
    <w:p w:rsidR="00F550FA" w:rsidRDefault="00F550FA" w:rsidP="00F550FA">
      <w:pPr>
        <w:jc w:val="both"/>
        <w:rPr>
          <w:rFonts w:asciiTheme="minorHAnsi" w:hAnsiTheme="minorHAnsi"/>
          <w:sz w:val="22"/>
          <w:szCs w:val="22"/>
          <w:lang w:val="es-ES_tradnl"/>
        </w:rPr>
      </w:pPr>
    </w:p>
    <w:p w:rsidR="00BB476A" w:rsidRPr="00BB476A" w:rsidRDefault="00BB476A" w:rsidP="008A366B">
      <w:pPr>
        <w:pStyle w:val="Heading2"/>
        <w:numPr>
          <w:ilvl w:val="1"/>
          <w:numId w:val="1"/>
        </w:numPr>
        <w:spacing w:line="276" w:lineRule="auto"/>
        <w:rPr>
          <w:rFonts w:asciiTheme="minorHAnsi" w:hAnsiTheme="minorHAnsi" w:cstheme="minorHAnsi"/>
        </w:rPr>
      </w:pPr>
      <w:bookmarkStart w:id="56" w:name="_Toc373093520"/>
      <w:r w:rsidRPr="00BB476A">
        <w:rPr>
          <w:rFonts w:asciiTheme="minorHAnsi" w:hAnsiTheme="minorHAnsi" w:cstheme="minorHAnsi"/>
        </w:rPr>
        <w:t xml:space="preserve">Estudio de medicina nuclear con </w:t>
      </w:r>
      <w:r w:rsidR="00D3593C" w:rsidRPr="00BB476A">
        <w:rPr>
          <w:rFonts w:asciiTheme="minorHAnsi" w:hAnsiTheme="minorHAnsi" w:cstheme="minorHAnsi"/>
        </w:rPr>
        <w:t>Gamma cámara</w:t>
      </w:r>
      <w:bookmarkEnd w:id="56"/>
    </w:p>
    <w:p w:rsidR="00BB476A" w:rsidRDefault="00BB476A">
      <w:pPr>
        <w:rPr>
          <w:rFonts w:asciiTheme="minorHAnsi" w:hAnsiTheme="minorHAnsi" w:cstheme="minorHAnsi"/>
          <w:bCs/>
          <w:sz w:val="22"/>
        </w:rPr>
      </w:pPr>
    </w:p>
    <w:p w:rsidR="00BB476A" w:rsidRPr="00BB476A" w:rsidRDefault="00BB476A" w:rsidP="00BB476A">
      <w:pPr>
        <w:jc w:val="both"/>
        <w:rPr>
          <w:rFonts w:asciiTheme="minorHAnsi" w:hAnsiTheme="minorHAnsi"/>
          <w:sz w:val="22"/>
          <w:szCs w:val="22"/>
        </w:rPr>
      </w:pPr>
      <w:r w:rsidRPr="00BB476A">
        <w:rPr>
          <w:rFonts w:asciiTheme="minorHAnsi" w:hAnsiTheme="minorHAnsi"/>
          <w:sz w:val="22"/>
          <w:szCs w:val="22"/>
        </w:rPr>
        <w:t xml:space="preserve">La estimación del número de este tipo de </w:t>
      </w:r>
      <w:r w:rsidR="00322011">
        <w:rPr>
          <w:rFonts w:asciiTheme="minorHAnsi" w:hAnsiTheme="minorHAnsi"/>
          <w:sz w:val="22"/>
          <w:szCs w:val="22"/>
        </w:rPr>
        <w:t xml:space="preserve">estudios de </w:t>
      </w:r>
      <w:r w:rsidRPr="00BB476A">
        <w:rPr>
          <w:rFonts w:asciiTheme="minorHAnsi" w:hAnsiTheme="minorHAnsi"/>
          <w:sz w:val="22"/>
          <w:szCs w:val="22"/>
        </w:rPr>
        <w:t>diagnóstico depende de las consultas externas de especialidad y complementarias, nuestra aproximación será a partir de la siguiente expresión:</w:t>
      </w:r>
    </w:p>
    <w:p w:rsidR="00BB476A" w:rsidRPr="00BB476A" w:rsidRDefault="00BB476A" w:rsidP="00BB476A">
      <w:pPr>
        <w:jc w:val="both"/>
        <w:rPr>
          <w:rFonts w:asciiTheme="minorHAnsi" w:hAnsiTheme="minorHAnsi"/>
          <w:sz w:val="22"/>
          <w:szCs w:val="22"/>
        </w:rPr>
      </w:pPr>
    </w:p>
    <w:p w:rsidR="00BB476A" w:rsidRPr="00BB476A" w:rsidRDefault="00E52595" w:rsidP="00BB476A">
      <w:pPr>
        <w:jc w:val="both"/>
        <w:rPr>
          <w:rFonts w:asciiTheme="minorHAnsi" w:hAnsiTheme="minorHAnsi"/>
          <w:sz w:val="22"/>
          <w:szCs w:val="22"/>
        </w:rPr>
      </w:pPr>
      <m:oMathPara>
        <m:oMathParaPr>
          <m:jc m:val="left"/>
        </m:oMathParaPr>
        <m:oMath>
          <m:sSub>
            <m:sSubPr>
              <m:ctrlPr>
                <w:rPr>
                  <w:rFonts w:ascii="Cambria Math" w:hAnsi="Cambria Math"/>
                  <w:sz w:val="22"/>
                  <w:szCs w:val="22"/>
                </w:rPr>
              </m:ctrlPr>
            </m:sSubPr>
            <m:e>
              <m:r>
                <m:rPr>
                  <m:sty m:val="p"/>
                </m:rPr>
                <w:rPr>
                  <w:rFonts w:ascii="Cambria Math" w:hAnsi="Cambria Math"/>
                  <w:sz w:val="22"/>
                  <w:szCs w:val="22"/>
                </w:rPr>
                <m:t>Cent</m:t>
              </m:r>
            </m:e>
            <m:sub>
              <m:r>
                <m:rPr>
                  <m:sty m:val="p"/>
                </m:rPr>
                <w:rPr>
                  <w:rFonts w:ascii="Cambria Math" w:hAnsi="Cambria Math"/>
                  <w:sz w:val="22"/>
                  <w:szCs w:val="22"/>
                </w:rPr>
                <m:t>t</m:t>
              </m:r>
            </m:sub>
          </m:sSub>
          <m:r>
            <m:rPr>
              <m:sty m:val="p"/>
            </m:rPr>
            <w:rPr>
              <w:rFonts w:ascii="Cambria Math" w:hAnsi="Cambria Math"/>
              <w:sz w:val="22"/>
              <w:szCs w:val="22"/>
            </w:rPr>
            <m:t>=f∙</m:t>
          </m:r>
          <m:sSub>
            <m:sSubPr>
              <m:ctrlPr>
                <w:rPr>
                  <w:rFonts w:ascii="Cambria Math" w:hAnsi="Cambria Math"/>
                  <w:sz w:val="22"/>
                  <w:szCs w:val="22"/>
                </w:rPr>
              </m:ctrlPr>
            </m:sSubPr>
            <m:e>
              <m:r>
                <m:rPr>
                  <m:sty m:val="p"/>
                </m:rPr>
                <w:rPr>
                  <w:rFonts w:ascii="Cambria Math" w:hAnsi="Cambria Math"/>
                  <w:sz w:val="22"/>
                  <w:szCs w:val="22"/>
                </w:rPr>
                <m:t>CE</m:t>
              </m:r>
            </m:e>
            <m:sub>
              <m:r>
                <m:rPr>
                  <m:sty m:val="p"/>
                </m:rPr>
                <w:rPr>
                  <w:rFonts w:ascii="Cambria Math" w:hAnsi="Cambria Math"/>
                  <w:sz w:val="22"/>
                  <w:szCs w:val="22"/>
                </w:rPr>
                <m:t>t</m:t>
              </m:r>
            </m:sub>
          </m:sSub>
        </m:oMath>
      </m:oMathPara>
    </w:p>
    <w:p w:rsidR="00BB476A" w:rsidRPr="00BB476A" w:rsidRDefault="00BB476A" w:rsidP="00BB476A">
      <w:pPr>
        <w:jc w:val="both"/>
        <w:rPr>
          <w:rFonts w:asciiTheme="minorHAnsi" w:hAnsiTheme="minorHAnsi"/>
          <w:sz w:val="22"/>
          <w:szCs w:val="22"/>
        </w:rPr>
      </w:pPr>
    </w:p>
    <w:p w:rsidR="00BB476A" w:rsidRPr="00BB476A" w:rsidRDefault="00BB476A" w:rsidP="00BB476A">
      <w:pPr>
        <w:jc w:val="both"/>
        <w:rPr>
          <w:rFonts w:asciiTheme="minorHAnsi" w:hAnsiTheme="minorHAnsi"/>
          <w:sz w:val="22"/>
          <w:szCs w:val="22"/>
        </w:rPr>
      </w:pPr>
      <w:r w:rsidRPr="00BB476A">
        <w:rPr>
          <w:rFonts w:asciiTheme="minorHAnsi" w:hAnsiTheme="minorHAnsi"/>
          <w:sz w:val="22"/>
          <w:szCs w:val="22"/>
        </w:rPr>
        <w:t>Donde,</w:t>
      </w:r>
    </w:p>
    <w:p w:rsidR="00BB476A" w:rsidRPr="00BB476A" w:rsidRDefault="00BB476A" w:rsidP="00BB476A">
      <w:pPr>
        <w:jc w:val="both"/>
        <w:rPr>
          <w:rFonts w:asciiTheme="minorHAnsi" w:hAnsiTheme="minorHAnsi"/>
          <w:sz w:val="22"/>
          <w:szCs w:val="22"/>
        </w:rPr>
      </w:pPr>
    </w:p>
    <w:p w:rsidR="00BB476A" w:rsidRPr="00BB476A" w:rsidRDefault="00BB476A" w:rsidP="00BB476A">
      <w:pPr>
        <w:jc w:val="both"/>
        <w:rPr>
          <w:rFonts w:asciiTheme="minorHAnsi" w:hAnsiTheme="minorHAnsi"/>
          <w:sz w:val="22"/>
          <w:szCs w:val="22"/>
        </w:rPr>
      </w:pPr>
      <w:r w:rsidRPr="00BB476A">
        <w:rPr>
          <w:rFonts w:asciiTheme="minorHAnsi" w:hAnsiTheme="minorHAnsi"/>
          <w:sz w:val="22"/>
          <w:szCs w:val="22"/>
        </w:rPr>
        <w:t>Cent</w:t>
      </w:r>
      <w:r w:rsidRPr="00BB476A">
        <w:rPr>
          <w:rFonts w:asciiTheme="minorHAnsi" w:hAnsiTheme="minorHAnsi"/>
          <w:sz w:val="22"/>
          <w:szCs w:val="22"/>
          <w:vertAlign w:val="subscript"/>
        </w:rPr>
        <w:t>t</w:t>
      </w:r>
      <w:r w:rsidRPr="00BB476A">
        <w:rPr>
          <w:rFonts w:asciiTheme="minorHAnsi" w:hAnsiTheme="minorHAnsi"/>
          <w:sz w:val="22"/>
          <w:szCs w:val="22"/>
        </w:rPr>
        <w:t xml:space="preserve"> = Número de centelleos en el periodo t</w:t>
      </w:r>
    </w:p>
    <w:p w:rsidR="00BB476A" w:rsidRDefault="00BB476A" w:rsidP="00BB476A">
      <w:pPr>
        <w:jc w:val="both"/>
        <w:rPr>
          <w:rFonts w:asciiTheme="minorHAnsi" w:hAnsiTheme="minorHAnsi"/>
          <w:sz w:val="22"/>
          <w:szCs w:val="22"/>
        </w:rPr>
      </w:pPr>
    </w:p>
    <w:p w:rsidR="00BB476A" w:rsidRPr="00BB476A" w:rsidRDefault="00BB476A" w:rsidP="00BB476A">
      <w:pPr>
        <w:jc w:val="both"/>
        <w:rPr>
          <w:rFonts w:asciiTheme="minorHAnsi" w:hAnsiTheme="minorHAnsi"/>
          <w:sz w:val="22"/>
          <w:szCs w:val="22"/>
        </w:rPr>
      </w:pPr>
      <w:r w:rsidRPr="00BB476A">
        <w:rPr>
          <w:rFonts w:asciiTheme="minorHAnsi" w:hAnsiTheme="minorHAnsi"/>
          <w:sz w:val="22"/>
          <w:szCs w:val="22"/>
        </w:rPr>
        <w:t>f = Coeficiente que indica número de centelleos por consulta externa de especialidad y complementaria.</w:t>
      </w:r>
    </w:p>
    <w:p w:rsidR="00BB476A" w:rsidRPr="00BB476A" w:rsidRDefault="00BB476A" w:rsidP="00BB476A">
      <w:pPr>
        <w:jc w:val="both"/>
        <w:rPr>
          <w:rFonts w:asciiTheme="minorHAnsi" w:hAnsiTheme="minorHAnsi"/>
          <w:sz w:val="22"/>
          <w:szCs w:val="22"/>
        </w:rPr>
      </w:pPr>
    </w:p>
    <w:p w:rsidR="00BB476A" w:rsidRPr="00BB476A" w:rsidRDefault="00BB476A" w:rsidP="00BB476A">
      <w:pPr>
        <w:jc w:val="both"/>
        <w:rPr>
          <w:rFonts w:asciiTheme="minorHAnsi" w:hAnsiTheme="minorHAnsi"/>
          <w:sz w:val="22"/>
          <w:szCs w:val="22"/>
        </w:rPr>
      </w:pPr>
      <w:r w:rsidRPr="00BB476A">
        <w:rPr>
          <w:rFonts w:asciiTheme="minorHAnsi" w:hAnsiTheme="minorHAnsi"/>
          <w:sz w:val="22"/>
          <w:szCs w:val="22"/>
        </w:rPr>
        <w:t xml:space="preserve">El valor del coeficiente </w:t>
      </w:r>
      <w:r>
        <w:rPr>
          <w:rFonts w:asciiTheme="minorHAnsi" w:hAnsiTheme="minorHAnsi"/>
          <w:sz w:val="22"/>
          <w:szCs w:val="22"/>
        </w:rPr>
        <w:t>f lo asumimos</w:t>
      </w:r>
      <w:r w:rsidRPr="00BB476A">
        <w:rPr>
          <w:rFonts w:asciiTheme="minorHAnsi" w:hAnsiTheme="minorHAnsi"/>
          <w:sz w:val="22"/>
          <w:szCs w:val="22"/>
        </w:rPr>
        <w:t xml:space="preserve"> igual a 0,0248.</w:t>
      </w:r>
      <w:r>
        <w:rPr>
          <w:rStyle w:val="FootnoteReference"/>
          <w:rFonts w:asciiTheme="minorHAnsi" w:hAnsiTheme="minorHAnsi"/>
          <w:sz w:val="22"/>
          <w:szCs w:val="22"/>
        </w:rPr>
        <w:footnoteReference w:id="48"/>
      </w:r>
      <w:r w:rsidRPr="00BB476A">
        <w:rPr>
          <w:rFonts w:asciiTheme="minorHAnsi" w:hAnsiTheme="minorHAnsi"/>
          <w:sz w:val="22"/>
          <w:szCs w:val="22"/>
        </w:rPr>
        <w:t xml:space="preserve"> </w:t>
      </w:r>
    </w:p>
    <w:p w:rsidR="000F285D" w:rsidRDefault="000F285D" w:rsidP="005527FA">
      <w:pPr>
        <w:rPr>
          <w:rFonts w:asciiTheme="minorHAnsi" w:hAnsiTheme="minorHAnsi" w:cstheme="minorHAnsi"/>
          <w:bCs/>
          <w:sz w:val="22"/>
        </w:rPr>
      </w:pPr>
    </w:p>
    <w:p w:rsidR="0092738A" w:rsidRDefault="0092738A">
      <w:pPr>
        <w:rPr>
          <w:rFonts w:asciiTheme="minorHAnsi" w:hAnsiTheme="minorHAnsi" w:cstheme="minorHAnsi"/>
          <w:bCs/>
          <w:sz w:val="22"/>
        </w:rPr>
      </w:pPr>
      <w:r>
        <w:rPr>
          <w:rFonts w:asciiTheme="minorHAnsi" w:hAnsiTheme="minorHAnsi" w:cstheme="minorHAnsi"/>
          <w:bCs/>
          <w:sz w:val="22"/>
        </w:rPr>
        <w:br w:type="page"/>
      </w:r>
    </w:p>
    <w:p w:rsidR="00AA2389" w:rsidRDefault="00FB11A8" w:rsidP="000E565D">
      <w:pPr>
        <w:pStyle w:val="Heading1"/>
      </w:pPr>
      <w:bookmarkStart w:id="57" w:name="_Toc373093521"/>
      <w:r>
        <w:lastRenderedPageBreak/>
        <w:t>OFERTA POTENCIAL SITUACIÓN SIN PROYECTO</w:t>
      </w:r>
      <w:bookmarkEnd w:id="57"/>
    </w:p>
    <w:p w:rsidR="00503624" w:rsidRDefault="00503624" w:rsidP="00044AFD">
      <w:pPr>
        <w:jc w:val="both"/>
        <w:rPr>
          <w:rFonts w:asciiTheme="minorHAnsi" w:hAnsiTheme="minorHAnsi" w:cstheme="minorHAnsi"/>
          <w:sz w:val="22"/>
        </w:rPr>
      </w:pPr>
    </w:p>
    <w:p w:rsidR="00AE7235" w:rsidRDefault="00044AFD" w:rsidP="00044AFD">
      <w:pPr>
        <w:jc w:val="both"/>
        <w:rPr>
          <w:rFonts w:asciiTheme="minorHAnsi" w:hAnsiTheme="minorHAnsi" w:cstheme="minorHAnsi"/>
          <w:sz w:val="22"/>
        </w:rPr>
      </w:pPr>
      <w:r>
        <w:rPr>
          <w:rFonts w:asciiTheme="minorHAnsi" w:hAnsiTheme="minorHAnsi" w:cstheme="minorHAnsi"/>
          <w:sz w:val="22"/>
        </w:rPr>
        <w:t xml:space="preserve">La oferta potencial estimada a continuación corresponde a una situación ideal, u </w:t>
      </w:r>
      <w:r w:rsidRPr="00682181">
        <w:rPr>
          <w:rFonts w:asciiTheme="minorHAnsi" w:hAnsiTheme="minorHAnsi" w:cstheme="minorHAnsi"/>
          <w:i/>
          <w:sz w:val="22"/>
        </w:rPr>
        <w:t>optimizada</w:t>
      </w:r>
      <w:r>
        <w:rPr>
          <w:rFonts w:asciiTheme="minorHAnsi" w:hAnsiTheme="minorHAnsi" w:cstheme="minorHAnsi"/>
          <w:sz w:val="22"/>
        </w:rPr>
        <w:t>, de pleno uso de los recursos disponibles, como suele denominarse en los libros de texto.</w:t>
      </w:r>
      <w:r>
        <w:rPr>
          <w:rStyle w:val="FootnoteReference"/>
          <w:rFonts w:asciiTheme="minorHAnsi" w:hAnsiTheme="minorHAnsi" w:cstheme="minorHAnsi"/>
          <w:sz w:val="22"/>
        </w:rPr>
        <w:footnoteReference w:id="49"/>
      </w:r>
      <w:r>
        <w:rPr>
          <w:rFonts w:asciiTheme="minorHAnsi" w:hAnsiTheme="minorHAnsi" w:cstheme="minorHAnsi"/>
          <w:sz w:val="22"/>
        </w:rPr>
        <w:t xml:space="preserve"> Con esto se quiere decir que lo más probable es que el número de consultas obtenida de esta manera no sea el observado en la cotidianidad de operación de un Hospital de El Alto. Sin embargo, como se recomienda en este tipo de casos, lo que se sugiere es considerar la </w:t>
      </w:r>
      <w:r w:rsidRPr="00044AFD">
        <w:rPr>
          <w:rFonts w:asciiTheme="minorHAnsi" w:hAnsiTheme="minorHAnsi" w:cstheme="minorHAnsi"/>
          <w:i/>
          <w:sz w:val="22"/>
        </w:rPr>
        <w:t>capacidad óptima</w:t>
      </w:r>
      <w:r>
        <w:rPr>
          <w:rFonts w:asciiTheme="minorHAnsi" w:hAnsiTheme="minorHAnsi" w:cstheme="minorHAnsi"/>
          <w:sz w:val="22"/>
        </w:rPr>
        <w:t>, que es el camino que se sigue en este estudio.</w:t>
      </w:r>
    </w:p>
    <w:p w:rsidR="00503624" w:rsidRDefault="00503624" w:rsidP="00503624">
      <w:pPr>
        <w:jc w:val="both"/>
        <w:rPr>
          <w:rFonts w:asciiTheme="minorHAnsi" w:hAnsiTheme="minorHAnsi"/>
          <w:sz w:val="22"/>
        </w:rPr>
      </w:pPr>
    </w:p>
    <w:p w:rsidR="00503624" w:rsidRDefault="00503624" w:rsidP="00503624">
      <w:pPr>
        <w:jc w:val="both"/>
        <w:rPr>
          <w:rFonts w:asciiTheme="minorHAnsi" w:hAnsiTheme="minorHAnsi"/>
          <w:sz w:val="22"/>
        </w:rPr>
      </w:pPr>
      <w:r w:rsidRPr="005D51C3">
        <w:rPr>
          <w:rFonts w:asciiTheme="minorHAnsi" w:hAnsiTheme="minorHAnsi"/>
          <w:sz w:val="22"/>
        </w:rPr>
        <w:t xml:space="preserve">Antes de mostrar los resultados globales de la situación </w:t>
      </w:r>
      <w:r>
        <w:rPr>
          <w:rFonts w:asciiTheme="minorHAnsi" w:hAnsiTheme="minorHAnsi"/>
          <w:sz w:val="22"/>
        </w:rPr>
        <w:t>sin</w:t>
      </w:r>
      <w:r w:rsidRPr="005D51C3">
        <w:rPr>
          <w:rFonts w:asciiTheme="minorHAnsi" w:hAnsiTheme="minorHAnsi"/>
          <w:sz w:val="22"/>
        </w:rPr>
        <w:t xml:space="preserve"> proyecto</w:t>
      </w:r>
      <w:r>
        <w:rPr>
          <w:rFonts w:asciiTheme="minorHAnsi" w:hAnsiTheme="minorHAnsi"/>
          <w:sz w:val="22"/>
        </w:rPr>
        <w:t>, se muestra en la Tabla 4</w:t>
      </w:r>
      <w:r w:rsidRPr="005D51C3">
        <w:rPr>
          <w:rFonts w:asciiTheme="minorHAnsi" w:hAnsiTheme="minorHAnsi"/>
          <w:sz w:val="22"/>
        </w:rPr>
        <w:t>.1 la s</w:t>
      </w:r>
      <w:r>
        <w:rPr>
          <w:rFonts w:asciiTheme="minorHAnsi" w:hAnsiTheme="minorHAnsi"/>
          <w:sz w:val="22"/>
        </w:rPr>
        <w:t>í</w:t>
      </w:r>
      <w:r w:rsidRPr="005D51C3">
        <w:rPr>
          <w:rFonts w:asciiTheme="minorHAnsi" w:hAnsiTheme="minorHAnsi"/>
          <w:sz w:val="22"/>
        </w:rPr>
        <w:t>ntesis de capacidad hospita</w:t>
      </w:r>
      <w:r>
        <w:rPr>
          <w:rFonts w:asciiTheme="minorHAnsi" w:hAnsiTheme="minorHAnsi"/>
          <w:sz w:val="22"/>
        </w:rPr>
        <w:t>l</w:t>
      </w:r>
      <w:r w:rsidRPr="005D51C3">
        <w:rPr>
          <w:rFonts w:asciiTheme="minorHAnsi" w:hAnsiTheme="minorHAnsi"/>
          <w:sz w:val="22"/>
        </w:rPr>
        <w:t xml:space="preserve">aria de referencia, de la cual se desprende la situación de oferta potencial de la situación sin </w:t>
      </w:r>
      <w:r>
        <w:rPr>
          <w:rFonts w:asciiTheme="minorHAnsi" w:hAnsiTheme="minorHAnsi"/>
          <w:sz w:val="22"/>
        </w:rPr>
        <w:t>y</w:t>
      </w:r>
      <w:r w:rsidRPr="005D51C3">
        <w:rPr>
          <w:rFonts w:asciiTheme="minorHAnsi" w:hAnsiTheme="minorHAnsi"/>
          <w:sz w:val="22"/>
        </w:rPr>
        <w:t xml:space="preserve"> con proyecto.</w:t>
      </w:r>
      <w:r>
        <w:rPr>
          <w:rFonts w:asciiTheme="minorHAnsi" w:hAnsiTheme="minorHAnsi"/>
          <w:sz w:val="22"/>
        </w:rPr>
        <w:t xml:space="preserve"> La referencia a la capacidad de oferta del Hospital El Alto Norte no se encuentra en esta tabla, no obstante se consideró la adición de oferta de ese proyecto en construcción en la estimación de la oferta en la situación sin proyecto, de acuerdo al itinerario temporal de puesta de marcha establecido en el documento </w:t>
      </w:r>
      <w:r w:rsidRPr="003417F3">
        <w:rPr>
          <w:rFonts w:asciiTheme="minorHAnsi" w:hAnsiTheme="minorHAnsi"/>
          <w:sz w:val="22"/>
          <w:szCs w:val="22"/>
        </w:rPr>
        <w:t>“</w:t>
      </w:r>
      <w:r w:rsidRPr="003417F3">
        <w:rPr>
          <w:rFonts w:asciiTheme="minorHAnsi" w:hAnsiTheme="minorHAnsi"/>
          <w:sz w:val="22"/>
          <w:szCs w:val="22"/>
          <w:lang w:val="es-CL"/>
        </w:rPr>
        <w:t>Plan de apertura del Hospital del Norte. Servicio Departamental de Salud, La Paz, Bolivia”.</w:t>
      </w:r>
    </w:p>
    <w:p w:rsidR="00503624" w:rsidRDefault="00503624" w:rsidP="00503624">
      <w:pPr>
        <w:jc w:val="both"/>
        <w:rPr>
          <w:rFonts w:asciiTheme="minorHAnsi" w:hAnsiTheme="minorHAnsi"/>
          <w:sz w:val="22"/>
        </w:rPr>
      </w:pPr>
    </w:p>
    <w:p w:rsidR="00503624" w:rsidRDefault="00503624" w:rsidP="00503624">
      <w:pPr>
        <w:rPr>
          <w:rFonts w:asciiTheme="minorHAnsi" w:hAnsiTheme="minorHAnsi"/>
          <w:sz w:val="22"/>
        </w:rPr>
      </w:pPr>
      <w:r>
        <w:rPr>
          <w:rFonts w:asciiTheme="minorHAnsi" w:hAnsiTheme="minorHAnsi"/>
          <w:sz w:val="22"/>
        </w:rPr>
        <w:br w:type="page"/>
      </w:r>
    </w:p>
    <w:p w:rsidR="00503624" w:rsidRDefault="00503624" w:rsidP="00503624">
      <w:pPr>
        <w:jc w:val="both"/>
        <w:rPr>
          <w:rFonts w:asciiTheme="minorHAnsi" w:hAnsiTheme="minorHAnsi"/>
          <w:sz w:val="22"/>
        </w:rPr>
      </w:pPr>
      <w:r>
        <w:rPr>
          <w:rFonts w:asciiTheme="minorHAnsi" w:hAnsiTheme="minorHAnsi"/>
          <w:sz w:val="22"/>
        </w:rPr>
        <w:lastRenderedPageBreak/>
        <w:t xml:space="preserve">Tabla 4.1: </w:t>
      </w:r>
      <w:r w:rsidR="00170192">
        <w:rPr>
          <w:rFonts w:asciiTheme="minorHAnsi" w:hAnsiTheme="minorHAnsi"/>
          <w:sz w:val="22"/>
        </w:rPr>
        <w:t>Síntesis</w:t>
      </w:r>
      <w:r>
        <w:rPr>
          <w:rFonts w:asciiTheme="minorHAnsi" w:hAnsiTheme="minorHAnsi"/>
          <w:sz w:val="22"/>
        </w:rPr>
        <w:t xml:space="preserve"> de capacidad hospitalaria</w:t>
      </w:r>
    </w:p>
    <w:tbl>
      <w:tblPr>
        <w:tblStyle w:val="LightShading-Accent1"/>
        <w:tblW w:w="9054" w:type="dxa"/>
        <w:tblLook w:val="04A0" w:firstRow="1" w:lastRow="0" w:firstColumn="1" w:lastColumn="0" w:noHBand="0" w:noVBand="1"/>
      </w:tblPr>
      <w:tblGrid>
        <w:gridCol w:w="2699"/>
        <w:gridCol w:w="931"/>
        <w:gridCol w:w="1270"/>
        <w:gridCol w:w="811"/>
        <w:gridCol w:w="727"/>
        <w:gridCol w:w="1227"/>
        <w:gridCol w:w="1389"/>
      </w:tblGrid>
      <w:tr w:rsidR="00503624" w:rsidRPr="00503624" w:rsidTr="0050362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rPr>
                <w:rFonts w:asciiTheme="minorHAnsi" w:hAnsiTheme="minorHAnsi"/>
                <w:color w:val="000000"/>
                <w:sz w:val="18"/>
                <w:szCs w:val="18"/>
                <w:lang w:val="es-CL" w:eastAsia="es-CL"/>
              </w:rPr>
            </w:pPr>
          </w:p>
        </w:tc>
        <w:tc>
          <w:tcPr>
            <w:tcW w:w="931" w:type="dxa"/>
            <w:noWrap/>
            <w:hideMark/>
          </w:tcPr>
          <w:p w:rsidR="00503624" w:rsidRPr="00503624" w:rsidRDefault="00503624" w:rsidP="00170192">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Hospital Sur</w:t>
            </w:r>
          </w:p>
        </w:tc>
        <w:tc>
          <w:tcPr>
            <w:tcW w:w="1270" w:type="dxa"/>
            <w:noWrap/>
            <w:hideMark/>
          </w:tcPr>
          <w:p w:rsidR="00503624" w:rsidRPr="00503624" w:rsidRDefault="00503624" w:rsidP="0017019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Boliviano Holandés</w:t>
            </w:r>
          </w:p>
        </w:tc>
        <w:tc>
          <w:tcPr>
            <w:tcW w:w="811" w:type="dxa"/>
            <w:noWrap/>
            <w:hideMark/>
          </w:tcPr>
          <w:p w:rsidR="00503624" w:rsidRPr="00503624" w:rsidRDefault="00503624" w:rsidP="0017019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Los Andes</w:t>
            </w:r>
          </w:p>
        </w:tc>
        <w:tc>
          <w:tcPr>
            <w:tcW w:w="727" w:type="dxa"/>
            <w:noWrap/>
            <w:hideMark/>
          </w:tcPr>
          <w:p w:rsidR="00503624" w:rsidRPr="00503624" w:rsidRDefault="00503624" w:rsidP="0017019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Corea</w:t>
            </w:r>
          </w:p>
        </w:tc>
        <w:tc>
          <w:tcPr>
            <w:tcW w:w="1227" w:type="dxa"/>
            <w:noWrap/>
            <w:hideMark/>
          </w:tcPr>
          <w:p w:rsidR="00503624" w:rsidRPr="00503624" w:rsidRDefault="00503624" w:rsidP="0017019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Hospital del niño (Oncología)</w:t>
            </w:r>
          </w:p>
        </w:tc>
        <w:tc>
          <w:tcPr>
            <w:tcW w:w="1389" w:type="dxa"/>
            <w:noWrap/>
            <w:hideMark/>
          </w:tcPr>
          <w:p w:rsidR="00503624" w:rsidRPr="00503624" w:rsidRDefault="00503624" w:rsidP="0017019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Hospital de Clínicas (Oncología)</w:t>
            </w:r>
          </w:p>
        </w:tc>
      </w:tr>
      <w:tr w:rsidR="00503624" w:rsidRPr="00503624" w:rsidTr="005036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N° de camas</w:t>
            </w:r>
          </w:p>
        </w:tc>
        <w:tc>
          <w:tcPr>
            <w:tcW w:w="93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140</w:t>
            </w:r>
          </w:p>
        </w:tc>
        <w:tc>
          <w:tcPr>
            <w:tcW w:w="1270"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158</w:t>
            </w:r>
          </w:p>
        </w:tc>
        <w:tc>
          <w:tcPr>
            <w:tcW w:w="81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65</w:t>
            </w:r>
          </w:p>
        </w:tc>
        <w:tc>
          <w:tcPr>
            <w:tcW w:w="7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95</w:t>
            </w:r>
          </w:p>
        </w:tc>
        <w:tc>
          <w:tcPr>
            <w:tcW w:w="12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N° de Quirófanos</w:t>
            </w:r>
          </w:p>
        </w:tc>
        <w:tc>
          <w:tcPr>
            <w:tcW w:w="93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270"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5</w:t>
            </w:r>
          </w:p>
        </w:tc>
        <w:tc>
          <w:tcPr>
            <w:tcW w:w="81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2</w:t>
            </w:r>
          </w:p>
        </w:tc>
        <w:tc>
          <w:tcPr>
            <w:tcW w:w="7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4</w:t>
            </w:r>
          </w:p>
        </w:tc>
        <w:tc>
          <w:tcPr>
            <w:tcW w:w="12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Ginecológico</w:t>
            </w:r>
          </w:p>
        </w:tc>
        <w:tc>
          <w:tcPr>
            <w:tcW w:w="93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w:t>
            </w:r>
          </w:p>
        </w:tc>
        <w:tc>
          <w:tcPr>
            <w:tcW w:w="1270"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81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Generales</w:t>
            </w:r>
          </w:p>
        </w:tc>
        <w:tc>
          <w:tcPr>
            <w:tcW w:w="93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4</w:t>
            </w:r>
          </w:p>
        </w:tc>
        <w:tc>
          <w:tcPr>
            <w:tcW w:w="1270"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81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N° de Consultorios especialidades</w:t>
            </w:r>
          </w:p>
        </w:tc>
        <w:tc>
          <w:tcPr>
            <w:tcW w:w="93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21</w:t>
            </w:r>
          </w:p>
        </w:tc>
        <w:tc>
          <w:tcPr>
            <w:tcW w:w="1270"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13</w:t>
            </w:r>
          </w:p>
        </w:tc>
        <w:tc>
          <w:tcPr>
            <w:tcW w:w="81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6</w:t>
            </w:r>
          </w:p>
        </w:tc>
        <w:tc>
          <w:tcPr>
            <w:tcW w:w="7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14</w:t>
            </w:r>
          </w:p>
        </w:tc>
        <w:tc>
          <w:tcPr>
            <w:tcW w:w="12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04E7" w:rsidRDefault="00503624" w:rsidP="00170192">
            <w:pPr>
              <w:jc w:val="both"/>
              <w:rPr>
                <w:rFonts w:asciiTheme="minorHAnsi" w:hAnsiTheme="minorHAnsi"/>
                <w:b w:val="0"/>
                <w:bCs w:val="0"/>
                <w:color w:val="000000"/>
                <w:sz w:val="18"/>
                <w:szCs w:val="18"/>
                <w:lang w:val="pt-BR" w:eastAsia="es-CL"/>
              </w:rPr>
            </w:pPr>
            <w:r w:rsidRPr="005004E7">
              <w:rPr>
                <w:rFonts w:asciiTheme="minorHAnsi" w:hAnsiTheme="minorHAnsi"/>
                <w:color w:val="000000"/>
                <w:sz w:val="18"/>
                <w:szCs w:val="18"/>
                <w:lang w:val="pt-BR" w:eastAsia="es-CL"/>
              </w:rPr>
              <w:t>N° de Consultorios especialidades radio terapia</w:t>
            </w:r>
          </w:p>
        </w:tc>
        <w:tc>
          <w:tcPr>
            <w:tcW w:w="93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2</w:t>
            </w:r>
          </w:p>
        </w:tc>
        <w:tc>
          <w:tcPr>
            <w:tcW w:w="1270"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81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2</w:t>
            </w:r>
          </w:p>
        </w:tc>
      </w:tr>
      <w:tr w:rsidR="00503624" w:rsidRPr="00503624" w:rsidTr="005036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N° consultorios urgencia</w:t>
            </w:r>
          </w:p>
        </w:tc>
        <w:tc>
          <w:tcPr>
            <w:tcW w:w="93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6</w:t>
            </w:r>
          </w:p>
        </w:tc>
        <w:tc>
          <w:tcPr>
            <w:tcW w:w="1270"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2 y 4 cubículos</w:t>
            </w:r>
          </w:p>
        </w:tc>
        <w:tc>
          <w:tcPr>
            <w:tcW w:w="81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p>
        </w:tc>
        <w:tc>
          <w:tcPr>
            <w:tcW w:w="93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270"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81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Imagenología</w:t>
            </w:r>
          </w:p>
        </w:tc>
        <w:tc>
          <w:tcPr>
            <w:tcW w:w="93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270"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81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N° endoscopios</w:t>
            </w:r>
          </w:p>
        </w:tc>
        <w:tc>
          <w:tcPr>
            <w:tcW w:w="93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4</w:t>
            </w:r>
          </w:p>
        </w:tc>
        <w:tc>
          <w:tcPr>
            <w:tcW w:w="1270"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w:t>
            </w:r>
          </w:p>
        </w:tc>
        <w:tc>
          <w:tcPr>
            <w:tcW w:w="81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w:t>
            </w:r>
          </w:p>
        </w:tc>
        <w:tc>
          <w:tcPr>
            <w:tcW w:w="12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N° ecógrafo</w:t>
            </w:r>
          </w:p>
        </w:tc>
        <w:tc>
          <w:tcPr>
            <w:tcW w:w="93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w:t>
            </w:r>
          </w:p>
        </w:tc>
        <w:tc>
          <w:tcPr>
            <w:tcW w:w="1270"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w:t>
            </w:r>
          </w:p>
        </w:tc>
        <w:tc>
          <w:tcPr>
            <w:tcW w:w="81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w:t>
            </w:r>
          </w:p>
        </w:tc>
        <w:tc>
          <w:tcPr>
            <w:tcW w:w="7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2</w:t>
            </w:r>
          </w:p>
        </w:tc>
        <w:tc>
          <w:tcPr>
            <w:tcW w:w="12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N° Ecógrafo convencional</w:t>
            </w:r>
          </w:p>
        </w:tc>
        <w:tc>
          <w:tcPr>
            <w:tcW w:w="93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2</w:t>
            </w:r>
          </w:p>
        </w:tc>
        <w:tc>
          <w:tcPr>
            <w:tcW w:w="1270"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81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N° Mamógrafo digital</w:t>
            </w:r>
          </w:p>
        </w:tc>
        <w:tc>
          <w:tcPr>
            <w:tcW w:w="93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w:t>
            </w:r>
          </w:p>
        </w:tc>
        <w:tc>
          <w:tcPr>
            <w:tcW w:w="1270"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81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N° Ecotomógrafo</w:t>
            </w:r>
          </w:p>
        </w:tc>
        <w:tc>
          <w:tcPr>
            <w:tcW w:w="93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w:t>
            </w:r>
          </w:p>
        </w:tc>
        <w:tc>
          <w:tcPr>
            <w:tcW w:w="1270"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81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N° Rx</w:t>
            </w:r>
          </w:p>
        </w:tc>
        <w:tc>
          <w:tcPr>
            <w:tcW w:w="93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w:t>
            </w:r>
          </w:p>
        </w:tc>
        <w:tc>
          <w:tcPr>
            <w:tcW w:w="1270"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2</w:t>
            </w:r>
          </w:p>
        </w:tc>
        <w:tc>
          <w:tcPr>
            <w:tcW w:w="81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w:t>
            </w:r>
          </w:p>
        </w:tc>
        <w:tc>
          <w:tcPr>
            <w:tcW w:w="7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2</w:t>
            </w:r>
          </w:p>
        </w:tc>
        <w:tc>
          <w:tcPr>
            <w:tcW w:w="12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N° Scanner TAC</w:t>
            </w:r>
          </w:p>
        </w:tc>
        <w:tc>
          <w:tcPr>
            <w:tcW w:w="93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w:t>
            </w:r>
          </w:p>
        </w:tc>
        <w:tc>
          <w:tcPr>
            <w:tcW w:w="1270"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w:t>
            </w:r>
          </w:p>
        </w:tc>
        <w:tc>
          <w:tcPr>
            <w:tcW w:w="81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N° Resonancia magnética</w:t>
            </w:r>
          </w:p>
        </w:tc>
        <w:tc>
          <w:tcPr>
            <w:tcW w:w="93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w:t>
            </w:r>
          </w:p>
        </w:tc>
        <w:tc>
          <w:tcPr>
            <w:tcW w:w="1270"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81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N° Sillones de quimioterapia</w:t>
            </w:r>
          </w:p>
        </w:tc>
        <w:tc>
          <w:tcPr>
            <w:tcW w:w="93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6</w:t>
            </w:r>
          </w:p>
        </w:tc>
        <w:tc>
          <w:tcPr>
            <w:tcW w:w="1270"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81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4</w:t>
            </w:r>
          </w:p>
        </w:tc>
      </w:tr>
      <w:tr w:rsidR="00503624" w:rsidRPr="00503624" w:rsidTr="005036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color w:val="000000"/>
                <w:sz w:val="18"/>
                <w:szCs w:val="18"/>
                <w:lang w:val="es-CL" w:eastAsia="es-CL"/>
              </w:rPr>
            </w:pPr>
          </w:p>
        </w:tc>
        <w:tc>
          <w:tcPr>
            <w:tcW w:w="93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270"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81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Diálisis</w:t>
            </w:r>
          </w:p>
        </w:tc>
        <w:tc>
          <w:tcPr>
            <w:tcW w:w="93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270"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81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N° sillones hemodiálisis</w:t>
            </w:r>
          </w:p>
        </w:tc>
        <w:tc>
          <w:tcPr>
            <w:tcW w:w="93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12</w:t>
            </w:r>
          </w:p>
        </w:tc>
        <w:tc>
          <w:tcPr>
            <w:tcW w:w="1270"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17</w:t>
            </w:r>
          </w:p>
        </w:tc>
        <w:tc>
          <w:tcPr>
            <w:tcW w:w="81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 xml:space="preserve">Sala </w:t>
            </w:r>
            <w:r w:rsidR="00170192" w:rsidRPr="00503624">
              <w:rPr>
                <w:rFonts w:asciiTheme="minorHAnsi" w:hAnsiTheme="minorHAnsi"/>
                <w:color w:val="000000"/>
                <w:sz w:val="18"/>
                <w:szCs w:val="18"/>
                <w:lang w:val="es-CL" w:eastAsia="es-CL"/>
              </w:rPr>
              <w:t>peritoneo diálisis</w:t>
            </w:r>
            <w:r w:rsidRPr="00503624">
              <w:rPr>
                <w:rFonts w:asciiTheme="minorHAnsi" w:hAnsiTheme="minorHAnsi"/>
                <w:color w:val="000000"/>
                <w:sz w:val="18"/>
                <w:szCs w:val="18"/>
                <w:lang w:val="es-CL" w:eastAsia="es-CL"/>
              </w:rPr>
              <w:t xml:space="preserve"> </w:t>
            </w:r>
          </w:p>
        </w:tc>
        <w:tc>
          <w:tcPr>
            <w:tcW w:w="93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270"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81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Unidad Radioterapia y Radioisótopos</w:t>
            </w:r>
          </w:p>
        </w:tc>
        <w:tc>
          <w:tcPr>
            <w:tcW w:w="93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270"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81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N° Consultas oncología</w:t>
            </w:r>
          </w:p>
        </w:tc>
        <w:tc>
          <w:tcPr>
            <w:tcW w:w="93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270"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81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w:t>
            </w:r>
          </w:p>
        </w:tc>
        <w:tc>
          <w:tcPr>
            <w:tcW w:w="1389"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 xml:space="preserve">N° Acelerador lineal </w:t>
            </w:r>
          </w:p>
        </w:tc>
        <w:tc>
          <w:tcPr>
            <w:tcW w:w="93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w:t>
            </w:r>
          </w:p>
        </w:tc>
        <w:tc>
          <w:tcPr>
            <w:tcW w:w="1270"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811"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r>
      <w:tr w:rsidR="00503624" w:rsidRPr="00503624" w:rsidTr="00503624">
        <w:trPr>
          <w:trHeight w:val="20"/>
        </w:trPr>
        <w:tc>
          <w:tcPr>
            <w:cnfStyle w:val="001000000000" w:firstRow="0" w:lastRow="0" w:firstColumn="1" w:lastColumn="0" w:oddVBand="0" w:evenVBand="0" w:oddHBand="0" w:evenHBand="0" w:firstRowFirstColumn="0" w:firstRowLastColumn="0" w:lastRowFirstColumn="0" w:lastRowLastColumn="0"/>
            <w:tcW w:w="2699" w:type="dxa"/>
            <w:noWrap/>
            <w:hideMark/>
          </w:tcPr>
          <w:p w:rsidR="00503624" w:rsidRPr="00503624" w:rsidRDefault="00503624" w:rsidP="00170192">
            <w:pPr>
              <w:jc w:val="both"/>
              <w:rPr>
                <w:rFonts w:asciiTheme="minorHAnsi" w:hAnsiTheme="minorHAnsi"/>
                <w:b w:val="0"/>
                <w:bCs w:val="0"/>
                <w:color w:val="000000"/>
                <w:sz w:val="18"/>
                <w:szCs w:val="18"/>
                <w:lang w:val="es-CL" w:eastAsia="es-CL"/>
              </w:rPr>
            </w:pPr>
            <w:r w:rsidRPr="00503624">
              <w:rPr>
                <w:rFonts w:asciiTheme="minorHAnsi" w:hAnsiTheme="minorHAnsi"/>
                <w:color w:val="000000"/>
                <w:sz w:val="18"/>
                <w:szCs w:val="18"/>
                <w:lang w:val="es-CL" w:eastAsia="es-CL"/>
              </w:rPr>
              <w:t>Cobalto 60</w:t>
            </w:r>
          </w:p>
        </w:tc>
        <w:tc>
          <w:tcPr>
            <w:tcW w:w="93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270"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811"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7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227"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1389" w:type="dxa"/>
            <w:noWrap/>
            <w:hideMark/>
          </w:tcPr>
          <w:p w:rsidR="00503624" w:rsidRPr="00503624" w:rsidRDefault="00503624" w:rsidP="001701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3624">
              <w:rPr>
                <w:rFonts w:asciiTheme="minorHAnsi" w:hAnsiTheme="minorHAnsi"/>
                <w:color w:val="000000"/>
                <w:sz w:val="18"/>
                <w:szCs w:val="18"/>
                <w:lang w:val="es-CL" w:eastAsia="es-CL"/>
              </w:rPr>
              <w:t>1</w:t>
            </w:r>
          </w:p>
        </w:tc>
      </w:tr>
    </w:tbl>
    <w:p w:rsidR="00503624" w:rsidRPr="00503624" w:rsidRDefault="00503624" w:rsidP="00503624">
      <w:pPr>
        <w:jc w:val="both"/>
        <w:rPr>
          <w:rFonts w:asciiTheme="minorHAnsi" w:hAnsiTheme="minorHAnsi"/>
          <w:sz w:val="18"/>
        </w:rPr>
      </w:pPr>
      <w:r w:rsidRPr="00503624">
        <w:rPr>
          <w:rFonts w:asciiTheme="minorHAnsi" w:hAnsiTheme="minorHAnsi"/>
          <w:sz w:val="18"/>
        </w:rPr>
        <w:t xml:space="preserve">Fuente: Tabla construida sobre la base de información proporcionada por la Dra. </w:t>
      </w:r>
      <w:r w:rsidR="00170192" w:rsidRPr="00503624">
        <w:rPr>
          <w:rFonts w:asciiTheme="minorHAnsi" w:hAnsiTheme="minorHAnsi"/>
          <w:sz w:val="18"/>
        </w:rPr>
        <w:t>Lourdes</w:t>
      </w:r>
      <w:r w:rsidRPr="00503624">
        <w:rPr>
          <w:rFonts w:asciiTheme="minorHAnsi" w:hAnsiTheme="minorHAnsi"/>
          <w:sz w:val="18"/>
        </w:rPr>
        <w:t xml:space="preserve"> Murillo para los hospitales de El Alto, y por el equipo de la Misión del BID para el caso </w:t>
      </w:r>
      <w:r w:rsidR="00170192" w:rsidRPr="00503624">
        <w:rPr>
          <w:rFonts w:asciiTheme="minorHAnsi" w:hAnsiTheme="minorHAnsi"/>
          <w:sz w:val="18"/>
        </w:rPr>
        <w:t>del</w:t>
      </w:r>
      <w:r w:rsidRPr="00503624">
        <w:rPr>
          <w:rFonts w:asciiTheme="minorHAnsi" w:hAnsiTheme="minorHAnsi"/>
          <w:sz w:val="18"/>
        </w:rPr>
        <w:t xml:space="preserve"> Hospital de El Alto Sur.</w:t>
      </w:r>
    </w:p>
    <w:p w:rsidR="0092738A" w:rsidRDefault="0092738A" w:rsidP="00044AFD">
      <w:pPr>
        <w:jc w:val="both"/>
        <w:rPr>
          <w:rFonts w:asciiTheme="minorHAnsi" w:hAnsiTheme="minorHAnsi" w:cstheme="minorHAnsi"/>
          <w:sz w:val="22"/>
        </w:rPr>
      </w:pPr>
    </w:p>
    <w:p w:rsidR="00C00203" w:rsidRPr="00322011" w:rsidRDefault="00C00203" w:rsidP="00617C78">
      <w:pPr>
        <w:pStyle w:val="Heading2"/>
        <w:numPr>
          <w:ilvl w:val="1"/>
          <w:numId w:val="1"/>
        </w:numPr>
        <w:spacing w:after="480"/>
        <w:rPr>
          <w:rFonts w:asciiTheme="minorHAnsi" w:hAnsiTheme="minorHAnsi"/>
          <w:lang w:val="es-ES_tradnl"/>
        </w:rPr>
      </w:pPr>
      <w:bookmarkStart w:id="58" w:name="_Toc373093522"/>
      <w:r w:rsidRPr="00322011">
        <w:rPr>
          <w:rFonts w:asciiTheme="minorHAnsi" w:hAnsiTheme="minorHAnsi"/>
          <w:lang w:val="es-ES_tradnl"/>
        </w:rPr>
        <w:t>Consultas de especialidad</w:t>
      </w:r>
      <w:bookmarkEnd w:id="58"/>
    </w:p>
    <w:p w:rsidR="00C00203" w:rsidRPr="009C76DB" w:rsidRDefault="00C00203" w:rsidP="00B902DA">
      <w:pPr>
        <w:keepNext/>
        <w:widowControl w:val="0"/>
        <w:autoSpaceDE w:val="0"/>
        <w:autoSpaceDN w:val="0"/>
        <w:adjustRightInd w:val="0"/>
        <w:spacing w:after="240"/>
        <w:ind w:right="23"/>
        <w:jc w:val="both"/>
        <w:rPr>
          <w:rFonts w:asciiTheme="minorHAnsi" w:hAnsiTheme="minorHAnsi" w:cstheme="minorHAnsi"/>
          <w:bCs/>
          <w:color w:val="000000"/>
          <w:sz w:val="18"/>
          <w:szCs w:val="20"/>
        </w:rPr>
      </w:pPr>
      <w:r w:rsidRPr="009C76DB">
        <w:rPr>
          <w:rFonts w:asciiTheme="minorHAnsi" w:hAnsiTheme="minorHAnsi" w:cstheme="minorHAnsi"/>
          <w:bCs/>
          <w:color w:val="000000"/>
          <w:sz w:val="22"/>
          <w:szCs w:val="22"/>
        </w:rPr>
        <w:t xml:space="preserve">En la Tabla </w:t>
      </w:r>
      <w:r w:rsidR="004D3B86">
        <w:rPr>
          <w:rFonts w:asciiTheme="minorHAnsi" w:hAnsiTheme="minorHAnsi" w:cstheme="minorHAnsi"/>
          <w:bCs/>
          <w:color w:val="000000"/>
          <w:sz w:val="22"/>
          <w:szCs w:val="22"/>
        </w:rPr>
        <w:t>4</w:t>
      </w:r>
      <w:r w:rsidR="00B902DA">
        <w:rPr>
          <w:rFonts w:asciiTheme="minorHAnsi" w:hAnsiTheme="minorHAnsi" w:cstheme="minorHAnsi"/>
          <w:bCs/>
          <w:color w:val="000000"/>
          <w:sz w:val="22"/>
          <w:szCs w:val="22"/>
        </w:rPr>
        <w:t>.</w:t>
      </w:r>
      <w:r w:rsidR="00503624">
        <w:rPr>
          <w:rFonts w:asciiTheme="minorHAnsi" w:hAnsiTheme="minorHAnsi" w:cstheme="minorHAnsi"/>
          <w:bCs/>
          <w:color w:val="000000"/>
          <w:sz w:val="22"/>
          <w:szCs w:val="22"/>
        </w:rPr>
        <w:t>2</w:t>
      </w:r>
      <w:r w:rsidRPr="009C76DB">
        <w:rPr>
          <w:rFonts w:asciiTheme="minorHAnsi" w:hAnsiTheme="minorHAnsi" w:cstheme="minorHAnsi"/>
          <w:bCs/>
          <w:color w:val="000000"/>
          <w:sz w:val="22"/>
          <w:szCs w:val="22"/>
        </w:rPr>
        <w:t xml:space="preserve"> se observa la capacidad actual de brindar consultas de especialidad a la población de referencia. S</w:t>
      </w:r>
      <w:r w:rsidR="00B902DA">
        <w:rPr>
          <w:rFonts w:asciiTheme="minorHAnsi" w:hAnsiTheme="minorHAnsi" w:cstheme="minorHAnsi"/>
          <w:bCs/>
          <w:color w:val="000000"/>
          <w:sz w:val="22"/>
          <w:szCs w:val="22"/>
        </w:rPr>
        <w:t>e considera un horario de atención a público de 6 horas.</w:t>
      </w:r>
      <w:r w:rsidR="00322011">
        <w:rPr>
          <w:rStyle w:val="FootnoteReference"/>
          <w:rFonts w:asciiTheme="minorHAnsi" w:hAnsiTheme="minorHAnsi" w:cstheme="minorHAnsi"/>
          <w:bCs/>
          <w:color w:val="000000"/>
          <w:sz w:val="22"/>
          <w:szCs w:val="22"/>
        </w:rPr>
        <w:footnoteReference w:id="50"/>
      </w:r>
      <w:r w:rsidR="00B902DA">
        <w:rPr>
          <w:rFonts w:asciiTheme="minorHAnsi" w:hAnsiTheme="minorHAnsi" w:cstheme="minorHAnsi"/>
          <w:bCs/>
          <w:color w:val="000000"/>
          <w:sz w:val="22"/>
          <w:szCs w:val="22"/>
        </w:rPr>
        <w:t xml:space="preserve"> El tiempo promedio de atención por </w:t>
      </w:r>
      <w:r w:rsidR="0096165A">
        <w:rPr>
          <w:rFonts w:asciiTheme="minorHAnsi" w:hAnsiTheme="minorHAnsi" w:cstheme="minorHAnsi"/>
          <w:bCs/>
          <w:color w:val="000000"/>
          <w:sz w:val="22"/>
          <w:szCs w:val="22"/>
        </w:rPr>
        <w:t>consulta</w:t>
      </w:r>
      <w:r w:rsidR="00B902DA">
        <w:rPr>
          <w:rFonts w:asciiTheme="minorHAnsi" w:hAnsiTheme="minorHAnsi" w:cstheme="minorHAnsi"/>
          <w:bCs/>
          <w:color w:val="000000"/>
          <w:sz w:val="22"/>
          <w:szCs w:val="22"/>
        </w:rPr>
        <w:t xml:space="preserve"> es de 15 minutos,</w:t>
      </w:r>
      <w:r w:rsidR="00617C78">
        <w:rPr>
          <w:rStyle w:val="FootnoteReference"/>
          <w:rFonts w:asciiTheme="minorHAnsi" w:hAnsiTheme="minorHAnsi" w:cstheme="minorHAnsi"/>
          <w:bCs/>
          <w:color w:val="000000"/>
          <w:sz w:val="22"/>
          <w:szCs w:val="22"/>
        </w:rPr>
        <w:footnoteReference w:id="51"/>
      </w:r>
      <w:r w:rsidR="00B902DA">
        <w:rPr>
          <w:rFonts w:asciiTheme="minorHAnsi" w:hAnsiTheme="minorHAnsi" w:cstheme="minorHAnsi"/>
          <w:bCs/>
          <w:color w:val="000000"/>
          <w:sz w:val="22"/>
          <w:szCs w:val="22"/>
        </w:rPr>
        <w:t xml:space="preserve"> se consideran un total de 250 días laborales al año, y el </w:t>
      </w:r>
      <w:r w:rsidR="0096165A">
        <w:rPr>
          <w:rFonts w:asciiTheme="minorHAnsi" w:hAnsiTheme="minorHAnsi" w:cstheme="minorHAnsi"/>
          <w:bCs/>
          <w:color w:val="000000"/>
          <w:sz w:val="22"/>
          <w:szCs w:val="22"/>
        </w:rPr>
        <w:lastRenderedPageBreak/>
        <w:t>número</w:t>
      </w:r>
      <w:r w:rsidR="00B902DA">
        <w:rPr>
          <w:rFonts w:asciiTheme="minorHAnsi" w:hAnsiTheme="minorHAnsi" w:cstheme="minorHAnsi"/>
          <w:bCs/>
          <w:color w:val="000000"/>
          <w:sz w:val="22"/>
          <w:szCs w:val="22"/>
        </w:rPr>
        <w:t xml:space="preserve"> actual de consultorios es de </w:t>
      </w:r>
      <w:r w:rsidR="00617C78">
        <w:rPr>
          <w:rFonts w:asciiTheme="minorHAnsi" w:hAnsiTheme="minorHAnsi" w:cstheme="minorHAnsi"/>
          <w:bCs/>
          <w:color w:val="000000"/>
          <w:sz w:val="22"/>
          <w:szCs w:val="22"/>
        </w:rPr>
        <w:t xml:space="preserve">33, los cuales aumentaran producto de la puesta en marcha del Hospital El Alto Norte de acuerdo a lo que se establece </w:t>
      </w:r>
      <w:r w:rsidR="00170192">
        <w:rPr>
          <w:rFonts w:asciiTheme="minorHAnsi" w:hAnsiTheme="minorHAnsi" w:cstheme="minorHAnsi"/>
          <w:bCs/>
          <w:color w:val="000000"/>
          <w:sz w:val="22"/>
          <w:szCs w:val="22"/>
        </w:rPr>
        <w:t>en</w:t>
      </w:r>
      <w:r w:rsidR="00617C78">
        <w:rPr>
          <w:rFonts w:asciiTheme="minorHAnsi" w:hAnsiTheme="minorHAnsi" w:cstheme="minorHAnsi"/>
          <w:bCs/>
          <w:color w:val="000000"/>
          <w:sz w:val="22"/>
          <w:szCs w:val="22"/>
        </w:rPr>
        <w:t xml:space="preserve"> la Tabla 4.</w:t>
      </w:r>
      <w:r w:rsidR="00503624">
        <w:rPr>
          <w:rFonts w:asciiTheme="minorHAnsi" w:hAnsiTheme="minorHAnsi" w:cstheme="minorHAnsi"/>
          <w:bCs/>
          <w:color w:val="000000"/>
          <w:sz w:val="22"/>
          <w:szCs w:val="22"/>
        </w:rPr>
        <w:t>2</w:t>
      </w:r>
      <w:r w:rsidR="00B902DA">
        <w:rPr>
          <w:rFonts w:asciiTheme="minorHAnsi" w:hAnsiTheme="minorHAnsi" w:cstheme="minorHAnsi"/>
          <w:bCs/>
          <w:color w:val="000000"/>
          <w:sz w:val="22"/>
          <w:szCs w:val="22"/>
        </w:rPr>
        <w:t xml:space="preserve">. </w:t>
      </w:r>
      <w:r w:rsidR="0096165A">
        <w:rPr>
          <w:rFonts w:asciiTheme="minorHAnsi" w:hAnsiTheme="minorHAnsi" w:cstheme="minorHAnsi"/>
          <w:bCs/>
          <w:color w:val="000000"/>
          <w:sz w:val="22"/>
          <w:szCs w:val="22"/>
        </w:rPr>
        <w:t>Considerando</w:t>
      </w:r>
      <w:r w:rsidR="00B902DA">
        <w:rPr>
          <w:rFonts w:asciiTheme="minorHAnsi" w:hAnsiTheme="minorHAnsi" w:cstheme="minorHAnsi"/>
          <w:bCs/>
          <w:color w:val="000000"/>
          <w:sz w:val="22"/>
          <w:szCs w:val="22"/>
        </w:rPr>
        <w:t xml:space="preserve"> un a factor de ajuste de 85%, la </w:t>
      </w:r>
      <w:r w:rsidR="0096165A">
        <w:rPr>
          <w:rFonts w:asciiTheme="minorHAnsi" w:hAnsiTheme="minorHAnsi" w:cstheme="minorHAnsi"/>
          <w:bCs/>
          <w:color w:val="000000"/>
          <w:sz w:val="22"/>
          <w:szCs w:val="22"/>
        </w:rPr>
        <w:t>oferta</w:t>
      </w:r>
      <w:r w:rsidR="00B902DA">
        <w:rPr>
          <w:rFonts w:asciiTheme="minorHAnsi" w:hAnsiTheme="minorHAnsi" w:cstheme="minorHAnsi"/>
          <w:bCs/>
          <w:color w:val="000000"/>
          <w:sz w:val="22"/>
          <w:szCs w:val="22"/>
        </w:rPr>
        <w:t xml:space="preserve"> potencial actual es de 91.800 consultas externas de especialidad por año.</w:t>
      </w:r>
      <w:r w:rsidRPr="009C76DB">
        <w:rPr>
          <w:rFonts w:asciiTheme="minorHAnsi" w:hAnsiTheme="minorHAnsi" w:cstheme="minorHAnsi"/>
          <w:bCs/>
          <w:color w:val="000000"/>
          <w:sz w:val="22"/>
          <w:szCs w:val="22"/>
        </w:rPr>
        <w:t xml:space="preserve"> </w:t>
      </w:r>
    </w:p>
    <w:p w:rsidR="00C00203" w:rsidRPr="009C76DB" w:rsidRDefault="00C00203" w:rsidP="00C00203">
      <w:pPr>
        <w:keepNext/>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color w:val="000000"/>
          <w:sz w:val="22"/>
        </w:rPr>
        <w:t xml:space="preserve">Tabla </w:t>
      </w:r>
      <w:r w:rsidR="004D3B86">
        <w:rPr>
          <w:rFonts w:asciiTheme="minorHAnsi" w:hAnsiTheme="minorHAnsi" w:cstheme="minorHAnsi"/>
          <w:bCs/>
          <w:color w:val="000000"/>
          <w:sz w:val="22"/>
        </w:rPr>
        <w:t>4</w:t>
      </w:r>
      <w:r w:rsidRPr="009C76DB">
        <w:rPr>
          <w:rFonts w:asciiTheme="minorHAnsi" w:hAnsiTheme="minorHAnsi" w:cstheme="minorHAnsi"/>
          <w:bCs/>
          <w:color w:val="000000"/>
          <w:sz w:val="22"/>
        </w:rPr>
        <w:t>.</w:t>
      </w:r>
      <w:r w:rsidR="00503624">
        <w:rPr>
          <w:rFonts w:asciiTheme="minorHAnsi" w:hAnsiTheme="minorHAnsi" w:cstheme="minorHAnsi"/>
          <w:bCs/>
          <w:color w:val="000000"/>
          <w:sz w:val="22"/>
        </w:rPr>
        <w:t>2</w:t>
      </w:r>
      <w:r w:rsidRPr="009C76DB">
        <w:rPr>
          <w:rFonts w:asciiTheme="minorHAnsi" w:hAnsiTheme="minorHAnsi" w:cstheme="minorHAnsi"/>
          <w:bCs/>
          <w:color w:val="000000"/>
          <w:sz w:val="22"/>
        </w:rPr>
        <w:t>: Capacidad anual actual de los servicios de consultas de especialidad</w:t>
      </w:r>
      <w:r w:rsidRPr="009C76DB">
        <w:rPr>
          <w:rFonts w:asciiTheme="minorHAnsi" w:hAnsiTheme="minorHAnsi" w:cstheme="minorHAnsi"/>
          <w:bCs/>
          <w:sz w:val="22"/>
        </w:rPr>
        <w:tab/>
      </w:r>
    </w:p>
    <w:tbl>
      <w:tblPr>
        <w:tblStyle w:val="LightShading-Accent3"/>
        <w:tblW w:w="9054" w:type="dxa"/>
        <w:tblLook w:val="04A0" w:firstRow="1" w:lastRow="0" w:firstColumn="1" w:lastColumn="0" w:noHBand="0" w:noVBand="1"/>
      </w:tblPr>
      <w:tblGrid>
        <w:gridCol w:w="722"/>
        <w:gridCol w:w="1821"/>
        <w:gridCol w:w="1364"/>
        <w:gridCol w:w="1350"/>
        <w:gridCol w:w="1383"/>
        <w:gridCol w:w="2414"/>
      </w:tblGrid>
      <w:tr w:rsidR="00A26950" w:rsidRPr="00AB7175" w:rsidTr="009D12C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2" w:type="dxa"/>
            <w:noWrap/>
            <w:vAlign w:val="center"/>
            <w:hideMark/>
          </w:tcPr>
          <w:p w:rsidR="0076318F" w:rsidRPr="009D12C8" w:rsidRDefault="009D12C8" w:rsidP="009D12C8">
            <w:pPr>
              <w:jc w:val="center"/>
              <w:rPr>
                <w:rFonts w:ascii="Calibri" w:hAnsi="Calibri"/>
                <w:b w:val="0"/>
                <w:color w:val="000000"/>
                <w:sz w:val="20"/>
                <w:szCs w:val="20"/>
              </w:rPr>
            </w:pPr>
            <w:r w:rsidRPr="009D12C8">
              <w:rPr>
                <w:rFonts w:ascii="Calibri" w:hAnsi="Calibri"/>
                <w:b w:val="0"/>
                <w:bCs w:val="0"/>
                <w:color w:val="000000"/>
                <w:sz w:val="20"/>
                <w:szCs w:val="20"/>
              </w:rPr>
              <w:t>Año</w:t>
            </w:r>
          </w:p>
        </w:tc>
        <w:tc>
          <w:tcPr>
            <w:tcW w:w="1821" w:type="dxa"/>
            <w:noWrap/>
            <w:vAlign w:val="center"/>
            <w:hideMark/>
          </w:tcPr>
          <w:p w:rsidR="0076318F" w:rsidRPr="00AB7175" w:rsidRDefault="0076318F" w:rsidP="009D12C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b w:val="0"/>
                <w:bCs w:val="0"/>
                <w:color w:val="000000"/>
                <w:sz w:val="20"/>
                <w:szCs w:val="20"/>
              </w:rPr>
              <w:t>Nº de consultorios</w:t>
            </w:r>
          </w:p>
        </w:tc>
        <w:tc>
          <w:tcPr>
            <w:tcW w:w="1364" w:type="dxa"/>
            <w:noWrap/>
            <w:vAlign w:val="center"/>
            <w:hideMark/>
          </w:tcPr>
          <w:p w:rsidR="0076318F" w:rsidRPr="00AB7175" w:rsidRDefault="0076318F" w:rsidP="009D12C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b w:val="0"/>
                <w:bCs w:val="0"/>
                <w:color w:val="000000"/>
                <w:sz w:val="20"/>
                <w:szCs w:val="20"/>
              </w:rPr>
              <w:t>Horas efectivas de atención al día</w:t>
            </w:r>
          </w:p>
        </w:tc>
        <w:tc>
          <w:tcPr>
            <w:tcW w:w="1350" w:type="dxa"/>
            <w:noWrap/>
            <w:vAlign w:val="center"/>
            <w:hideMark/>
          </w:tcPr>
          <w:p w:rsidR="0076318F" w:rsidRPr="00AB7175" w:rsidRDefault="0076318F" w:rsidP="009D12C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b w:val="0"/>
                <w:bCs w:val="0"/>
                <w:color w:val="000000"/>
                <w:sz w:val="20"/>
                <w:szCs w:val="20"/>
              </w:rPr>
              <w:t>Tiempo promedio por consulta (min)</w:t>
            </w:r>
          </w:p>
        </w:tc>
        <w:tc>
          <w:tcPr>
            <w:tcW w:w="1383" w:type="dxa"/>
            <w:noWrap/>
            <w:vAlign w:val="center"/>
            <w:hideMark/>
          </w:tcPr>
          <w:p w:rsidR="0076318F" w:rsidRPr="00AB7175" w:rsidRDefault="0076318F" w:rsidP="009D12C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b w:val="0"/>
                <w:bCs w:val="0"/>
                <w:color w:val="000000"/>
                <w:sz w:val="20"/>
                <w:szCs w:val="20"/>
              </w:rPr>
              <w:t>Nº de consultas al día</w:t>
            </w:r>
          </w:p>
        </w:tc>
        <w:tc>
          <w:tcPr>
            <w:tcW w:w="2414" w:type="dxa"/>
            <w:noWrap/>
            <w:vAlign w:val="center"/>
            <w:hideMark/>
          </w:tcPr>
          <w:p w:rsidR="0076318F" w:rsidRPr="00AB7175" w:rsidRDefault="0076318F" w:rsidP="009D12C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b w:val="0"/>
                <w:bCs w:val="0"/>
                <w:color w:val="000000"/>
                <w:sz w:val="20"/>
                <w:szCs w:val="20"/>
              </w:rPr>
              <w:t>Capacidad óptima anual (85%)</w:t>
            </w:r>
          </w:p>
        </w:tc>
      </w:tr>
      <w:tr w:rsidR="00A26950" w:rsidRPr="00AB7175" w:rsidTr="009D12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2" w:type="dxa"/>
            <w:noWrap/>
            <w:hideMark/>
          </w:tcPr>
          <w:p w:rsidR="00A26950" w:rsidRPr="009D12C8" w:rsidRDefault="00A26950" w:rsidP="009D12C8">
            <w:pPr>
              <w:jc w:val="center"/>
              <w:rPr>
                <w:rFonts w:ascii="Calibri" w:hAnsi="Calibri"/>
                <w:b w:val="0"/>
                <w:color w:val="000000"/>
                <w:sz w:val="20"/>
                <w:szCs w:val="20"/>
              </w:rPr>
            </w:pPr>
            <w:r w:rsidRPr="009D12C8">
              <w:rPr>
                <w:rFonts w:ascii="Calibri" w:hAnsi="Calibri"/>
                <w:b w:val="0"/>
                <w:bCs w:val="0"/>
                <w:color w:val="000000"/>
                <w:sz w:val="20"/>
                <w:szCs w:val="20"/>
              </w:rPr>
              <w:t>2013</w:t>
            </w:r>
          </w:p>
        </w:tc>
        <w:tc>
          <w:tcPr>
            <w:tcW w:w="1821" w:type="dxa"/>
            <w:noWrap/>
            <w:hideMark/>
          </w:tcPr>
          <w:p w:rsidR="00A26950" w:rsidRPr="00AB7175" w:rsidRDefault="00A26950" w:rsidP="00A9589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33</w:t>
            </w:r>
          </w:p>
        </w:tc>
        <w:tc>
          <w:tcPr>
            <w:tcW w:w="1364" w:type="dxa"/>
            <w:noWrap/>
            <w:hideMark/>
          </w:tcPr>
          <w:p w:rsidR="00A26950" w:rsidRPr="00AB7175" w:rsidRDefault="00A26950" w:rsidP="0032201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6</w:t>
            </w:r>
          </w:p>
        </w:tc>
        <w:tc>
          <w:tcPr>
            <w:tcW w:w="1350" w:type="dxa"/>
            <w:noWrap/>
            <w:hideMark/>
          </w:tcPr>
          <w:p w:rsidR="00A26950" w:rsidRPr="00AB7175" w:rsidRDefault="00A26950" w:rsidP="0032201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15</w:t>
            </w:r>
          </w:p>
        </w:tc>
        <w:tc>
          <w:tcPr>
            <w:tcW w:w="1383" w:type="dxa"/>
            <w:noWrap/>
            <w:hideMark/>
          </w:tcPr>
          <w:p w:rsidR="00A26950" w:rsidRPr="00AB7175" w:rsidRDefault="00A26950" w:rsidP="0032201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792</w:t>
            </w:r>
          </w:p>
        </w:tc>
        <w:tc>
          <w:tcPr>
            <w:tcW w:w="2414" w:type="dxa"/>
            <w:noWrap/>
            <w:hideMark/>
          </w:tcPr>
          <w:p w:rsidR="00A26950" w:rsidRPr="00AB7175" w:rsidRDefault="00A26950" w:rsidP="0032201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154.836</w:t>
            </w:r>
          </w:p>
        </w:tc>
      </w:tr>
      <w:tr w:rsidR="00A26950" w:rsidRPr="00AB7175" w:rsidTr="009D12C8">
        <w:trPr>
          <w:trHeight w:val="20"/>
        </w:trPr>
        <w:tc>
          <w:tcPr>
            <w:cnfStyle w:val="001000000000" w:firstRow="0" w:lastRow="0" w:firstColumn="1" w:lastColumn="0" w:oddVBand="0" w:evenVBand="0" w:oddHBand="0" w:evenHBand="0" w:firstRowFirstColumn="0" w:firstRowLastColumn="0" w:lastRowFirstColumn="0" w:lastRowLastColumn="0"/>
            <w:tcW w:w="722" w:type="dxa"/>
            <w:noWrap/>
            <w:hideMark/>
          </w:tcPr>
          <w:p w:rsidR="00A26950" w:rsidRPr="009D12C8" w:rsidRDefault="009D12C8" w:rsidP="009D12C8">
            <w:pPr>
              <w:jc w:val="center"/>
              <w:rPr>
                <w:rFonts w:ascii="Calibri" w:hAnsi="Calibri"/>
                <w:b w:val="0"/>
                <w:color w:val="000000"/>
                <w:sz w:val="20"/>
                <w:szCs w:val="20"/>
              </w:rPr>
            </w:pPr>
            <w:r w:rsidRPr="009D12C8">
              <w:rPr>
                <w:rFonts w:ascii="Calibri" w:hAnsi="Calibri"/>
                <w:b w:val="0"/>
                <w:color w:val="000000"/>
                <w:sz w:val="20"/>
                <w:szCs w:val="20"/>
              </w:rPr>
              <w:t>2014</w:t>
            </w:r>
          </w:p>
        </w:tc>
        <w:tc>
          <w:tcPr>
            <w:tcW w:w="1821" w:type="dxa"/>
            <w:noWrap/>
            <w:hideMark/>
          </w:tcPr>
          <w:p w:rsidR="00A26950" w:rsidRPr="00AB7175" w:rsidRDefault="00A2695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42</w:t>
            </w:r>
          </w:p>
        </w:tc>
        <w:tc>
          <w:tcPr>
            <w:tcW w:w="1364" w:type="dxa"/>
            <w:noWrap/>
            <w:hideMark/>
          </w:tcPr>
          <w:p w:rsidR="00A26950" w:rsidRPr="00AB7175" w:rsidRDefault="00A26950" w:rsidP="0032201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6</w:t>
            </w:r>
          </w:p>
        </w:tc>
        <w:tc>
          <w:tcPr>
            <w:tcW w:w="1350" w:type="dxa"/>
            <w:noWrap/>
            <w:hideMark/>
          </w:tcPr>
          <w:p w:rsidR="00A26950" w:rsidRPr="00AB7175" w:rsidRDefault="00A26950" w:rsidP="0032201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15</w:t>
            </w:r>
          </w:p>
        </w:tc>
        <w:tc>
          <w:tcPr>
            <w:tcW w:w="1383" w:type="dxa"/>
            <w:noWrap/>
            <w:hideMark/>
          </w:tcPr>
          <w:p w:rsidR="00A26950" w:rsidRPr="00AB7175" w:rsidRDefault="00A26950" w:rsidP="0032201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1008</w:t>
            </w:r>
          </w:p>
        </w:tc>
        <w:tc>
          <w:tcPr>
            <w:tcW w:w="2414" w:type="dxa"/>
            <w:noWrap/>
            <w:hideMark/>
          </w:tcPr>
          <w:p w:rsidR="00A26950" w:rsidRPr="00AB7175" w:rsidRDefault="00A26950" w:rsidP="0032201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197.064</w:t>
            </w:r>
          </w:p>
        </w:tc>
      </w:tr>
      <w:tr w:rsidR="00A26950" w:rsidRPr="00AB7175" w:rsidTr="009D12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22" w:type="dxa"/>
            <w:noWrap/>
            <w:hideMark/>
          </w:tcPr>
          <w:p w:rsidR="00A26950" w:rsidRPr="009D12C8" w:rsidRDefault="009D12C8" w:rsidP="009D12C8">
            <w:pPr>
              <w:jc w:val="center"/>
              <w:rPr>
                <w:rFonts w:ascii="Calibri" w:hAnsi="Calibri"/>
                <w:b w:val="0"/>
                <w:color w:val="000000"/>
                <w:sz w:val="20"/>
                <w:szCs w:val="20"/>
              </w:rPr>
            </w:pPr>
            <w:r w:rsidRPr="009D12C8">
              <w:rPr>
                <w:rFonts w:ascii="Calibri" w:hAnsi="Calibri"/>
                <w:b w:val="0"/>
                <w:color w:val="000000"/>
                <w:sz w:val="20"/>
                <w:szCs w:val="20"/>
              </w:rPr>
              <w:t>2015</w:t>
            </w:r>
          </w:p>
        </w:tc>
        <w:tc>
          <w:tcPr>
            <w:tcW w:w="1821" w:type="dxa"/>
            <w:noWrap/>
            <w:hideMark/>
          </w:tcPr>
          <w:p w:rsidR="00A26950" w:rsidRPr="00AB7175" w:rsidRDefault="00A2695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49</w:t>
            </w:r>
          </w:p>
        </w:tc>
        <w:tc>
          <w:tcPr>
            <w:tcW w:w="1364" w:type="dxa"/>
            <w:noWrap/>
            <w:hideMark/>
          </w:tcPr>
          <w:p w:rsidR="00A26950" w:rsidRPr="00AB7175" w:rsidRDefault="00A26950" w:rsidP="0032201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6</w:t>
            </w:r>
          </w:p>
        </w:tc>
        <w:tc>
          <w:tcPr>
            <w:tcW w:w="1350" w:type="dxa"/>
            <w:noWrap/>
            <w:hideMark/>
          </w:tcPr>
          <w:p w:rsidR="00A26950" w:rsidRPr="00AB7175" w:rsidRDefault="00A26950" w:rsidP="0032201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15</w:t>
            </w:r>
          </w:p>
        </w:tc>
        <w:tc>
          <w:tcPr>
            <w:tcW w:w="1383" w:type="dxa"/>
            <w:noWrap/>
            <w:hideMark/>
          </w:tcPr>
          <w:p w:rsidR="00A26950" w:rsidRPr="00AB7175" w:rsidRDefault="00A26950" w:rsidP="0032201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1176</w:t>
            </w:r>
          </w:p>
        </w:tc>
        <w:tc>
          <w:tcPr>
            <w:tcW w:w="2414" w:type="dxa"/>
            <w:noWrap/>
            <w:hideMark/>
          </w:tcPr>
          <w:p w:rsidR="00A26950" w:rsidRPr="00AB7175" w:rsidRDefault="00A26950" w:rsidP="0032201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229.908</w:t>
            </w:r>
          </w:p>
        </w:tc>
      </w:tr>
    </w:tbl>
    <w:p w:rsidR="00486F8E" w:rsidRPr="00B902DA" w:rsidRDefault="00486F8E" w:rsidP="00486F8E">
      <w:pPr>
        <w:rPr>
          <w:rFonts w:asciiTheme="minorHAnsi" w:hAnsiTheme="minorHAnsi" w:cstheme="minorHAnsi"/>
          <w:bCs/>
          <w:sz w:val="18"/>
          <w:szCs w:val="18"/>
        </w:rPr>
      </w:pPr>
      <w:r w:rsidRPr="00B902DA">
        <w:rPr>
          <w:rFonts w:asciiTheme="minorHAnsi" w:hAnsiTheme="minorHAnsi" w:cstheme="minorHAnsi"/>
          <w:bCs/>
          <w:sz w:val="18"/>
          <w:szCs w:val="18"/>
        </w:rPr>
        <w:t>Fuente: Elaboración propia.</w:t>
      </w:r>
    </w:p>
    <w:p w:rsidR="00B902DA" w:rsidRPr="00B7320B" w:rsidRDefault="00B902DA" w:rsidP="008A366B">
      <w:pPr>
        <w:pStyle w:val="Heading2"/>
        <w:numPr>
          <w:ilvl w:val="1"/>
          <w:numId w:val="1"/>
        </w:numPr>
        <w:rPr>
          <w:rFonts w:asciiTheme="minorHAnsi" w:hAnsiTheme="minorHAnsi"/>
          <w:lang w:val="es-ES_tradnl"/>
        </w:rPr>
      </w:pPr>
      <w:bookmarkStart w:id="59" w:name="_Toc373093523"/>
      <w:r w:rsidRPr="00B7320B">
        <w:rPr>
          <w:rFonts w:asciiTheme="minorHAnsi" w:hAnsiTheme="minorHAnsi"/>
          <w:lang w:val="es-ES_tradnl"/>
        </w:rPr>
        <w:t>Consultas de urgencia</w:t>
      </w:r>
      <w:bookmarkEnd w:id="59"/>
    </w:p>
    <w:p w:rsidR="00B902DA" w:rsidRDefault="00B902DA" w:rsidP="00C00203">
      <w:pPr>
        <w:rPr>
          <w:rFonts w:asciiTheme="minorHAnsi" w:hAnsiTheme="minorHAnsi" w:cstheme="minorHAnsi"/>
          <w:bCs/>
          <w:sz w:val="16"/>
          <w:szCs w:val="18"/>
        </w:rPr>
      </w:pPr>
    </w:p>
    <w:p w:rsidR="00B902DA" w:rsidRDefault="00B902DA" w:rsidP="00C00203">
      <w:pPr>
        <w:rPr>
          <w:rFonts w:asciiTheme="minorHAnsi" w:hAnsiTheme="minorHAnsi" w:cstheme="minorHAnsi"/>
          <w:bCs/>
          <w:sz w:val="16"/>
          <w:szCs w:val="18"/>
        </w:rPr>
      </w:pPr>
    </w:p>
    <w:p w:rsidR="00B902DA" w:rsidRDefault="00B902DA" w:rsidP="00C00203">
      <w:pPr>
        <w:rPr>
          <w:rFonts w:asciiTheme="minorHAnsi" w:hAnsiTheme="minorHAnsi" w:cstheme="minorHAnsi"/>
          <w:bCs/>
          <w:sz w:val="16"/>
          <w:szCs w:val="18"/>
        </w:rPr>
      </w:pPr>
    </w:p>
    <w:p w:rsidR="00B902DA" w:rsidRDefault="00B902DA" w:rsidP="002D49C9">
      <w:pPr>
        <w:jc w:val="both"/>
        <w:rPr>
          <w:rFonts w:asciiTheme="minorHAnsi" w:hAnsiTheme="minorHAnsi" w:cstheme="minorHAnsi"/>
          <w:bCs/>
          <w:sz w:val="22"/>
          <w:szCs w:val="18"/>
        </w:rPr>
      </w:pPr>
      <w:r>
        <w:rPr>
          <w:rFonts w:asciiTheme="minorHAnsi" w:hAnsiTheme="minorHAnsi" w:cstheme="minorHAnsi"/>
          <w:bCs/>
          <w:sz w:val="22"/>
          <w:szCs w:val="18"/>
        </w:rPr>
        <w:t xml:space="preserve">En la actualidad se tiene sólo un turno permanente de urgencia las 24 horas del día, los 365 días del año. Se considera un tiempo de consulta mayor que la consulta externa de especialidad con 20 minutos, los que aplicando el factor de ajuste de 85%, entrega una </w:t>
      </w:r>
      <w:r w:rsidR="0096165A">
        <w:rPr>
          <w:rFonts w:asciiTheme="minorHAnsi" w:hAnsiTheme="minorHAnsi" w:cstheme="minorHAnsi"/>
          <w:bCs/>
          <w:sz w:val="22"/>
          <w:szCs w:val="18"/>
        </w:rPr>
        <w:t>oferta</w:t>
      </w:r>
      <w:r>
        <w:rPr>
          <w:rFonts w:asciiTheme="minorHAnsi" w:hAnsiTheme="minorHAnsi" w:cstheme="minorHAnsi"/>
          <w:bCs/>
          <w:sz w:val="22"/>
          <w:szCs w:val="18"/>
        </w:rPr>
        <w:t xml:space="preserve"> potencial de 22.338 consultas.</w:t>
      </w:r>
      <w:r w:rsidR="00617C78">
        <w:rPr>
          <w:rStyle w:val="FootnoteReference"/>
          <w:rFonts w:asciiTheme="minorHAnsi" w:hAnsiTheme="minorHAnsi" w:cstheme="minorHAnsi"/>
          <w:bCs/>
          <w:sz w:val="22"/>
          <w:szCs w:val="18"/>
        </w:rPr>
        <w:footnoteReference w:id="52"/>
      </w:r>
      <w:r w:rsidR="00617C78">
        <w:rPr>
          <w:rFonts w:asciiTheme="minorHAnsi" w:hAnsiTheme="minorHAnsi" w:cstheme="minorHAnsi"/>
          <w:bCs/>
          <w:sz w:val="22"/>
          <w:szCs w:val="18"/>
        </w:rPr>
        <w:t xml:space="preserve"> La capacidad de oferta potencial aumentará producto de la puesta en marcha del Hospital El Alto Norte. </w:t>
      </w:r>
    </w:p>
    <w:p w:rsidR="00B902DA" w:rsidRPr="00B902DA" w:rsidRDefault="00B902DA" w:rsidP="00C00203">
      <w:pPr>
        <w:rPr>
          <w:rFonts w:asciiTheme="minorHAnsi" w:hAnsiTheme="minorHAnsi" w:cstheme="minorHAnsi"/>
          <w:bCs/>
          <w:sz w:val="22"/>
          <w:szCs w:val="18"/>
        </w:rPr>
      </w:pPr>
    </w:p>
    <w:p w:rsidR="00B902DA" w:rsidRPr="009C76DB" w:rsidRDefault="00B902DA" w:rsidP="00B902DA">
      <w:pPr>
        <w:keepNext/>
        <w:widowControl w:val="0"/>
        <w:autoSpaceDE w:val="0"/>
        <w:autoSpaceDN w:val="0"/>
        <w:adjustRightInd w:val="0"/>
        <w:ind w:right="23"/>
        <w:jc w:val="both"/>
        <w:rPr>
          <w:rFonts w:asciiTheme="minorHAnsi" w:hAnsiTheme="minorHAnsi" w:cstheme="minorHAnsi"/>
          <w:bCs/>
          <w:sz w:val="22"/>
        </w:rPr>
      </w:pPr>
      <w:r w:rsidRPr="009C76DB">
        <w:rPr>
          <w:rFonts w:asciiTheme="minorHAnsi" w:hAnsiTheme="minorHAnsi" w:cstheme="minorHAnsi"/>
          <w:bCs/>
          <w:color w:val="000000"/>
          <w:sz w:val="22"/>
        </w:rPr>
        <w:t xml:space="preserve">Tabla </w:t>
      </w:r>
      <w:r w:rsidR="00E820C2">
        <w:rPr>
          <w:rFonts w:asciiTheme="minorHAnsi" w:hAnsiTheme="minorHAnsi" w:cstheme="minorHAnsi"/>
          <w:bCs/>
          <w:color w:val="000000"/>
          <w:sz w:val="22"/>
        </w:rPr>
        <w:t>4</w:t>
      </w:r>
      <w:r w:rsidR="004D3B86">
        <w:rPr>
          <w:rFonts w:asciiTheme="minorHAnsi" w:hAnsiTheme="minorHAnsi" w:cstheme="minorHAnsi"/>
          <w:bCs/>
          <w:color w:val="000000"/>
          <w:sz w:val="22"/>
        </w:rPr>
        <w:t>.</w:t>
      </w:r>
      <w:r w:rsidR="00503624">
        <w:rPr>
          <w:rFonts w:asciiTheme="minorHAnsi" w:hAnsiTheme="minorHAnsi" w:cstheme="minorHAnsi"/>
          <w:bCs/>
          <w:color w:val="000000"/>
          <w:sz w:val="22"/>
        </w:rPr>
        <w:t>3</w:t>
      </w:r>
      <w:r w:rsidRPr="009C76DB">
        <w:rPr>
          <w:rFonts w:asciiTheme="minorHAnsi" w:hAnsiTheme="minorHAnsi" w:cstheme="minorHAnsi"/>
          <w:bCs/>
          <w:color w:val="000000"/>
          <w:sz w:val="22"/>
        </w:rPr>
        <w:t xml:space="preserve">: Capacidad anual de los servicios de consultas de </w:t>
      </w:r>
      <w:r>
        <w:rPr>
          <w:rFonts w:asciiTheme="minorHAnsi" w:hAnsiTheme="minorHAnsi" w:cstheme="minorHAnsi"/>
          <w:bCs/>
          <w:color w:val="000000"/>
          <w:sz w:val="22"/>
        </w:rPr>
        <w:t>urgencia</w:t>
      </w:r>
      <w:r w:rsidRPr="009C76DB">
        <w:rPr>
          <w:rFonts w:asciiTheme="minorHAnsi" w:hAnsiTheme="minorHAnsi" w:cstheme="minorHAnsi"/>
          <w:bCs/>
          <w:sz w:val="22"/>
        </w:rPr>
        <w:tab/>
      </w:r>
    </w:p>
    <w:tbl>
      <w:tblPr>
        <w:tblStyle w:val="LightShading-Accent3"/>
        <w:tblW w:w="8796" w:type="dxa"/>
        <w:tblLook w:val="04A0" w:firstRow="1" w:lastRow="0" w:firstColumn="1" w:lastColumn="0" w:noHBand="0" w:noVBand="1"/>
      </w:tblPr>
      <w:tblGrid>
        <w:gridCol w:w="1376"/>
        <w:gridCol w:w="2396"/>
        <w:gridCol w:w="1316"/>
        <w:gridCol w:w="1176"/>
        <w:gridCol w:w="1336"/>
        <w:gridCol w:w="1196"/>
      </w:tblGrid>
      <w:tr w:rsidR="009D12C8" w:rsidRPr="00AB7175" w:rsidTr="00617C7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76" w:type="dxa"/>
            <w:noWrap/>
            <w:vAlign w:val="center"/>
            <w:hideMark/>
          </w:tcPr>
          <w:p w:rsidR="009D12C8" w:rsidRPr="00AB7175" w:rsidRDefault="009D12C8" w:rsidP="00617C78">
            <w:pPr>
              <w:jc w:val="center"/>
              <w:rPr>
                <w:rFonts w:ascii="Calibri" w:hAnsi="Calibri"/>
                <w:color w:val="000000"/>
                <w:sz w:val="20"/>
                <w:szCs w:val="20"/>
              </w:rPr>
            </w:pPr>
            <w:r>
              <w:rPr>
                <w:rFonts w:ascii="Calibri" w:hAnsi="Calibri"/>
                <w:b w:val="0"/>
                <w:bCs w:val="0"/>
                <w:color w:val="000000"/>
                <w:sz w:val="20"/>
                <w:szCs w:val="20"/>
              </w:rPr>
              <w:t>Año</w:t>
            </w:r>
          </w:p>
        </w:tc>
        <w:tc>
          <w:tcPr>
            <w:tcW w:w="2396" w:type="dxa"/>
            <w:noWrap/>
            <w:vAlign w:val="center"/>
            <w:hideMark/>
          </w:tcPr>
          <w:p w:rsidR="009D12C8" w:rsidRPr="00AB7175" w:rsidRDefault="009D12C8" w:rsidP="00617C7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b w:val="0"/>
                <w:bCs w:val="0"/>
                <w:color w:val="000000"/>
                <w:sz w:val="20"/>
                <w:szCs w:val="20"/>
              </w:rPr>
              <w:t>Nº de consultorios</w:t>
            </w:r>
          </w:p>
        </w:tc>
        <w:tc>
          <w:tcPr>
            <w:tcW w:w="1316" w:type="dxa"/>
            <w:noWrap/>
            <w:vAlign w:val="center"/>
            <w:hideMark/>
          </w:tcPr>
          <w:p w:rsidR="009D12C8" w:rsidRPr="00AB7175" w:rsidRDefault="009D12C8" w:rsidP="00617C7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b w:val="0"/>
                <w:bCs w:val="0"/>
                <w:color w:val="000000"/>
                <w:sz w:val="20"/>
                <w:szCs w:val="20"/>
              </w:rPr>
              <w:t>Horas efectivas de atención al día</w:t>
            </w:r>
          </w:p>
        </w:tc>
        <w:tc>
          <w:tcPr>
            <w:tcW w:w="1176" w:type="dxa"/>
            <w:noWrap/>
            <w:vAlign w:val="center"/>
            <w:hideMark/>
          </w:tcPr>
          <w:p w:rsidR="009D12C8" w:rsidRPr="00AB7175" w:rsidRDefault="009D12C8" w:rsidP="00617C7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b w:val="0"/>
                <w:bCs w:val="0"/>
                <w:color w:val="000000"/>
                <w:sz w:val="20"/>
                <w:szCs w:val="20"/>
              </w:rPr>
              <w:t>Tiempo promedio por consulta (min)</w:t>
            </w:r>
          </w:p>
        </w:tc>
        <w:tc>
          <w:tcPr>
            <w:tcW w:w="1336" w:type="dxa"/>
            <w:noWrap/>
            <w:vAlign w:val="center"/>
            <w:hideMark/>
          </w:tcPr>
          <w:p w:rsidR="009D12C8" w:rsidRPr="00AB7175" w:rsidRDefault="009D12C8" w:rsidP="00617C7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b w:val="0"/>
                <w:bCs w:val="0"/>
                <w:color w:val="000000"/>
                <w:sz w:val="20"/>
                <w:szCs w:val="20"/>
              </w:rPr>
              <w:t>Nº de consultas al día</w:t>
            </w:r>
          </w:p>
        </w:tc>
        <w:tc>
          <w:tcPr>
            <w:tcW w:w="1196" w:type="dxa"/>
            <w:noWrap/>
            <w:vAlign w:val="center"/>
            <w:hideMark/>
          </w:tcPr>
          <w:p w:rsidR="009D12C8" w:rsidRPr="00AB7175" w:rsidRDefault="009D12C8" w:rsidP="00617C7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b w:val="0"/>
                <w:bCs w:val="0"/>
                <w:color w:val="000000"/>
                <w:sz w:val="20"/>
                <w:szCs w:val="20"/>
              </w:rPr>
              <w:t>Capacidad óptima anual (85%)</w:t>
            </w:r>
          </w:p>
        </w:tc>
      </w:tr>
      <w:tr w:rsidR="009D12C8" w:rsidRPr="00AB7175" w:rsidTr="009D12C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76" w:type="dxa"/>
            <w:noWrap/>
            <w:hideMark/>
          </w:tcPr>
          <w:p w:rsidR="009D12C8" w:rsidRPr="00AB7175" w:rsidRDefault="009D12C8" w:rsidP="009D12C8">
            <w:pPr>
              <w:jc w:val="center"/>
              <w:rPr>
                <w:rFonts w:ascii="Calibri" w:hAnsi="Calibri"/>
                <w:color w:val="000000"/>
                <w:sz w:val="20"/>
                <w:szCs w:val="20"/>
              </w:rPr>
            </w:pPr>
            <w:r w:rsidRPr="00AB7175">
              <w:rPr>
                <w:rFonts w:ascii="Calibri" w:hAnsi="Calibri"/>
                <w:color w:val="000000"/>
                <w:sz w:val="20"/>
                <w:szCs w:val="20"/>
              </w:rPr>
              <w:t>2013</w:t>
            </w:r>
          </w:p>
        </w:tc>
        <w:tc>
          <w:tcPr>
            <w:tcW w:w="2396" w:type="dxa"/>
            <w:noWrap/>
            <w:hideMark/>
          </w:tcPr>
          <w:p w:rsidR="009D12C8" w:rsidRPr="00AB7175" w:rsidRDefault="009D12C8" w:rsidP="0032201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13</w:t>
            </w:r>
          </w:p>
        </w:tc>
        <w:tc>
          <w:tcPr>
            <w:tcW w:w="1316" w:type="dxa"/>
            <w:noWrap/>
            <w:hideMark/>
          </w:tcPr>
          <w:p w:rsidR="009D12C8" w:rsidRPr="00AB7175" w:rsidRDefault="009D12C8" w:rsidP="0032201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24</w:t>
            </w:r>
          </w:p>
        </w:tc>
        <w:tc>
          <w:tcPr>
            <w:tcW w:w="1176" w:type="dxa"/>
            <w:noWrap/>
            <w:hideMark/>
          </w:tcPr>
          <w:p w:rsidR="009D12C8" w:rsidRPr="00AB7175" w:rsidRDefault="009D12C8" w:rsidP="0032201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20</w:t>
            </w:r>
          </w:p>
        </w:tc>
        <w:tc>
          <w:tcPr>
            <w:tcW w:w="1336" w:type="dxa"/>
            <w:noWrap/>
            <w:hideMark/>
          </w:tcPr>
          <w:p w:rsidR="009D12C8" w:rsidRPr="00AB7175" w:rsidRDefault="009D12C8" w:rsidP="0032201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936</w:t>
            </w:r>
          </w:p>
        </w:tc>
        <w:tc>
          <w:tcPr>
            <w:tcW w:w="1196" w:type="dxa"/>
            <w:noWrap/>
            <w:hideMark/>
          </w:tcPr>
          <w:p w:rsidR="009D12C8" w:rsidRPr="00AB7175" w:rsidRDefault="009D12C8" w:rsidP="0032201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290.394</w:t>
            </w:r>
          </w:p>
        </w:tc>
      </w:tr>
      <w:tr w:rsidR="009D12C8" w:rsidRPr="00AB7175" w:rsidTr="009D12C8">
        <w:trPr>
          <w:trHeight w:val="288"/>
        </w:trPr>
        <w:tc>
          <w:tcPr>
            <w:cnfStyle w:val="001000000000" w:firstRow="0" w:lastRow="0" w:firstColumn="1" w:lastColumn="0" w:oddVBand="0" w:evenVBand="0" w:oddHBand="0" w:evenHBand="0" w:firstRowFirstColumn="0" w:firstRowLastColumn="0" w:lastRowFirstColumn="0" w:lastRowLastColumn="0"/>
            <w:tcW w:w="1376" w:type="dxa"/>
            <w:noWrap/>
            <w:hideMark/>
          </w:tcPr>
          <w:p w:rsidR="009D12C8" w:rsidRPr="00AB7175" w:rsidRDefault="009D12C8" w:rsidP="009D12C8">
            <w:pPr>
              <w:jc w:val="center"/>
              <w:rPr>
                <w:rFonts w:ascii="Calibri" w:hAnsi="Calibri"/>
                <w:color w:val="000000"/>
                <w:sz w:val="20"/>
                <w:szCs w:val="20"/>
              </w:rPr>
            </w:pPr>
            <w:r w:rsidRPr="00AB7175">
              <w:rPr>
                <w:rFonts w:ascii="Calibri" w:hAnsi="Calibri"/>
                <w:color w:val="000000"/>
                <w:sz w:val="20"/>
                <w:szCs w:val="20"/>
              </w:rPr>
              <w:t>2014</w:t>
            </w:r>
          </w:p>
        </w:tc>
        <w:tc>
          <w:tcPr>
            <w:tcW w:w="2396" w:type="dxa"/>
            <w:noWrap/>
            <w:hideMark/>
          </w:tcPr>
          <w:p w:rsidR="009D12C8" w:rsidRPr="00AB7175" w:rsidRDefault="009D12C8" w:rsidP="0032201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21</w:t>
            </w:r>
          </w:p>
        </w:tc>
        <w:tc>
          <w:tcPr>
            <w:tcW w:w="1316" w:type="dxa"/>
            <w:noWrap/>
            <w:hideMark/>
          </w:tcPr>
          <w:p w:rsidR="009D12C8" w:rsidRPr="00AB7175" w:rsidRDefault="009D12C8" w:rsidP="0032201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24</w:t>
            </w:r>
          </w:p>
        </w:tc>
        <w:tc>
          <w:tcPr>
            <w:tcW w:w="1176" w:type="dxa"/>
            <w:noWrap/>
            <w:hideMark/>
          </w:tcPr>
          <w:p w:rsidR="009D12C8" w:rsidRPr="00AB7175" w:rsidRDefault="009D12C8" w:rsidP="0032201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20</w:t>
            </w:r>
          </w:p>
        </w:tc>
        <w:tc>
          <w:tcPr>
            <w:tcW w:w="1336" w:type="dxa"/>
            <w:noWrap/>
            <w:hideMark/>
          </w:tcPr>
          <w:p w:rsidR="009D12C8" w:rsidRPr="00AB7175" w:rsidRDefault="009D12C8" w:rsidP="0032201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1512</w:t>
            </w:r>
          </w:p>
        </w:tc>
        <w:tc>
          <w:tcPr>
            <w:tcW w:w="1196" w:type="dxa"/>
            <w:noWrap/>
            <w:hideMark/>
          </w:tcPr>
          <w:p w:rsidR="009D12C8" w:rsidRPr="00AB7175" w:rsidRDefault="009D12C8" w:rsidP="0032201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469.098</w:t>
            </w:r>
          </w:p>
        </w:tc>
      </w:tr>
    </w:tbl>
    <w:p w:rsidR="00486F8E" w:rsidRPr="00B902DA" w:rsidRDefault="00486F8E" w:rsidP="00486F8E">
      <w:pPr>
        <w:rPr>
          <w:rFonts w:asciiTheme="minorHAnsi" w:hAnsiTheme="minorHAnsi" w:cstheme="minorHAnsi"/>
          <w:bCs/>
          <w:sz w:val="18"/>
          <w:szCs w:val="18"/>
        </w:rPr>
      </w:pPr>
      <w:r w:rsidRPr="00B902DA">
        <w:rPr>
          <w:rFonts w:asciiTheme="minorHAnsi" w:hAnsiTheme="minorHAnsi" w:cstheme="minorHAnsi"/>
          <w:bCs/>
          <w:sz w:val="18"/>
          <w:szCs w:val="18"/>
        </w:rPr>
        <w:t>Fuente: Elaboración propia.</w:t>
      </w:r>
    </w:p>
    <w:p w:rsidR="002D49C9" w:rsidRDefault="002D49C9" w:rsidP="00C00203">
      <w:pPr>
        <w:rPr>
          <w:rFonts w:asciiTheme="minorHAnsi" w:hAnsiTheme="minorHAnsi" w:cstheme="minorHAnsi"/>
          <w:bCs/>
          <w:sz w:val="16"/>
          <w:szCs w:val="18"/>
        </w:rPr>
      </w:pPr>
    </w:p>
    <w:p w:rsidR="002D49C9" w:rsidRDefault="002D49C9" w:rsidP="00C00203">
      <w:pPr>
        <w:rPr>
          <w:rFonts w:asciiTheme="minorHAnsi" w:hAnsiTheme="minorHAnsi" w:cstheme="minorHAnsi"/>
          <w:bCs/>
          <w:sz w:val="16"/>
          <w:szCs w:val="18"/>
        </w:rPr>
      </w:pPr>
    </w:p>
    <w:p w:rsidR="002D49C9" w:rsidRPr="003417F3" w:rsidRDefault="002D49C9" w:rsidP="008A366B">
      <w:pPr>
        <w:pStyle w:val="Heading2"/>
        <w:numPr>
          <w:ilvl w:val="1"/>
          <w:numId w:val="1"/>
        </w:numPr>
        <w:rPr>
          <w:rFonts w:asciiTheme="minorHAnsi" w:hAnsiTheme="minorHAnsi"/>
          <w:lang w:val="es-ES_tradnl"/>
        </w:rPr>
      </w:pPr>
      <w:bookmarkStart w:id="60" w:name="_Toc373093524"/>
      <w:r w:rsidRPr="003417F3">
        <w:rPr>
          <w:rFonts w:asciiTheme="minorHAnsi" w:hAnsiTheme="minorHAnsi"/>
          <w:lang w:val="es-ES_tradnl"/>
        </w:rPr>
        <w:t>Días cama de hospitalización</w:t>
      </w:r>
      <w:bookmarkEnd w:id="60"/>
    </w:p>
    <w:p w:rsidR="002D49C9" w:rsidRDefault="002D49C9" w:rsidP="00C00203">
      <w:pPr>
        <w:rPr>
          <w:rFonts w:asciiTheme="minorHAnsi" w:hAnsiTheme="minorHAnsi" w:cstheme="minorHAnsi"/>
          <w:bCs/>
          <w:color w:val="000000"/>
          <w:sz w:val="22"/>
          <w:szCs w:val="22"/>
        </w:rPr>
      </w:pPr>
    </w:p>
    <w:p w:rsidR="002D49C9" w:rsidRDefault="002D49C9" w:rsidP="002D49C9">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Actualmente </w:t>
      </w:r>
      <w:r w:rsidR="001F5AF2">
        <w:rPr>
          <w:rFonts w:asciiTheme="minorHAnsi" w:hAnsiTheme="minorHAnsi" w:cstheme="minorHAnsi"/>
          <w:bCs/>
          <w:color w:val="000000"/>
          <w:sz w:val="22"/>
          <w:szCs w:val="22"/>
        </w:rPr>
        <w:t>los hospitales de El Alto</w:t>
      </w:r>
      <w:r>
        <w:rPr>
          <w:rFonts w:asciiTheme="minorHAnsi" w:hAnsiTheme="minorHAnsi" w:cstheme="minorHAnsi"/>
          <w:bCs/>
          <w:color w:val="000000"/>
          <w:sz w:val="22"/>
          <w:szCs w:val="22"/>
        </w:rPr>
        <w:t xml:space="preserve"> cuenta</w:t>
      </w:r>
      <w:r w:rsidR="001F5AF2">
        <w:rPr>
          <w:rFonts w:asciiTheme="minorHAnsi" w:hAnsiTheme="minorHAnsi" w:cstheme="minorHAnsi"/>
          <w:bCs/>
          <w:color w:val="000000"/>
          <w:sz w:val="22"/>
          <w:szCs w:val="22"/>
        </w:rPr>
        <w:t>n</w:t>
      </w:r>
      <w:r>
        <w:rPr>
          <w:rFonts w:asciiTheme="minorHAnsi" w:hAnsiTheme="minorHAnsi" w:cstheme="minorHAnsi"/>
          <w:bCs/>
          <w:color w:val="000000"/>
          <w:sz w:val="22"/>
          <w:szCs w:val="22"/>
        </w:rPr>
        <w:t xml:space="preserve"> con </w:t>
      </w:r>
      <w:r w:rsidR="001F5AF2">
        <w:rPr>
          <w:rFonts w:asciiTheme="minorHAnsi" w:hAnsiTheme="minorHAnsi" w:cstheme="minorHAnsi"/>
          <w:bCs/>
          <w:color w:val="000000"/>
          <w:sz w:val="22"/>
          <w:szCs w:val="22"/>
        </w:rPr>
        <w:t>una dotación de camas de 248</w:t>
      </w:r>
      <w:r>
        <w:rPr>
          <w:rFonts w:asciiTheme="minorHAnsi" w:hAnsiTheme="minorHAnsi" w:cstheme="minorHAnsi"/>
          <w:bCs/>
          <w:color w:val="000000"/>
          <w:sz w:val="22"/>
          <w:szCs w:val="22"/>
        </w:rPr>
        <w:t xml:space="preserve"> por 365 días del año, lo que aplicando el factor de ajuste </w:t>
      </w:r>
      <w:r w:rsidR="001F5AF2">
        <w:rPr>
          <w:rFonts w:asciiTheme="minorHAnsi" w:hAnsiTheme="minorHAnsi" w:cstheme="minorHAnsi"/>
          <w:bCs/>
          <w:color w:val="000000"/>
          <w:sz w:val="22"/>
          <w:szCs w:val="22"/>
        </w:rPr>
        <w:t xml:space="preserve">de 85% </w:t>
      </w:r>
      <w:r>
        <w:rPr>
          <w:rFonts w:asciiTheme="minorHAnsi" w:hAnsiTheme="minorHAnsi" w:cstheme="minorHAnsi"/>
          <w:bCs/>
          <w:color w:val="000000"/>
          <w:sz w:val="22"/>
          <w:szCs w:val="22"/>
        </w:rPr>
        <w:t xml:space="preserve">nos entrega una  oferta potencial de </w:t>
      </w:r>
      <w:r w:rsidR="001F5AF2">
        <w:rPr>
          <w:rFonts w:asciiTheme="minorHAnsi" w:hAnsiTheme="minorHAnsi" w:cstheme="minorHAnsi"/>
          <w:bCs/>
          <w:color w:val="000000"/>
          <w:sz w:val="22"/>
          <w:szCs w:val="22"/>
        </w:rPr>
        <w:t>76</w:t>
      </w:r>
      <w:r>
        <w:rPr>
          <w:rFonts w:asciiTheme="minorHAnsi" w:hAnsiTheme="minorHAnsi" w:cstheme="minorHAnsi"/>
          <w:bCs/>
          <w:color w:val="000000"/>
          <w:sz w:val="22"/>
          <w:szCs w:val="22"/>
        </w:rPr>
        <w:t>.</w:t>
      </w:r>
      <w:r w:rsidR="001F5AF2">
        <w:rPr>
          <w:rFonts w:asciiTheme="minorHAnsi" w:hAnsiTheme="minorHAnsi" w:cstheme="minorHAnsi"/>
          <w:bCs/>
          <w:color w:val="000000"/>
          <w:sz w:val="22"/>
          <w:szCs w:val="22"/>
        </w:rPr>
        <w:t>942</w:t>
      </w:r>
      <w:r>
        <w:rPr>
          <w:rFonts w:asciiTheme="minorHAnsi" w:hAnsiTheme="minorHAnsi" w:cstheme="minorHAnsi"/>
          <w:bCs/>
          <w:color w:val="000000"/>
          <w:sz w:val="22"/>
          <w:szCs w:val="22"/>
        </w:rPr>
        <w:t xml:space="preserve"> días </w:t>
      </w:r>
      <w:r>
        <w:rPr>
          <w:rFonts w:asciiTheme="minorHAnsi" w:hAnsiTheme="minorHAnsi" w:cstheme="minorHAnsi"/>
          <w:bCs/>
          <w:color w:val="000000"/>
          <w:sz w:val="22"/>
          <w:szCs w:val="22"/>
        </w:rPr>
        <w:lastRenderedPageBreak/>
        <w:t>cama por año.</w:t>
      </w:r>
      <w:r w:rsidR="001F5AF2">
        <w:rPr>
          <w:rFonts w:asciiTheme="minorHAnsi" w:hAnsiTheme="minorHAnsi" w:cstheme="minorHAnsi"/>
          <w:bCs/>
          <w:color w:val="000000"/>
          <w:sz w:val="22"/>
          <w:szCs w:val="22"/>
        </w:rPr>
        <w:t xml:space="preserve"> La entrada en operación del Hospital El Alto Norte aumentará los días cama a 97.729 el año 2014, y a 135.890 el año 2015.</w:t>
      </w:r>
      <w:r w:rsidR="001F5AF2">
        <w:rPr>
          <w:rStyle w:val="FootnoteReference"/>
          <w:rFonts w:asciiTheme="minorHAnsi" w:hAnsiTheme="minorHAnsi" w:cstheme="minorHAnsi"/>
          <w:bCs/>
          <w:color w:val="000000"/>
          <w:sz w:val="22"/>
          <w:szCs w:val="22"/>
        </w:rPr>
        <w:footnoteReference w:id="53"/>
      </w:r>
    </w:p>
    <w:p w:rsidR="002D49C9" w:rsidRDefault="002D49C9" w:rsidP="00C00203">
      <w:pPr>
        <w:rPr>
          <w:rFonts w:asciiTheme="minorHAnsi" w:hAnsiTheme="minorHAnsi" w:cstheme="minorHAnsi"/>
          <w:bCs/>
          <w:color w:val="000000"/>
          <w:sz w:val="22"/>
          <w:szCs w:val="22"/>
        </w:rPr>
      </w:pPr>
    </w:p>
    <w:p w:rsidR="002D49C9" w:rsidRDefault="002D49C9" w:rsidP="002D49C9">
      <w:pPr>
        <w:rPr>
          <w:rFonts w:asciiTheme="minorHAnsi" w:hAnsiTheme="minorHAnsi" w:cstheme="minorHAnsi"/>
          <w:bCs/>
          <w:color w:val="000000"/>
          <w:sz w:val="22"/>
          <w:szCs w:val="22"/>
        </w:rPr>
      </w:pPr>
      <w:r w:rsidRPr="009C76DB">
        <w:rPr>
          <w:rFonts w:asciiTheme="minorHAnsi" w:hAnsiTheme="minorHAnsi" w:cstheme="minorHAnsi"/>
          <w:bCs/>
          <w:color w:val="000000"/>
          <w:sz w:val="22"/>
        </w:rPr>
        <w:t xml:space="preserve">Tabla </w:t>
      </w:r>
      <w:r w:rsidR="004D3B86">
        <w:rPr>
          <w:rFonts w:asciiTheme="minorHAnsi" w:hAnsiTheme="minorHAnsi" w:cstheme="minorHAnsi"/>
          <w:bCs/>
          <w:color w:val="000000"/>
          <w:sz w:val="22"/>
        </w:rPr>
        <w:t>4</w:t>
      </w:r>
      <w:r w:rsidRPr="009C76DB">
        <w:rPr>
          <w:rFonts w:asciiTheme="minorHAnsi" w:hAnsiTheme="minorHAnsi" w:cstheme="minorHAnsi"/>
          <w:bCs/>
          <w:color w:val="000000"/>
          <w:sz w:val="22"/>
        </w:rPr>
        <w:t>.</w:t>
      </w:r>
      <w:r w:rsidR="00503624">
        <w:rPr>
          <w:rFonts w:asciiTheme="minorHAnsi" w:hAnsiTheme="minorHAnsi" w:cstheme="minorHAnsi"/>
          <w:bCs/>
          <w:color w:val="000000"/>
          <w:sz w:val="22"/>
        </w:rPr>
        <w:t>4</w:t>
      </w:r>
      <w:r w:rsidRPr="009C76DB">
        <w:rPr>
          <w:rFonts w:asciiTheme="minorHAnsi" w:hAnsiTheme="minorHAnsi" w:cstheme="minorHAnsi"/>
          <w:bCs/>
          <w:color w:val="000000"/>
          <w:sz w:val="22"/>
        </w:rPr>
        <w:t xml:space="preserve">: Capacidad anual de </w:t>
      </w:r>
      <w:r>
        <w:rPr>
          <w:rFonts w:asciiTheme="minorHAnsi" w:hAnsiTheme="minorHAnsi" w:cstheme="minorHAnsi"/>
          <w:bCs/>
          <w:color w:val="000000"/>
          <w:sz w:val="22"/>
        </w:rPr>
        <w:t>días cama</w:t>
      </w:r>
    </w:p>
    <w:tbl>
      <w:tblPr>
        <w:tblStyle w:val="LightShading-Accent3"/>
        <w:tblW w:w="6002" w:type="dxa"/>
        <w:tblLook w:val="04A0" w:firstRow="1" w:lastRow="0" w:firstColumn="1" w:lastColumn="0" w:noHBand="0" w:noVBand="1"/>
      </w:tblPr>
      <w:tblGrid>
        <w:gridCol w:w="722"/>
        <w:gridCol w:w="1336"/>
        <w:gridCol w:w="1357"/>
        <w:gridCol w:w="2587"/>
      </w:tblGrid>
      <w:tr w:rsidR="005352F3" w:rsidRPr="00AB7175" w:rsidTr="005352F3">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Pr>
          <w:p w:rsidR="005352F3" w:rsidRPr="00AB7175" w:rsidRDefault="005352F3" w:rsidP="00BB4D0B">
            <w:pPr>
              <w:rPr>
                <w:rFonts w:ascii="Calibri" w:hAnsi="Calibri"/>
                <w:color w:val="000000"/>
                <w:sz w:val="20"/>
                <w:szCs w:val="20"/>
              </w:rPr>
            </w:pPr>
            <w:r>
              <w:rPr>
                <w:rFonts w:ascii="Calibri" w:hAnsi="Calibri"/>
                <w:b w:val="0"/>
                <w:bCs w:val="0"/>
                <w:color w:val="000000"/>
                <w:sz w:val="20"/>
                <w:szCs w:val="20"/>
              </w:rPr>
              <w:t>Año</w:t>
            </w:r>
          </w:p>
        </w:tc>
        <w:tc>
          <w:tcPr>
            <w:tcW w:w="1336" w:type="dxa"/>
            <w:noWrap/>
            <w:hideMark/>
          </w:tcPr>
          <w:p w:rsidR="005352F3" w:rsidRPr="00AB7175" w:rsidRDefault="005352F3">
            <w:pP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b w:val="0"/>
                <w:bCs w:val="0"/>
                <w:color w:val="000000"/>
                <w:sz w:val="20"/>
                <w:szCs w:val="20"/>
              </w:rPr>
              <w:t>Días por año</w:t>
            </w:r>
          </w:p>
        </w:tc>
        <w:tc>
          <w:tcPr>
            <w:tcW w:w="1357" w:type="dxa"/>
            <w:noWrap/>
            <w:hideMark/>
          </w:tcPr>
          <w:p w:rsidR="005352F3" w:rsidRPr="00AB7175" w:rsidRDefault="005352F3">
            <w:pP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Nº de camas</w:t>
            </w:r>
          </w:p>
        </w:tc>
        <w:tc>
          <w:tcPr>
            <w:tcW w:w="2587" w:type="dxa"/>
            <w:noWrap/>
            <w:hideMark/>
          </w:tcPr>
          <w:p w:rsidR="005352F3" w:rsidRPr="00AB7175" w:rsidRDefault="005352F3">
            <w:pP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Días cama disponible (85%)</w:t>
            </w:r>
          </w:p>
        </w:tc>
      </w:tr>
      <w:tr w:rsidR="005352F3" w:rsidRPr="00AB7175" w:rsidTr="005352F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Pr>
          <w:p w:rsidR="005352F3" w:rsidRPr="00AB7175" w:rsidRDefault="005352F3" w:rsidP="00BB4D0B">
            <w:pPr>
              <w:jc w:val="right"/>
              <w:rPr>
                <w:rFonts w:ascii="Calibri" w:hAnsi="Calibri"/>
                <w:b w:val="0"/>
                <w:bCs w:val="0"/>
                <w:color w:val="000000"/>
                <w:sz w:val="20"/>
                <w:szCs w:val="20"/>
              </w:rPr>
            </w:pPr>
            <w:r w:rsidRPr="00AB7175">
              <w:rPr>
                <w:rFonts w:ascii="Calibri" w:hAnsi="Calibri"/>
                <w:b w:val="0"/>
                <w:bCs w:val="0"/>
                <w:color w:val="000000"/>
                <w:sz w:val="20"/>
                <w:szCs w:val="20"/>
              </w:rPr>
              <w:t>2013</w:t>
            </w:r>
          </w:p>
        </w:tc>
        <w:tc>
          <w:tcPr>
            <w:tcW w:w="1336" w:type="dxa"/>
            <w:noWrap/>
            <w:hideMark/>
          </w:tcPr>
          <w:p w:rsidR="005352F3" w:rsidRPr="00AB7175" w:rsidRDefault="005352F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365</w:t>
            </w:r>
          </w:p>
        </w:tc>
        <w:tc>
          <w:tcPr>
            <w:tcW w:w="1357" w:type="dxa"/>
            <w:noWrap/>
            <w:hideMark/>
          </w:tcPr>
          <w:p w:rsidR="005352F3" w:rsidRPr="00AB7175" w:rsidRDefault="005352F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248</w:t>
            </w:r>
          </w:p>
        </w:tc>
        <w:tc>
          <w:tcPr>
            <w:tcW w:w="2587" w:type="dxa"/>
            <w:noWrap/>
            <w:hideMark/>
          </w:tcPr>
          <w:p w:rsidR="005352F3" w:rsidRPr="00AB7175" w:rsidRDefault="005352F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76.942</w:t>
            </w:r>
          </w:p>
        </w:tc>
      </w:tr>
      <w:tr w:rsidR="005352F3" w:rsidRPr="00AB7175" w:rsidTr="005352F3">
        <w:trPr>
          <w:trHeight w:val="113"/>
        </w:trPr>
        <w:tc>
          <w:tcPr>
            <w:cnfStyle w:val="001000000000" w:firstRow="0" w:lastRow="0" w:firstColumn="1" w:lastColumn="0" w:oddVBand="0" w:evenVBand="0" w:oddHBand="0" w:evenHBand="0" w:firstRowFirstColumn="0" w:firstRowLastColumn="0" w:lastRowFirstColumn="0" w:lastRowLastColumn="0"/>
            <w:tcW w:w="722" w:type="dxa"/>
          </w:tcPr>
          <w:p w:rsidR="005352F3" w:rsidRPr="00AB7175" w:rsidRDefault="005352F3" w:rsidP="00BB4D0B">
            <w:pPr>
              <w:jc w:val="right"/>
              <w:rPr>
                <w:rFonts w:ascii="Calibri" w:hAnsi="Calibri"/>
                <w:b w:val="0"/>
                <w:bCs w:val="0"/>
                <w:color w:val="000000"/>
                <w:sz w:val="20"/>
                <w:szCs w:val="20"/>
              </w:rPr>
            </w:pPr>
            <w:r w:rsidRPr="00AB7175">
              <w:rPr>
                <w:rFonts w:ascii="Calibri" w:hAnsi="Calibri"/>
                <w:b w:val="0"/>
                <w:bCs w:val="0"/>
                <w:color w:val="000000"/>
                <w:sz w:val="20"/>
                <w:szCs w:val="20"/>
              </w:rPr>
              <w:t>2014</w:t>
            </w:r>
          </w:p>
        </w:tc>
        <w:tc>
          <w:tcPr>
            <w:tcW w:w="1336" w:type="dxa"/>
            <w:noWrap/>
            <w:hideMark/>
          </w:tcPr>
          <w:p w:rsidR="005352F3" w:rsidRPr="00AB7175" w:rsidRDefault="005352F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365</w:t>
            </w:r>
          </w:p>
        </w:tc>
        <w:tc>
          <w:tcPr>
            <w:tcW w:w="1357" w:type="dxa"/>
            <w:noWrap/>
            <w:hideMark/>
          </w:tcPr>
          <w:p w:rsidR="005352F3" w:rsidRPr="00AB7175" w:rsidRDefault="005352F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315</w:t>
            </w:r>
          </w:p>
        </w:tc>
        <w:tc>
          <w:tcPr>
            <w:tcW w:w="2587" w:type="dxa"/>
            <w:noWrap/>
            <w:hideMark/>
          </w:tcPr>
          <w:p w:rsidR="005352F3" w:rsidRPr="00AB7175" w:rsidRDefault="005352F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97.729</w:t>
            </w:r>
          </w:p>
        </w:tc>
      </w:tr>
      <w:tr w:rsidR="005352F3" w:rsidRPr="00AB7175" w:rsidTr="005352F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22" w:type="dxa"/>
          </w:tcPr>
          <w:p w:rsidR="005352F3" w:rsidRPr="00AB7175" w:rsidRDefault="005352F3" w:rsidP="00BB4D0B">
            <w:pPr>
              <w:jc w:val="right"/>
              <w:rPr>
                <w:rFonts w:ascii="Calibri" w:hAnsi="Calibri"/>
                <w:b w:val="0"/>
                <w:bCs w:val="0"/>
                <w:color w:val="000000"/>
                <w:sz w:val="20"/>
                <w:szCs w:val="20"/>
              </w:rPr>
            </w:pPr>
            <w:r w:rsidRPr="00AB7175">
              <w:rPr>
                <w:rFonts w:ascii="Calibri" w:hAnsi="Calibri"/>
                <w:b w:val="0"/>
                <w:bCs w:val="0"/>
                <w:color w:val="000000"/>
                <w:sz w:val="20"/>
                <w:szCs w:val="20"/>
              </w:rPr>
              <w:t>2015</w:t>
            </w:r>
          </w:p>
        </w:tc>
        <w:tc>
          <w:tcPr>
            <w:tcW w:w="1336" w:type="dxa"/>
            <w:noWrap/>
            <w:hideMark/>
          </w:tcPr>
          <w:p w:rsidR="005352F3" w:rsidRPr="00AB7175" w:rsidRDefault="005352F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365</w:t>
            </w:r>
          </w:p>
        </w:tc>
        <w:tc>
          <w:tcPr>
            <w:tcW w:w="1357" w:type="dxa"/>
            <w:noWrap/>
            <w:hideMark/>
          </w:tcPr>
          <w:p w:rsidR="005352F3" w:rsidRPr="00AB7175" w:rsidRDefault="005352F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438</w:t>
            </w:r>
          </w:p>
        </w:tc>
        <w:tc>
          <w:tcPr>
            <w:tcW w:w="2587" w:type="dxa"/>
            <w:noWrap/>
            <w:hideMark/>
          </w:tcPr>
          <w:p w:rsidR="005352F3" w:rsidRPr="00AB7175" w:rsidRDefault="005352F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135.890</w:t>
            </w:r>
          </w:p>
        </w:tc>
      </w:tr>
    </w:tbl>
    <w:p w:rsidR="00486F8E" w:rsidRPr="00B902DA" w:rsidRDefault="00486F8E" w:rsidP="00486F8E">
      <w:pPr>
        <w:rPr>
          <w:rFonts w:asciiTheme="minorHAnsi" w:hAnsiTheme="minorHAnsi" w:cstheme="minorHAnsi"/>
          <w:bCs/>
          <w:sz w:val="18"/>
          <w:szCs w:val="18"/>
        </w:rPr>
      </w:pPr>
      <w:r w:rsidRPr="00B902DA">
        <w:rPr>
          <w:rFonts w:asciiTheme="minorHAnsi" w:hAnsiTheme="minorHAnsi" w:cstheme="minorHAnsi"/>
          <w:bCs/>
          <w:sz w:val="18"/>
          <w:szCs w:val="18"/>
        </w:rPr>
        <w:t>Fuente: Elaboración propia.</w:t>
      </w:r>
    </w:p>
    <w:p w:rsidR="007D185C" w:rsidRDefault="007D185C" w:rsidP="00C00203">
      <w:pPr>
        <w:rPr>
          <w:rFonts w:asciiTheme="minorHAnsi" w:hAnsiTheme="minorHAnsi" w:cstheme="minorHAnsi"/>
          <w:b/>
          <w:bCs/>
          <w:sz w:val="22"/>
          <w:szCs w:val="22"/>
        </w:rPr>
      </w:pPr>
    </w:p>
    <w:p w:rsidR="007D185C" w:rsidRPr="003417F3" w:rsidRDefault="007D185C" w:rsidP="008A366B">
      <w:pPr>
        <w:pStyle w:val="Heading2"/>
        <w:numPr>
          <w:ilvl w:val="1"/>
          <w:numId w:val="1"/>
        </w:numPr>
        <w:rPr>
          <w:rFonts w:asciiTheme="minorHAnsi" w:hAnsiTheme="minorHAnsi"/>
          <w:lang w:val="es-ES_tradnl"/>
        </w:rPr>
      </w:pPr>
      <w:bookmarkStart w:id="61" w:name="_Toc373093525"/>
      <w:r w:rsidRPr="003417F3">
        <w:rPr>
          <w:rFonts w:asciiTheme="minorHAnsi" w:hAnsiTheme="minorHAnsi"/>
          <w:lang w:val="es-ES_tradnl"/>
        </w:rPr>
        <w:t>Días cama de hospitalización destinadas a parto</w:t>
      </w:r>
      <w:bookmarkEnd w:id="61"/>
    </w:p>
    <w:p w:rsidR="007D185C" w:rsidRDefault="007D185C" w:rsidP="00C00203">
      <w:pPr>
        <w:rPr>
          <w:rFonts w:asciiTheme="minorHAnsi" w:hAnsiTheme="minorHAnsi" w:cstheme="minorHAnsi"/>
          <w:b/>
          <w:bCs/>
          <w:sz w:val="22"/>
          <w:szCs w:val="22"/>
        </w:rPr>
      </w:pPr>
    </w:p>
    <w:p w:rsidR="007D185C" w:rsidRPr="007D185C" w:rsidRDefault="0096165A" w:rsidP="007D185C">
      <w:pPr>
        <w:jc w:val="both"/>
        <w:rPr>
          <w:rFonts w:asciiTheme="minorHAnsi" w:hAnsiTheme="minorHAnsi" w:cstheme="minorHAnsi"/>
          <w:bCs/>
          <w:sz w:val="22"/>
          <w:szCs w:val="22"/>
        </w:rPr>
      </w:pPr>
      <w:r w:rsidRPr="007D185C">
        <w:rPr>
          <w:rFonts w:asciiTheme="minorHAnsi" w:hAnsiTheme="minorHAnsi" w:cstheme="minorHAnsi"/>
          <w:bCs/>
          <w:sz w:val="22"/>
          <w:szCs w:val="22"/>
        </w:rPr>
        <w:t>Actualmente</w:t>
      </w:r>
      <w:r w:rsidR="001F5AF2">
        <w:rPr>
          <w:rFonts w:asciiTheme="minorHAnsi" w:hAnsiTheme="minorHAnsi" w:cstheme="minorHAnsi"/>
          <w:bCs/>
          <w:sz w:val="22"/>
          <w:szCs w:val="22"/>
        </w:rPr>
        <w:t xml:space="preserve"> se cuenta</w:t>
      </w:r>
      <w:r w:rsidR="007D185C" w:rsidRPr="007D185C">
        <w:rPr>
          <w:rFonts w:asciiTheme="minorHAnsi" w:hAnsiTheme="minorHAnsi" w:cstheme="minorHAnsi"/>
          <w:bCs/>
          <w:sz w:val="22"/>
          <w:szCs w:val="22"/>
        </w:rPr>
        <w:t xml:space="preserve"> con un potencial de </w:t>
      </w:r>
      <w:r w:rsidR="001F5AF2">
        <w:rPr>
          <w:rFonts w:asciiTheme="minorHAnsi" w:hAnsiTheme="minorHAnsi" w:cstheme="minorHAnsi"/>
          <w:bCs/>
          <w:sz w:val="22"/>
          <w:szCs w:val="22"/>
        </w:rPr>
        <w:t xml:space="preserve">70 camas </w:t>
      </w:r>
      <w:r w:rsidR="007D185C" w:rsidRPr="007D185C">
        <w:rPr>
          <w:rFonts w:asciiTheme="minorHAnsi" w:hAnsiTheme="minorHAnsi" w:cstheme="minorHAnsi"/>
          <w:bCs/>
          <w:sz w:val="22"/>
          <w:szCs w:val="22"/>
        </w:rPr>
        <w:t xml:space="preserve">destinadas a la estadía de </w:t>
      </w:r>
      <w:r w:rsidRPr="007D185C">
        <w:rPr>
          <w:rFonts w:asciiTheme="minorHAnsi" w:hAnsiTheme="minorHAnsi" w:cstheme="minorHAnsi"/>
          <w:bCs/>
          <w:sz w:val="22"/>
          <w:szCs w:val="22"/>
        </w:rPr>
        <w:t>mujeres</w:t>
      </w:r>
      <w:r w:rsidR="007D185C" w:rsidRPr="007D185C">
        <w:rPr>
          <w:rFonts w:asciiTheme="minorHAnsi" w:hAnsiTheme="minorHAnsi" w:cstheme="minorHAnsi"/>
          <w:bCs/>
          <w:sz w:val="22"/>
          <w:szCs w:val="22"/>
        </w:rPr>
        <w:t xml:space="preserve"> que han dado a luz, considerando un factor de ajuste de 85%, la oferta potencial es de </w:t>
      </w:r>
      <w:r w:rsidR="00436812">
        <w:rPr>
          <w:rFonts w:asciiTheme="minorHAnsi" w:hAnsiTheme="minorHAnsi" w:cstheme="minorHAnsi"/>
          <w:bCs/>
          <w:sz w:val="22"/>
          <w:szCs w:val="22"/>
        </w:rPr>
        <w:t>21</w:t>
      </w:r>
      <w:r w:rsidR="007D185C" w:rsidRPr="007D185C">
        <w:rPr>
          <w:rFonts w:asciiTheme="minorHAnsi" w:hAnsiTheme="minorHAnsi" w:cstheme="minorHAnsi"/>
          <w:bCs/>
          <w:sz w:val="22"/>
          <w:szCs w:val="22"/>
        </w:rPr>
        <w:t>.7</w:t>
      </w:r>
      <w:r w:rsidR="00436812">
        <w:rPr>
          <w:rFonts w:asciiTheme="minorHAnsi" w:hAnsiTheme="minorHAnsi" w:cstheme="minorHAnsi"/>
          <w:bCs/>
          <w:sz w:val="22"/>
          <w:szCs w:val="22"/>
        </w:rPr>
        <w:t>18</w:t>
      </w:r>
      <w:r w:rsidR="007D185C" w:rsidRPr="007D185C">
        <w:rPr>
          <w:rFonts w:asciiTheme="minorHAnsi" w:hAnsiTheme="minorHAnsi" w:cstheme="minorHAnsi"/>
          <w:bCs/>
          <w:sz w:val="22"/>
          <w:szCs w:val="22"/>
        </w:rPr>
        <w:t xml:space="preserve"> días cama</w:t>
      </w:r>
      <w:r w:rsidR="001F5AF2">
        <w:rPr>
          <w:rFonts w:asciiTheme="minorHAnsi" w:hAnsiTheme="minorHAnsi" w:cstheme="minorHAnsi"/>
          <w:bCs/>
          <w:sz w:val="22"/>
          <w:szCs w:val="22"/>
        </w:rPr>
        <w:t xml:space="preserve"> para el año 2013</w:t>
      </w:r>
      <w:r w:rsidR="007D185C" w:rsidRPr="007D185C">
        <w:rPr>
          <w:rFonts w:asciiTheme="minorHAnsi" w:hAnsiTheme="minorHAnsi" w:cstheme="minorHAnsi"/>
          <w:bCs/>
          <w:sz w:val="22"/>
          <w:szCs w:val="22"/>
        </w:rPr>
        <w:t>.</w:t>
      </w:r>
      <w:r w:rsidR="001F5AF2">
        <w:rPr>
          <w:rFonts w:asciiTheme="minorHAnsi" w:hAnsiTheme="minorHAnsi" w:cstheme="minorHAnsi"/>
          <w:bCs/>
          <w:sz w:val="22"/>
          <w:szCs w:val="22"/>
        </w:rPr>
        <w:t xml:space="preserve"> Al </w:t>
      </w:r>
      <w:r w:rsidR="005352F3">
        <w:rPr>
          <w:rFonts w:asciiTheme="minorHAnsi" w:hAnsiTheme="minorHAnsi" w:cstheme="minorHAnsi"/>
          <w:bCs/>
          <w:sz w:val="22"/>
          <w:szCs w:val="22"/>
        </w:rPr>
        <w:t>considerar</w:t>
      </w:r>
      <w:r w:rsidR="001F5AF2">
        <w:rPr>
          <w:rFonts w:asciiTheme="minorHAnsi" w:hAnsiTheme="minorHAnsi" w:cstheme="minorHAnsi"/>
          <w:bCs/>
          <w:sz w:val="22"/>
          <w:szCs w:val="22"/>
        </w:rPr>
        <w:t xml:space="preserve"> la puesta en marcha del Hospital El Alto Norte</w:t>
      </w:r>
      <w:r w:rsidR="00436812">
        <w:rPr>
          <w:rFonts w:asciiTheme="minorHAnsi" w:hAnsiTheme="minorHAnsi" w:cstheme="minorHAnsi"/>
          <w:bCs/>
          <w:sz w:val="22"/>
          <w:szCs w:val="22"/>
        </w:rPr>
        <w:t>, la oferta potencial aumentará a 30.405 días cama en el año 2014.</w:t>
      </w:r>
    </w:p>
    <w:p w:rsidR="007D185C" w:rsidRDefault="007D185C" w:rsidP="00C00203">
      <w:pPr>
        <w:rPr>
          <w:rFonts w:asciiTheme="minorHAnsi" w:hAnsiTheme="minorHAnsi" w:cstheme="minorHAnsi"/>
          <w:b/>
          <w:bCs/>
          <w:sz w:val="22"/>
          <w:szCs w:val="22"/>
        </w:rPr>
      </w:pPr>
    </w:p>
    <w:p w:rsidR="007D185C" w:rsidRDefault="007D185C" w:rsidP="007D185C">
      <w:pPr>
        <w:rPr>
          <w:rFonts w:asciiTheme="minorHAnsi" w:hAnsiTheme="minorHAnsi" w:cstheme="minorHAnsi"/>
          <w:bCs/>
          <w:color w:val="000000"/>
          <w:sz w:val="22"/>
          <w:szCs w:val="22"/>
        </w:rPr>
      </w:pPr>
      <w:r w:rsidRPr="009C76DB">
        <w:rPr>
          <w:rFonts w:asciiTheme="minorHAnsi" w:hAnsiTheme="minorHAnsi" w:cstheme="minorHAnsi"/>
          <w:bCs/>
          <w:color w:val="000000"/>
          <w:sz w:val="22"/>
        </w:rPr>
        <w:t xml:space="preserve">Tabla </w:t>
      </w:r>
      <w:r w:rsidR="004D3B86">
        <w:rPr>
          <w:rFonts w:asciiTheme="minorHAnsi" w:hAnsiTheme="minorHAnsi" w:cstheme="minorHAnsi"/>
          <w:bCs/>
          <w:color w:val="000000"/>
          <w:sz w:val="22"/>
        </w:rPr>
        <w:t>4.</w:t>
      </w:r>
      <w:r w:rsidR="00503624">
        <w:rPr>
          <w:rFonts w:asciiTheme="minorHAnsi" w:hAnsiTheme="minorHAnsi" w:cstheme="minorHAnsi"/>
          <w:bCs/>
          <w:color w:val="000000"/>
          <w:sz w:val="22"/>
        </w:rPr>
        <w:t>5</w:t>
      </w:r>
      <w:r w:rsidRPr="009C76DB">
        <w:rPr>
          <w:rFonts w:asciiTheme="minorHAnsi" w:hAnsiTheme="minorHAnsi" w:cstheme="minorHAnsi"/>
          <w:bCs/>
          <w:color w:val="000000"/>
          <w:sz w:val="22"/>
        </w:rPr>
        <w:t xml:space="preserve">: Capacidad anual de </w:t>
      </w:r>
      <w:r>
        <w:rPr>
          <w:rFonts w:asciiTheme="minorHAnsi" w:hAnsiTheme="minorHAnsi" w:cstheme="minorHAnsi"/>
          <w:bCs/>
          <w:color w:val="000000"/>
          <w:sz w:val="22"/>
        </w:rPr>
        <w:t>días cama</w:t>
      </w:r>
    </w:p>
    <w:tbl>
      <w:tblPr>
        <w:tblStyle w:val="LightShading-Accent3"/>
        <w:tblW w:w="7624" w:type="dxa"/>
        <w:tblLook w:val="04A0" w:firstRow="1" w:lastRow="0" w:firstColumn="1" w:lastColumn="0" w:noHBand="0" w:noVBand="1"/>
      </w:tblPr>
      <w:tblGrid>
        <w:gridCol w:w="1376"/>
        <w:gridCol w:w="1376"/>
        <w:gridCol w:w="2396"/>
        <w:gridCol w:w="1238"/>
        <w:gridCol w:w="1238"/>
      </w:tblGrid>
      <w:tr w:rsidR="00617C78" w:rsidTr="00617C7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76" w:type="dxa"/>
          </w:tcPr>
          <w:p w:rsidR="00617C78" w:rsidRDefault="00617C78" w:rsidP="00617C78">
            <w:pPr>
              <w:jc w:val="center"/>
              <w:rPr>
                <w:rFonts w:ascii="Calibri" w:hAnsi="Calibri"/>
                <w:color w:val="000000"/>
                <w:sz w:val="22"/>
                <w:szCs w:val="22"/>
              </w:rPr>
            </w:pPr>
            <w:r>
              <w:rPr>
                <w:rFonts w:ascii="Calibri" w:hAnsi="Calibri"/>
                <w:color w:val="000000"/>
                <w:sz w:val="22"/>
                <w:szCs w:val="22"/>
              </w:rPr>
              <w:t>Año</w:t>
            </w:r>
          </w:p>
        </w:tc>
        <w:tc>
          <w:tcPr>
            <w:tcW w:w="1376" w:type="dxa"/>
            <w:noWrap/>
            <w:hideMark/>
          </w:tcPr>
          <w:p w:rsidR="00617C78" w:rsidRDefault="00617C78" w:rsidP="00617C7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Días de operación</w:t>
            </w:r>
          </w:p>
        </w:tc>
        <w:tc>
          <w:tcPr>
            <w:tcW w:w="2396" w:type="dxa"/>
            <w:noWrap/>
            <w:hideMark/>
          </w:tcPr>
          <w:p w:rsidR="00617C78" w:rsidRDefault="00617C78" w:rsidP="00617C78">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Nº de camas</w:t>
            </w:r>
          </w:p>
        </w:tc>
        <w:tc>
          <w:tcPr>
            <w:tcW w:w="2476" w:type="dxa"/>
            <w:gridSpan w:val="2"/>
            <w:noWrap/>
            <w:hideMark/>
          </w:tcPr>
          <w:p w:rsidR="00617C78" w:rsidRDefault="00617C78" w:rsidP="00111F53">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Días cama disponible (85%)</w:t>
            </w:r>
          </w:p>
        </w:tc>
      </w:tr>
      <w:tr w:rsidR="00617C78" w:rsidTr="00617C7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76" w:type="dxa"/>
          </w:tcPr>
          <w:p w:rsidR="00617C78" w:rsidRDefault="00617C78" w:rsidP="00617C78">
            <w:pPr>
              <w:jc w:val="center"/>
              <w:rPr>
                <w:rFonts w:ascii="Calibri" w:hAnsi="Calibri"/>
                <w:b w:val="0"/>
                <w:bCs w:val="0"/>
                <w:color w:val="000000"/>
                <w:sz w:val="22"/>
                <w:szCs w:val="22"/>
              </w:rPr>
            </w:pPr>
            <w:r>
              <w:rPr>
                <w:rFonts w:ascii="Calibri" w:hAnsi="Calibri"/>
                <w:b w:val="0"/>
                <w:bCs w:val="0"/>
                <w:color w:val="000000"/>
                <w:sz w:val="22"/>
                <w:szCs w:val="22"/>
              </w:rPr>
              <w:t>2013</w:t>
            </w:r>
          </w:p>
        </w:tc>
        <w:tc>
          <w:tcPr>
            <w:tcW w:w="1376" w:type="dxa"/>
            <w:noWrap/>
            <w:hideMark/>
          </w:tcPr>
          <w:p w:rsidR="00617C78" w:rsidRDefault="00617C78" w:rsidP="00111F5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365</w:t>
            </w:r>
          </w:p>
        </w:tc>
        <w:tc>
          <w:tcPr>
            <w:tcW w:w="2396" w:type="dxa"/>
            <w:noWrap/>
            <w:hideMark/>
          </w:tcPr>
          <w:p w:rsidR="00617C78" w:rsidRDefault="00617C78" w:rsidP="00111F5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70</w:t>
            </w:r>
          </w:p>
        </w:tc>
        <w:tc>
          <w:tcPr>
            <w:tcW w:w="1238" w:type="dxa"/>
            <w:noWrap/>
            <w:hideMark/>
          </w:tcPr>
          <w:p w:rsidR="00617C78" w:rsidRDefault="00617C78" w:rsidP="00111F53">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21.718</w:t>
            </w:r>
          </w:p>
        </w:tc>
        <w:tc>
          <w:tcPr>
            <w:tcW w:w="1238" w:type="dxa"/>
            <w:noWrap/>
            <w:hideMark/>
          </w:tcPr>
          <w:p w:rsidR="00617C78" w:rsidRDefault="00617C78" w:rsidP="00111F5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p>
        </w:tc>
      </w:tr>
      <w:tr w:rsidR="00617C78" w:rsidTr="00617C78">
        <w:trPr>
          <w:trHeight w:val="288"/>
        </w:trPr>
        <w:tc>
          <w:tcPr>
            <w:cnfStyle w:val="001000000000" w:firstRow="0" w:lastRow="0" w:firstColumn="1" w:lastColumn="0" w:oddVBand="0" w:evenVBand="0" w:oddHBand="0" w:evenHBand="0" w:firstRowFirstColumn="0" w:firstRowLastColumn="0" w:lastRowFirstColumn="0" w:lastRowLastColumn="0"/>
            <w:tcW w:w="1376" w:type="dxa"/>
          </w:tcPr>
          <w:p w:rsidR="00617C78" w:rsidRDefault="00617C78" w:rsidP="00170192">
            <w:pPr>
              <w:jc w:val="center"/>
              <w:rPr>
                <w:rFonts w:ascii="Calibri" w:hAnsi="Calibri"/>
                <w:b w:val="0"/>
                <w:bCs w:val="0"/>
                <w:color w:val="000000"/>
                <w:sz w:val="22"/>
                <w:szCs w:val="22"/>
              </w:rPr>
            </w:pPr>
            <w:r>
              <w:rPr>
                <w:rFonts w:ascii="Calibri" w:hAnsi="Calibri"/>
                <w:b w:val="0"/>
                <w:bCs w:val="0"/>
                <w:color w:val="000000"/>
                <w:sz w:val="22"/>
                <w:szCs w:val="22"/>
              </w:rPr>
              <w:t>2014</w:t>
            </w:r>
          </w:p>
        </w:tc>
        <w:tc>
          <w:tcPr>
            <w:tcW w:w="1376" w:type="dxa"/>
            <w:noWrap/>
            <w:hideMark/>
          </w:tcPr>
          <w:p w:rsidR="00617C78" w:rsidRDefault="00617C78" w:rsidP="00111F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365</w:t>
            </w:r>
          </w:p>
        </w:tc>
        <w:tc>
          <w:tcPr>
            <w:tcW w:w="2396" w:type="dxa"/>
            <w:noWrap/>
            <w:hideMark/>
          </w:tcPr>
          <w:p w:rsidR="00617C78" w:rsidRDefault="00617C78" w:rsidP="00111F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98</w:t>
            </w:r>
          </w:p>
        </w:tc>
        <w:tc>
          <w:tcPr>
            <w:tcW w:w="1238" w:type="dxa"/>
            <w:noWrap/>
            <w:hideMark/>
          </w:tcPr>
          <w:p w:rsidR="00617C78" w:rsidRDefault="00617C78" w:rsidP="00111F53">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30.405</w:t>
            </w:r>
          </w:p>
        </w:tc>
        <w:tc>
          <w:tcPr>
            <w:tcW w:w="1238" w:type="dxa"/>
            <w:noWrap/>
            <w:hideMark/>
          </w:tcPr>
          <w:p w:rsidR="00617C78" w:rsidRDefault="00617C78" w:rsidP="00111F53">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r>
    </w:tbl>
    <w:p w:rsidR="00486F8E" w:rsidRPr="00B902DA" w:rsidRDefault="00486F8E" w:rsidP="00486F8E">
      <w:pPr>
        <w:rPr>
          <w:rFonts w:asciiTheme="minorHAnsi" w:hAnsiTheme="minorHAnsi" w:cstheme="minorHAnsi"/>
          <w:bCs/>
          <w:sz w:val="18"/>
          <w:szCs w:val="18"/>
        </w:rPr>
      </w:pPr>
      <w:r w:rsidRPr="00B902DA">
        <w:rPr>
          <w:rFonts w:asciiTheme="minorHAnsi" w:hAnsiTheme="minorHAnsi" w:cstheme="minorHAnsi"/>
          <w:bCs/>
          <w:sz w:val="18"/>
          <w:szCs w:val="18"/>
        </w:rPr>
        <w:t>Fuente: Elaboración propia.</w:t>
      </w:r>
    </w:p>
    <w:p w:rsidR="00FA0A31" w:rsidRPr="009C76DB" w:rsidRDefault="00FA0A31" w:rsidP="00C00203">
      <w:pPr>
        <w:keepNext/>
        <w:widowControl w:val="0"/>
        <w:autoSpaceDE w:val="0"/>
        <w:autoSpaceDN w:val="0"/>
        <w:adjustRightInd w:val="0"/>
        <w:spacing w:after="240"/>
        <w:ind w:right="23"/>
        <w:jc w:val="both"/>
        <w:rPr>
          <w:rFonts w:asciiTheme="minorHAnsi" w:hAnsiTheme="minorHAnsi" w:cstheme="minorHAnsi"/>
          <w:bCs/>
          <w:color w:val="000000"/>
          <w:sz w:val="22"/>
          <w:szCs w:val="22"/>
        </w:rPr>
      </w:pPr>
    </w:p>
    <w:p w:rsidR="00C00203" w:rsidRPr="003417F3" w:rsidRDefault="00C00203" w:rsidP="008A366B">
      <w:pPr>
        <w:pStyle w:val="Heading2"/>
        <w:numPr>
          <w:ilvl w:val="1"/>
          <w:numId w:val="1"/>
        </w:numPr>
        <w:rPr>
          <w:rFonts w:asciiTheme="minorHAnsi" w:hAnsiTheme="minorHAnsi"/>
        </w:rPr>
      </w:pPr>
      <w:bookmarkStart w:id="62" w:name="_Toc373093526"/>
      <w:r w:rsidRPr="003417F3">
        <w:rPr>
          <w:rFonts w:asciiTheme="minorHAnsi" w:hAnsiTheme="minorHAnsi"/>
        </w:rPr>
        <w:t>Quirófanos</w:t>
      </w:r>
      <w:bookmarkEnd w:id="62"/>
    </w:p>
    <w:p w:rsidR="003A4E4B" w:rsidRDefault="003A4E4B" w:rsidP="003A4E4B"/>
    <w:p w:rsidR="003A4E4B" w:rsidRPr="003A4E4B" w:rsidRDefault="00FB11A8" w:rsidP="003A4E4B">
      <w:pPr>
        <w:jc w:val="both"/>
        <w:rPr>
          <w:rFonts w:asciiTheme="minorHAnsi" w:hAnsiTheme="minorHAnsi" w:cstheme="minorHAnsi"/>
          <w:sz w:val="22"/>
        </w:rPr>
      </w:pPr>
      <w:r>
        <w:rPr>
          <w:rFonts w:asciiTheme="minorHAnsi" w:hAnsiTheme="minorHAnsi" w:cstheme="minorHAnsi"/>
          <w:sz w:val="22"/>
        </w:rPr>
        <w:t xml:space="preserve">En la Tabla </w:t>
      </w:r>
      <w:r w:rsidR="004D3B86">
        <w:rPr>
          <w:rFonts w:asciiTheme="minorHAnsi" w:hAnsiTheme="minorHAnsi" w:cstheme="minorHAnsi"/>
          <w:sz w:val="22"/>
        </w:rPr>
        <w:t>4</w:t>
      </w:r>
      <w:r w:rsidR="003A4E4B" w:rsidRPr="003A4E4B">
        <w:rPr>
          <w:rFonts w:asciiTheme="minorHAnsi" w:hAnsiTheme="minorHAnsi" w:cstheme="minorHAnsi"/>
          <w:sz w:val="22"/>
        </w:rPr>
        <w:t>.</w:t>
      </w:r>
      <w:r w:rsidR="00503624">
        <w:rPr>
          <w:rFonts w:asciiTheme="minorHAnsi" w:hAnsiTheme="minorHAnsi" w:cstheme="minorHAnsi"/>
          <w:sz w:val="22"/>
        </w:rPr>
        <w:t>6</w:t>
      </w:r>
      <w:r w:rsidR="003A4E4B" w:rsidRPr="003A4E4B">
        <w:rPr>
          <w:rFonts w:asciiTheme="minorHAnsi" w:hAnsiTheme="minorHAnsi" w:cstheme="minorHAnsi"/>
          <w:sz w:val="22"/>
        </w:rPr>
        <w:t xml:space="preserve"> se muestra la capacidad potencial de oferta de cirugía </w:t>
      </w:r>
      <w:r w:rsidR="00A95891">
        <w:rPr>
          <w:rFonts w:asciiTheme="minorHAnsi" w:hAnsiTheme="minorHAnsi" w:cstheme="minorHAnsi"/>
          <w:sz w:val="22"/>
        </w:rPr>
        <w:t>de mayor y mediana complejidad</w:t>
      </w:r>
      <w:r w:rsidR="003A4E4B" w:rsidRPr="003A4E4B">
        <w:rPr>
          <w:rFonts w:asciiTheme="minorHAnsi" w:hAnsiTheme="minorHAnsi" w:cstheme="minorHAnsi"/>
          <w:sz w:val="22"/>
        </w:rPr>
        <w:t xml:space="preserve">. </w:t>
      </w:r>
      <w:r w:rsidR="00A95891">
        <w:rPr>
          <w:rFonts w:asciiTheme="minorHAnsi" w:hAnsiTheme="minorHAnsi" w:cstheme="minorHAnsi"/>
          <w:sz w:val="22"/>
        </w:rPr>
        <w:t>S</w:t>
      </w:r>
      <w:r w:rsidR="003A4E4B" w:rsidRPr="003A4E4B">
        <w:rPr>
          <w:rFonts w:asciiTheme="minorHAnsi" w:hAnsiTheme="minorHAnsi" w:cstheme="minorHAnsi"/>
          <w:sz w:val="22"/>
        </w:rPr>
        <w:t xml:space="preserve">e ha supuesto una productividad diaria de </w:t>
      </w:r>
      <w:r w:rsidR="00A95891">
        <w:rPr>
          <w:rFonts w:asciiTheme="minorHAnsi" w:hAnsiTheme="minorHAnsi" w:cstheme="minorHAnsi"/>
          <w:sz w:val="22"/>
        </w:rPr>
        <w:t>4</w:t>
      </w:r>
      <w:r w:rsidR="003A4E4B" w:rsidRPr="003A4E4B">
        <w:rPr>
          <w:rFonts w:asciiTheme="minorHAnsi" w:hAnsiTheme="minorHAnsi" w:cstheme="minorHAnsi"/>
          <w:sz w:val="22"/>
        </w:rPr>
        <w:t xml:space="preserve"> cirugías por </w:t>
      </w:r>
      <w:r w:rsidR="0096165A" w:rsidRPr="003A4E4B">
        <w:rPr>
          <w:rFonts w:asciiTheme="minorHAnsi" w:hAnsiTheme="minorHAnsi" w:cstheme="minorHAnsi"/>
          <w:sz w:val="22"/>
        </w:rPr>
        <w:t>quirófano</w:t>
      </w:r>
      <w:r w:rsidR="003A4E4B" w:rsidRPr="003A4E4B">
        <w:rPr>
          <w:rFonts w:asciiTheme="minorHAnsi" w:hAnsiTheme="minorHAnsi" w:cstheme="minorHAnsi"/>
          <w:sz w:val="22"/>
        </w:rPr>
        <w:t xml:space="preserve">, lo cual supone </w:t>
      </w:r>
      <w:r w:rsidR="00111F53">
        <w:rPr>
          <w:rFonts w:asciiTheme="minorHAnsi" w:hAnsiTheme="minorHAnsi" w:cstheme="minorHAnsi"/>
          <w:sz w:val="22"/>
        </w:rPr>
        <w:t>4</w:t>
      </w:r>
      <w:r w:rsidR="003A4E4B" w:rsidRPr="003A4E4B">
        <w:rPr>
          <w:rFonts w:asciiTheme="minorHAnsi" w:hAnsiTheme="minorHAnsi" w:cstheme="minorHAnsi"/>
          <w:sz w:val="22"/>
        </w:rPr>
        <w:t xml:space="preserve"> horas por cirugía</w:t>
      </w:r>
      <w:r w:rsidR="00111F53">
        <w:rPr>
          <w:rFonts w:asciiTheme="minorHAnsi" w:hAnsiTheme="minorHAnsi" w:cstheme="minorHAnsi"/>
          <w:sz w:val="22"/>
        </w:rPr>
        <w:t>, considerando un uso “productivo” promedio por quirófano de 16 horas por día</w:t>
      </w:r>
      <w:r w:rsidR="003A4E4B" w:rsidRPr="003A4E4B">
        <w:rPr>
          <w:rFonts w:asciiTheme="minorHAnsi" w:hAnsiTheme="minorHAnsi" w:cstheme="minorHAnsi"/>
          <w:sz w:val="22"/>
        </w:rPr>
        <w:t>. Se considera un funcionamiento de 365 días al año.</w:t>
      </w:r>
      <w:r w:rsidR="00111F53">
        <w:rPr>
          <w:rStyle w:val="FootnoteReference"/>
          <w:rFonts w:asciiTheme="minorHAnsi" w:hAnsiTheme="minorHAnsi" w:cstheme="minorHAnsi"/>
          <w:sz w:val="22"/>
        </w:rPr>
        <w:footnoteReference w:id="54"/>
      </w:r>
      <w:r w:rsidR="003A4E4B" w:rsidRPr="003A4E4B">
        <w:rPr>
          <w:rFonts w:asciiTheme="minorHAnsi" w:hAnsiTheme="minorHAnsi" w:cstheme="minorHAnsi"/>
          <w:sz w:val="22"/>
        </w:rPr>
        <w:t xml:space="preserve"> La capacidad potencial de cirugías en este caso considerando el factor de </w:t>
      </w:r>
      <w:r w:rsidR="0096165A" w:rsidRPr="003A4E4B">
        <w:rPr>
          <w:rFonts w:asciiTheme="minorHAnsi" w:hAnsiTheme="minorHAnsi" w:cstheme="minorHAnsi"/>
          <w:sz w:val="22"/>
        </w:rPr>
        <w:t>ajuste</w:t>
      </w:r>
      <w:r w:rsidR="003A4E4B" w:rsidRPr="003A4E4B">
        <w:rPr>
          <w:rFonts w:asciiTheme="minorHAnsi" w:hAnsiTheme="minorHAnsi" w:cstheme="minorHAnsi"/>
          <w:sz w:val="22"/>
        </w:rPr>
        <w:t xml:space="preserve"> de 85% es de </w:t>
      </w:r>
      <w:r w:rsidR="00A95891">
        <w:rPr>
          <w:rFonts w:asciiTheme="minorHAnsi" w:hAnsiTheme="minorHAnsi" w:cstheme="minorHAnsi"/>
          <w:sz w:val="22"/>
        </w:rPr>
        <w:t>1</w:t>
      </w:r>
      <w:r w:rsidR="003A4E4B" w:rsidRPr="003A4E4B">
        <w:rPr>
          <w:rFonts w:asciiTheme="minorHAnsi" w:hAnsiTheme="minorHAnsi" w:cstheme="minorHAnsi"/>
          <w:sz w:val="22"/>
        </w:rPr>
        <w:t>3.</w:t>
      </w:r>
      <w:r w:rsidR="00A95891">
        <w:rPr>
          <w:rFonts w:asciiTheme="minorHAnsi" w:hAnsiTheme="minorHAnsi" w:cstheme="minorHAnsi"/>
          <w:sz w:val="22"/>
        </w:rPr>
        <w:t>651</w:t>
      </w:r>
      <w:r w:rsidR="003A4E4B" w:rsidRPr="003A4E4B">
        <w:rPr>
          <w:rFonts w:asciiTheme="minorHAnsi" w:hAnsiTheme="minorHAnsi" w:cstheme="minorHAnsi"/>
          <w:sz w:val="22"/>
        </w:rPr>
        <w:t>.</w:t>
      </w:r>
      <w:r w:rsidR="00A95891">
        <w:rPr>
          <w:rFonts w:asciiTheme="minorHAnsi" w:hAnsiTheme="minorHAnsi" w:cstheme="minorHAnsi"/>
          <w:sz w:val="22"/>
        </w:rPr>
        <w:t xml:space="preserve"> Con la puesta en marcha del Hospital El Alto Norte, la oferta aumentará a 18.615 en el año 2014, y a 21.097 el año 2015.</w:t>
      </w:r>
    </w:p>
    <w:p w:rsidR="00AB7175" w:rsidRDefault="00AB7175" w:rsidP="003A4E4B">
      <w:pPr>
        <w:rPr>
          <w:rFonts w:asciiTheme="minorHAnsi" w:hAnsiTheme="minorHAnsi" w:cstheme="minorHAnsi"/>
          <w:bCs/>
          <w:color w:val="000000"/>
          <w:sz w:val="22"/>
        </w:rPr>
      </w:pPr>
    </w:p>
    <w:p w:rsidR="003A4E4B" w:rsidRDefault="00AB7175" w:rsidP="003A4E4B">
      <w:r w:rsidRPr="009C76DB">
        <w:rPr>
          <w:rFonts w:asciiTheme="minorHAnsi" w:hAnsiTheme="minorHAnsi" w:cstheme="minorHAnsi"/>
          <w:bCs/>
          <w:color w:val="000000"/>
          <w:sz w:val="22"/>
        </w:rPr>
        <w:t xml:space="preserve">Tabla </w:t>
      </w:r>
      <w:r w:rsidR="004D3B86">
        <w:rPr>
          <w:rFonts w:asciiTheme="minorHAnsi" w:hAnsiTheme="minorHAnsi" w:cstheme="minorHAnsi"/>
          <w:bCs/>
          <w:color w:val="000000"/>
          <w:sz w:val="22"/>
        </w:rPr>
        <w:t>4.</w:t>
      </w:r>
      <w:r w:rsidR="00503624">
        <w:rPr>
          <w:rFonts w:asciiTheme="minorHAnsi" w:hAnsiTheme="minorHAnsi" w:cstheme="minorHAnsi"/>
          <w:bCs/>
          <w:color w:val="000000"/>
          <w:sz w:val="22"/>
        </w:rPr>
        <w:t>6</w:t>
      </w:r>
      <w:r w:rsidRPr="009C76DB">
        <w:rPr>
          <w:rFonts w:asciiTheme="minorHAnsi" w:hAnsiTheme="minorHAnsi" w:cstheme="minorHAnsi"/>
          <w:bCs/>
          <w:color w:val="000000"/>
          <w:sz w:val="22"/>
        </w:rPr>
        <w:t xml:space="preserve">: Capacidad anual de </w:t>
      </w:r>
      <w:r>
        <w:rPr>
          <w:rFonts w:asciiTheme="minorHAnsi" w:hAnsiTheme="minorHAnsi" w:cstheme="minorHAnsi"/>
          <w:bCs/>
          <w:color w:val="000000"/>
          <w:sz w:val="22"/>
        </w:rPr>
        <w:t>cirugías mayor</w:t>
      </w:r>
      <w:r w:rsidR="009534E1">
        <w:rPr>
          <w:rFonts w:asciiTheme="minorHAnsi" w:hAnsiTheme="minorHAnsi" w:cstheme="minorHAnsi"/>
          <w:bCs/>
          <w:color w:val="000000"/>
          <w:sz w:val="22"/>
        </w:rPr>
        <w:t xml:space="preserve"> y mediana complejidad</w:t>
      </w:r>
    </w:p>
    <w:tbl>
      <w:tblPr>
        <w:tblStyle w:val="LightShading-Accent3"/>
        <w:tblW w:w="9054" w:type="dxa"/>
        <w:tblLook w:val="04A0" w:firstRow="1" w:lastRow="0" w:firstColumn="1" w:lastColumn="0" w:noHBand="0" w:noVBand="1"/>
      </w:tblPr>
      <w:tblGrid>
        <w:gridCol w:w="722"/>
        <w:gridCol w:w="360"/>
        <w:gridCol w:w="2386"/>
        <w:gridCol w:w="3117"/>
        <w:gridCol w:w="2469"/>
      </w:tblGrid>
      <w:tr w:rsidR="004D3B86" w:rsidRPr="00AB7175" w:rsidTr="004D3B8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vAlign w:val="center"/>
          </w:tcPr>
          <w:p w:rsidR="004D3B86" w:rsidRPr="00AB7175" w:rsidRDefault="004D3B86" w:rsidP="004D3B86">
            <w:pPr>
              <w:jc w:val="center"/>
              <w:rPr>
                <w:rFonts w:ascii="Calibri" w:hAnsi="Calibri"/>
                <w:color w:val="000000"/>
                <w:sz w:val="20"/>
                <w:szCs w:val="20"/>
              </w:rPr>
            </w:pPr>
            <w:r>
              <w:rPr>
                <w:rFonts w:ascii="Calibri" w:hAnsi="Calibri"/>
                <w:b w:val="0"/>
                <w:bCs w:val="0"/>
                <w:color w:val="000000"/>
                <w:sz w:val="20"/>
                <w:szCs w:val="20"/>
              </w:rPr>
              <w:t>Año</w:t>
            </w:r>
          </w:p>
        </w:tc>
        <w:tc>
          <w:tcPr>
            <w:tcW w:w="360" w:type="dxa"/>
            <w:vAlign w:val="center"/>
          </w:tcPr>
          <w:p w:rsidR="004D3B86" w:rsidRPr="00AB7175" w:rsidRDefault="004D3B86" w:rsidP="004D3B86">
            <w:pPr>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0"/>
                <w:szCs w:val="20"/>
              </w:rPr>
            </w:pPr>
          </w:p>
        </w:tc>
        <w:tc>
          <w:tcPr>
            <w:tcW w:w="2386" w:type="dxa"/>
            <w:noWrap/>
            <w:vAlign w:val="center"/>
            <w:hideMark/>
          </w:tcPr>
          <w:p w:rsidR="004D3B86" w:rsidRPr="005004E7" w:rsidRDefault="004D3B86" w:rsidP="004D3B86">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lang w:val="pt-BR"/>
              </w:rPr>
            </w:pPr>
            <w:r w:rsidRPr="005004E7">
              <w:rPr>
                <w:rFonts w:ascii="Calibri" w:hAnsi="Calibri"/>
                <w:b w:val="0"/>
                <w:bCs w:val="0"/>
                <w:color w:val="000000"/>
                <w:sz w:val="20"/>
                <w:szCs w:val="20"/>
                <w:lang w:val="pt-BR"/>
              </w:rPr>
              <w:t xml:space="preserve">Nº de </w:t>
            </w:r>
            <w:r w:rsidR="005352F3" w:rsidRPr="005004E7">
              <w:rPr>
                <w:rFonts w:ascii="Calibri" w:hAnsi="Calibri"/>
                <w:b w:val="0"/>
                <w:bCs w:val="0"/>
                <w:color w:val="000000"/>
                <w:sz w:val="20"/>
                <w:szCs w:val="20"/>
                <w:lang w:val="pt-BR"/>
              </w:rPr>
              <w:t>quirófanos</w:t>
            </w:r>
            <w:r w:rsidRPr="005004E7">
              <w:rPr>
                <w:rFonts w:ascii="Calibri" w:hAnsi="Calibri"/>
                <w:b w:val="0"/>
                <w:bCs w:val="0"/>
                <w:color w:val="000000"/>
                <w:sz w:val="20"/>
                <w:szCs w:val="20"/>
                <w:lang w:val="pt-BR"/>
              </w:rPr>
              <w:t xml:space="preserve"> cir hosp</w:t>
            </w:r>
          </w:p>
        </w:tc>
        <w:tc>
          <w:tcPr>
            <w:tcW w:w="3117" w:type="dxa"/>
            <w:noWrap/>
            <w:vAlign w:val="center"/>
            <w:hideMark/>
          </w:tcPr>
          <w:p w:rsidR="004D3B86" w:rsidRPr="00AB7175" w:rsidRDefault="004D3B86" w:rsidP="004D3B86">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b w:val="0"/>
                <w:bCs w:val="0"/>
                <w:color w:val="000000"/>
                <w:sz w:val="20"/>
                <w:szCs w:val="20"/>
              </w:rPr>
              <w:t xml:space="preserve">Productividad diaria por </w:t>
            </w:r>
            <w:r w:rsidR="005352F3" w:rsidRPr="00AB7175">
              <w:rPr>
                <w:rFonts w:ascii="Calibri" w:hAnsi="Calibri"/>
                <w:b w:val="0"/>
                <w:bCs w:val="0"/>
                <w:color w:val="000000"/>
                <w:sz w:val="20"/>
                <w:szCs w:val="20"/>
              </w:rPr>
              <w:t>quirófano</w:t>
            </w:r>
          </w:p>
        </w:tc>
        <w:tc>
          <w:tcPr>
            <w:tcW w:w="2469" w:type="dxa"/>
            <w:noWrap/>
            <w:vAlign w:val="center"/>
            <w:hideMark/>
          </w:tcPr>
          <w:p w:rsidR="004D3B86" w:rsidRPr="00AB7175" w:rsidRDefault="004D3B86" w:rsidP="004D3B86">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b w:val="0"/>
                <w:bCs w:val="0"/>
                <w:color w:val="000000"/>
                <w:sz w:val="20"/>
                <w:szCs w:val="20"/>
              </w:rPr>
              <w:t>Capacidad óptima anual (85%)</w:t>
            </w:r>
          </w:p>
        </w:tc>
      </w:tr>
      <w:tr w:rsidR="004D3B86" w:rsidRPr="00AB7175" w:rsidTr="004D3B8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vAlign w:val="center"/>
          </w:tcPr>
          <w:p w:rsidR="004D3B86" w:rsidRPr="00AB7175" w:rsidRDefault="004D3B86" w:rsidP="004D3B86">
            <w:pPr>
              <w:jc w:val="center"/>
              <w:rPr>
                <w:rFonts w:ascii="Calibri" w:hAnsi="Calibri"/>
                <w:color w:val="000000"/>
                <w:sz w:val="20"/>
                <w:szCs w:val="20"/>
              </w:rPr>
            </w:pPr>
            <w:r w:rsidRPr="00AB7175">
              <w:rPr>
                <w:rFonts w:ascii="Calibri" w:hAnsi="Calibri"/>
                <w:color w:val="000000"/>
                <w:sz w:val="20"/>
                <w:szCs w:val="20"/>
              </w:rPr>
              <w:t>2013</w:t>
            </w:r>
          </w:p>
        </w:tc>
        <w:tc>
          <w:tcPr>
            <w:tcW w:w="360" w:type="dxa"/>
            <w:vAlign w:val="center"/>
          </w:tcPr>
          <w:p w:rsidR="004D3B86" w:rsidRPr="00AB7175" w:rsidRDefault="004D3B86" w:rsidP="004D3B8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2386" w:type="dxa"/>
            <w:noWrap/>
            <w:vAlign w:val="center"/>
            <w:hideMark/>
          </w:tcPr>
          <w:p w:rsidR="004D3B86" w:rsidRPr="00AB7175" w:rsidRDefault="004D3B86" w:rsidP="004D3B8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11</w:t>
            </w:r>
          </w:p>
        </w:tc>
        <w:tc>
          <w:tcPr>
            <w:tcW w:w="3117" w:type="dxa"/>
            <w:noWrap/>
            <w:vAlign w:val="center"/>
            <w:hideMark/>
          </w:tcPr>
          <w:p w:rsidR="004D3B86" w:rsidRPr="00AB7175" w:rsidRDefault="004D3B86" w:rsidP="004D3B8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4</w:t>
            </w:r>
          </w:p>
        </w:tc>
        <w:tc>
          <w:tcPr>
            <w:tcW w:w="2469" w:type="dxa"/>
            <w:noWrap/>
            <w:vAlign w:val="center"/>
            <w:hideMark/>
          </w:tcPr>
          <w:p w:rsidR="004D3B86" w:rsidRPr="00AB7175" w:rsidRDefault="004D3B86" w:rsidP="004D3B8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13.651</w:t>
            </w:r>
          </w:p>
        </w:tc>
      </w:tr>
      <w:tr w:rsidR="004D3B86" w:rsidRPr="00AB7175" w:rsidTr="004D3B86">
        <w:trPr>
          <w:trHeight w:val="170"/>
        </w:trPr>
        <w:tc>
          <w:tcPr>
            <w:cnfStyle w:val="001000000000" w:firstRow="0" w:lastRow="0" w:firstColumn="1" w:lastColumn="0" w:oddVBand="0" w:evenVBand="0" w:oddHBand="0" w:evenHBand="0" w:firstRowFirstColumn="0" w:firstRowLastColumn="0" w:lastRowFirstColumn="0" w:lastRowLastColumn="0"/>
            <w:tcW w:w="722" w:type="dxa"/>
            <w:vAlign w:val="center"/>
          </w:tcPr>
          <w:p w:rsidR="004D3B86" w:rsidRPr="00AB7175" w:rsidRDefault="004D3B86" w:rsidP="004D3B86">
            <w:pPr>
              <w:jc w:val="center"/>
              <w:rPr>
                <w:rFonts w:ascii="Calibri" w:hAnsi="Calibri"/>
                <w:color w:val="000000"/>
                <w:sz w:val="20"/>
                <w:szCs w:val="20"/>
              </w:rPr>
            </w:pPr>
            <w:r w:rsidRPr="00AB7175">
              <w:rPr>
                <w:rFonts w:ascii="Calibri" w:hAnsi="Calibri"/>
                <w:color w:val="000000"/>
                <w:sz w:val="20"/>
                <w:szCs w:val="20"/>
              </w:rPr>
              <w:t>2014</w:t>
            </w:r>
          </w:p>
        </w:tc>
        <w:tc>
          <w:tcPr>
            <w:tcW w:w="360" w:type="dxa"/>
            <w:vAlign w:val="center"/>
          </w:tcPr>
          <w:p w:rsidR="004D3B86" w:rsidRPr="00AB7175" w:rsidRDefault="004D3B86" w:rsidP="004D3B8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2386" w:type="dxa"/>
            <w:noWrap/>
            <w:vAlign w:val="center"/>
            <w:hideMark/>
          </w:tcPr>
          <w:p w:rsidR="004D3B86" w:rsidRPr="00AB7175" w:rsidRDefault="004D3B86" w:rsidP="004D3B8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15</w:t>
            </w:r>
          </w:p>
        </w:tc>
        <w:tc>
          <w:tcPr>
            <w:tcW w:w="3117" w:type="dxa"/>
            <w:noWrap/>
            <w:vAlign w:val="center"/>
            <w:hideMark/>
          </w:tcPr>
          <w:p w:rsidR="004D3B86" w:rsidRPr="00AB7175" w:rsidRDefault="004D3B86" w:rsidP="004D3B8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4</w:t>
            </w:r>
          </w:p>
        </w:tc>
        <w:tc>
          <w:tcPr>
            <w:tcW w:w="2469" w:type="dxa"/>
            <w:noWrap/>
            <w:vAlign w:val="center"/>
            <w:hideMark/>
          </w:tcPr>
          <w:p w:rsidR="004D3B86" w:rsidRPr="00AB7175" w:rsidRDefault="004D3B86" w:rsidP="004D3B86">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18.615</w:t>
            </w:r>
          </w:p>
        </w:tc>
      </w:tr>
      <w:tr w:rsidR="004D3B86" w:rsidRPr="00AB7175" w:rsidTr="004D3B8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722" w:type="dxa"/>
            <w:vAlign w:val="center"/>
          </w:tcPr>
          <w:p w:rsidR="004D3B86" w:rsidRPr="00AB7175" w:rsidRDefault="004D3B86" w:rsidP="004D3B86">
            <w:pPr>
              <w:jc w:val="center"/>
              <w:rPr>
                <w:rFonts w:ascii="Calibri" w:hAnsi="Calibri"/>
                <w:color w:val="000000"/>
                <w:sz w:val="20"/>
                <w:szCs w:val="20"/>
              </w:rPr>
            </w:pPr>
            <w:r w:rsidRPr="00AB7175">
              <w:rPr>
                <w:rFonts w:ascii="Calibri" w:hAnsi="Calibri"/>
                <w:color w:val="000000"/>
                <w:sz w:val="20"/>
                <w:szCs w:val="20"/>
              </w:rPr>
              <w:t>2015</w:t>
            </w:r>
          </w:p>
        </w:tc>
        <w:tc>
          <w:tcPr>
            <w:tcW w:w="360" w:type="dxa"/>
            <w:vAlign w:val="center"/>
          </w:tcPr>
          <w:p w:rsidR="004D3B86" w:rsidRPr="00AB7175" w:rsidRDefault="004D3B86" w:rsidP="004D3B8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2386" w:type="dxa"/>
            <w:noWrap/>
            <w:vAlign w:val="center"/>
            <w:hideMark/>
          </w:tcPr>
          <w:p w:rsidR="004D3B86" w:rsidRPr="00AB7175" w:rsidRDefault="004D3B86" w:rsidP="004D3B8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17</w:t>
            </w:r>
          </w:p>
        </w:tc>
        <w:tc>
          <w:tcPr>
            <w:tcW w:w="3117" w:type="dxa"/>
            <w:noWrap/>
            <w:vAlign w:val="center"/>
            <w:hideMark/>
          </w:tcPr>
          <w:p w:rsidR="004D3B86" w:rsidRPr="00AB7175" w:rsidRDefault="004D3B86" w:rsidP="004D3B8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4</w:t>
            </w:r>
          </w:p>
        </w:tc>
        <w:tc>
          <w:tcPr>
            <w:tcW w:w="2469" w:type="dxa"/>
            <w:noWrap/>
            <w:vAlign w:val="center"/>
            <w:hideMark/>
          </w:tcPr>
          <w:p w:rsidR="004D3B86" w:rsidRPr="00AB7175" w:rsidRDefault="004D3B86" w:rsidP="004D3B8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AB7175">
              <w:rPr>
                <w:rFonts w:ascii="Calibri" w:hAnsi="Calibri"/>
                <w:color w:val="000000"/>
                <w:sz w:val="20"/>
                <w:szCs w:val="20"/>
              </w:rPr>
              <w:t>21.097</w:t>
            </w:r>
          </w:p>
        </w:tc>
      </w:tr>
    </w:tbl>
    <w:p w:rsidR="003A4E4B" w:rsidRPr="00B902DA" w:rsidRDefault="003A4E4B" w:rsidP="003A4E4B">
      <w:pPr>
        <w:rPr>
          <w:rFonts w:asciiTheme="minorHAnsi" w:hAnsiTheme="minorHAnsi" w:cstheme="minorHAnsi"/>
          <w:bCs/>
          <w:sz w:val="18"/>
          <w:szCs w:val="18"/>
        </w:rPr>
      </w:pPr>
      <w:r w:rsidRPr="00B902DA">
        <w:rPr>
          <w:rFonts w:asciiTheme="minorHAnsi" w:hAnsiTheme="minorHAnsi" w:cstheme="minorHAnsi"/>
          <w:bCs/>
          <w:sz w:val="18"/>
          <w:szCs w:val="18"/>
        </w:rPr>
        <w:t>Fuente: Elaboración propia.</w:t>
      </w:r>
    </w:p>
    <w:p w:rsidR="00524B70" w:rsidRDefault="00524B70" w:rsidP="003A4E4B">
      <w:pPr>
        <w:pStyle w:val="Heading3"/>
        <w:rPr>
          <w:rFonts w:asciiTheme="minorHAnsi" w:hAnsiTheme="minorHAnsi" w:cstheme="minorHAnsi"/>
          <w:sz w:val="22"/>
          <w:lang w:val="es-ES_tradnl"/>
        </w:rPr>
      </w:pPr>
    </w:p>
    <w:p w:rsidR="003A4E4B" w:rsidRPr="003417F3" w:rsidRDefault="0096165A" w:rsidP="008A366B">
      <w:pPr>
        <w:pStyle w:val="Heading2"/>
        <w:numPr>
          <w:ilvl w:val="1"/>
          <w:numId w:val="1"/>
        </w:numPr>
        <w:rPr>
          <w:rFonts w:asciiTheme="minorHAnsi" w:hAnsiTheme="minorHAnsi"/>
          <w:szCs w:val="22"/>
        </w:rPr>
      </w:pPr>
      <w:bookmarkStart w:id="63" w:name="_Toc373093527"/>
      <w:r w:rsidRPr="003417F3">
        <w:rPr>
          <w:rFonts w:asciiTheme="minorHAnsi" w:hAnsiTheme="minorHAnsi"/>
          <w:lang w:val="es-ES_tradnl"/>
        </w:rPr>
        <w:t>Diálisis</w:t>
      </w:r>
      <w:bookmarkEnd w:id="63"/>
    </w:p>
    <w:p w:rsidR="00C00203" w:rsidRDefault="00C00203" w:rsidP="00C00203">
      <w:pPr>
        <w:keepNext/>
        <w:widowControl w:val="0"/>
        <w:autoSpaceDE w:val="0"/>
        <w:autoSpaceDN w:val="0"/>
        <w:adjustRightInd w:val="0"/>
        <w:spacing w:after="240"/>
        <w:ind w:right="23"/>
        <w:jc w:val="both"/>
        <w:rPr>
          <w:rFonts w:asciiTheme="minorHAnsi" w:hAnsiTheme="minorHAnsi" w:cstheme="minorHAnsi"/>
          <w:bCs/>
          <w:color w:val="000000"/>
          <w:sz w:val="22"/>
          <w:szCs w:val="22"/>
        </w:rPr>
      </w:pPr>
    </w:p>
    <w:p w:rsidR="003A4E4B" w:rsidRDefault="003A4E4B" w:rsidP="00C00203">
      <w:pPr>
        <w:keepNext/>
        <w:widowControl w:val="0"/>
        <w:autoSpaceDE w:val="0"/>
        <w:autoSpaceDN w:val="0"/>
        <w:adjustRightInd w:val="0"/>
        <w:spacing w:after="240"/>
        <w:ind w:right="23"/>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Actualmente </w:t>
      </w:r>
      <w:r w:rsidR="00A95891">
        <w:rPr>
          <w:rFonts w:asciiTheme="minorHAnsi" w:hAnsiTheme="minorHAnsi" w:cstheme="minorHAnsi"/>
          <w:bCs/>
          <w:color w:val="000000"/>
          <w:sz w:val="22"/>
          <w:szCs w:val="22"/>
        </w:rPr>
        <w:t>se cuenta con una capacidad</w:t>
      </w:r>
      <w:r>
        <w:rPr>
          <w:rFonts w:asciiTheme="minorHAnsi" w:hAnsiTheme="minorHAnsi" w:cstheme="minorHAnsi"/>
          <w:bCs/>
          <w:color w:val="000000"/>
          <w:sz w:val="22"/>
          <w:szCs w:val="22"/>
        </w:rPr>
        <w:t xml:space="preserve"> cuenta con </w:t>
      </w:r>
      <w:r w:rsidR="00A95891">
        <w:rPr>
          <w:rFonts w:asciiTheme="minorHAnsi" w:hAnsiTheme="minorHAnsi" w:cstheme="minorHAnsi"/>
          <w:bCs/>
          <w:color w:val="000000"/>
          <w:sz w:val="22"/>
          <w:szCs w:val="22"/>
        </w:rPr>
        <w:t>17 equipos para la atención de diálisis.</w:t>
      </w:r>
      <w:r>
        <w:rPr>
          <w:rFonts w:asciiTheme="minorHAnsi" w:hAnsiTheme="minorHAnsi" w:cstheme="minorHAnsi"/>
          <w:bCs/>
          <w:color w:val="000000"/>
          <w:sz w:val="22"/>
          <w:szCs w:val="22"/>
        </w:rPr>
        <w:t xml:space="preserve">, las que operan durante 12 horas diarias los 365 días del año. Cada </w:t>
      </w:r>
      <w:r w:rsidR="0096165A">
        <w:rPr>
          <w:rFonts w:asciiTheme="minorHAnsi" w:hAnsiTheme="minorHAnsi" w:cstheme="minorHAnsi"/>
          <w:bCs/>
          <w:color w:val="000000"/>
          <w:sz w:val="22"/>
          <w:szCs w:val="22"/>
        </w:rPr>
        <w:t>diálisis</w:t>
      </w:r>
      <w:r>
        <w:rPr>
          <w:rFonts w:asciiTheme="minorHAnsi" w:hAnsiTheme="minorHAnsi" w:cstheme="minorHAnsi"/>
          <w:bCs/>
          <w:color w:val="000000"/>
          <w:sz w:val="22"/>
          <w:szCs w:val="22"/>
        </w:rPr>
        <w:t xml:space="preserve"> dura aproximadamente 4 horas. </w:t>
      </w:r>
      <w:r w:rsidR="0096165A">
        <w:rPr>
          <w:rFonts w:asciiTheme="minorHAnsi" w:hAnsiTheme="minorHAnsi" w:cstheme="minorHAnsi"/>
          <w:bCs/>
          <w:color w:val="000000"/>
          <w:sz w:val="22"/>
          <w:szCs w:val="22"/>
        </w:rPr>
        <w:t>Aplicando</w:t>
      </w:r>
      <w:r>
        <w:rPr>
          <w:rFonts w:asciiTheme="minorHAnsi" w:hAnsiTheme="minorHAnsi" w:cstheme="minorHAnsi"/>
          <w:bCs/>
          <w:color w:val="000000"/>
          <w:sz w:val="22"/>
          <w:szCs w:val="22"/>
        </w:rPr>
        <w:t xml:space="preserve"> un factor de ajuste de 85%, nos entre</w:t>
      </w:r>
      <w:r w:rsidR="00E95CB4">
        <w:rPr>
          <w:rFonts w:asciiTheme="minorHAnsi" w:hAnsiTheme="minorHAnsi" w:cstheme="minorHAnsi"/>
          <w:bCs/>
          <w:color w:val="000000"/>
          <w:sz w:val="22"/>
          <w:szCs w:val="22"/>
        </w:rPr>
        <w:t xml:space="preserve">ga </w:t>
      </w:r>
      <w:r w:rsidR="0096165A">
        <w:rPr>
          <w:rFonts w:asciiTheme="minorHAnsi" w:hAnsiTheme="minorHAnsi" w:cstheme="minorHAnsi"/>
          <w:bCs/>
          <w:color w:val="000000"/>
          <w:sz w:val="22"/>
          <w:szCs w:val="22"/>
        </w:rPr>
        <w:t>una</w:t>
      </w:r>
      <w:r w:rsidR="00E95CB4">
        <w:rPr>
          <w:rFonts w:asciiTheme="minorHAnsi" w:hAnsiTheme="minorHAnsi" w:cstheme="minorHAnsi"/>
          <w:bCs/>
          <w:color w:val="000000"/>
          <w:sz w:val="22"/>
          <w:szCs w:val="22"/>
        </w:rPr>
        <w:t xml:space="preserve"> </w:t>
      </w:r>
      <w:r w:rsidR="0096165A">
        <w:rPr>
          <w:rFonts w:asciiTheme="minorHAnsi" w:hAnsiTheme="minorHAnsi" w:cstheme="minorHAnsi"/>
          <w:bCs/>
          <w:color w:val="000000"/>
          <w:sz w:val="22"/>
          <w:szCs w:val="22"/>
        </w:rPr>
        <w:t>oferta</w:t>
      </w:r>
      <w:r w:rsidR="00E95CB4">
        <w:rPr>
          <w:rFonts w:asciiTheme="minorHAnsi" w:hAnsiTheme="minorHAnsi" w:cstheme="minorHAnsi"/>
          <w:bCs/>
          <w:color w:val="000000"/>
          <w:sz w:val="22"/>
          <w:szCs w:val="22"/>
        </w:rPr>
        <w:t xml:space="preserve"> potencial de </w:t>
      </w:r>
      <w:r w:rsidR="00A95891">
        <w:rPr>
          <w:rFonts w:asciiTheme="minorHAnsi" w:hAnsiTheme="minorHAnsi" w:cstheme="minorHAnsi"/>
          <w:bCs/>
          <w:color w:val="000000"/>
          <w:sz w:val="22"/>
          <w:szCs w:val="22"/>
        </w:rPr>
        <w:t>15</w:t>
      </w:r>
      <w:r w:rsidR="00E95CB4">
        <w:rPr>
          <w:rFonts w:asciiTheme="minorHAnsi" w:hAnsiTheme="minorHAnsi" w:cstheme="minorHAnsi"/>
          <w:bCs/>
          <w:color w:val="000000"/>
          <w:sz w:val="22"/>
          <w:szCs w:val="22"/>
        </w:rPr>
        <w:t>.</w:t>
      </w:r>
      <w:r w:rsidR="00A95891">
        <w:rPr>
          <w:rFonts w:asciiTheme="minorHAnsi" w:hAnsiTheme="minorHAnsi" w:cstheme="minorHAnsi"/>
          <w:bCs/>
          <w:color w:val="000000"/>
          <w:sz w:val="22"/>
          <w:szCs w:val="22"/>
        </w:rPr>
        <w:t>823 d</w:t>
      </w:r>
      <w:r w:rsidR="0096165A">
        <w:rPr>
          <w:rFonts w:asciiTheme="minorHAnsi" w:hAnsiTheme="minorHAnsi" w:cstheme="minorHAnsi"/>
          <w:bCs/>
          <w:color w:val="000000"/>
          <w:sz w:val="22"/>
          <w:szCs w:val="22"/>
        </w:rPr>
        <w:t>iálisis</w:t>
      </w:r>
      <w:r w:rsidR="00E95CB4">
        <w:rPr>
          <w:rFonts w:asciiTheme="minorHAnsi" w:hAnsiTheme="minorHAnsi" w:cstheme="minorHAnsi"/>
          <w:bCs/>
          <w:color w:val="000000"/>
          <w:sz w:val="22"/>
          <w:szCs w:val="22"/>
        </w:rPr>
        <w:t xml:space="preserve"> por año.</w:t>
      </w:r>
    </w:p>
    <w:p w:rsidR="003A4E4B" w:rsidRDefault="003A4E4B" w:rsidP="003A4E4B">
      <w:pPr>
        <w:rPr>
          <w:rFonts w:asciiTheme="minorHAnsi" w:hAnsiTheme="minorHAnsi" w:cstheme="minorHAnsi"/>
          <w:bCs/>
          <w:color w:val="000000"/>
          <w:sz w:val="22"/>
          <w:szCs w:val="22"/>
        </w:rPr>
      </w:pPr>
      <w:r w:rsidRPr="009C76DB">
        <w:rPr>
          <w:rFonts w:asciiTheme="minorHAnsi" w:hAnsiTheme="minorHAnsi" w:cstheme="minorHAnsi"/>
          <w:bCs/>
          <w:color w:val="000000"/>
          <w:sz w:val="22"/>
        </w:rPr>
        <w:t xml:space="preserve">Tabla </w:t>
      </w:r>
      <w:r w:rsidR="004D3B86">
        <w:rPr>
          <w:rFonts w:asciiTheme="minorHAnsi" w:hAnsiTheme="minorHAnsi" w:cstheme="minorHAnsi"/>
          <w:bCs/>
          <w:color w:val="000000"/>
          <w:sz w:val="22"/>
        </w:rPr>
        <w:t>4.</w:t>
      </w:r>
      <w:r w:rsidR="00503624">
        <w:rPr>
          <w:rFonts w:asciiTheme="minorHAnsi" w:hAnsiTheme="minorHAnsi" w:cstheme="minorHAnsi"/>
          <w:bCs/>
          <w:color w:val="000000"/>
          <w:sz w:val="22"/>
        </w:rPr>
        <w:t>7</w:t>
      </w:r>
      <w:r w:rsidRPr="009C76DB">
        <w:rPr>
          <w:rFonts w:asciiTheme="minorHAnsi" w:hAnsiTheme="minorHAnsi" w:cstheme="minorHAnsi"/>
          <w:bCs/>
          <w:color w:val="000000"/>
          <w:sz w:val="22"/>
        </w:rPr>
        <w:t xml:space="preserve">: Capacidad anual de </w:t>
      </w:r>
      <w:r w:rsidR="00E95CB4">
        <w:rPr>
          <w:rFonts w:asciiTheme="minorHAnsi" w:hAnsiTheme="minorHAnsi" w:cstheme="minorHAnsi"/>
          <w:bCs/>
          <w:color w:val="000000"/>
          <w:sz w:val="22"/>
        </w:rPr>
        <w:t>diálisis</w:t>
      </w:r>
    </w:p>
    <w:tbl>
      <w:tblPr>
        <w:tblStyle w:val="LightShading-Accent3"/>
        <w:tblW w:w="7600" w:type="dxa"/>
        <w:tblLook w:val="04A0" w:firstRow="1" w:lastRow="0" w:firstColumn="1" w:lastColumn="0" w:noHBand="0" w:noVBand="1"/>
      </w:tblPr>
      <w:tblGrid>
        <w:gridCol w:w="1376"/>
        <w:gridCol w:w="2396"/>
        <w:gridCol w:w="1316"/>
        <w:gridCol w:w="1176"/>
        <w:gridCol w:w="1336"/>
      </w:tblGrid>
      <w:tr w:rsidR="00FA0A31" w:rsidRPr="00D12E44" w:rsidTr="00D12E4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76" w:type="dxa"/>
            <w:noWrap/>
            <w:hideMark/>
          </w:tcPr>
          <w:p w:rsidR="00FA0A31" w:rsidRPr="00D12E44" w:rsidRDefault="00FA0A31">
            <w:pPr>
              <w:rPr>
                <w:rFonts w:ascii="Calibri" w:hAnsi="Calibri"/>
                <w:color w:val="000000"/>
                <w:sz w:val="20"/>
                <w:szCs w:val="20"/>
              </w:rPr>
            </w:pPr>
            <w:r w:rsidRPr="00D12E44">
              <w:rPr>
                <w:rFonts w:ascii="Calibri" w:hAnsi="Calibri"/>
                <w:b w:val="0"/>
                <w:bCs w:val="0"/>
                <w:color w:val="000000"/>
                <w:sz w:val="20"/>
                <w:szCs w:val="20"/>
              </w:rPr>
              <w:t>Maquinas</w:t>
            </w:r>
          </w:p>
        </w:tc>
        <w:tc>
          <w:tcPr>
            <w:tcW w:w="2396" w:type="dxa"/>
            <w:noWrap/>
            <w:hideMark/>
          </w:tcPr>
          <w:p w:rsidR="00FA0A31" w:rsidRPr="00D12E44" w:rsidRDefault="00FA0A31">
            <w:pP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D12E44">
              <w:rPr>
                <w:rFonts w:ascii="Calibri" w:hAnsi="Calibri"/>
                <w:b w:val="0"/>
                <w:bCs w:val="0"/>
                <w:color w:val="000000"/>
                <w:sz w:val="20"/>
                <w:szCs w:val="20"/>
              </w:rPr>
              <w:t>Días del año</w:t>
            </w:r>
          </w:p>
        </w:tc>
        <w:tc>
          <w:tcPr>
            <w:tcW w:w="1316" w:type="dxa"/>
            <w:noWrap/>
            <w:hideMark/>
          </w:tcPr>
          <w:p w:rsidR="00FA0A31" w:rsidRPr="00D12E44" w:rsidRDefault="00FA0A31">
            <w:pP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 xml:space="preserve">Tiempo de </w:t>
            </w:r>
            <w:r w:rsidR="005352F3" w:rsidRPr="00D12E44">
              <w:rPr>
                <w:rFonts w:ascii="Calibri" w:hAnsi="Calibri"/>
                <w:color w:val="000000"/>
                <w:sz w:val="20"/>
                <w:szCs w:val="20"/>
              </w:rPr>
              <w:t>operación</w:t>
            </w:r>
            <w:r w:rsidRPr="00D12E44">
              <w:rPr>
                <w:rFonts w:ascii="Calibri" w:hAnsi="Calibri"/>
                <w:color w:val="000000"/>
                <w:sz w:val="20"/>
                <w:szCs w:val="20"/>
              </w:rPr>
              <w:t xml:space="preserve"> x día</w:t>
            </w:r>
          </w:p>
        </w:tc>
        <w:tc>
          <w:tcPr>
            <w:tcW w:w="1176" w:type="dxa"/>
            <w:noWrap/>
            <w:hideMark/>
          </w:tcPr>
          <w:p w:rsidR="00FA0A31" w:rsidRPr="00D12E44" w:rsidRDefault="00FA0A31">
            <w:pP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 xml:space="preserve">Tiempo x </w:t>
            </w:r>
            <w:r w:rsidR="005352F3" w:rsidRPr="00D12E44">
              <w:rPr>
                <w:rFonts w:ascii="Calibri" w:hAnsi="Calibri"/>
                <w:color w:val="000000"/>
                <w:sz w:val="20"/>
                <w:szCs w:val="20"/>
              </w:rPr>
              <w:t>diálisis</w:t>
            </w:r>
          </w:p>
        </w:tc>
        <w:tc>
          <w:tcPr>
            <w:tcW w:w="1336" w:type="dxa"/>
            <w:noWrap/>
            <w:hideMark/>
          </w:tcPr>
          <w:p w:rsidR="00FA0A31" w:rsidRPr="00D12E44" w:rsidRDefault="00FA0A31">
            <w:pP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D12E44">
              <w:rPr>
                <w:rFonts w:ascii="Calibri" w:hAnsi="Calibri"/>
                <w:b w:val="0"/>
                <w:bCs w:val="0"/>
                <w:color w:val="000000"/>
                <w:sz w:val="20"/>
                <w:szCs w:val="20"/>
              </w:rPr>
              <w:t xml:space="preserve">N° de </w:t>
            </w:r>
            <w:r w:rsidR="005352F3" w:rsidRPr="00D12E44">
              <w:rPr>
                <w:rFonts w:ascii="Calibri" w:hAnsi="Calibri"/>
                <w:b w:val="0"/>
                <w:bCs w:val="0"/>
                <w:color w:val="000000"/>
                <w:sz w:val="20"/>
                <w:szCs w:val="20"/>
              </w:rPr>
              <w:t>diálisis</w:t>
            </w:r>
          </w:p>
        </w:tc>
      </w:tr>
      <w:tr w:rsidR="00FA0A31" w:rsidRPr="00D12E44" w:rsidTr="00D12E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76" w:type="dxa"/>
            <w:noWrap/>
            <w:hideMark/>
          </w:tcPr>
          <w:p w:rsidR="00FA0A31" w:rsidRPr="00D12E44" w:rsidRDefault="00FA0A31">
            <w:pPr>
              <w:jc w:val="right"/>
              <w:rPr>
                <w:rFonts w:ascii="Calibri" w:hAnsi="Calibri"/>
                <w:color w:val="000000"/>
                <w:sz w:val="20"/>
                <w:szCs w:val="20"/>
              </w:rPr>
            </w:pPr>
            <w:r w:rsidRPr="00D12E44">
              <w:rPr>
                <w:rFonts w:ascii="Calibri" w:hAnsi="Calibri"/>
                <w:color w:val="000000"/>
                <w:sz w:val="20"/>
                <w:szCs w:val="20"/>
              </w:rPr>
              <w:t>17</w:t>
            </w:r>
          </w:p>
        </w:tc>
        <w:tc>
          <w:tcPr>
            <w:tcW w:w="2396" w:type="dxa"/>
            <w:noWrap/>
            <w:hideMark/>
          </w:tcPr>
          <w:p w:rsidR="00FA0A31" w:rsidRPr="00D12E44" w:rsidRDefault="00FA0A3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365</w:t>
            </w:r>
          </w:p>
        </w:tc>
        <w:tc>
          <w:tcPr>
            <w:tcW w:w="1316" w:type="dxa"/>
            <w:noWrap/>
            <w:hideMark/>
          </w:tcPr>
          <w:p w:rsidR="00FA0A31" w:rsidRPr="00D12E44" w:rsidRDefault="00FA0A3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12</w:t>
            </w:r>
          </w:p>
        </w:tc>
        <w:tc>
          <w:tcPr>
            <w:tcW w:w="1176" w:type="dxa"/>
            <w:noWrap/>
            <w:hideMark/>
          </w:tcPr>
          <w:p w:rsidR="00FA0A31" w:rsidRPr="00D12E44" w:rsidRDefault="00FA0A3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4</w:t>
            </w:r>
          </w:p>
        </w:tc>
        <w:tc>
          <w:tcPr>
            <w:tcW w:w="1336" w:type="dxa"/>
            <w:noWrap/>
            <w:hideMark/>
          </w:tcPr>
          <w:p w:rsidR="00FA0A31" w:rsidRPr="00D12E44" w:rsidRDefault="00FA0A3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15.823</w:t>
            </w:r>
          </w:p>
        </w:tc>
      </w:tr>
    </w:tbl>
    <w:p w:rsidR="003417F3" w:rsidRPr="00B902DA" w:rsidRDefault="003417F3" w:rsidP="003417F3">
      <w:pPr>
        <w:rPr>
          <w:rFonts w:asciiTheme="minorHAnsi" w:hAnsiTheme="minorHAnsi" w:cstheme="minorHAnsi"/>
          <w:bCs/>
          <w:sz w:val="18"/>
          <w:szCs w:val="18"/>
        </w:rPr>
      </w:pPr>
      <w:r w:rsidRPr="00B902DA">
        <w:rPr>
          <w:rFonts w:asciiTheme="minorHAnsi" w:hAnsiTheme="minorHAnsi" w:cstheme="minorHAnsi"/>
          <w:bCs/>
          <w:sz w:val="18"/>
          <w:szCs w:val="18"/>
        </w:rPr>
        <w:t>Fuente: Elaboración propia.</w:t>
      </w:r>
    </w:p>
    <w:p w:rsidR="003417F3" w:rsidRDefault="003417F3">
      <w:pPr>
        <w:rPr>
          <w:rFonts w:asciiTheme="minorHAnsi" w:hAnsiTheme="minorHAnsi" w:cstheme="minorHAnsi"/>
          <w:bCs/>
          <w:color w:val="000000"/>
          <w:sz w:val="22"/>
          <w:szCs w:val="22"/>
        </w:rPr>
      </w:pPr>
    </w:p>
    <w:p w:rsidR="00E95CB4" w:rsidRPr="003417F3" w:rsidRDefault="00E95CB4" w:rsidP="008A366B">
      <w:pPr>
        <w:pStyle w:val="Heading2"/>
        <w:numPr>
          <w:ilvl w:val="1"/>
          <w:numId w:val="1"/>
        </w:numPr>
        <w:rPr>
          <w:rFonts w:asciiTheme="minorHAnsi" w:hAnsiTheme="minorHAnsi"/>
          <w:szCs w:val="22"/>
        </w:rPr>
      </w:pPr>
      <w:bookmarkStart w:id="64" w:name="_Toc373093528"/>
      <w:r w:rsidRPr="003417F3">
        <w:rPr>
          <w:rFonts w:asciiTheme="minorHAnsi" w:hAnsiTheme="minorHAnsi"/>
          <w:lang w:val="es-ES_tradnl"/>
        </w:rPr>
        <w:t>Rayos X</w:t>
      </w:r>
      <w:bookmarkEnd w:id="64"/>
    </w:p>
    <w:p w:rsidR="00E95CB4" w:rsidRDefault="00E95CB4" w:rsidP="00E95CB4">
      <w:pPr>
        <w:rPr>
          <w:rFonts w:asciiTheme="minorHAnsi" w:hAnsiTheme="minorHAnsi" w:cstheme="minorHAnsi"/>
          <w:bCs/>
          <w:color w:val="000000"/>
          <w:sz w:val="22"/>
        </w:rPr>
      </w:pPr>
    </w:p>
    <w:p w:rsidR="00E95CB4" w:rsidRDefault="00D339CC" w:rsidP="00A95891">
      <w:pPr>
        <w:jc w:val="both"/>
        <w:rPr>
          <w:rFonts w:asciiTheme="minorHAnsi" w:hAnsiTheme="minorHAnsi" w:cstheme="minorHAnsi"/>
          <w:bCs/>
          <w:color w:val="000000"/>
          <w:sz w:val="22"/>
        </w:rPr>
      </w:pPr>
      <w:r>
        <w:rPr>
          <w:rFonts w:asciiTheme="minorHAnsi" w:hAnsiTheme="minorHAnsi" w:cstheme="minorHAnsi"/>
          <w:bCs/>
          <w:color w:val="000000"/>
          <w:sz w:val="22"/>
        </w:rPr>
        <w:t xml:space="preserve">Para la estimación de la oferta anual de placas hemos </w:t>
      </w:r>
      <w:r w:rsidR="0096165A">
        <w:rPr>
          <w:rFonts w:asciiTheme="minorHAnsi" w:hAnsiTheme="minorHAnsi" w:cstheme="minorHAnsi"/>
          <w:bCs/>
          <w:color w:val="000000"/>
          <w:sz w:val="22"/>
        </w:rPr>
        <w:t>considerado</w:t>
      </w:r>
      <w:r>
        <w:rPr>
          <w:rFonts w:asciiTheme="minorHAnsi" w:hAnsiTheme="minorHAnsi" w:cstheme="minorHAnsi"/>
          <w:bCs/>
          <w:color w:val="000000"/>
          <w:sz w:val="22"/>
        </w:rPr>
        <w:t xml:space="preserve"> un tiempo por placa de 15 minutos, con un funcionamiento las 24 horas del día por los 365 días del año.</w:t>
      </w:r>
      <w:r w:rsidR="00347284">
        <w:rPr>
          <w:rStyle w:val="FootnoteReference"/>
          <w:rFonts w:asciiTheme="minorHAnsi" w:hAnsiTheme="minorHAnsi" w:cstheme="minorHAnsi"/>
          <w:bCs/>
          <w:color w:val="000000"/>
          <w:sz w:val="22"/>
        </w:rPr>
        <w:footnoteReference w:id="55"/>
      </w:r>
      <w:r>
        <w:rPr>
          <w:rFonts w:asciiTheme="minorHAnsi" w:hAnsiTheme="minorHAnsi" w:cstheme="minorHAnsi"/>
          <w:bCs/>
          <w:color w:val="000000"/>
          <w:sz w:val="22"/>
        </w:rPr>
        <w:t xml:space="preserve"> </w:t>
      </w:r>
      <w:r w:rsidR="0096165A">
        <w:rPr>
          <w:rFonts w:asciiTheme="minorHAnsi" w:hAnsiTheme="minorHAnsi" w:cstheme="minorHAnsi"/>
          <w:bCs/>
          <w:color w:val="000000"/>
          <w:sz w:val="22"/>
        </w:rPr>
        <w:t>Aplicando</w:t>
      </w:r>
      <w:r>
        <w:rPr>
          <w:rFonts w:asciiTheme="minorHAnsi" w:hAnsiTheme="minorHAnsi" w:cstheme="minorHAnsi"/>
          <w:bCs/>
          <w:color w:val="000000"/>
          <w:sz w:val="22"/>
        </w:rPr>
        <w:t xml:space="preserve"> el factor de ajuste llegamos a una oferta de </w:t>
      </w:r>
      <w:r w:rsidR="00C77D5D">
        <w:rPr>
          <w:rFonts w:asciiTheme="minorHAnsi" w:hAnsiTheme="minorHAnsi" w:cstheme="minorHAnsi"/>
          <w:bCs/>
          <w:color w:val="000000"/>
          <w:sz w:val="22"/>
        </w:rPr>
        <w:t>148</w:t>
      </w:r>
      <w:r>
        <w:rPr>
          <w:rFonts w:asciiTheme="minorHAnsi" w:hAnsiTheme="minorHAnsi" w:cstheme="minorHAnsi"/>
          <w:bCs/>
          <w:color w:val="000000"/>
          <w:sz w:val="22"/>
        </w:rPr>
        <w:t>.</w:t>
      </w:r>
      <w:r w:rsidR="00C77D5D">
        <w:rPr>
          <w:rFonts w:asciiTheme="minorHAnsi" w:hAnsiTheme="minorHAnsi" w:cstheme="minorHAnsi"/>
          <w:bCs/>
          <w:color w:val="000000"/>
          <w:sz w:val="22"/>
        </w:rPr>
        <w:t>920</w:t>
      </w:r>
      <w:r>
        <w:rPr>
          <w:rFonts w:asciiTheme="minorHAnsi" w:hAnsiTheme="minorHAnsi" w:cstheme="minorHAnsi"/>
          <w:bCs/>
          <w:color w:val="000000"/>
          <w:sz w:val="22"/>
        </w:rPr>
        <w:t xml:space="preserve"> placas por año</w:t>
      </w:r>
      <w:r w:rsidR="00C77D5D">
        <w:rPr>
          <w:rFonts w:asciiTheme="minorHAnsi" w:hAnsiTheme="minorHAnsi" w:cstheme="minorHAnsi"/>
          <w:bCs/>
          <w:color w:val="000000"/>
          <w:sz w:val="22"/>
        </w:rPr>
        <w:t xml:space="preserve"> en el 2013, y con la puesta en marcha del Hospital El Alto Norte la oferta </w:t>
      </w:r>
      <w:r w:rsidR="005352F3">
        <w:rPr>
          <w:rFonts w:asciiTheme="minorHAnsi" w:hAnsiTheme="minorHAnsi" w:cstheme="minorHAnsi"/>
          <w:bCs/>
          <w:color w:val="000000"/>
          <w:sz w:val="22"/>
        </w:rPr>
        <w:t>potencial</w:t>
      </w:r>
      <w:r w:rsidR="00C77D5D">
        <w:rPr>
          <w:rFonts w:asciiTheme="minorHAnsi" w:hAnsiTheme="minorHAnsi" w:cstheme="minorHAnsi"/>
          <w:bCs/>
          <w:color w:val="000000"/>
          <w:sz w:val="22"/>
        </w:rPr>
        <w:t xml:space="preserve"> aumentará a 238.272 placas por año</w:t>
      </w:r>
      <w:r>
        <w:rPr>
          <w:rFonts w:asciiTheme="minorHAnsi" w:hAnsiTheme="minorHAnsi" w:cstheme="minorHAnsi"/>
          <w:bCs/>
          <w:color w:val="000000"/>
          <w:sz w:val="22"/>
        </w:rPr>
        <w:t>.</w:t>
      </w:r>
    </w:p>
    <w:p w:rsidR="00A95891" w:rsidRDefault="00A95891" w:rsidP="00A95891">
      <w:pPr>
        <w:jc w:val="both"/>
        <w:rPr>
          <w:rFonts w:asciiTheme="minorHAnsi" w:hAnsiTheme="minorHAnsi" w:cstheme="minorHAnsi"/>
          <w:bCs/>
          <w:color w:val="000000"/>
          <w:sz w:val="22"/>
        </w:rPr>
      </w:pPr>
    </w:p>
    <w:p w:rsidR="00E95CB4" w:rsidRDefault="00D12E44" w:rsidP="00E95CB4">
      <w:pPr>
        <w:rPr>
          <w:rFonts w:asciiTheme="minorHAnsi" w:hAnsiTheme="minorHAnsi" w:cstheme="minorHAnsi"/>
          <w:bCs/>
          <w:color w:val="000000"/>
          <w:sz w:val="22"/>
        </w:rPr>
      </w:pPr>
      <w:r w:rsidRPr="009C76DB">
        <w:rPr>
          <w:rFonts w:asciiTheme="minorHAnsi" w:hAnsiTheme="minorHAnsi" w:cstheme="minorHAnsi"/>
          <w:bCs/>
          <w:color w:val="000000"/>
          <w:sz w:val="22"/>
        </w:rPr>
        <w:t xml:space="preserve">Tabla </w:t>
      </w:r>
      <w:r w:rsidR="004D3B86">
        <w:rPr>
          <w:rFonts w:asciiTheme="minorHAnsi" w:hAnsiTheme="minorHAnsi" w:cstheme="minorHAnsi"/>
          <w:bCs/>
          <w:color w:val="000000"/>
          <w:sz w:val="22"/>
        </w:rPr>
        <w:t>4.</w:t>
      </w:r>
      <w:r w:rsidR="00503624">
        <w:rPr>
          <w:rFonts w:asciiTheme="minorHAnsi" w:hAnsiTheme="minorHAnsi" w:cstheme="minorHAnsi"/>
          <w:bCs/>
          <w:color w:val="000000"/>
          <w:sz w:val="22"/>
        </w:rPr>
        <w:t>8</w:t>
      </w:r>
      <w:r w:rsidRPr="009C76DB">
        <w:rPr>
          <w:rFonts w:asciiTheme="minorHAnsi" w:hAnsiTheme="minorHAnsi" w:cstheme="minorHAnsi"/>
          <w:bCs/>
          <w:color w:val="000000"/>
          <w:sz w:val="22"/>
        </w:rPr>
        <w:t xml:space="preserve">: Capacidad anual de </w:t>
      </w:r>
      <w:r>
        <w:rPr>
          <w:rFonts w:asciiTheme="minorHAnsi" w:hAnsiTheme="minorHAnsi" w:cstheme="minorHAnsi"/>
          <w:bCs/>
          <w:color w:val="000000"/>
          <w:sz w:val="22"/>
        </w:rPr>
        <w:t>placas de Rx</w:t>
      </w:r>
    </w:p>
    <w:tbl>
      <w:tblPr>
        <w:tblStyle w:val="LightShading-Accent3"/>
        <w:tblW w:w="8122" w:type="dxa"/>
        <w:tblLook w:val="04A0" w:firstRow="1" w:lastRow="0" w:firstColumn="1" w:lastColumn="0" w:noHBand="0" w:noVBand="1"/>
      </w:tblPr>
      <w:tblGrid>
        <w:gridCol w:w="622"/>
        <w:gridCol w:w="222"/>
        <w:gridCol w:w="1342"/>
        <w:gridCol w:w="2335"/>
        <w:gridCol w:w="1537"/>
        <w:gridCol w:w="1149"/>
        <w:gridCol w:w="1305"/>
      </w:tblGrid>
      <w:tr w:rsidR="00C322FD" w:rsidRPr="00C77D5D" w:rsidTr="00C322FD">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36" w:type="dxa"/>
            <w:vAlign w:val="center"/>
          </w:tcPr>
          <w:p w:rsidR="00C322FD" w:rsidRPr="00C77D5D" w:rsidRDefault="00C322FD" w:rsidP="00C322FD">
            <w:pPr>
              <w:jc w:val="center"/>
              <w:rPr>
                <w:rFonts w:ascii="Calibri" w:hAnsi="Calibri"/>
                <w:color w:val="000000"/>
                <w:sz w:val="20"/>
                <w:szCs w:val="20"/>
              </w:rPr>
            </w:pPr>
            <w:r>
              <w:rPr>
                <w:rFonts w:ascii="Calibri" w:hAnsi="Calibri"/>
                <w:color w:val="000000"/>
                <w:sz w:val="20"/>
                <w:szCs w:val="20"/>
              </w:rPr>
              <w:t>Año</w:t>
            </w:r>
          </w:p>
        </w:tc>
        <w:tc>
          <w:tcPr>
            <w:tcW w:w="222" w:type="dxa"/>
            <w:vAlign w:val="center"/>
          </w:tcPr>
          <w:p w:rsidR="00C322FD" w:rsidRPr="00C77D5D" w:rsidRDefault="00C322FD"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1342" w:type="dxa"/>
            <w:noWrap/>
            <w:vAlign w:val="center"/>
            <w:hideMark/>
          </w:tcPr>
          <w:p w:rsidR="00C322FD" w:rsidRPr="00C77D5D" w:rsidRDefault="00C322FD"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C77D5D">
              <w:rPr>
                <w:rFonts w:ascii="Calibri" w:hAnsi="Calibri"/>
                <w:color w:val="000000"/>
                <w:sz w:val="20"/>
                <w:szCs w:val="20"/>
              </w:rPr>
              <w:t xml:space="preserve">Nº de </w:t>
            </w:r>
            <w:r>
              <w:rPr>
                <w:rFonts w:ascii="Calibri" w:hAnsi="Calibri"/>
                <w:color w:val="000000"/>
                <w:sz w:val="20"/>
                <w:szCs w:val="20"/>
              </w:rPr>
              <w:t>equipos</w:t>
            </w:r>
          </w:p>
        </w:tc>
        <w:tc>
          <w:tcPr>
            <w:tcW w:w="2335" w:type="dxa"/>
            <w:noWrap/>
            <w:vAlign w:val="center"/>
            <w:hideMark/>
          </w:tcPr>
          <w:p w:rsidR="00C322FD" w:rsidRPr="00C77D5D" w:rsidRDefault="00C322FD"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C77D5D">
              <w:rPr>
                <w:rFonts w:ascii="Calibri" w:hAnsi="Calibri"/>
                <w:color w:val="000000"/>
                <w:sz w:val="20"/>
                <w:szCs w:val="20"/>
              </w:rPr>
              <w:t>Tiempo por servicio (horas)</w:t>
            </w:r>
          </w:p>
        </w:tc>
        <w:tc>
          <w:tcPr>
            <w:tcW w:w="1533" w:type="dxa"/>
            <w:noWrap/>
            <w:vAlign w:val="center"/>
            <w:hideMark/>
          </w:tcPr>
          <w:p w:rsidR="00C322FD" w:rsidRPr="00C77D5D" w:rsidRDefault="00C322FD"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C77D5D">
              <w:rPr>
                <w:rFonts w:ascii="Calibri" w:hAnsi="Calibri"/>
                <w:color w:val="000000"/>
                <w:sz w:val="20"/>
                <w:szCs w:val="20"/>
              </w:rPr>
              <w:t>Horas de funcionamiento diario</w:t>
            </w:r>
          </w:p>
        </w:tc>
        <w:tc>
          <w:tcPr>
            <w:tcW w:w="1149" w:type="dxa"/>
            <w:noWrap/>
            <w:vAlign w:val="center"/>
            <w:hideMark/>
          </w:tcPr>
          <w:p w:rsidR="00C322FD" w:rsidRPr="00C77D5D" w:rsidRDefault="00C322FD"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C77D5D">
              <w:rPr>
                <w:rFonts w:ascii="Calibri" w:hAnsi="Calibri"/>
                <w:color w:val="000000"/>
                <w:sz w:val="20"/>
                <w:szCs w:val="20"/>
              </w:rPr>
              <w:t>Días laborables</w:t>
            </w:r>
          </w:p>
        </w:tc>
        <w:tc>
          <w:tcPr>
            <w:tcW w:w="1305" w:type="dxa"/>
            <w:noWrap/>
            <w:vAlign w:val="center"/>
            <w:hideMark/>
          </w:tcPr>
          <w:p w:rsidR="00C322FD" w:rsidRPr="00C77D5D" w:rsidRDefault="00C322FD"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C77D5D">
              <w:rPr>
                <w:rFonts w:ascii="Calibri" w:hAnsi="Calibri"/>
                <w:color w:val="000000"/>
                <w:sz w:val="20"/>
                <w:szCs w:val="20"/>
              </w:rPr>
              <w:t>Total servicios /año</w:t>
            </w:r>
          </w:p>
        </w:tc>
      </w:tr>
      <w:tr w:rsidR="00C322FD" w:rsidRPr="00C77D5D" w:rsidTr="00C322F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36" w:type="dxa"/>
            <w:vAlign w:val="center"/>
          </w:tcPr>
          <w:p w:rsidR="00C322FD" w:rsidRPr="00C77D5D" w:rsidRDefault="00C322FD" w:rsidP="00C322FD">
            <w:pPr>
              <w:jc w:val="center"/>
              <w:rPr>
                <w:rFonts w:ascii="Calibri" w:hAnsi="Calibri"/>
                <w:color w:val="000000"/>
                <w:sz w:val="20"/>
                <w:szCs w:val="20"/>
              </w:rPr>
            </w:pPr>
            <w:r w:rsidRPr="00C77D5D">
              <w:rPr>
                <w:rFonts w:ascii="Calibri" w:hAnsi="Calibri"/>
                <w:color w:val="000000"/>
                <w:sz w:val="20"/>
                <w:szCs w:val="20"/>
              </w:rPr>
              <w:t>2013</w:t>
            </w:r>
          </w:p>
        </w:tc>
        <w:tc>
          <w:tcPr>
            <w:tcW w:w="222" w:type="dxa"/>
            <w:vAlign w:val="center"/>
          </w:tcPr>
          <w:p w:rsidR="00C322FD" w:rsidRPr="00C77D5D" w:rsidRDefault="00C322FD"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1342" w:type="dxa"/>
            <w:noWrap/>
            <w:vAlign w:val="center"/>
            <w:hideMark/>
          </w:tcPr>
          <w:p w:rsidR="00C322FD" w:rsidRPr="00C77D5D" w:rsidRDefault="00C322FD"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77D5D">
              <w:rPr>
                <w:rFonts w:ascii="Calibri" w:hAnsi="Calibri"/>
                <w:color w:val="000000"/>
                <w:sz w:val="20"/>
                <w:szCs w:val="20"/>
              </w:rPr>
              <w:t>5</w:t>
            </w:r>
          </w:p>
        </w:tc>
        <w:tc>
          <w:tcPr>
            <w:tcW w:w="2335" w:type="dxa"/>
            <w:noWrap/>
            <w:vAlign w:val="center"/>
            <w:hideMark/>
          </w:tcPr>
          <w:p w:rsidR="00C322FD" w:rsidRPr="00C77D5D" w:rsidRDefault="00C322FD"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77D5D">
              <w:rPr>
                <w:rFonts w:ascii="Calibri" w:hAnsi="Calibri"/>
                <w:color w:val="000000"/>
                <w:sz w:val="20"/>
                <w:szCs w:val="20"/>
              </w:rPr>
              <w:t>0,2500</w:t>
            </w:r>
          </w:p>
        </w:tc>
        <w:tc>
          <w:tcPr>
            <w:tcW w:w="1533" w:type="dxa"/>
            <w:noWrap/>
            <w:vAlign w:val="center"/>
            <w:hideMark/>
          </w:tcPr>
          <w:p w:rsidR="00C322FD" w:rsidRPr="00C77D5D" w:rsidRDefault="00C322FD"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77D5D">
              <w:rPr>
                <w:rFonts w:ascii="Calibri" w:hAnsi="Calibri"/>
                <w:color w:val="000000"/>
                <w:sz w:val="20"/>
                <w:szCs w:val="20"/>
              </w:rPr>
              <w:t>24</w:t>
            </w:r>
          </w:p>
        </w:tc>
        <w:tc>
          <w:tcPr>
            <w:tcW w:w="1149" w:type="dxa"/>
            <w:noWrap/>
            <w:vAlign w:val="center"/>
            <w:hideMark/>
          </w:tcPr>
          <w:p w:rsidR="00C322FD" w:rsidRPr="00C77D5D" w:rsidRDefault="00C322FD"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77D5D">
              <w:rPr>
                <w:rFonts w:ascii="Calibri" w:hAnsi="Calibri"/>
                <w:color w:val="000000"/>
                <w:sz w:val="20"/>
                <w:szCs w:val="20"/>
              </w:rPr>
              <w:t>365</w:t>
            </w:r>
          </w:p>
        </w:tc>
        <w:tc>
          <w:tcPr>
            <w:tcW w:w="1305" w:type="dxa"/>
            <w:noWrap/>
            <w:vAlign w:val="center"/>
            <w:hideMark/>
          </w:tcPr>
          <w:p w:rsidR="00C322FD" w:rsidRPr="00C77D5D" w:rsidRDefault="00C322FD"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C77D5D">
              <w:rPr>
                <w:rFonts w:ascii="Calibri" w:hAnsi="Calibri"/>
                <w:color w:val="000000"/>
                <w:sz w:val="20"/>
                <w:szCs w:val="20"/>
              </w:rPr>
              <w:t>148.920</w:t>
            </w:r>
          </w:p>
        </w:tc>
      </w:tr>
      <w:tr w:rsidR="00C322FD" w:rsidRPr="00C77D5D" w:rsidTr="00C322FD">
        <w:trPr>
          <w:trHeight w:val="57"/>
        </w:trPr>
        <w:tc>
          <w:tcPr>
            <w:cnfStyle w:val="001000000000" w:firstRow="0" w:lastRow="0" w:firstColumn="1" w:lastColumn="0" w:oddVBand="0" w:evenVBand="0" w:oddHBand="0" w:evenHBand="0" w:firstRowFirstColumn="0" w:firstRowLastColumn="0" w:lastRowFirstColumn="0" w:lastRowLastColumn="0"/>
            <w:tcW w:w="236" w:type="dxa"/>
            <w:vAlign w:val="center"/>
          </w:tcPr>
          <w:p w:rsidR="00C322FD" w:rsidRPr="00C77D5D" w:rsidRDefault="00C322FD" w:rsidP="00C322FD">
            <w:pPr>
              <w:jc w:val="center"/>
              <w:rPr>
                <w:rFonts w:ascii="Calibri" w:hAnsi="Calibri"/>
                <w:color w:val="000000"/>
                <w:sz w:val="20"/>
                <w:szCs w:val="20"/>
              </w:rPr>
            </w:pPr>
            <w:r w:rsidRPr="00C77D5D">
              <w:rPr>
                <w:rFonts w:ascii="Calibri" w:hAnsi="Calibri"/>
                <w:color w:val="000000"/>
                <w:sz w:val="20"/>
                <w:szCs w:val="20"/>
              </w:rPr>
              <w:t>2014</w:t>
            </w:r>
          </w:p>
        </w:tc>
        <w:tc>
          <w:tcPr>
            <w:tcW w:w="222" w:type="dxa"/>
            <w:vAlign w:val="center"/>
          </w:tcPr>
          <w:p w:rsidR="00C322FD" w:rsidRPr="00C77D5D" w:rsidRDefault="00C322FD" w:rsidP="00C322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1342" w:type="dxa"/>
            <w:noWrap/>
            <w:vAlign w:val="center"/>
            <w:hideMark/>
          </w:tcPr>
          <w:p w:rsidR="00C322FD" w:rsidRPr="00C77D5D" w:rsidRDefault="00C322FD" w:rsidP="00C322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C77D5D">
              <w:rPr>
                <w:rFonts w:ascii="Calibri" w:hAnsi="Calibri"/>
                <w:color w:val="000000"/>
                <w:sz w:val="20"/>
                <w:szCs w:val="20"/>
              </w:rPr>
              <w:t>8</w:t>
            </w:r>
          </w:p>
        </w:tc>
        <w:tc>
          <w:tcPr>
            <w:tcW w:w="2335" w:type="dxa"/>
            <w:noWrap/>
            <w:vAlign w:val="center"/>
            <w:hideMark/>
          </w:tcPr>
          <w:p w:rsidR="00C322FD" w:rsidRPr="00C77D5D" w:rsidRDefault="00C322FD" w:rsidP="00C322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C77D5D">
              <w:rPr>
                <w:rFonts w:ascii="Calibri" w:hAnsi="Calibri"/>
                <w:color w:val="000000"/>
                <w:sz w:val="20"/>
                <w:szCs w:val="20"/>
              </w:rPr>
              <w:t>0,2500</w:t>
            </w:r>
          </w:p>
        </w:tc>
        <w:tc>
          <w:tcPr>
            <w:tcW w:w="1533" w:type="dxa"/>
            <w:noWrap/>
            <w:vAlign w:val="center"/>
            <w:hideMark/>
          </w:tcPr>
          <w:p w:rsidR="00C322FD" w:rsidRPr="00C77D5D" w:rsidRDefault="00C322FD" w:rsidP="00C322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C77D5D">
              <w:rPr>
                <w:rFonts w:ascii="Calibri" w:hAnsi="Calibri"/>
                <w:color w:val="000000"/>
                <w:sz w:val="20"/>
                <w:szCs w:val="20"/>
              </w:rPr>
              <w:t>24</w:t>
            </w:r>
          </w:p>
        </w:tc>
        <w:tc>
          <w:tcPr>
            <w:tcW w:w="1149" w:type="dxa"/>
            <w:noWrap/>
            <w:vAlign w:val="center"/>
            <w:hideMark/>
          </w:tcPr>
          <w:p w:rsidR="00C322FD" w:rsidRPr="00C77D5D" w:rsidRDefault="00C322FD" w:rsidP="00C322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C77D5D">
              <w:rPr>
                <w:rFonts w:ascii="Calibri" w:hAnsi="Calibri"/>
                <w:color w:val="000000"/>
                <w:sz w:val="20"/>
                <w:szCs w:val="20"/>
              </w:rPr>
              <w:t>365</w:t>
            </w:r>
          </w:p>
        </w:tc>
        <w:tc>
          <w:tcPr>
            <w:tcW w:w="1305" w:type="dxa"/>
            <w:noWrap/>
            <w:vAlign w:val="center"/>
            <w:hideMark/>
          </w:tcPr>
          <w:p w:rsidR="00C322FD" w:rsidRPr="00C77D5D" w:rsidRDefault="00C322FD" w:rsidP="00C322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C77D5D">
              <w:rPr>
                <w:rFonts w:ascii="Calibri" w:hAnsi="Calibri"/>
                <w:color w:val="000000"/>
                <w:sz w:val="20"/>
                <w:szCs w:val="20"/>
              </w:rPr>
              <w:t>238.272</w:t>
            </w:r>
          </w:p>
        </w:tc>
      </w:tr>
    </w:tbl>
    <w:p w:rsidR="00486F8E" w:rsidRPr="00B902DA" w:rsidRDefault="00486F8E" w:rsidP="00486F8E">
      <w:pPr>
        <w:rPr>
          <w:rFonts w:asciiTheme="minorHAnsi" w:hAnsiTheme="minorHAnsi" w:cstheme="minorHAnsi"/>
          <w:bCs/>
          <w:sz w:val="18"/>
          <w:szCs w:val="18"/>
        </w:rPr>
      </w:pPr>
      <w:r w:rsidRPr="00B902DA">
        <w:rPr>
          <w:rFonts w:asciiTheme="minorHAnsi" w:hAnsiTheme="minorHAnsi" w:cstheme="minorHAnsi"/>
          <w:bCs/>
          <w:sz w:val="18"/>
          <w:szCs w:val="18"/>
        </w:rPr>
        <w:t>Fuente: Elaboración propia.</w:t>
      </w:r>
    </w:p>
    <w:p w:rsidR="00D353B0" w:rsidRDefault="00D353B0" w:rsidP="00E95CB4">
      <w:pPr>
        <w:rPr>
          <w:rFonts w:asciiTheme="minorHAnsi" w:hAnsiTheme="minorHAnsi" w:cstheme="minorHAnsi"/>
          <w:bCs/>
          <w:color w:val="000000"/>
          <w:sz w:val="22"/>
        </w:rPr>
      </w:pPr>
    </w:p>
    <w:p w:rsidR="00D353B0" w:rsidRDefault="00D353B0" w:rsidP="00E95CB4">
      <w:pPr>
        <w:rPr>
          <w:rFonts w:asciiTheme="minorHAnsi" w:hAnsiTheme="minorHAnsi" w:cstheme="minorHAnsi"/>
          <w:bCs/>
          <w:color w:val="000000"/>
          <w:sz w:val="22"/>
        </w:rPr>
      </w:pPr>
    </w:p>
    <w:p w:rsidR="00D339CC" w:rsidRPr="003417F3" w:rsidRDefault="00D339CC" w:rsidP="008A366B">
      <w:pPr>
        <w:pStyle w:val="Heading2"/>
        <w:numPr>
          <w:ilvl w:val="1"/>
          <w:numId w:val="1"/>
        </w:numPr>
        <w:rPr>
          <w:rFonts w:asciiTheme="minorHAnsi" w:hAnsiTheme="minorHAnsi"/>
          <w:szCs w:val="22"/>
        </w:rPr>
      </w:pPr>
      <w:bookmarkStart w:id="65" w:name="_Toc373093529"/>
      <w:r w:rsidRPr="003417F3">
        <w:rPr>
          <w:rFonts w:asciiTheme="minorHAnsi" w:hAnsiTheme="minorHAnsi"/>
          <w:lang w:val="es-ES_tradnl"/>
        </w:rPr>
        <w:t>Endoscopía</w:t>
      </w:r>
      <w:bookmarkEnd w:id="65"/>
    </w:p>
    <w:p w:rsidR="00D339CC" w:rsidRDefault="00D339CC" w:rsidP="00D339CC">
      <w:pPr>
        <w:rPr>
          <w:rFonts w:asciiTheme="minorHAnsi" w:hAnsiTheme="minorHAnsi" w:cstheme="minorHAnsi"/>
          <w:bCs/>
          <w:color w:val="000000"/>
          <w:sz w:val="22"/>
        </w:rPr>
      </w:pPr>
    </w:p>
    <w:p w:rsidR="00D339CC" w:rsidRDefault="005352F3" w:rsidP="00AC69FC">
      <w:pPr>
        <w:jc w:val="both"/>
        <w:rPr>
          <w:rFonts w:asciiTheme="minorHAnsi" w:hAnsiTheme="minorHAnsi" w:cstheme="minorHAnsi"/>
          <w:bCs/>
          <w:color w:val="000000"/>
          <w:sz w:val="22"/>
        </w:rPr>
      </w:pPr>
      <w:r>
        <w:rPr>
          <w:rFonts w:asciiTheme="minorHAnsi" w:hAnsiTheme="minorHAnsi" w:cstheme="minorHAnsi"/>
          <w:bCs/>
          <w:color w:val="000000"/>
          <w:sz w:val="22"/>
        </w:rPr>
        <w:t xml:space="preserve">Actualmente se cuenta con dos endoscopios. </w:t>
      </w:r>
      <w:r w:rsidR="00AC69FC">
        <w:rPr>
          <w:rFonts w:asciiTheme="minorHAnsi" w:hAnsiTheme="minorHAnsi" w:cstheme="minorHAnsi"/>
          <w:bCs/>
          <w:color w:val="000000"/>
          <w:sz w:val="22"/>
        </w:rPr>
        <w:t>Considerando un tiempo de duración por estudio de 45 minutos,</w:t>
      </w:r>
      <w:r w:rsidR="00347284">
        <w:rPr>
          <w:rStyle w:val="FootnoteReference"/>
          <w:rFonts w:asciiTheme="minorHAnsi" w:hAnsiTheme="minorHAnsi" w:cstheme="minorHAnsi"/>
          <w:bCs/>
          <w:color w:val="000000"/>
          <w:sz w:val="22"/>
        </w:rPr>
        <w:footnoteReference w:id="56"/>
      </w:r>
      <w:r w:rsidR="00AC69FC">
        <w:rPr>
          <w:rFonts w:asciiTheme="minorHAnsi" w:hAnsiTheme="minorHAnsi" w:cstheme="minorHAnsi"/>
          <w:bCs/>
          <w:color w:val="000000"/>
          <w:sz w:val="22"/>
        </w:rPr>
        <w:t xml:space="preserve"> un funcionamiento por </w:t>
      </w:r>
      <w:r w:rsidR="00822020">
        <w:rPr>
          <w:rFonts w:asciiTheme="minorHAnsi" w:hAnsiTheme="minorHAnsi" w:cstheme="minorHAnsi"/>
          <w:bCs/>
          <w:color w:val="000000"/>
          <w:sz w:val="22"/>
        </w:rPr>
        <w:t>6</w:t>
      </w:r>
      <w:r w:rsidR="00AC69FC">
        <w:rPr>
          <w:rFonts w:asciiTheme="minorHAnsi" w:hAnsiTheme="minorHAnsi" w:cstheme="minorHAnsi"/>
          <w:bCs/>
          <w:color w:val="000000"/>
          <w:sz w:val="22"/>
        </w:rPr>
        <w:t xml:space="preserve"> horas diarias por 25</w:t>
      </w:r>
      <w:r w:rsidR="00822020">
        <w:rPr>
          <w:rFonts w:asciiTheme="minorHAnsi" w:hAnsiTheme="minorHAnsi" w:cstheme="minorHAnsi"/>
          <w:bCs/>
          <w:color w:val="000000"/>
          <w:sz w:val="22"/>
        </w:rPr>
        <w:t>0</w:t>
      </w:r>
      <w:r w:rsidR="00AC69FC">
        <w:rPr>
          <w:rFonts w:asciiTheme="minorHAnsi" w:hAnsiTheme="minorHAnsi" w:cstheme="minorHAnsi"/>
          <w:bCs/>
          <w:color w:val="000000"/>
          <w:sz w:val="22"/>
        </w:rPr>
        <w:t xml:space="preserve"> días laborables nos entrega una oferta potencial de </w:t>
      </w:r>
      <w:r w:rsidR="00822020">
        <w:rPr>
          <w:rFonts w:asciiTheme="minorHAnsi" w:hAnsiTheme="minorHAnsi" w:cstheme="minorHAnsi"/>
          <w:bCs/>
          <w:color w:val="000000"/>
          <w:sz w:val="22"/>
        </w:rPr>
        <w:t>3.400</w:t>
      </w:r>
      <w:r w:rsidR="00AC69FC">
        <w:rPr>
          <w:rFonts w:asciiTheme="minorHAnsi" w:hAnsiTheme="minorHAnsi" w:cstheme="minorHAnsi"/>
          <w:bCs/>
          <w:color w:val="000000"/>
          <w:sz w:val="22"/>
        </w:rPr>
        <w:t xml:space="preserve"> estudios </w:t>
      </w:r>
      <w:r w:rsidR="00822020">
        <w:rPr>
          <w:rFonts w:asciiTheme="minorHAnsi" w:hAnsiTheme="minorHAnsi" w:cstheme="minorHAnsi"/>
          <w:bCs/>
          <w:color w:val="000000"/>
          <w:sz w:val="22"/>
        </w:rPr>
        <w:t xml:space="preserve">para el año 2013, </w:t>
      </w:r>
      <w:r w:rsidR="0096165A">
        <w:rPr>
          <w:rFonts w:asciiTheme="minorHAnsi" w:hAnsiTheme="minorHAnsi" w:cstheme="minorHAnsi"/>
          <w:bCs/>
          <w:color w:val="000000"/>
          <w:sz w:val="22"/>
        </w:rPr>
        <w:t>considerando</w:t>
      </w:r>
      <w:r w:rsidR="00AC69FC">
        <w:rPr>
          <w:rFonts w:asciiTheme="minorHAnsi" w:hAnsiTheme="minorHAnsi" w:cstheme="minorHAnsi"/>
          <w:bCs/>
          <w:color w:val="000000"/>
          <w:sz w:val="22"/>
        </w:rPr>
        <w:t xml:space="preserve"> un factor de ajuste de 85%.</w:t>
      </w:r>
      <w:r w:rsidR="00822020">
        <w:rPr>
          <w:rFonts w:asciiTheme="minorHAnsi" w:hAnsiTheme="minorHAnsi" w:cstheme="minorHAnsi"/>
          <w:bCs/>
          <w:color w:val="000000"/>
          <w:sz w:val="22"/>
        </w:rPr>
        <w:t xml:space="preserve"> Con la puesta en marcha del Hospital EL Alto Norte la oferta potencial aumentará a 5.100 estudios por año en el 2014.</w:t>
      </w:r>
    </w:p>
    <w:p w:rsidR="00AC69FC" w:rsidRDefault="00AC69FC" w:rsidP="00D339CC">
      <w:pPr>
        <w:rPr>
          <w:rFonts w:asciiTheme="minorHAnsi" w:hAnsiTheme="minorHAnsi" w:cstheme="minorHAnsi"/>
          <w:bCs/>
          <w:color w:val="000000"/>
          <w:sz w:val="22"/>
        </w:rPr>
      </w:pPr>
    </w:p>
    <w:p w:rsidR="00D339CC" w:rsidRDefault="00D339CC" w:rsidP="00D339CC">
      <w:pPr>
        <w:rPr>
          <w:rFonts w:asciiTheme="minorHAnsi" w:hAnsiTheme="minorHAnsi" w:cstheme="minorHAnsi"/>
          <w:bCs/>
          <w:color w:val="000000"/>
          <w:sz w:val="22"/>
          <w:szCs w:val="22"/>
        </w:rPr>
      </w:pPr>
      <w:r w:rsidRPr="009C76DB">
        <w:rPr>
          <w:rFonts w:asciiTheme="minorHAnsi" w:hAnsiTheme="minorHAnsi" w:cstheme="minorHAnsi"/>
          <w:bCs/>
          <w:color w:val="000000"/>
          <w:sz w:val="22"/>
        </w:rPr>
        <w:lastRenderedPageBreak/>
        <w:t xml:space="preserve">Tabla </w:t>
      </w:r>
      <w:r w:rsidR="00C322FD">
        <w:rPr>
          <w:rFonts w:asciiTheme="minorHAnsi" w:hAnsiTheme="minorHAnsi" w:cstheme="minorHAnsi"/>
          <w:bCs/>
          <w:color w:val="000000"/>
          <w:sz w:val="22"/>
        </w:rPr>
        <w:t>4.</w:t>
      </w:r>
      <w:r w:rsidR="00503624">
        <w:rPr>
          <w:rFonts w:asciiTheme="minorHAnsi" w:hAnsiTheme="minorHAnsi" w:cstheme="minorHAnsi"/>
          <w:bCs/>
          <w:color w:val="000000"/>
          <w:sz w:val="22"/>
        </w:rPr>
        <w:t>9</w:t>
      </w:r>
      <w:r w:rsidRPr="009C76DB">
        <w:rPr>
          <w:rFonts w:asciiTheme="minorHAnsi" w:hAnsiTheme="minorHAnsi" w:cstheme="minorHAnsi"/>
          <w:bCs/>
          <w:color w:val="000000"/>
          <w:sz w:val="22"/>
        </w:rPr>
        <w:t xml:space="preserve">: Capacidad anual </w:t>
      </w:r>
      <w:r w:rsidR="00303EAF">
        <w:rPr>
          <w:rFonts w:asciiTheme="minorHAnsi" w:hAnsiTheme="minorHAnsi" w:cstheme="minorHAnsi"/>
          <w:bCs/>
          <w:color w:val="000000"/>
          <w:sz w:val="22"/>
        </w:rPr>
        <w:t xml:space="preserve">de </w:t>
      </w:r>
      <w:r>
        <w:rPr>
          <w:rFonts w:asciiTheme="minorHAnsi" w:hAnsiTheme="minorHAnsi" w:cstheme="minorHAnsi"/>
          <w:bCs/>
          <w:color w:val="000000"/>
          <w:sz w:val="22"/>
        </w:rPr>
        <w:t>estudios de endoscopía</w:t>
      </w:r>
    </w:p>
    <w:tbl>
      <w:tblPr>
        <w:tblStyle w:val="LightShading-Accent3"/>
        <w:tblW w:w="8123" w:type="dxa"/>
        <w:tblLook w:val="04A0" w:firstRow="1" w:lastRow="0" w:firstColumn="1" w:lastColumn="0" w:noHBand="0" w:noVBand="1"/>
      </w:tblPr>
      <w:tblGrid>
        <w:gridCol w:w="622"/>
        <w:gridCol w:w="222"/>
        <w:gridCol w:w="1342"/>
        <w:gridCol w:w="2335"/>
        <w:gridCol w:w="1537"/>
        <w:gridCol w:w="1148"/>
        <w:gridCol w:w="1303"/>
      </w:tblGrid>
      <w:tr w:rsidR="00C322FD" w:rsidRPr="00D12E44" w:rsidTr="00C322F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 w:type="dxa"/>
            <w:vAlign w:val="center"/>
          </w:tcPr>
          <w:p w:rsidR="00C322FD" w:rsidRPr="00D12E44" w:rsidRDefault="00C322FD" w:rsidP="00C322FD">
            <w:pPr>
              <w:jc w:val="center"/>
              <w:rPr>
                <w:rFonts w:ascii="Calibri" w:hAnsi="Calibri"/>
                <w:color w:val="000000"/>
                <w:sz w:val="20"/>
                <w:szCs w:val="20"/>
              </w:rPr>
            </w:pPr>
            <w:r>
              <w:rPr>
                <w:rFonts w:ascii="Calibri" w:hAnsi="Calibri"/>
                <w:color w:val="000000"/>
                <w:sz w:val="20"/>
                <w:szCs w:val="20"/>
              </w:rPr>
              <w:t>Año</w:t>
            </w:r>
          </w:p>
        </w:tc>
        <w:tc>
          <w:tcPr>
            <w:tcW w:w="223" w:type="dxa"/>
            <w:vAlign w:val="center"/>
          </w:tcPr>
          <w:p w:rsidR="00C322FD" w:rsidRPr="00D12E44" w:rsidRDefault="00C322FD"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1342" w:type="dxa"/>
            <w:noWrap/>
            <w:vAlign w:val="center"/>
            <w:hideMark/>
          </w:tcPr>
          <w:p w:rsidR="00C322FD" w:rsidRPr="00D12E44" w:rsidRDefault="00C322FD"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 xml:space="preserve">Nº de </w:t>
            </w:r>
            <w:r>
              <w:rPr>
                <w:rFonts w:ascii="Calibri" w:hAnsi="Calibri"/>
                <w:color w:val="000000"/>
                <w:sz w:val="20"/>
                <w:szCs w:val="20"/>
              </w:rPr>
              <w:t>equipos</w:t>
            </w:r>
          </w:p>
        </w:tc>
        <w:tc>
          <w:tcPr>
            <w:tcW w:w="2335" w:type="dxa"/>
            <w:noWrap/>
            <w:vAlign w:val="center"/>
            <w:hideMark/>
          </w:tcPr>
          <w:p w:rsidR="00C322FD" w:rsidRPr="00D12E44" w:rsidRDefault="00C322FD"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Tiempo por servicio (horas)</w:t>
            </w:r>
          </w:p>
        </w:tc>
        <w:tc>
          <w:tcPr>
            <w:tcW w:w="1536" w:type="dxa"/>
            <w:noWrap/>
            <w:vAlign w:val="center"/>
            <w:hideMark/>
          </w:tcPr>
          <w:p w:rsidR="00C322FD" w:rsidRPr="00D12E44" w:rsidRDefault="00C322FD"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Horas de funcionamiento diario</w:t>
            </w:r>
          </w:p>
        </w:tc>
        <w:tc>
          <w:tcPr>
            <w:tcW w:w="1148" w:type="dxa"/>
            <w:noWrap/>
            <w:vAlign w:val="center"/>
            <w:hideMark/>
          </w:tcPr>
          <w:p w:rsidR="00C322FD" w:rsidRPr="00D12E44" w:rsidRDefault="00C322FD"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Días laborables</w:t>
            </w:r>
          </w:p>
        </w:tc>
        <w:tc>
          <w:tcPr>
            <w:tcW w:w="1303" w:type="dxa"/>
            <w:noWrap/>
            <w:vAlign w:val="center"/>
            <w:hideMark/>
          </w:tcPr>
          <w:p w:rsidR="00C322FD" w:rsidRPr="00D12E44" w:rsidRDefault="00C322FD"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Total servicios /año</w:t>
            </w:r>
          </w:p>
        </w:tc>
      </w:tr>
      <w:tr w:rsidR="00C322FD" w:rsidRPr="00D12E44" w:rsidTr="00C322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6" w:type="dxa"/>
            <w:vAlign w:val="center"/>
          </w:tcPr>
          <w:p w:rsidR="00C322FD" w:rsidRPr="00D12E44" w:rsidRDefault="00C322FD" w:rsidP="00C322FD">
            <w:pPr>
              <w:jc w:val="center"/>
              <w:rPr>
                <w:rFonts w:ascii="Calibri" w:hAnsi="Calibri"/>
                <w:color w:val="000000"/>
                <w:sz w:val="20"/>
                <w:szCs w:val="20"/>
              </w:rPr>
            </w:pPr>
            <w:r w:rsidRPr="00D12E44">
              <w:rPr>
                <w:rFonts w:ascii="Calibri" w:hAnsi="Calibri"/>
                <w:color w:val="000000"/>
                <w:sz w:val="20"/>
                <w:szCs w:val="20"/>
              </w:rPr>
              <w:t>2013</w:t>
            </w:r>
          </w:p>
        </w:tc>
        <w:tc>
          <w:tcPr>
            <w:tcW w:w="223" w:type="dxa"/>
            <w:vAlign w:val="center"/>
          </w:tcPr>
          <w:p w:rsidR="00C322FD" w:rsidRPr="00D12E44" w:rsidRDefault="00C322FD"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1342" w:type="dxa"/>
            <w:noWrap/>
            <w:vAlign w:val="center"/>
            <w:hideMark/>
          </w:tcPr>
          <w:p w:rsidR="00C322FD" w:rsidRPr="00D12E44" w:rsidRDefault="00C322FD"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2</w:t>
            </w:r>
          </w:p>
        </w:tc>
        <w:tc>
          <w:tcPr>
            <w:tcW w:w="2335" w:type="dxa"/>
            <w:noWrap/>
            <w:vAlign w:val="center"/>
            <w:hideMark/>
          </w:tcPr>
          <w:p w:rsidR="00C322FD" w:rsidRPr="00D12E44" w:rsidRDefault="00C322FD"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0,7500</w:t>
            </w:r>
          </w:p>
        </w:tc>
        <w:tc>
          <w:tcPr>
            <w:tcW w:w="1536" w:type="dxa"/>
            <w:noWrap/>
            <w:vAlign w:val="center"/>
            <w:hideMark/>
          </w:tcPr>
          <w:p w:rsidR="00C322FD" w:rsidRPr="00D12E44" w:rsidRDefault="00C322FD"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6</w:t>
            </w:r>
          </w:p>
        </w:tc>
        <w:tc>
          <w:tcPr>
            <w:tcW w:w="1148" w:type="dxa"/>
            <w:noWrap/>
            <w:vAlign w:val="center"/>
            <w:hideMark/>
          </w:tcPr>
          <w:p w:rsidR="00C322FD" w:rsidRPr="00D12E44" w:rsidRDefault="00C322FD"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250</w:t>
            </w:r>
          </w:p>
        </w:tc>
        <w:tc>
          <w:tcPr>
            <w:tcW w:w="1303" w:type="dxa"/>
            <w:noWrap/>
            <w:vAlign w:val="center"/>
            <w:hideMark/>
          </w:tcPr>
          <w:p w:rsidR="00C322FD" w:rsidRPr="00D12E44" w:rsidRDefault="00C322FD"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3.400</w:t>
            </w:r>
          </w:p>
        </w:tc>
      </w:tr>
      <w:tr w:rsidR="00C322FD" w:rsidRPr="00D12E44" w:rsidTr="00C322FD">
        <w:trPr>
          <w:trHeight w:val="288"/>
        </w:trPr>
        <w:tc>
          <w:tcPr>
            <w:cnfStyle w:val="001000000000" w:firstRow="0" w:lastRow="0" w:firstColumn="1" w:lastColumn="0" w:oddVBand="0" w:evenVBand="0" w:oddHBand="0" w:evenHBand="0" w:firstRowFirstColumn="0" w:firstRowLastColumn="0" w:lastRowFirstColumn="0" w:lastRowLastColumn="0"/>
            <w:tcW w:w="236" w:type="dxa"/>
            <w:vAlign w:val="center"/>
          </w:tcPr>
          <w:p w:rsidR="00C322FD" w:rsidRPr="00D12E44" w:rsidRDefault="00C322FD" w:rsidP="00C322FD">
            <w:pPr>
              <w:jc w:val="center"/>
              <w:rPr>
                <w:rFonts w:ascii="Calibri" w:hAnsi="Calibri"/>
                <w:color w:val="000000"/>
                <w:sz w:val="20"/>
                <w:szCs w:val="20"/>
              </w:rPr>
            </w:pPr>
            <w:r w:rsidRPr="00D12E44">
              <w:rPr>
                <w:rFonts w:ascii="Calibri" w:hAnsi="Calibri"/>
                <w:color w:val="000000"/>
                <w:sz w:val="20"/>
                <w:szCs w:val="20"/>
              </w:rPr>
              <w:t>2014</w:t>
            </w:r>
          </w:p>
        </w:tc>
        <w:tc>
          <w:tcPr>
            <w:tcW w:w="223" w:type="dxa"/>
            <w:vAlign w:val="center"/>
          </w:tcPr>
          <w:p w:rsidR="00C322FD" w:rsidRPr="00D12E44" w:rsidRDefault="00C322FD" w:rsidP="00C322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1342" w:type="dxa"/>
            <w:noWrap/>
            <w:vAlign w:val="center"/>
            <w:hideMark/>
          </w:tcPr>
          <w:p w:rsidR="00C322FD" w:rsidRPr="00D12E44" w:rsidRDefault="00C322FD" w:rsidP="00C322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3</w:t>
            </w:r>
          </w:p>
        </w:tc>
        <w:tc>
          <w:tcPr>
            <w:tcW w:w="2335" w:type="dxa"/>
            <w:noWrap/>
            <w:vAlign w:val="center"/>
            <w:hideMark/>
          </w:tcPr>
          <w:p w:rsidR="00C322FD" w:rsidRPr="00D12E44" w:rsidRDefault="00C322FD" w:rsidP="00C322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0,7500</w:t>
            </w:r>
          </w:p>
        </w:tc>
        <w:tc>
          <w:tcPr>
            <w:tcW w:w="1536" w:type="dxa"/>
            <w:noWrap/>
            <w:vAlign w:val="center"/>
            <w:hideMark/>
          </w:tcPr>
          <w:p w:rsidR="00C322FD" w:rsidRPr="00D12E44" w:rsidRDefault="00C322FD" w:rsidP="00C322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6</w:t>
            </w:r>
          </w:p>
        </w:tc>
        <w:tc>
          <w:tcPr>
            <w:tcW w:w="1148" w:type="dxa"/>
            <w:noWrap/>
            <w:vAlign w:val="center"/>
            <w:hideMark/>
          </w:tcPr>
          <w:p w:rsidR="00C322FD" w:rsidRPr="00D12E44" w:rsidRDefault="00C322FD" w:rsidP="00C322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250</w:t>
            </w:r>
          </w:p>
        </w:tc>
        <w:tc>
          <w:tcPr>
            <w:tcW w:w="1303" w:type="dxa"/>
            <w:noWrap/>
            <w:vAlign w:val="center"/>
            <w:hideMark/>
          </w:tcPr>
          <w:p w:rsidR="00C322FD" w:rsidRPr="00D12E44" w:rsidRDefault="00C322FD" w:rsidP="00C322FD">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D12E44">
              <w:rPr>
                <w:rFonts w:ascii="Calibri" w:hAnsi="Calibri"/>
                <w:color w:val="000000"/>
                <w:sz w:val="20"/>
                <w:szCs w:val="20"/>
              </w:rPr>
              <w:t>5.100</w:t>
            </w:r>
          </w:p>
        </w:tc>
      </w:tr>
    </w:tbl>
    <w:p w:rsidR="00486F8E" w:rsidRPr="00B902DA" w:rsidRDefault="00486F8E" w:rsidP="00486F8E">
      <w:pPr>
        <w:rPr>
          <w:rFonts w:asciiTheme="minorHAnsi" w:hAnsiTheme="minorHAnsi" w:cstheme="minorHAnsi"/>
          <w:bCs/>
          <w:sz w:val="18"/>
          <w:szCs w:val="18"/>
        </w:rPr>
      </w:pPr>
      <w:r w:rsidRPr="00B902DA">
        <w:rPr>
          <w:rFonts w:asciiTheme="minorHAnsi" w:hAnsiTheme="minorHAnsi" w:cstheme="minorHAnsi"/>
          <w:bCs/>
          <w:sz w:val="18"/>
          <w:szCs w:val="18"/>
        </w:rPr>
        <w:t>Fuente: Elaboración propia.</w:t>
      </w:r>
    </w:p>
    <w:p w:rsidR="00347284" w:rsidRDefault="00347284">
      <w:pPr>
        <w:rPr>
          <w:rFonts w:asciiTheme="minorHAnsi" w:hAnsiTheme="minorHAnsi" w:cstheme="minorHAnsi"/>
          <w:bCs/>
          <w:color w:val="000000"/>
          <w:sz w:val="22"/>
          <w:szCs w:val="22"/>
        </w:rPr>
      </w:pPr>
    </w:p>
    <w:p w:rsidR="00303EAF" w:rsidRPr="003417F3" w:rsidRDefault="00303EAF" w:rsidP="008A366B">
      <w:pPr>
        <w:pStyle w:val="Heading2"/>
        <w:numPr>
          <w:ilvl w:val="1"/>
          <w:numId w:val="1"/>
        </w:numPr>
        <w:rPr>
          <w:rFonts w:asciiTheme="minorHAnsi" w:hAnsiTheme="minorHAnsi"/>
          <w:szCs w:val="22"/>
        </w:rPr>
      </w:pPr>
      <w:bookmarkStart w:id="66" w:name="_Toc373093530"/>
      <w:r w:rsidRPr="003417F3">
        <w:rPr>
          <w:rFonts w:asciiTheme="minorHAnsi" w:hAnsiTheme="minorHAnsi"/>
          <w:lang w:val="es-ES_tradnl"/>
        </w:rPr>
        <w:t>Ecografías</w:t>
      </w:r>
      <w:bookmarkEnd w:id="66"/>
    </w:p>
    <w:p w:rsidR="00303EAF" w:rsidRDefault="00303EAF" w:rsidP="00303EAF">
      <w:pPr>
        <w:rPr>
          <w:rFonts w:asciiTheme="minorHAnsi" w:hAnsiTheme="minorHAnsi" w:cstheme="minorHAnsi"/>
          <w:bCs/>
          <w:color w:val="000000"/>
          <w:sz w:val="22"/>
        </w:rPr>
      </w:pPr>
    </w:p>
    <w:p w:rsidR="00303EAF" w:rsidRDefault="00303EAF" w:rsidP="00303EAF">
      <w:pPr>
        <w:jc w:val="both"/>
        <w:rPr>
          <w:rFonts w:asciiTheme="minorHAnsi" w:hAnsiTheme="minorHAnsi" w:cstheme="minorHAnsi"/>
          <w:bCs/>
          <w:color w:val="000000"/>
          <w:sz w:val="22"/>
        </w:rPr>
      </w:pPr>
      <w:r>
        <w:rPr>
          <w:rFonts w:asciiTheme="minorHAnsi" w:hAnsiTheme="minorHAnsi" w:cstheme="minorHAnsi"/>
          <w:bCs/>
          <w:color w:val="000000"/>
          <w:sz w:val="22"/>
        </w:rPr>
        <w:t xml:space="preserve">Actualmente </w:t>
      </w:r>
      <w:r w:rsidR="00FB618D">
        <w:rPr>
          <w:rFonts w:asciiTheme="minorHAnsi" w:hAnsiTheme="minorHAnsi" w:cstheme="minorHAnsi"/>
          <w:bCs/>
          <w:color w:val="000000"/>
          <w:sz w:val="22"/>
        </w:rPr>
        <w:t>los establecimientos de referencia</w:t>
      </w:r>
      <w:r>
        <w:rPr>
          <w:rFonts w:asciiTheme="minorHAnsi" w:hAnsiTheme="minorHAnsi" w:cstheme="minorHAnsi"/>
          <w:bCs/>
          <w:color w:val="000000"/>
          <w:sz w:val="22"/>
        </w:rPr>
        <w:t xml:space="preserve"> cuenta</w:t>
      </w:r>
      <w:r w:rsidR="00FB618D">
        <w:rPr>
          <w:rFonts w:asciiTheme="minorHAnsi" w:hAnsiTheme="minorHAnsi" w:cstheme="minorHAnsi"/>
          <w:bCs/>
          <w:color w:val="000000"/>
          <w:sz w:val="22"/>
        </w:rPr>
        <w:t>n</w:t>
      </w:r>
      <w:r>
        <w:rPr>
          <w:rFonts w:asciiTheme="minorHAnsi" w:hAnsiTheme="minorHAnsi" w:cstheme="minorHAnsi"/>
          <w:bCs/>
          <w:color w:val="000000"/>
          <w:sz w:val="22"/>
        </w:rPr>
        <w:t xml:space="preserve"> con </w:t>
      </w:r>
      <w:r w:rsidR="00FB618D">
        <w:rPr>
          <w:rFonts w:asciiTheme="minorHAnsi" w:hAnsiTheme="minorHAnsi" w:cstheme="minorHAnsi"/>
          <w:bCs/>
          <w:color w:val="000000"/>
          <w:sz w:val="22"/>
        </w:rPr>
        <w:t>cuatro</w:t>
      </w:r>
      <w:r>
        <w:rPr>
          <w:rFonts w:asciiTheme="minorHAnsi" w:hAnsiTheme="minorHAnsi" w:cstheme="minorHAnsi"/>
          <w:bCs/>
          <w:color w:val="000000"/>
          <w:sz w:val="22"/>
        </w:rPr>
        <w:t xml:space="preserve"> </w:t>
      </w:r>
      <w:r w:rsidR="0096165A">
        <w:rPr>
          <w:rFonts w:asciiTheme="minorHAnsi" w:hAnsiTheme="minorHAnsi" w:cstheme="minorHAnsi"/>
          <w:bCs/>
          <w:color w:val="000000"/>
          <w:sz w:val="22"/>
        </w:rPr>
        <w:t>ecógrafo</w:t>
      </w:r>
      <w:r w:rsidR="00FB618D">
        <w:rPr>
          <w:rFonts w:asciiTheme="minorHAnsi" w:hAnsiTheme="minorHAnsi" w:cstheme="minorHAnsi"/>
          <w:bCs/>
          <w:color w:val="000000"/>
          <w:sz w:val="22"/>
        </w:rPr>
        <w:t>s</w:t>
      </w:r>
      <w:r>
        <w:rPr>
          <w:rFonts w:asciiTheme="minorHAnsi" w:hAnsiTheme="minorHAnsi" w:cstheme="minorHAnsi"/>
          <w:bCs/>
          <w:color w:val="000000"/>
          <w:sz w:val="22"/>
        </w:rPr>
        <w:t xml:space="preserve">, </w:t>
      </w:r>
      <w:r w:rsidR="00FB618D">
        <w:rPr>
          <w:rFonts w:asciiTheme="minorHAnsi" w:hAnsiTheme="minorHAnsi" w:cstheme="minorHAnsi"/>
          <w:bCs/>
          <w:color w:val="000000"/>
          <w:sz w:val="22"/>
        </w:rPr>
        <w:t xml:space="preserve">los cuales hemos supuesto que funcionan 6 </w:t>
      </w:r>
      <w:r>
        <w:rPr>
          <w:rFonts w:asciiTheme="minorHAnsi" w:hAnsiTheme="minorHAnsi" w:cstheme="minorHAnsi"/>
          <w:bCs/>
          <w:color w:val="000000"/>
          <w:sz w:val="22"/>
        </w:rPr>
        <w:t xml:space="preserve">horas al </w:t>
      </w:r>
      <w:r w:rsidR="005D02E1">
        <w:rPr>
          <w:rFonts w:asciiTheme="minorHAnsi" w:hAnsiTheme="minorHAnsi" w:cstheme="minorHAnsi"/>
          <w:bCs/>
          <w:color w:val="000000"/>
          <w:sz w:val="22"/>
        </w:rPr>
        <w:t>día, por 250 días laborables. El</w:t>
      </w:r>
      <w:r>
        <w:rPr>
          <w:rFonts w:asciiTheme="minorHAnsi" w:hAnsiTheme="minorHAnsi" w:cstheme="minorHAnsi"/>
          <w:bCs/>
          <w:color w:val="000000"/>
          <w:sz w:val="22"/>
        </w:rPr>
        <w:t xml:space="preserve"> tiempo por estudio se estima en 15 minutos,</w:t>
      </w:r>
      <w:r w:rsidR="00347284">
        <w:rPr>
          <w:rStyle w:val="FootnoteReference"/>
          <w:rFonts w:asciiTheme="minorHAnsi" w:hAnsiTheme="minorHAnsi" w:cstheme="minorHAnsi"/>
          <w:bCs/>
          <w:color w:val="000000"/>
          <w:sz w:val="22"/>
        </w:rPr>
        <w:footnoteReference w:id="57"/>
      </w:r>
      <w:r>
        <w:rPr>
          <w:rFonts w:asciiTheme="minorHAnsi" w:hAnsiTheme="minorHAnsi" w:cstheme="minorHAnsi"/>
          <w:bCs/>
          <w:color w:val="000000"/>
          <w:sz w:val="22"/>
        </w:rPr>
        <w:t xml:space="preserve"> lo cual aplicando un factor de ajuste de 85% no</w:t>
      </w:r>
      <w:r w:rsidR="005D02E1">
        <w:rPr>
          <w:rFonts w:asciiTheme="minorHAnsi" w:hAnsiTheme="minorHAnsi" w:cstheme="minorHAnsi"/>
          <w:bCs/>
          <w:color w:val="000000"/>
          <w:sz w:val="22"/>
        </w:rPr>
        <w:t>s da una ofer</w:t>
      </w:r>
      <w:r>
        <w:rPr>
          <w:rFonts w:asciiTheme="minorHAnsi" w:hAnsiTheme="minorHAnsi" w:cstheme="minorHAnsi"/>
          <w:bCs/>
          <w:color w:val="000000"/>
          <w:sz w:val="22"/>
        </w:rPr>
        <w:t xml:space="preserve">ta potencial de ecografías de </w:t>
      </w:r>
      <w:r w:rsidR="00407408">
        <w:rPr>
          <w:rFonts w:asciiTheme="minorHAnsi" w:hAnsiTheme="minorHAnsi" w:cstheme="minorHAnsi"/>
          <w:bCs/>
          <w:color w:val="000000"/>
          <w:sz w:val="22"/>
        </w:rPr>
        <w:t>20</w:t>
      </w:r>
      <w:r>
        <w:rPr>
          <w:rFonts w:asciiTheme="minorHAnsi" w:hAnsiTheme="minorHAnsi" w:cstheme="minorHAnsi"/>
          <w:bCs/>
          <w:color w:val="000000"/>
          <w:sz w:val="22"/>
        </w:rPr>
        <w:t>.</w:t>
      </w:r>
      <w:r w:rsidR="00407408">
        <w:rPr>
          <w:rFonts w:asciiTheme="minorHAnsi" w:hAnsiTheme="minorHAnsi" w:cstheme="minorHAnsi"/>
          <w:bCs/>
          <w:color w:val="000000"/>
          <w:sz w:val="22"/>
        </w:rPr>
        <w:t>400</w:t>
      </w:r>
      <w:r>
        <w:rPr>
          <w:rFonts w:asciiTheme="minorHAnsi" w:hAnsiTheme="minorHAnsi" w:cstheme="minorHAnsi"/>
          <w:bCs/>
          <w:color w:val="000000"/>
          <w:sz w:val="22"/>
        </w:rPr>
        <w:t xml:space="preserve"> por año.</w:t>
      </w:r>
    </w:p>
    <w:p w:rsidR="00303EAF" w:rsidRDefault="00303EAF" w:rsidP="00303EAF">
      <w:pPr>
        <w:rPr>
          <w:rFonts w:asciiTheme="minorHAnsi" w:hAnsiTheme="minorHAnsi" w:cstheme="minorHAnsi"/>
          <w:bCs/>
          <w:color w:val="000000"/>
          <w:sz w:val="22"/>
        </w:rPr>
      </w:pPr>
    </w:p>
    <w:p w:rsidR="00303EAF" w:rsidRDefault="00303EAF" w:rsidP="00303EAF">
      <w:pPr>
        <w:rPr>
          <w:rFonts w:asciiTheme="minorHAnsi" w:hAnsiTheme="minorHAnsi" w:cstheme="minorHAnsi"/>
          <w:bCs/>
          <w:color w:val="000000"/>
          <w:sz w:val="22"/>
        </w:rPr>
      </w:pPr>
      <w:r w:rsidRPr="009C76DB">
        <w:rPr>
          <w:rFonts w:asciiTheme="minorHAnsi" w:hAnsiTheme="minorHAnsi" w:cstheme="minorHAnsi"/>
          <w:bCs/>
          <w:color w:val="000000"/>
          <w:sz w:val="22"/>
        </w:rPr>
        <w:t xml:space="preserve">Tabla </w:t>
      </w:r>
      <w:r w:rsidR="00C322FD">
        <w:rPr>
          <w:rFonts w:asciiTheme="minorHAnsi" w:hAnsiTheme="minorHAnsi" w:cstheme="minorHAnsi"/>
          <w:bCs/>
          <w:color w:val="000000"/>
          <w:sz w:val="22"/>
        </w:rPr>
        <w:t>4.</w:t>
      </w:r>
      <w:r w:rsidR="00503624">
        <w:rPr>
          <w:rFonts w:asciiTheme="minorHAnsi" w:hAnsiTheme="minorHAnsi" w:cstheme="minorHAnsi"/>
          <w:bCs/>
          <w:color w:val="000000"/>
          <w:sz w:val="22"/>
        </w:rPr>
        <w:t>10</w:t>
      </w:r>
      <w:r w:rsidRPr="009C76DB">
        <w:rPr>
          <w:rFonts w:asciiTheme="minorHAnsi" w:hAnsiTheme="minorHAnsi" w:cstheme="minorHAnsi"/>
          <w:bCs/>
          <w:color w:val="000000"/>
          <w:sz w:val="22"/>
        </w:rPr>
        <w:t xml:space="preserve">: Capacidad anual </w:t>
      </w:r>
      <w:r>
        <w:rPr>
          <w:rFonts w:asciiTheme="minorHAnsi" w:hAnsiTheme="minorHAnsi" w:cstheme="minorHAnsi"/>
          <w:bCs/>
          <w:color w:val="000000"/>
          <w:sz w:val="22"/>
        </w:rPr>
        <w:t>estudios de ecografías</w:t>
      </w:r>
    </w:p>
    <w:tbl>
      <w:tblPr>
        <w:tblStyle w:val="LightShading-Accent3"/>
        <w:tblW w:w="7954" w:type="dxa"/>
        <w:tblLook w:val="04A0" w:firstRow="1" w:lastRow="0" w:firstColumn="1" w:lastColumn="0" w:noHBand="0" w:noVBand="1"/>
      </w:tblPr>
      <w:tblGrid>
        <w:gridCol w:w="1376"/>
        <w:gridCol w:w="2396"/>
        <w:gridCol w:w="1670"/>
        <w:gridCol w:w="1176"/>
        <w:gridCol w:w="1336"/>
      </w:tblGrid>
      <w:tr w:rsidR="003441B1" w:rsidTr="00C322FD">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376" w:type="dxa"/>
            <w:noWrap/>
            <w:vAlign w:val="center"/>
            <w:hideMark/>
          </w:tcPr>
          <w:p w:rsidR="003441B1" w:rsidRDefault="003441B1" w:rsidP="00C322FD">
            <w:pPr>
              <w:jc w:val="center"/>
              <w:rPr>
                <w:rFonts w:ascii="Calibri" w:hAnsi="Calibri"/>
                <w:color w:val="000000"/>
                <w:sz w:val="22"/>
                <w:szCs w:val="22"/>
              </w:rPr>
            </w:pPr>
            <w:r>
              <w:rPr>
                <w:rFonts w:ascii="Calibri" w:hAnsi="Calibri"/>
                <w:color w:val="000000"/>
                <w:sz w:val="22"/>
                <w:szCs w:val="22"/>
              </w:rPr>
              <w:t>Nº de maquinas</w:t>
            </w:r>
          </w:p>
        </w:tc>
        <w:tc>
          <w:tcPr>
            <w:tcW w:w="2396" w:type="dxa"/>
            <w:noWrap/>
            <w:vAlign w:val="center"/>
            <w:hideMark/>
          </w:tcPr>
          <w:p w:rsidR="003441B1" w:rsidRDefault="003441B1"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Tiempo por servicio (horas)</w:t>
            </w:r>
          </w:p>
        </w:tc>
        <w:tc>
          <w:tcPr>
            <w:tcW w:w="1670" w:type="dxa"/>
            <w:noWrap/>
            <w:vAlign w:val="center"/>
            <w:hideMark/>
          </w:tcPr>
          <w:p w:rsidR="003441B1" w:rsidRDefault="003441B1"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Horas de funcionamiento diario</w:t>
            </w:r>
          </w:p>
        </w:tc>
        <w:tc>
          <w:tcPr>
            <w:tcW w:w="1176" w:type="dxa"/>
            <w:noWrap/>
            <w:vAlign w:val="center"/>
            <w:hideMark/>
          </w:tcPr>
          <w:p w:rsidR="003441B1" w:rsidRDefault="003441B1"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Días laborables</w:t>
            </w:r>
          </w:p>
        </w:tc>
        <w:tc>
          <w:tcPr>
            <w:tcW w:w="1336" w:type="dxa"/>
            <w:noWrap/>
            <w:vAlign w:val="center"/>
            <w:hideMark/>
          </w:tcPr>
          <w:p w:rsidR="003441B1" w:rsidRDefault="003441B1"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Total servicios /año</w:t>
            </w:r>
          </w:p>
        </w:tc>
      </w:tr>
      <w:tr w:rsidR="003441B1" w:rsidTr="00C322F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376" w:type="dxa"/>
            <w:noWrap/>
            <w:vAlign w:val="center"/>
            <w:hideMark/>
          </w:tcPr>
          <w:p w:rsidR="003441B1" w:rsidRDefault="003441B1" w:rsidP="00C322FD">
            <w:pPr>
              <w:jc w:val="center"/>
              <w:rPr>
                <w:rFonts w:ascii="Calibri" w:hAnsi="Calibri"/>
                <w:color w:val="000000"/>
                <w:sz w:val="22"/>
                <w:szCs w:val="22"/>
              </w:rPr>
            </w:pPr>
            <w:r>
              <w:rPr>
                <w:rFonts w:ascii="Calibri" w:hAnsi="Calibri"/>
                <w:color w:val="000000"/>
                <w:sz w:val="22"/>
                <w:szCs w:val="22"/>
              </w:rPr>
              <w:t>4</w:t>
            </w:r>
          </w:p>
        </w:tc>
        <w:tc>
          <w:tcPr>
            <w:tcW w:w="2396" w:type="dxa"/>
            <w:noWrap/>
            <w:vAlign w:val="center"/>
            <w:hideMark/>
          </w:tcPr>
          <w:p w:rsidR="003441B1" w:rsidRDefault="003441B1"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0,2500</w:t>
            </w:r>
          </w:p>
        </w:tc>
        <w:tc>
          <w:tcPr>
            <w:tcW w:w="1670" w:type="dxa"/>
            <w:noWrap/>
            <w:vAlign w:val="center"/>
            <w:hideMark/>
          </w:tcPr>
          <w:p w:rsidR="003441B1" w:rsidRDefault="003441B1"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w:t>
            </w:r>
          </w:p>
        </w:tc>
        <w:tc>
          <w:tcPr>
            <w:tcW w:w="1176" w:type="dxa"/>
            <w:noWrap/>
            <w:vAlign w:val="center"/>
            <w:hideMark/>
          </w:tcPr>
          <w:p w:rsidR="003441B1" w:rsidRDefault="003441B1"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250</w:t>
            </w:r>
          </w:p>
        </w:tc>
        <w:tc>
          <w:tcPr>
            <w:tcW w:w="1336" w:type="dxa"/>
            <w:noWrap/>
            <w:vAlign w:val="center"/>
            <w:hideMark/>
          </w:tcPr>
          <w:p w:rsidR="003441B1" w:rsidRDefault="003441B1"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20.400</w:t>
            </w:r>
          </w:p>
        </w:tc>
      </w:tr>
    </w:tbl>
    <w:p w:rsidR="00486F8E" w:rsidRPr="00B902DA" w:rsidRDefault="00486F8E" w:rsidP="00486F8E">
      <w:pPr>
        <w:rPr>
          <w:rFonts w:asciiTheme="minorHAnsi" w:hAnsiTheme="minorHAnsi" w:cstheme="minorHAnsi"/>
          <w:bCs/>
          <w:sz w:val="18"/>
          <w:szCs w:val="18"/>
        </w:rPr>
      </w:pPr>
      <w:r w:rsidRPr="00B902DA">
        <w:rPr>
          <w:rFonts w:asciiTheme="minorHAnsi" w:hAnsiTheme="minorHAnsi" w:cstheme="minorHAnsi"/>
          <w:bCs/>
          <w:sz w:val="18"/>
          <w:szCs w:val="18"/>
        </w:rPr>
        <w:t>Fuente: Elaboración propia.</w:t>
      </w:r>
    </w:p>
    <w:p w:rsidR="00303EAF" w:rsidRDefault="00303EAF" w:rsidP="00303EAF">
      <w:pPr>
        <w:rPr>
          <w:rFonts w:asciiTheme="minorHAnsi" w:hAnsiTheme="minorHAnsi" w:cstheme="minorHAnsi"/>
          <w:bCs/>
          <w:color w:val="000000"/>
          <w:sz w:val="22"/>
        </w:rPr>
      </w:pPr>
    </w:p>
    <w:p w:rsidR="003441B1" w:rsidRDefault="003441B1" w:rsidP="00303EAF">
      <w:pPr>
        <w:rPr>
          <w:rFonts w:asciiTheme="minorHAnsi" w:hAnsiTheme="minorHAnsi" w:cstheme="minorHAnsi"/>
          <w:bCs/>
          <w:color w:val="000000"/>
          <w:sz w:val="22"/>
        </w:rPr>
      </w:pPr>
    </w:p>
    <w:p w:rsidR="005D02E1" w:rsidRPr="003417F3" w:rsidRDefault="003441B1" w:rsidP="008A366B">
      <w:pPr>
        <w:pStyle w:val="Heading2"/>
        <w:numPr>
          <w:ilvl w:val="1"/>
          <w:numId w:val="1"/>
        </w:numPr>
        <w:rPr>
          <w:rFonts w:asciiTheme="minorHAnsi" w:hAnsiTheme="minorHAnsi"/>
          <w:szCs w:val="22"/>
        </w:rPr>
      </w:pPr>
      <w:bookmarkStart w:id="67" w:name="_Toc373093531"/>
      <w:r w:rsidRPr="003417F3">
        <w:rPr>
          <w:rFonts w:asciiTheme="minorHAnsi" w:hAnsiTheme="minorHAnsi"/>
          <w:lang w:val="es-ES_tradnl"/>
        </w:rPr>
        <w:t>Tomografía</w:t>
      </w:r>
      <w:bookmarkEnd w:id="67"/>
    </w:p>
    <w:p w:rsidR="00C00203" w:rsidRDefault="00C00203" w:rsidP="00C00203">
      <w:pPr>
        <w:jc w:val="both"/>
        <w:rPr>
          <w:rFonts w:asciiTheme="minorHAnsi" w:hAnsiTheme="minorHAnsi" w:cstheme="minorHAnsi"/>
          <w:bCs/>
          <w:sz w:val="22"/>
          <w:szCs w:val="22"/>
        </w:rPr>
      </w:pPr>
    </w:p>
    <w:p w:rsidR="00FB618D" w:rsidRDefault="00FB618D" w:rsidP="00FB618D">
      <w:pPr>
        <w:jc w:val="both"/>
        <w:rPr>
          <w:rFonts w:asciiTheme="minorHAnsi" w:hAnsiTheme="minorHAnsi" w:cstheme="minorHAnsi"/>
          <w:bCs/>
          <w:color w:val="000000"/>
          <w:sz w:val="22"/>
        </w:rPr>
      </w:pPr>
      <w:r>
        <w:rPr>
          <w:rFonts w:asciiTheme="minorHAnsi" w:hAnsiTheme="minorHAnsi" w:cstheme="minorHAnsi"/>
          <w:bCs/>
          <w:color w:val="000000"/>
          <w:sz w:val="22"/>
        </w:rPr>
        <w:t xml:space="preserve">Actualmente los establecimientos de referencia cuentan al año 2013 con un </w:t>
      </w:r>
      <w:r w:rsidR="005352F3">
        <w:rPr>
          <w:rFonts w:asciiTheme="minorHAnsi" w:hAnsiTheme="minorHAnsi" w:cstheme="minorHAnsi"/>
          <w:bCs/>
          <w:color w:val="000000"/>
          <w:sz w:val="22"/>
        </w:rPr>
        <w:t>tomógrafo</w:t>
      </w:r>
      <w:r>
        <w:rPr>
          <w:rFonts w:asciiTheme="minorHAnsi" w:hAnsiTheme="minorHAnsi" w:cstheme="minorHAnsi"/>
          <w:bCs/>
          <w:color w:val="000000"/>
          <w:sz w:val="22"/>
        </w:rPr>
        <w:t xml:space="preserve">, con la puesta en marcha del Hospital El Alto Norte se sumara uno más, dejando a la oferta sin proyecto, con dos tomógrafos a partir del año 2015. Se ha  supuesto un tiempo de operación de </w:t>
      </w:r>
      <w:r w:rsidR="00C322FD">
        <w:rPr>
          <w:rFonts w:asciiTheme="minorHAnsi" w:hAnsiTheme="minorHAnsi" w:cstheme="minorHAnsi"/>
          <w:bCs/>
          <w:color w:val="000000"/>
          <w:sz w:val="22"/>
        </w:rPr>
        <w:t>12</w:t>
      </w:r>
      <w:r>
        <w:rPr>
          <w:rFonts w:asciiTheme="minorHAnsi" w:hAnsiTheme="minorHAnsi" w:cstheme="minorHAnsi"/>
          <w:bCs/>
          <w:color w:val="000000"/>
          <w:sz w:val="22"/>
        </w:rPr>
        <w:t xml:space="preserve"> horas al día, por 250 días laborables El tiempo por estudio se estima en 15 minutos,</w:t>
      </w:r>
      <w:r w:rsidR="00466A34">
        <w:rPr>
          <w:rStyle w:val="FootnoteReference"/>
          <w:rFonts w:asciiTheme="minorHAnsi" w:hAnsiTheme="minorHAnsi" w:cstheme="minorHAnsi"/>
          <w:bCs/>
          <w:color w:val="000000"/>
          <w:sz w:val="22"/>
        </w:rPr>
        <w:footnoteReference w:id="58"/>
      </w:r>
      <w:r>
        <w:rPr>
          <w:rFonts w:asciiTheme="minorHAnsi" w:hAnsiTheme="minorHAnsi" w:cstheme="minorHAnsi"/>
          <w:bCs/>
          <w:color w:val="000000"/>
          <w:sz w:val="22"/>
        </w:rPr>
        <w:t xml:space="preserve"> lo cual aplicando un factor de ajuste de 85% nos da una oferta potencial de estudios de tomografía de 2</w:t>
      </w:r>
      <w:r w:rsidR="00C322FD">
        <w:rPr>
          <w:rFonts w:asciiTheme="minorHAnsi" w:hAnsiTheme="minorHAnsi" w:cstheme="minorHAnsi"/>
          <w:bCs/>
          <w:color w:val="000000"/>
          <w:sz w:val="22"/>
        </w:rPr>
        <w:t>9</w:t>
      </w:r>
      <w:r>
        <w:rPr>
          <w:rFonts w:asciiTheme="minorHAnsi" w:hAnsiTheme="minorHAnsi" w:cstheme="minorHAnsi"/>
          <w:bCs/>
          <w:color w:val="000000"/>
          <w:sz w:val="22"/>
        </w:rPr>
        <w:t>.</w:t>
      </w:r>
      <w:r w:rsidR="00C322FD">
        <w:rPr>
          <w:rFonts w:asciiTheme="minorHAnsi" w:hAnsiTheme="minorHAnsi" w:cstheme="minorHAnsi"/>
          <w:bCs/>
          <w:color w:val="000000"/>
          <w:sz w:val="22"/>
        </w:rPr>
        <w:t>784</w:t>
      </w:r>
      <w:r>
        <w:rPr>
          <w:rFonts w:asciiTheme="minorHAnsi" w:hAnsiTheme="minorHAnsi" w:cstheme="minorHAnsi"/>
          <w:bCs/>
          <w:color w:val="000000"/>
          <w:sz w:val="22"/>
        </w:rPr>
        <w:t xml:space="preserve"> por año</w:t>
      </w:r>
      <w:r w:rsidR="00C322FD">
        <w:rPr>
          <w:rFonts w:asciiTheme="minorHAnsi" w:hAnsiTheme="minorHAnsi" w:cstheme="minorHAnsi"/>
          <w:bCs/>
          <w:color w:val="000000"/>
          <w:sz w:val="22"/>
        </w:rPr>
        <w:t>, desde el año 2015 en adelante</w:t>
      </w:r>
      <w:r>
        <w:rPr>
          <w:rFonts w:asciiTheme="minorHAnsi" w:hAnsiTheme="minorHAnsi" w:cstheme="minorHAnsi"/>
          <w:bCs/>
          <w:color w:val="000000"/>
          <w:sz w:val="22"/>
        </w:rPr>
        <w:t>.</w:t>
      </w:r>
    </w:p>
    <w:p w:rsidR="00FB618D" w:rsidRDefault="00FB618D" w:rsidP="00C00203">
      <w:pPr>
        <w:jc w:val="both"/>
        <w:rPr>
          <w:rFonts w:asciiTheme="minorHAnsi" w:hAnsiTheme="minorHAnsi" w:cstheme="minorHAnsi"/>
          <w:bCs/>
          <w:sz w:val="22"/>
          <w:szCs w:val="22"/>
        </w:rPr>
      </w:pPr>
    </w:p>
    <w:p w:rsidR="00C32BD2" w:rsidRDefault="00C32BD2" w:rsidP="00C32BD2">
      <w:pPr>
        <w:rPr>
          <w:rFonts w:asciiTheme="minorHAnsi" w:hAnsiTheme="minorHAnsi" w:cstheme="minorHAnsi"/>
          <w:bCs/>
          <w:color w:val="000000"/>
          <w:sz w:val="22"/>
        </w:rPr>
      </w:pPr>
      <w:r w:rsidRPr="009C76DB">
        <w:rPr>
          <w:rFonts w:asciiTheme="minorHAnsi" w:hAnsiTheme="minorHAnsi" w:cstheme="minorHAnsi"/>
          <w:bCs/>
          <w:color w:val="000000"/>
          <w:sz w:val="22"/>
        </w:rPr>
        <w:t xml:space="preserve">Tabla </w:t>
      </w:r>
      <w:r w:rsidR="00C322FD">
        <w:rPr>
          <w:rFonts w:asciiTheme="minorHAnsi" w:hAnsiTheme="minorHAnsi" w:cstheme="minorHAnsi"/>
          <w:bCs/>
          <w:color w:val="000000"/>
          <w:sz w:val="22"/>
        </w:rPr>
        <w:t>4.1</w:t>
      </w:r>
      <w:r w:rsidR="00A67DE4">
        <w:rPr>
          <w:rFonts w:asciiTheme="minorHAnsi" w:hAnsiTheme="minorHAnsi" w:cstheme="minorHAnsi"/>
          <w:bCs/>
          <w:color w:val="000000"/>
          <w:sz w:val="22"/>
        </w:rPr>
        <w:t>1</w:t>
      </w:r>
      <w:r w:rsidRPr="009C76DB">
        <w:rPr>
          <w:rFonts w:asciiTheme="minorHAnsi" w:hAnsiTheme="minorHAnsi" w:cstheme="minorHAnsi"/>
          <w:bCs/>
          <w:color w:val="000000"/>
          <w:sz w:val="22"/>
        </w:rPr>
        <w:t xml:space="preserve">: Capacidad anual </w:t>
      </w:r>
      <w:r>
        <w:rPr>
          <w:rFonts w:asciiTheme="minorHAnsi" w:hAnsiTheme="minorHAnsi" w:cstheme="minorHAnsi"/>
          <w:bCs/>
          <w:color w:val="000000"/>
          <w:sz w:val="22"/>
        </w:rPr>
        <w:t xml:space="preserve">estudios de </w:t>
      </w:r>
      <w:r w:rsidR="009534E1">
        <w:rPr>
          <w:rFonts w:asciiTheme="minorHAnsi" w:hAnsiTheme="minorHAnsi" w:cstheme="minorHAnsi"/>
          <w:bCs/>
          <w:color w:val="000000"/>
          <w:sz w:val="22"/>
        </w:rPr>
        <w:t>tomografía</w:t>
      </w:r>
    </w:p>
    <w:tbl>
      <w:tblPr>
        <w:tblStyle w:val="LightShading-Accent3"/>
        <w:tblW w:w="8838" w:type="dxa"/>
        <w:tblLook w:val="04A0" w:firstRow="1" w:lastRow="0" w:firstColumn="1" w:lastColumn="0" w:noHBand="0" w:noVBand="1"/>
      </w:tblPr>
      <w:tblGrid>
        <w:gridCol w:w="1346"/>
        <w:gridCol w:w="2342"/>
        <w:gridCol w:w="1287"/>
        <w:gridCol w:w="1537"/>
        <w:gridCol w:w="1306"/>
        <w:gridCol w:w="1169"/>
      </w:tblGrid>
      <w:tr w:rsidR="009534E1" w:rsidRPr="009534E1" w:rsidTr="009534E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46" w:type="dxa"/>
            <w:noWrap/>
            <w:vAlign w:val="center"/>
            <w:hideMark/>
          </w:tcPr>
          <w:p w:rsidR="009534E1" w:rsidRPr="009534E1" w:rsidRDefault="009534E1" w:rsidP="009534E1">
            <w:pPr>
              <w:jc w:val="center"/>
              <w:rPr>
                <w:rFonts w:ascii="Calibri" w:hAnsi="Calibri"/>
                <w:color w:val="000000"/>
                <w:sz w:val="20"/>
                <w:szCs w:val="22"/>
              </w:rPr>
            </w:pPr>
            <w:r w:rsidRPr="009534E1">
              <w:rPr>
                <w:rFonts w:ascii="Calibri" w:hAnsi="Calibri"/>
                <w:color w:val="000000"/>
                <w:sz w:val="20"/>
                <w:szCs w:val="22"/>
              </w:rPr>
              <w:t>Año</w:t>
            </w:r>
          </w:p>
        </w:tc>
        <w:tc>
          <w:tcPr>
            <w:tcW w:w="2342" w:type="dxa"/>
            <w:noWrap/>
            <w:vAlign w:val="center"/>
            <w:hideMark/>
          </w:tcPr>
          <w:p w:rsidR="009534E1" w:rsidRPr="009534E1" w:rsidRDefault="009534E1" w:rsidP="009534E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 xml:space="preserve">Nº de </w:t>
            </w:r>
            <w:r>
              <w:rPr>
                <w:rFonts w:ascii="Calibri" w:hAnsi="Calibri"/>
                <w:color w:val="000000"/>
                <w:sz w:val="20"/>
                <w:szCs w:val="22"/>
              </w:rPr>
              <w:t>equipos</w:t>
            </w:r>
          </w:p>
        </w:tc>
        <w:tc>
          <w:tcPr>
            <w:tcW w:w="1287" w:type="dxa"/>
            <w:noWrap/>
            <w:vAlign w:val="center"/>
            <w:hideMark/>
          </w:tcPr>
          <w:p w:rsidR="009534E1" w:rsidRPr="009534E1" w:rsidRDefault="009534E1" w:rsidP="009534E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Tiempo por estudio (horas)</w:t>
            </w:r>
          </w:p>
        </w:tc>
        <w:tc>
          <w:tcPr>
            <w:tcW w:w="1388" w:type="dxa"/>
            <w:noWrap/>
            <w:vAlign w:val="center"/>
            <w:hideMark/>
          </w:tcPr>
          <w:p w:rsidR="009534E1" w:rsidRPr="009534E1" w:rsidRDefault="009534E1" w:rsidP="009534E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Horas de funcionamiento diario</w:t>
            </w:r>
          </w:p>
        </w:tc>
        <w:tc>
          <w:tcPr>
            <w:tcW w:w="1306" w:type="dxa"/>
            <w:noWrap/>
            <w:vAlign w:val="center"/>
            <w:hideMark/>
          </w:tcPr>
          <w:p w:rsidR="009534E1" w:rsidRPr="009534E1" w:rsidRDefault="009534E1" w:rsidP="009534E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Días laborables</w:t>
            </w:r>
          </w:p>
        </w:tc>
        <w:tc>
          <w:tcPr>
            <w:tcW w:w="1169" w:type="dxa"/>
            <w:noWrap/>
            <w:vAlign w:val="center"/>
            <w:hideMark/>
          </w:tcPr>
          <w:p w:rsidR="009534E1" w:rsidRPr="009534E1" w:rsidRDefault="009534E1" w:rsidP="009534E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Total estudio /año</w:t>
            </w:r>
          </w:p>
        </w:tc>
      </w:tr>
      <w:tr w:rsidR="009534E1" w:rsidRPr="009534E1" w:rsidTr="009534E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46" w:type="dxa"/>
            <w:noWrap/>
            <w:vAlign w:val="center"/>
            <w:hideMark/>
          </w:tcPr>
          <w:p w:rsidR="009534E1" w:rsidRPr="009534E1" w:rsidRDefault="009534E1" w:rsidP="009534E1">
            <w:pPr>
              <w:jc w:val="center"/>
              <w:rPr>
                <w:rFonts w:ascii="Calibri" w:hAnsi="Calibri"/>
                <w:color w:val="000000"/>
                <w:sz w:val="20"/>
                <w:szCs w:val="22"/>
              </w:rPr>
            </w:pPr>
            <w:r w:rsidRPr="009534E1">
              <w:rPr>
                <w:rFonts w:ascii="Calibri" w:hAnsi="Calibri"/>
                <w:color w:val="000000"/>
                <w:sz w:val="20"/>
                <w:szCs w:val="22"/>
              </w:rPr>
              <w:t>2013</w:t>
            </w:r>
          </w:p>
        </w:tc>
        <w:tc>
          <w:tcPr>
            <w:tcW w:w="2342" w:type="dxa"/>
            <w:noWrap/>
            <w:vAlign w:val="center"/>
            <w:hideMark/>
          </w:tcPr>
          <w:p w:rsidR="009534E1" w:rsidRPr="009534E1" w:rsidRDefault="009534E1" w:rsidP="009534E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1</w:t>
            </w:r>
          </w:p>
        </w:tc>
        <w:tc>
          <w:tcPr>
            <w:tcW w:w="1287" w:type="dxa"/>
            <w:noWrap/>
            <w:vAlign w:val="center"/>
            <w:hideMark/>
          </w:tcPr>
          <w:p w:rsidR="009534E1" w:rsidRPr="009534E1" w:rsidRDefault="009534E1" w:rsidP="009534E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0,2500</w:t>
            </w:r>
          </w:p>
        </w:tc>
        <w:tc>
          <w:tcPr>
            <w:tcW w:w="1388" w:type="dxa"/>
            <w:noWrap/>
            <w:vAlign w:val="center"/>
            <w:hideMark/>
          </w:tcPr>
          <w:p w:rsidR="009534E1" w:rsidRPr="009534E1" w:rsidRDefault="009534E1" w:rsidP="009534E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12</w:t>
            </w:r>
          </w:p>
        </w:tc>
        <w:tc>
          <w:tcPr>
            <w:tcW w:w="1306" w:type="dxa"/>
            <w:noWrap/>
            <w:vAlign w:val="center"/>
            <w:hideMark/>
          </w:tcPr>
          <w:p w:rsidR="009534E1" w:rsidRPr="009534E1" w:rsidRDefault="009534E1" w:rsidP="009534E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365</w:t>
            </w:r>
          </w:p>
        </w:tc>
        <w:tc>
          <w:tcPr>
            <w:tcW w:w="1169" w:type="dxa"/>
            <w:noWrap/>
            <w:vAlign w:val="center"/>
            <w:hideMark/>
          </w:tcPr>
          <w:p w:rsidR="009534E1" w:rsidRPr="009534E1" w:rsidRDefault="009534E1" w:rsidP="009534E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14.892</w:t>
            </w:r>
          </w:p>
        </w:tc>
      </w:tr>
      <w:tr w:rsidR="009534E1" w:rsidRPr="009534E1" w:rsidTr="009534E1">
        <w:trPr>
          <w:trHeight w:val="170"/>
        </w:trPr>
        <w:tc>
          <w:tcPr>
            <w:cnfStyle w:val="001000000000" w:firstRow="0" w:lastRow="0" w:firstColumn="1" w:lastColumn="0" w:oddVBand="0" w:evenVBand="0" w:oddHBand="0" w:evenHBand="0" w:firstRowFirstColumn="0" w:firstRowLastColumn="0" w:lastRowFirstColumn="0" w:lastRowLastColumn="0"/>
            <w:tcW w:w="1346" w:type="dxa"/>
            <w:noWrap/>
            <w:vAlign w:val="center"/>
            <w:hideMark/>
          </w:tcPr>
          <w:p w:rsidR="009534E1" w:rsidRPr="009534E1" w:rsidRDefault="009534E1" w:rsidP="009534E1">
            <w:pPr>
              <w:jc w:val="center"/>
              <w:rPr>
                <w:rFonts w:ascii="Calibri" w:hAnsi="Calibri"/>
                <w:color w:val="000000"/>
                <w:sz w:val="20"/>
                <w:szCs w:val="22"/>
              </w:rPr>
            </w:pPr>
            <w:r w:rsidRPr="009534E1">
              <w:rPr>
                <w:rFonts w:ascii="Calibri" w:hAnsi="Calibri"/>
                <w:color w:val="000000"/>
                <w:sz w:val="20"/>
                <w:szCs w:val="22"/>
              </w:rPr>
              <w:t>2015</w:t>
            </w:r>
          </w:p>
        </w:tc>
        <w:tc>
          <w:tcPr>
            <w:tcW w:w="2342" w:type="dxa"/>
            <w:noWrap/>
            <w:vAlign w:val="center"/>
            <w:hideMark/>
          </w:tcPr>
          <w:p w:rsidR="009534E1" w:rsidRPr="009534E1" w:rsidRDefault="009534E1" w:rsidP="009534E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2</w:t>
            </w:r>
          </w:p>
        </w:tc>
        <w:tc>
          <w:tcPr>
            <w:tcW w:w="1287" w:type="dxa"/>
            <w:noWrap/>
            <w:vAlign w:val="center"/>
            <w:hideMark/>
          </w:tcPr>
          <w:p w:rsidR="009534E1" w:rsidRPr="009534E1" w:rsidRDefault="009534E1" w:rsidP="009534E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0,2500</w:t>
            </w:r>
          </w:p>
        </w:tc>
        <w:tc>
          <w:tcPr>
            <w:tcW w:w="1388" w:type="dxa"/>
            <w:noWrap/>
            <w:vAlign w:val="center"/>
            <w:hideMark/>
          </w:tcPr>
          <w:p w:rsidR="009534E1" w:rsidRPr="009534E1" w:rsidRDefault="009534E1" w:rsidP="009534E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12</w:t>
            </w:r>
          </w:p>
        </w:tc>
        <w:tc>
          <w:tcPr>
            <w:tcW w:w="1306" w:type="dxa"/>
            <w:noWrap/>
            <w:vAlign w:val="center"/>
            <w:hideMark/>
          </w:tcPr>
          <w:p w:rsidR="009534E1" w:rsidRPr="009534E1" w:rsidRDefault="009534E1" w:rsidP="009534E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365</w:t>
            </w:r>
          </w:p>
        </w:tc>
        <w:tc>
          <w:tcPr>
            <w:tcW w:w="1169" w:type="dxa"/>
            <w:noWrap/>
            <w:vAlign w:val="center"/>
            <w:hideMark/>
          </w:tcPr>
          <w:p w:rsidR="009534E1" w:rsidRPr="009534E1" w:rsidRDefault="009534E1" w:rsidP="009534E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29.784</w:t>
            </w:r>
          </w:p>
        </w:tc>
      </w:tr>
    </w:tbl>
    <w:p w:rsidR="00486F8E" w:rsidRPr="00B902DA" w:rsidRDefault="00486F8E" w:rsidP="00486F8E">
      <w:pPr>
        <w:rPr>
          <w:rFonts w:asciiTheme="minorHAnsi" w:hAnsiTheme="minorHAnsi" w:cstheme="minorHAnsi"/>
          <w:bCs/>
          <w:sz w:val="18"/>
          <w:szCs w:val="18"/>
        </w:rPr>
      </w:pPr>
      <w:r w:rsidRPr="00B902DA">
        <w:rPr>
          <w:rFonts w:asciiTheme="minorHAnsi" w:hAnsiTheme="minorHAnsi" w:cstheme="minorHAnsi"/>
          <w:bCs/>
          <w:sz w:val="18"/>
          <w:szCs w:val="18"/>
        </w:rPr>
        <w:t>Fuente: Elaboración propia.</w:t>
      </w:r>
    </w:p>
    <w:p w:rsidR="00C00203" w:rsidRDefault="00C00203" w:rsidP="00C00203">
      <w:pPr>
        <w:rPr>
          <w:rFonts w:asciiTheme="minorHAnsi" w:hAnsiTheme="minorHAnsi" w:cstheme="minorHAnsi"/>
          <w:bCs/>
          <w:sz w:val="22"/>
          <w:szCs w:val="22"/>
        </w:rPr>
      </w:pPr>
    </w:p>
    <w:p w:rsidR="00486F8E" w:rsidRDefault="00486F8E" w:rsidP="00C00203">
      <w:pPr>
        <w:rPr>
          <w:rFonts w:asciiTheme="minorHAnsi" w:hAnsiTheme="minorHAnsi" w:cstheme="minorHAnsi"/>
          <w:bCs/>
          <w:sz w:val="22"/>
          <w:szCs w:val="22"/>
        </w:rPr>
      </w:pPr>
    </w:p>
    <w:p w:rsidR="00AB7175" w:rsidRPr="003417F3" w:rsidRDefault="005352F3" w:rsidP="008A366B">
      <w:pPr>
        <w:pStyle w:val="Heading2"/>
        <w:numPr>
          <w:ilvl w:val="1"/>
          <w:numId w:val="1"/>
        </w:numPr>
        <w:rPr>
          <w:rFonts w:asciiTheme="minorHAnsi" w:hAnsiTheme="minorHAnsi"/>
          <w:szCs w:val="22"/>
        </w:rPr>
      </w:pPr>
      <w:bookmarkStart w:id="68" w:name="_Toc373093532"/>
      <w:r w:rsidRPr="003417F3">
        <w:rPr>
          <w:rFonts w:asciiTheme="minorHAnsi" w:hAnsiTheme="minorHAnsi"/>
          <w:lang w:val="es-ES_tradnl"/>
        </w:rPr>
        <w:lastRenderedPageBreak/>
        <w:t>Mamógrafo</w:t>
      </w:r>
      <w:bookmarkEnd w:id="68"/>
    </w:p>
    <w:p w:rsidR="003441B1" w:rsidRDefault="003441B1" w:rsidP="00C00203">
      <w:pPr>
        <w:rPr>
          <w:rFonts w:asciiTheme="minorHAnsi" w:hAnsiTheme="minorHAnsi" w:cstheme="minorHAnsi"/>
          <w:bCs/>
          <w:sz w:val="22"/>
          <w:szCs w:val="22"/>
        </w:rPr>
      </w:pPr>
    </w:p>
    <w:p w:rsidR="00060D5B" w:rsidRDefault="00060D5B" w:rsidP="00060D5B">
      <w:pPr>
        <w:jc w:val="both"/>
        <w:rPr>
          <w:rFonts w:asciiTheme="minorHAnsi" w:hAnsiTheme="minorHAnsi" w:cstheme="minorHAnsi"/>
          <w:bCs/>
          <w:color w:val="000000"/>
          <w:sz w:val="22"/>
        </w:rPr>
      </w:pPr>
      <w:r>
        <w:rPr>
          <w:rFonts w:asciiTheme="minorHAnsi" w:hAnsiTheme="minorHAnsi" w:cstheme="minorHAnsi"/>
          <w:bCs/>
          <w:color w:val="000000"/>
          <w:sz w:val="22"/>
        </w:rPr>
        <w:t xml:space="preserve">Actualmente los establecimientos de referencia </w:t>
      </w:r>
      <w:r w:rsidR="00624482">
        <w:rPr>
          <w:rFonts w:asciiTheme="minorHAnsi" w:hAnsiTheme="minorHAnsi" w:cstheme="minorHAnsi"/>
          <w:bCs/>
          <w:color w:val="000000"/>
          <w:sz w:val="22"/>
        </w:rPr>
        <w:t xml:space="preserve">no </w:t>
      </w:r>
      <w:r>
        <w:rPr>
          <w:rFonts w:asciiTheme="minorHAnsi" w:hAnsiTheme="minorHAnsi" w:cstheme="minorHAnsi"/>
          <w:bCs/>
          <w:color w:val="000000"/>
          <w:sz w:val="22"/>
        </w:rPr>
        <w:t xml:space="preserve">cuentan al año 2013 con </w:t>
      </w:r>
      <w:r w:rsidR="005352F3">
        <w:rPr>
          <w:rFonts w:asciiTheme="minorHAnsi" w:hAnsiTheme="minorHAnsi" w:cstheme="minorHAnsi"/>
          <w:bCs/>
          <w:color w:val="000000"/>
          <w:sz w:val="22"/>
        </w:rPr>
        <w:t>mamógrafo</w:t>
      </w:r>
      <w:r>
        <w:rPr>
          <w:rFonts w:asciiTheme="minorHAnsi" w:hAnsiTheme="minorHAnsi" w:cstheme="minorHAnsi"/>
          <w:bCs/>
          <w:color w:val="000000"/>
          <w:sz w:val="22"/>
        </w:rPr>
        <w:t>, con la puesta en marcha del Hospital El Alto Norte se sumara uno</w:t>
      </w:r>
      <w:r w:rsidR="00E75AB0">
        <w:rPr>
          <w:rFonts w:asciiTheme="minorHAnsi" w:hAnsiTheme="minorHAnsi" w:cstheme="minorHAnsi"/>
          <w:bCs/>
          <w:color w:val="000000"/>
          <w:sz w:val="22"/>
        </w:rPr>
        <w:t xml:space="preserve"> en el </w:t>
      </w:r>
      <w:r>
        <w:rPr>
          <w:rFonts w:asciiTheme="minorHAnsi" w:hAnsiTheme="minorHAnsi" w:cstheme="minorHAnsi"/>
          <w:bCs/>
          <w:color w:val="000000"/>
          <w:sz w:val="22"/>
        </w:rPr>
        <w:t xml:space="preserve">año 2015. Se ha  supuesto un tiempo de operación de </w:t>
      </w:r>
      <w:r w:rsidR="009534E1">
        <w:rPr>
          <w:rFonts w:asciiTheme="minorHAnsi" w:hAnsiTheme="minorHAnsi" w:cstheme="minorHAnsi"/>
          <w:bCs/>
          <w:color w:val="000000"/>
          <w:sz w:val="22"/>
        </w:rPr>
        <w:t>12</w:t>
      </w:r>
      <w:r>
        <w:rPr>
          <w:rFonts w:asciiTheme="minorHAnsi" w:hAnsiTheme="minorHAnsi" w:cstheme="minorHAnsi"/>
          <w:bCs/>
          <w:color w:val="000000"/>
          <w:sz w:val="22"/>
        </w:rPr>
        <w:t xml:space="preserve"> horas al día, por 250 días laborables El tiempo por estudio se estima en </w:t>
      </w:r>
      <w:r w:rsidR="00E75AB0">
        <w:rPr>
          <w:rFonts w:asciiTheme="minorHAnsi" w:hAnsiTheme="minorHAnsi" w:cstheme="minorHAnsi"/>
          <w:bCs/>
          <w:color w:val="000000"/>
          <w:sz w:val="22"/>
        </w:rPr>
        <w:t>20</w:t>
      </w:r>
      <w:r>
        <w:rPr>
          <w:rFonts w:asciiTheme="minorHAnsi" w:hAnsiTheme="minorHAnsi" w:cstheme="minorHAnsi"/>
          <w:bCs/>
          <w:color w:val="000000"/>
          <w:sz w:val="22"/>
        </w:rPr>
        <w:t xml:space="preserve"> minutos,</w:t>
      </w:r>
      <w:r w:rsidR="00466A34">
        <w:rPr>
          <w:rStyle w:val="FootnoteReference"/>
          <w:rFonts w:asciiTheme="minorHAnsi" w:hAnsiTheme="minorHAnsi" w:cstheme="minorHAnsi"/>
          <w:bCs/>
          <w:color w:val="000000"/>
          <w:sz w:val="22"/>
        </w:rPr>
        <w:footnoteReference w:id="59"/>
      </w:r>
      <w:r>
        <w:rPr>
          <w:rFonts w:asciiTheme="minorHAnsi" w:hAnsiTheme="minorHAnsi" w:cstheme="minorHAnsi"/>
          <w:bCs/>
          <w:color w:val="000000"/>
          <w:sz w:val="22"/>
        </w:rPr>
        <w:t xml:space="preserve"> lo cual aplicando un factor de ajuste de 85% nos da una oferta potencial de estudios de </w:t>
      </w:r>
      <w:r w:rsidR="00E75AB0">
        <w:rPr>
          <w:rFonts w:asciiTheme="minorHAnsi" w:hAnsiTheme="minorHAnsi" w:cstheme="minorHAnsi"/>
          <w:bCs/>
          <w:color w:val="000000"/>
          <w:sz w:val="22"/>
        </w:rPr>
        <w:t>mamografías</w:t>
      </w:r>
      <w:r>
        <w:rPr>
          <w:rFonts w:asciiTheme="minorHAnsi" w:hAnsiTheme="minorHAnsi" w:cstheme="minorHAnsi"/>
          <w:bCs/>
          <w:color w:val="000000"/>
          <w:sz w:val="22"/>
        </w:rPr>
        <w:t xml:space="preserve"> de </w:t>
      </w:r>
      <w:r w:rsidR="009534E1">
        <w:rPr>
          <w:rFonts w:asciiTheme="minorHAnsi" w:hAnsiTheme="minorHAnsi" w:cstheme="minorHAnsi"/>
          <w:bCs/>
          <w:color w:val="000000"/>
          <w:sz w:val="22"/>
        </w:rPr>
        <w:t>7</w:t>
      </w:r>
      <w:r>
        <w:rPr>
          <w:rFonts w:asciiTheme="minorHAnsi" w:hAnsiTheme="minorHAnsi" w:cstheme="minorHAnsi"/>
          <w:bCs/>
          <w:color w:val="000000"/>
          <w:sz w:val="22"/>
        </w:rPr>
        <w:t>.</w:t>
      </w:r>
      <w:r w:rsidR="009534E1">
        <w:rPr>
          <w:rFonts w:asciiTheme="minorHAnsi" w:hAnsiTheme="minorHAnsi" w:cstheme="minorHAnsi"/>
          <w:bCs/>
          <w:color w:val="000000"/>
          <w:sz w:val="22"/>
        </w:rPr>
        <w:t>650</w:t>
      </w:r>
      <w:r>
        <w:rPr>
          <w:rFonts w:asciiTheme="minorHAnsi" w:hAnsiTheme="minorHAnsi" w:cstheme="minorHAnsi"/>
          <w:bCs/>
          <w:color w:val="000000"/>
          <w:sz w:val="22"/>
        </w:rPr>
        <w:t xml:space="preserve"> por año.</w:t>
      </w:r>
    </w:p>
    <w:p w:rsidR="00C32BD2" w:rsidRDefault="00C32BD2" w:rsidP="00C32BD2">
      <w:pPr>
        <w:rPr>
          <w:rFonts w:asciiTheme="minorHAnsi" w:hAnsiTheme="minorHAnsi" w:cstheme="minorHAnsi"/>
          <w:bCs/>
          <w:color w:val="000000"/>
          <w:sz w:val="22"/>
        </w:rPr>
      </w:pPr>
    </w:p>
    <w:p w:rsidR="00466A34" w:rsidRDefault="00466A34" w:rsidP="00C32BD2">
      <w:pPr>
        <w:rPr>
          <w:rFonts w:asciiTheme="minorHAnsi" w:hAnsiTheme="minorHAnsi" w:cstheme="minorHAnsi"/>
          <w:bCs/>
          <w:color w:val="000000"/>
          <w:sz w:val="22"/>
        </w:rPr>
      </w:pPr>
    </w:p>
    <w:p w:rsidR="00C32BD2" w:rsidRDefault="00C32BD2" w:rsidP="00C32BD2">
      <w:pPr>
        <w:rPr>
          <w:rFonts w:asciiTheme="minorHAnsi" w:hAnsiTheme="minorHAnsi" w:cstheme="minorHAnsi"/>
          <w:bCs/>
          <w:color w:val="000000"/>
          <w:sz w:val="22"/>
        </w:rPr>
      </w:pPr>
      <w:r w:rsidRPr="009C76DB">
        <w:rPr>
          <w:rFonts w:asciiTheme="minorHAnsi" w:hAnsiTheme="minorHAnsi" w:cstheme="minorHAnsi"/>
          <w:bCs/>
          <w:color w:val="000000"/>
          <w:sz w:val="22"/>
        </w:rPr>
        <w:t xml:space="preserve">Tabla </w:t>
      </w:r>
      <w:r w:rsidR="00C322FD">
        <w:rPr>
          <w:rFonts w:asciiTheme="minorHAnsi" w:hAnsiTheme="minorHAnsi" w:cstheme="minorHAnsi"/>
          <w:bCs/>
          <w:color w:val="000000"/>
          <w:sz w:val="22"/>
        </w:rPr>
        <w:t>4.1</w:t>
      </w:r>
      <w:r w:rsidR="00A67DE4">
        <w:rPr>
          <w:rFonts w:asciiTheme="minorHAnsi" w:hAnsiTheme="minorHAnsi" w:cstheme="minorHAnsi"/>
          <w:bCs/>
          <w:color w:val="000000"/>
          <w:sz w:val="22"/>
        </w:rPr>
        <w:t>2</w:t>
      </w:r>
      <w:r w:rsidRPr="009C76DB">
        <w:rPr>
          <w:rFonts w:asciiTheme="minorHAnsi" w:hAnsiTheme="minorHAnsi" w:cstheme="minorHAnsi"/>
          <w:bCs/>
          <w:color w:val="000000"/>
          <w:sz w:val="22"/>
        </w:rPr>
        <w:t xml:space="preserve">: Capacidad anual </w:t>
      </w:r>
      <w:r>
        <w:rPr>
          <w:rFonts w:asciiTheme="minorHAnsi" w:hAnsiTheme="minorHAnsi" w:cstheme="minorHAnsi"/>
          <w:bCs/>
          <w:color w:val="000000"/>
          <w:sz w:val="22"/>
        </w:rPr>
        <w:t xml:space="preserve">estudios de </w:t>
      </w:r>
      <w:r w:rsidR="009534E1">
        <w:rPr>
          <w:rFonts w:asciiTheme="minorHAnsi" w:hAnsiTheme="minorHAnsi" w:cstheme="minorHAnsi"/>
          <w:bCs/>
          <w:color w:val="000000"/>
          <w:sz w:val="22"/>
        </w:rPr>
        <w:t>mamografía</w:t>
      </w:r>
    </w:p>
    <w:tbl>
      <w:tblPr>
        <w:tblStyle w:val="LightShading-Accent3"/>
        <w:tblW w:w="7704" w:type="dxa"/>
        <w:tblLook w:val="04A0" w:firstRow="1" w:lastRow="0" w:firstColumn="1" w:lastColumn="0" w:noHBand="0" w:noVBand="1"/>
      </w:tblPr>
      <w:tblGrid>
        <w:gridCol w:w="1376"/>
        <w:gridCol w:w="2396"/>
        <w:gridCol w:w="1537"/>
        <w:gridCol w:w="1176"/>
        <w:gridCol w:w="1336"/>
      </w:tblGrid>
      <w:tr w:rsidR="009534E1" w:rsidRPr="009534E1" w:rsidTr="00C322F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76" w:type="dxa"/>
            <w:noWrap/>
            <w:vAlign w:val="center"/>
            <w:hideMark/>
          </w:tcPr>
          <w:p w:rsidR="009534E1" w:rsidRPr="009534E1" w:rsidRDefault="009534E1" w:rsidP="00C322FD">
            <w:pPr>
              <w:jc w:val="center"/>
              <w:rPr>
                <w:rFonts w:ascii="Calibri" w:hAnsi="Calibri"/>
                <w:color w:val="000000"/>
                <w:sz w:val="20"/>
                <w:szCs w:val="22"/>
              </w:rPr>
            </w:pPr>
            <w:r w:rsidRPr="009534E1">
              <w:rPr>
                <w:rFonts w:ascii="Calibri" w:hAnsi="Calibri"/>
                <w:color w:val="000000"/>
                <w:sz w:val="20"/>
                <w:szCs w:val="22"/>
              </w:rPr>
              <w:t>Nº de maquinas</w:t>
            </w:r>
          </w:p>
        </w:tc>
        <w:tc>
          <w:tcPr>
            <w:tcW w:w="2396" w:type="dxa"/>
            <w:noWrap/>
            <w:vAlign w:val="center"/>
            <w:hideMark/>
          </w:tcPr>
          <w:p w:rsidR="009534E1" w:rsidRPr="009534E1" w:rsidRDefault="009534E1"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Tiempo por servicio (horas)</w:t>
            </w:r>
          </w:p>
        </w:tc>
        <w:tc>
          <w:tcPr>
            <w:tcW w:w="1420" w:type="dxa"/>
            <w:noWrap/>
            <w:vAlign w:val="center"/>
            <w:hideMark/>
          </w:tcPr>
          <w:p w:rsidR="009534E1" w:rsidRPr="009534E1" w:rsidRDefault="009534E1"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Horas de funcionamiento diario</w:t>
            </w:r>
          </w:p>
        </w:tc>
        <w:tc>
          <w:tcPr>
            <w:tcW w:w="1176" w:type="dxa"/>
            <w:noWrap/>
            <w:vAlign w:val="center"/>
            <w:hideMark/>
          </w:tcPr>
          <w:p w:rsidR="009534E1" w:rsidRPr="009534E1" w:rsidRDefault="009534E1"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Días laborables</w:t>
            </w:r>
          </w:p>
        </w:tc>
        <w:tc>
          <w:tcPr>
            <w:tcW w:w="1336" w:type="dxa"/>
            <w:noWrap/>
            <w:vAlign w:val="center"/>
            <w:hideMark/>
          </w:tcPr>
          <w:p w:rsidR="009534E1" w:rsidRPr="009534E1" w:rsidRDefault="009534E1"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Total servicios /año</w:t>
            </w:r>
          </w:p>
        </w:tc>
      </w:tr>
      <w:tr w:rsidR="009534E1" w:rsidRPr="009534E1" w:rsidTr="00C322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76" w:type="dxa"/>
            <w:noWrap/>
            <w:vAlign w:val="center"/>
            <w:hideMark/>
          </w:tcPr>
          <w:p w:rsidR="009534E1" w:rsidRPr="009534E1" w:rsidRDefault="009534E1" w:rsidP="00C322FD">
            <w:pPr>
              <w:jc w:val="center"/>
              <w:rPr>
                <w:rFonts w:ascii="Calibri" w:hAnsi="Calibri"/>
                <w:color w:val="000000"/>
                <w:sz w:val="20"/>
                <w:szCs w:val="22"/>
              </w:rPr>
            </w:pPr>
            <w:r w:rsidRPr="009534E1">
              <w:rPr>
                <w:rFonts w:ascii="Calibri" w:hAnsi="Calibri"/>
                <w:color w:val="000000"/>
                <w:sz w:val="20"/>
                <w:szCs w:val="22"/>
              </w:rPr>
              <w:t>1</w:t>
            </w:r>
          </w:p>
        </w:tc>
        <w:tc>
          <w:tcPr>
            <w:tcW w:w="2396" w:type="dxa"/>
            <w:noWrap/>
            <w:vAlign w:val="center"/>
            <w:hideMark/>
          </w:tcPr>
          <w:p w:rsidR="009534E1" w:rsidRPr="009534E1" w:rsidRDefault="009534E1"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0,3333</w:t>
            </w:r>
          </w:p>
        </w:tc>
        <w:tc>
          <w:tcPr>
            <w:tcW w:w="1420" w:type="dxa"/>
            <w:noWrap/>
            <w:vAlign w:val="center"/>
            <w:hideMark/>
          </w:tcPr>
          <w:p w:rsidR="009534E1" w:rsidRPr="009534E1" w:rsidRDefault="009534E1"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12</w:t>
            </w:r>
          </w:p>
        </w:tc>
        <w:tc>
          <w:tcPr>
            <w:tcW w:w="1176" w:type="dxa"/>
            <w:noWrap/>
            <w:vAlign w:val="center"/>
            <w:hideMark/>
          </w:tcPr>
          <w:p w:rsidR="009534E1" w:rsidRPr="009534E1" w:rsidRDefault="009534E1"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250</w:t>
            </w:r>
          </w:p>
        </w:tc>
        <w:tc>
          <w:tcPr>
            <w:tcW w:w="1336" w:type="dxa"/>
            <w:noWrap/>
            <w:vAlign w:val="center"/>
            <w:hideMark/>
          </w:tcPr>
          <w:p w:rsidR="009534E1" w:rsidRPr="009534E1" w:rsidRDefault="009534E1"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9534E1">
              <w:rPr>
                <w:rFonts w:ascii="Calibri" w:hAnsi="Calibri"/>
                <w:color w:val="000000"/>
                <w:sz w:val="20"/>
                <w:szCs w:val="22"/>
              </w:rPr>
              <w:t>7.650</w:t>
            </w:r>
          </w:p>
        </w:tc>
      </w:tr>
    </w:tbl>
    <w:p w:rsidR="00486F8E" w:rsidRPr="00B902DA" w:rsidRDefault="00486F8E" w:rsidP="00486F8E">
      <w:pPr>
        <w:rPr>
          <w:rFonts w:asciiTheme="minorHAnsi" w:hAnsiTheme="minorHAnsi" w:cstheme="minorHAnsi"/>
          <w:bCs/>
          <w:sz w:val="18"/>
          <w:szCs w:val="18"/>
        </w:rPr>
      </w:pPr>
      <w:r w:rsidRPr="00B902DA">
        <w:rPr>
          <w:rFonts w:asciiTheme="minorHAnsi" w:hAnsiTheme="minorHAnsi" w:cstheme="minorHAnsi"/>
          <w:bCs/>
          <w:sz w:val="18"/>
          <w:szCs w:val="18"/>
        </w:rPr>
        <w:t>Fuente: Elaboración propia.</w:t>
      </w:r>
    </w:p>
    <w:p w:rsidR="003441B1" w:rsidRDefault="003441B1" w:rsidP="00C00203">
      <w:pPr>
        <w:rPr>
          <w:rFonts w:asciiTheme="minorHAnsi" w:hAnsiTheme="minorHAnsi" w:cstheme="minorHAnsi"/>
          <w:bCs/>
          <w:sz w:val="22"/>
          <w:szCs w:val="22"/>
        </w:rPr>
      </w:pPr>
    </w:p>
    <w:p w:rsidR="003441B1" w:rsidRDefault="003441B1" w:rsidP="00C00203">
      <w:pPr>
        <w:rPr>
          <w:rFonts w:asciiTheme="minorHAnsi" w:hAnsiTheme="minorHAnsi" w:cstheme="minorHAnsi"/>
          <w:bCs/>
          <w:sz w:val="22"/>
          <w:szCs w:val="22"/>
        </w:rPr>
      </w:pPr>
    </w:p>
    <w:p w:rsidR="003441B1" w:rsidRDefault="003441B1" w:rsidP="00C00203">
      <w:pPr>
        <w:rPr>
          <w:rFonts w:asciiTheme="minorHAnsi" w:hAnsiTheme="minorHAnsi" w:cstheme="minorHAnsi"/>
          <w:bCs/>
          <w:sz w:val="22"/>
          <w:szCs w:val="22"/>
        </w:rPr>
      </w:pPr>
    </w:p>
    <w:p w:rsidR="003441B1" w:rsidRPr="003417F3" w:rsidRDefault="003441B1" w:rsidP="008A366B">
      <w:pPr>
        <w:pStyle w:val="Heading2"/>
        <w:numPr>
          <w:ilvl w:val="1"/>
          <w:numId w:val="1"/>
        </w:numPr>
        <w:rPr>
          <w:rFonts w:asciiTheme="minorHAnsi" w:hAnsiTheme="minorHAnsi"/>
          <w:lang w:val="es-ES_tradnl"/>
        </w:rPr>
      </w:pPr>
      <w:bookmarkStart w:id="69" w:name="_Toc373093533"/>
      <w:r w:rsidRPr="003417F3">
        <w:rPr>
          <w:rFonts w:asciiTheme="minorHAnsi" w:hAnsiTheme="minorHAnsi"/>
          <w:lang w:val="es-ES_tradnl"/>
        </w:rPr>
        <w:t>Quimioterapia</w:t>
      </w:r>
      <w:bookmarkEnd w:id="69"/>
    </w:p>
    <w:p w:rsidR="00624482" w:rsidRDefault="00624482" w:rsidP="00624482">
      <w:pPr>
        <w:rPr>
          <w:lang w:val="es-ES_tradnl"/>
        </w:rPr>
      </w:pPr>
    </w:p>
    <w:p w:rsidR="00624482" w:rsidRDefault="00624482" w:rsidP="00624482">
      <w:pPr>
        <w:rPr>
          <w:lang w:val="es-ES_tradnl"/>
        </w:rPr>
      </w:pPr>
    </w:p>
    <w:p w:rsidR="00624482" w:rsidRDefault="00624482" w:rsidP="00624482">
      <w:pPr>
        <w:jc w:val="both"/>
        <w:rPr>
          <w:rFonts w:asciiTheme="minorHAnsi" w:hAnsiTheme="minorHAnsi" w:cstheme="minorHAnsi"/>
          <w:bCs/>
          <w:color w:val="000000"/>
          <w:sz w:val="22"/>
        </w:rPr>
      </w:pPr>
      <w:r>
        <w:rPr>
          <w:rFonts w:asciiTheme="minorHAnsi" w:hAnsiTheme="minorHAnsi" w:cstheme="minorHAnsi"/>
          <w:bCs/>
          <w:color w:val="000000"/>
          <w:sz w:val="22"/>
        </w:rPr>
        <w:t>Actualmente los establecimientos de referencia cuentan al año 2013 con una sala para tratamientos de quimioterapia con cuatro sillones. Se ha  supuesto un tiempo de operación de 12 horas al día, por 250 días laborables El tiempo por tratamiento se asume en 3 horas,</w:t>
      </w:r>
      <w:r w:rsidR="00466A34">
        <w:rPr>
          <w:rStyle w:val="FootnoteReference"/>
          <w:rFonts w:asciiTheme="minorHAnsi" w:hAnsiTheme="minorHAnsi" w:cstheme="minorHAnsi"/>
          <w:bCs/>
          <w:color w:val="000000"/>
          <w:sz w:val="22"/>
        </w:rPr>
        <w:footnoteReference w:id="60"/>
      </w:r>
      <w:r>
        <w:rPr>
          <w:rFonts w:asciiTheme="minorHAnsi" w:hAnsiTheme="minorHAnsi" w:cstheme="minorHAnsi"/>
          <w:bCs/>
          <w:color w:val="000000"/>
          <w:sz w:val="22"/>
        </w:rPr>
        <w:t xml:space="preserve"> lo cual aplicando un factor de ajuste de 85% nos da una oferta potencial de tratamientos de 3.400 por año.</w:t>
      </w:r>
    </w:p>
    <w:p w:rsidR="00624482" w:rsidRDefault="00624482" w:rsidP="00624482">
      <w:pPr>
        <w:rPr>
          <w:lang w:val="es-ES_tradnl"/>
        </w:rPr>
      </w:pPr>
    </w:p>
    <w:p w:rsidR="00C32BD2" w:rsidRDefault="00C32BD2" w:rsidP="00C32BD2">
      <w:pPr>
        <w:rPr>
          <w:rFonts w:asciiTheme="minorHAnsi" w:hAnsiTheme="minorHAnsi" w:cstheme="minorHAnsi"/>
          <w:bCs/>
          <w:color w:val="000000"/>
          <w:sz w:val="22"/>
        </w:rPr>
      </w:pPr>
      <w:r w:rsidRPr="009C76DB">
        <w:rPr>
          <w:rFonts w:asciiTheme="minorHAnsi" w:hAnsiTheme="minorHAnsi" w:cstheme="minorHAnsi"/>
          <w:bCs/>
          <w:color w:val="000000"/>
          <w:sz w:val="22"/>
        </w:rPr>
        <w:t xml:space="preserve">Tabla </w:t>
      </w:r>
      <w:r w:rsidR="00C322FD">
        <w:rPr>
          <w:rFonts w:asciiTheme="minorHAnsi" w:hAnsiTheme="minorHAnsi" w:cstheme="minorHAnsi"/>
          <w:bCs/>
          <w:color w:val="000000"/>
          <w:sz w:val="22"/>
        </w:rPr>
        <w:t>4</w:t>
      </w:r>
      <w:r w:rsidRPr="009C76DB">
        <w:rPr>
          <w:rFonts w:asciiTheme="minorHAnsi" w:hAnsiTheme="minorHAnsi" w:cstheme="minorHAnsi"/>
          <w:bCs/>
          <w:color w:val="000000"/>
          <w:sz w:val="22"/>
        </w:rPr>
        <w:t>.</w:t>
      </w:r>
      <w:r>
        <w:rPr>
          <w:rFonts w:asciiTheme="minorHAnsi" w:hAnsiTheme="minorHAnsi" w:cstheme="minorHAnsi"/>
          <w:bCs/>
          <w:color w:val="000000"/>
          <w:sz w:val="22"/>
        </w:rPr>
        <w:t>1</w:t>
      </w:r>
      <w:r w:rsidR="00A67DE4">
        <w:rPr>
          <w:rFonts w:asciiTheme="minorHAnsi" w:hAnsiTheme="minorHAnsi" w:cstheme="minorHAnsi"/>
          <w:bCs/>
          <w:color w:val="000000"/>
          <w:sz w:val="22"/>
        </w:rPr>
        <w:t>3</w:t>
      </w:r>
      <w:r w:rsidRPr="009C76DB">
        <w:rPr>
          <w:rFonts w:asciiTheme="minorHAnsi" w:hAnsiTheme="minorHAnsi" w:cstheme="minorHAnsi"/>
          <w:bCs/>
          <w:color w:val="000000"/>
          <w:sz w:val="22"/>
        </w:rPr>
        <w:t xml:space="preserve">: Capacidad anual </w:t>
      </w:r>
      <w:r>
        <w:rPr>
          <w:rFonts w:asciiTheme="minorHAnsi" w:hAnsiTheme="minorHAnsi" w:cstheme="minorHAnsi"/>
          <w:bCs/>
          <w:color w:val="000000"/>
          <w:sz w:val="22"/>
        </w:rPr>
        <w:t xml:space="preserve">estudios de </w:t>
      </w:r>
      <w:r w:rsidR="00F828CC">
        <w:rPr>
          <w:rFonts w:asciiTheme="minorHAnsi" w:hAnsiTheme="minorHAnsi" w:cstheme="minorHAnsi"/>
          <w:bCs/>
          <w:color w:val="000000"/>
          <w:sz w:val="22"/>
        </w:rPr>
        <w:t>quimioterapia</w:t>
      </w:r>
    </w:p>
    <w:tbl>
      <w:tblPr>
        <w:tblStyle w:val="LightShading-Accent3"/>
        <w:tblW w:w="9054" w:type="dxa"/>
        <w:tblLook w:val="04A0" w:firstRow="1" w:lastRow="0" w:firstColumn="1" w:lastColumn="0" w:noHBand="0" w:noVBand="1"/>
      </w:tblPr>
      <w:tblGrid>
        <w:gridCol w:w="1219"/>
        <w:gridCol w:w="700"/>
        <w:gridCol w:w="1215"/>
        <w:gridCol w:w="2041"/>
        <w:gridCol w:w="1803"/>
        <w:gridCol w:w="2076"/>
      </w:tblGrid>
      <w:tr w:rsidR="003441B1" w:rsidRPr="009534E1" w:rsidTr="009534E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19" w:type="dxa"/>
            <w:noWrap/>
            <w:vAlign w:val="center"/>
            <w:hideMark/>
          </w:tcPr>
          <w:p w:rsidR="003441B1" w:rsidRPr="009534E1" w:rsidRDefault="003441B1" w:rsidP="009534E1">
            <w:pPr>
              <w:jc w:val="center"/>
              <w:rPr>
                <w:rFonts w:ascii="Calibri" w:hAnsi="Calibri"/>
                <w:color w:val="000000"/>
                <w:sz w:val="20"/>
                <w:szCs w:val="20"/>
              </w:rPr>
            </w:pPr>
            <w:r w:rsidRPr="009534E1">
              <w:rPr>
                <w:rFonts w:ascii="Calibri" w:hAnsi="Calibri"/>
                <w:bCs w:val="0"/>
                <w:color w:val="000000"/>
                <w:sz w:val="20"/>
                <w:szCs w:val="20"/>
              </w:rPr>
              <w:t>Nº de salas</w:t>
            </w:r>
          </w:p>
        </w:tc>
        <w:tc>
          <w:tcPr>
            <w:tcW w:w="700" w:type="dxa"/>
            <w:noWrap/>
            <w:vAlign w:val="center"/>
            <w:hideMark/>
          </w:tcPr>
          <w:p w:rsidR="003441B1" w:rsidRPr="009534E1" w:rsidRDefault="003441B1" w:rsidP="009534E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9534E1">
              <w:rPr>
                <w:rFonts w:ascii="Calibri" w:hAnsi="Calibri"/>
                <w:color w:val="000000"/>
                <w:sz w:val="20"/>
                <w:szCs w:val="20"/>
              </w:rPr>
              <w:t>Días</w:t>
            </w:r>
          </w:p>
        </w:tc>
        <w:tc>
          <w:tcPr>
            <w:tcW w:w="1215" w:type="dxa"/>
            <w:noWrap/>
            <w:vAlign w:val="center"/>
            <w:hideMark/>
          </w:tcPr>
          <w:p w:rsidR="003441B1" w:rsidRPr="009534E1" w:rsidRDefault="003441B1" w:rsidP="009534E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9534E1">
              <w:rPr>
                <w:rFonts w:ascii="Calibri" w:hAnsi="Calibri"/>
                <w:bCs w:val="0"/>
                <w:color w:val="000000"/>
                <w:sz w:val="20"/>
                <w:szCs w:val="20"/>
              </w:rPr>
              <w:t>Nº de sillas</w:t>
            </w:r>
          </w:p>
        </w:tc>
        <w:tc>
          <w:tcPr>
            <w:tcW w:w="2041" w:type="dxa"/>
            <w:noWrap/>
            <w:vAlign w:val="center"/>
            <w:hideMark/>
          </w:tcPr>
          <w:p w:rsidR="003441B1" w:rsidRPr="009534E1" w:rsidRDefault="003441B1" w:rsidP="009534E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9534E1">
              <w:rPr>
                <w:rFonts w:ascii="Calibri" w:hAnsi="Calibri"/>
                <w:bCs w:val="0"/>
                <w:color w:val="000000"/>
                <w:sz w:val="20"/>
                <w:szCs w:val="20"/>
              </w:rPr>
              <w:t>Tiempo promedio por sesión (HRS)</w:t>
            </w:r>
          </w:p>
        </w:tc>
        <w:tc>
          <w:tcPr>
            <w:tcW w:w="1803" w:type="dxa"/>
            <w:noWrap/>
            <w:vAlign w:val="center"/>
            <w:hideMark/>
          </w:tcPr>
          <w:p w:rsidR="003441B1" w:rsidRPr="009534E1" w:rsidRDefault="003441B1" w:rsidP="009534E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9534E1">
              <w:rPr>
                <w:rFonts w:ascii="Calibri" w:hAnsi="Calibri"/>
                <w:bCs w:val="0"/>
                <w:color w:val="000000"/>
                <w:sz w:val="20"/>
                <w:szCs w:val="20"/>
              </w:rPr>
              <w:t>Nª de sesiones día</w:t>
            </w:r>
          </w:p>
        </w:tc>
        <w:tc>
          <w:tcPr>
            <w:tcW w:w="2076" w:type="dxa"/>
            <w:noWrap/>
            <w:vAlign w:val="center"/>
            <w:hideMark/>
          </w:tcPr>
          <w:p w:rsidR="003441B1" w:rsidRPr="009534E1" w:rsidRDefault="003441B1" w:rsidP="009534E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9534E1">
              <w:rPr>
                <w:rFonts w:ascii="Calibri" w:hAnsi="Calibri"/>
                <w:bCs w:val="0"/>
                <w:color w:val="000000"/>
                <w:sz w:val="20"/>
                <w:szCs w:val="20"/>
              </w:rPr>
              <w:t>Capacidad óptima anual (%)</w:t>
            </w:r>
          </w:p>
        </w:tc>
      </w:tr>
      <w:tr w:rsidR="003441B1" w:rsidRPr="00407408" w:rsidTr="009534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19" w:type="dxa"/>
            <w:noWrap/>
            <w:vAlign w:val="center"/>
            <w:hideMark/>
          </w:tcPr>
          <w:p w:rsidR="003441B1" w:rsidRPr="00407408" w:rsidRDefault="003441B1" w:rsidP="009534E1">
            <w:pPr>
              <w:jc w:val="center"/>
              <w:rPr>
                <w:rFonts w:ascii="Calibri" w:hAnsi="Calibri"/>
                <w:color w:val="000000"/>
                <w:sz w:val="20"/>
                <w:szCs w:val="20"/>
              </w:rPr>
            </w:pPr>
            <w:r w:rsidRPr="00407408">
              <w:rPr>
                <w:rFonts w:ascii="Calibri" w:hAnsi="Calibri"/>
                <w:color w:val="000000"/>
                <w:sz w:val="20"/>
                <w:szCs w:val="20"/>
              </w:rPr>
              <w:t>1</w:t>
            </w:r>
          </w:p>
        </w:tc>
        <w:tc>
          <w:tcPr>
            <w:tcW w:w="700" w:type="dxa"/>
            <w:noWrap/>
            <w:vAlign w:val="center"/>
            <w:hideMark/>
          </w:tcPr>
          <w:p w:rsidR="003441B1" w:rsidRPr="00407408" w:rsidRDefault="003441B1" w:rsidP="009534E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07408">
              <w:rPr>
                <w:rFonts w:ascii="Calibri" w:hAnsi="Calibri"/>
                <w:color w:val="000000"/>
                <w:sz w:val="20"/>
                <w:szCs w:val="20"/>
              </w:rPr>
              <w:t>L a V</w:t>
            </w:r>
          </w:p>
        </w:tc>
        <w:tc>
          <w:tcPr>
            <w:tcW w:w="1215" w:type="dxa"/>
            <w:noWrap/>
            <w:vAlign w:val="center"/>
            <w:hideMark/>
          </w:tcPr>
          <w:p w:rsidR="003441B1" w:rsidRPr="00407408" w:rsidRDefault="003441B1" w:rsidP="009534E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07408">
              <w:rPr>
                <w:rFonts w:ascii="Calibri" w:hAnsi="Calibri"/>
                <w:color w:val="000000"/>
                <w:sz w:val="20"/>
                <w:szCs w:val="20"/>
              </w:rPr>
              <w:t>4</w:t>
            </w:r>
          </w:p>
        </w:tc>
        <w:tc>
          <w:tcPr>
            <w:tcW w:w="2041" w:type="dxa"/>
            <w:noWrap/>
            <w:vAlign w:val="center"/>
            <w:hideMark/>
          </w:tcPr>
          <w:p w:rsidR="003441B1" w:rsidRPr="00407408" w:rsidRDefault="003441B1" w:rsidP="009534E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07408">
              <w:rPr>
                <w:rFonts w:ascii="Calibri" w:hAnsi="Calibri"/>
                <w:color w:val="000000"/>
                <w:sz w:val="20"/>
                <w:szCs w:val="20"/>
              </w:rPr>
              <w:t>3</w:t>
            </w:r>
          </w:p>
        </w:tc>
        <w:tc>
          <w:tcPr>
            <w:tcW w:w="1803" w:type="dxa"/>
            <w:noWrap/>
            <w:vAlign w:val="center"/>
            <w:hideMark/>
          </w:tcPr>
          <w:p w:rsidR="003441B1" w:rsidRPr="00407408" w:rsidRDefault="003441B1" w:rsidP="009534E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07408">
              <w:rPr>
                <w:rFonts w:ascii="Calibri" w:hAnsi="Calibri"/>
                <w:color w:val="000000"/>
                <w:sz w:val="20"/>
                <w:szCs w:val="20"/>
              </w:rPr>
              <w:t>16</w:t>
            </w:r>
          </w:p>
        </w:tc>
        <w:tc>
          <w:tcPr>
            <w:tcW w:w="2076" w:type="dxa"/>
            <w:noWrap/>
            <w:vAlign w:val="center"/>
            <w:hideMark/>
          </w:tcPr>
          <w:p w:rsidR="003441B1" w:rsidRPr="00407408" w:rsidRDefault="003441B1" w:rsidP="009534E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07408">
              <w:rPr>
                <w:rFonts w:ascii="Calibri" w:hAnsi="Calibri"/>
                <w:color w:val="000000"/>
                <w:sz w:val="20"/>
                <w:szCs w:val="20"/>
              </w:rPr>
              <w:t>3.400</w:t>
            </w:r>
          </w:p>
        </w:tc>
      </w:tr>
    </w:tbl>
    <w:p w:rsidR="00486F8E" w:rsidRPr="00B902DA" w:rsidRDefault="003441B1" w:rsidP="00486F8E">
      <w:pPr>
        <w:rPr>
          <w:rFonts w:asciiTheme="minorHAnsi" w:hAnsiTheme="minorHAnsi" w:cstheme="minorHAnsi"/>
          <w:bCs/>
          <w:sz w:val="18"/>
          <w:szCs w:val="18"/>
        </w:rPr>
      </w:pPr>
      <w:r>
        <w:rPr>
          <w:rFonts w:asciiTheme="minorHAnsi" w:hAnsiTheme="minorHAnsi" w:cstheme="minorHAnsi"/>
          <w:sz w:val="22"/>
        </w:rPr>
        <w:t xml:space="preserve"> </w:t>
      </w:r>
      <w:r w:rsidR="00486F8E" w:rsidRPr="00B902DA">
        <w:rPr>
          <w:rFonts w:asciiTheme="minorHAnsi" w:hAnsiTheme="minorHAnsi" w:cstheme="minorHAnsi"/>
          <w:bCs/>
          <w:sz w:val="18"/>
          <w:szCs w:val="18"/>
        </w:rPr>
        <w:t>Fuente: Elaboración propia.</w:t>
      </w:r>
    </w:p>
    <w:p w:rsidR="003441B1" w:rsidRDefault="003441B1">
      <w:pPr>
        <w:rPr>
          <w:rFonts w:asciiTheme="minorHAnsi" w:hAnsiTheme="minorHAnsi" w:cstheme="minorHAnsi"/>
          <w:sz w:val="22"/>
        </w:rPr>
      </w:pPr>
    </w:p>
    <w:p w:rsidR="003441B1" w:rsidRDefault="003441B1">
      <w:pPr>
        <w:rPr>
          <w:rFonts w:asciiTheme="minorHAnsi" w:hAnsiTheme="minorHAnsi" w:cstheme="minorHAnsi"/>
          <w:sz w:val="22"/>
        </w:rPr>
      </w:pPr>
    </w:p>
    <w:p w:rsidR="003441B1" w:rsidRPr="003417F3" w:rsidRDefault="003441B1" w:rsidP="008A366B">
      <w:pPr>
        <w:pStyle w:val="Heading2"/>
        <w:numPr>
          <w:ilvl w:val="1"/>
          <w:numId w:val="1"/>
        </w:numPr>
        <w:rPr>
          <w:rFonts w:asciiTheme="minorHAnsi" w:hAnsiTheme="minorHAnsi"/>
          <w:szCs w:val="22"/>
        </w:rPr>
      </w:pPr>
      <w:bookmarkStart w:id="70" w:name="_Toc373093534"/>
      <w:r w:rsidRPr="003417F3">
        <w:rPr>
          <w:rFonts w:asciiTheme="minorHAnsi" w:hAnsiTheme="minorHAnsi"/>
          <w:lang w:val="es-ES_tradnl"/>
        </w:rPr>
        <w:t>Radioterapia</w:t>
      </w:r>
      <w:r w:rsidR="001F5AF2" w:rsidRPr="003417F3">
        <w:rPr>
          <w:rFonts w:asciiTheme="minorHAnsi" w:hAnsiTheme="minorHAnsi"/>
          <w:lang w:val="es-ES_tradnl"/>
        </w:rPr>
        <w:t xml:space="preserve"> externa</w:t>
      </w:r>
      <w:bookmarkEnd w:id="70"/>
    </w:p>
    <w:p w:rsidR="003441B1" w:rsidRDefault="003441B1">
      <w:pPr>
        <w:rPr>
          <w:rFonts w:asciiTheme="minorHAnsi" w:hAnsiTheme="minorHAnsi" w:cstheme="minorHAnsi"/>
          <w:sz w:val="22"/>
        </w:rPr>
      </w:pPr>
    </w:p>
    <w:p w:rsidR="001F5AF2" w:rsidRDefault="001F5AF2" w:rsidP="001F5AF2">
      <w:pPr>
        <w:jc w:val="both"/>
        <w:rPr>
          <w:rFonts w:asciiTheme="minorHAnsi" w:hAnsiTheme="minorHAnsi" w:cstheme="minorHAnsi"/>
          <w:bCs/>
          <w:color w:val="000000"/>
          <w:sz w:val="22"/>
        </w:rPr>
      </w:pPr>
      <w:r>
        <w:rPr>
          <w:rFonts w:asciiTheme="minorHAnsi" w:hAnsiTheme="minorHAnsi" w:cstheme="minorHAnsi"/>
          <w:bCs/>
          <w:color w:val="000000"/>
          <w:sz w:val="22"/>
        </w:rPr>
        <w:t>Actualmente los establecimientos de referencia cuentan al año 2013 con dos equipos Cobalto 60. Se ha  supuesto un tiempo de operación de 12 horas al día, por 250 días laborables El tiempo por sesión se asume en 20 minutos,</w:t>
      </w:r>
      <w:r w:rsidR="00466A34">
        <w:rPr>
          <w:rStyle w:val="FootnoteReference"/>
          <w:rFonts w:asciiTheme="minorHAnsi" w:hAnsiTheme="minorHAnsi" w:cstheme="minorHAnsi"/>
          <w:bCs/>
          <w:color w:val="000000"/>
          <w:sz w:val="22"/>
        </w:rPr>
        <w:footnoteReference w:id="61"/>
      </w:r>
      <w:r>
        <w:rPr>
          <w:rFonts w:asciiTheme="minorHAnsi" w:hAnsiTheme="minorHAnsi" w:cstheme="minorHAnsi"/>
          <w:bCs/>
          <w:color w:val="000000"/>
          <w:sz w:val="22"/>
        </w:rPr>
        <w:t xml:space="preserve"> las horas de operación se suponen en 12 horas durante los 365 </w:t>
      </w:r>
      <w:r>
        <w:rPr>
          <w:rFonts w:asciiTheme="minorHAnsi" w:hAnsiTheme="minorHAnsi" w:cstheme="minorHAnsi"/>
          <w:bCs/>
          <w:color w:val="000000"/>
          <w:sz w:val="22"/>
        </w:rPr>
        <w:lastRenderedPageBreak/>
        <w:t>días del año. Considerando un factor de ajuste de 85%, la oferta potencial de sesiones de radioterapia externa se estima en 22.338.</w:t>
      </w:r>
    </w:p>
    <w:p w:rsidR="001F5AF2" w:rsidRDefault="001F5AF2">
      <w:pPr>
        <w:rPr>
          <w:rFonts w:asciiTheme="minorHAnsi" w:hAnsiTheme="minorHAnsi" w:cstheme="minorHAnsi"/>
          <w:sz w:val="22"/>
        </w:rPr>
      </w:pPr>
    </w:p>
    <w:p w:rsidR="00C32BD2" w:rsidRDefault="00C32BD2" w:rsidP="00C32BD2">
      <w:pPr>
        <w:rPr>
          <w:rFonts w:asciiTheme="minorHAnsi" w:hAnsiTheme="minorHAnsi" w:cstheme="minorHAnsi"/>
          <w:bCs/>
          <w:color w:val="000000"/>
          <w:sz w:val="22"/>
        </w:rPr>
      </w:pPr>
      <w:r w:rsidRPr="009C76DB">
        <w:rPr>
          <w:rFonts w:asciiTheme="minorHAnsi" w:hAnsiTheme="minorHAnsi" w:cstheme="minorHAnsi"/>
          <w:bCs/>
          <w:color w:val="000000"/>
          <w:sz w:val="22"/>
        </w:rPr>
        <w:t xml:space="preserve">Tabla </w:t>
      </w:r>
      <w:r w:rsidR="00C322FD">
        <w:rPr>
          <w:rFonts w:asciiTheme="minorHAnsi" w:hAnsiTheme="minorHAnsi" w:cstheme="minorHAnsi"/>
          <w:bCs/>
          <w:color w:val="000000"/>
          <w:sz w:val="22"/>
        </w:rPr>
        <w:t>4.1</w:t>
      </w:r>
      <w:r w:rsidR="00A67DE4">
        <w:rPr>
          <w:rFonts w:asciiTheme="minorHAnsi" w:hAnsiTheme="minorHAnsi" w:cstheme="minorHAnsi"/>
          <w:bCs/>
          <w:color w:val="000000"/>
          <w:sz w:val="22"/>
        </w:rPr>
        <w:t>4</w:t>
      </w:r>
      <w:r w:rsidRPr="009C76DB">
        <w:rPr>
          <w:rFonts w:asciiTheme="minorHAnsi" w:hAnsiTheme="minorHAnsi" w:cstheme="minorHAnsi"/>
          <w:bCs/>
          <w:color w:val="000000"/>
          <w:sz w:val="22"/>
        </w:rPr>
        <w:t xml:space="preserve">: Capacidad anual </w:t>
      </w:r>
      <w:r>
        <w:rPr>
          <w:rFonts w:asciiTheme="minorHAnsi" w:hAnsiTheme="minorHAnsi" w:cstheme="minorHAnsi"/>
          <w:bCs/>
          <w:color w:val="000000"/>
          <w:sz w:val="22"/>
        </w:rPr>
        <w:t>estudios de ecografías</w:t>
      </w:r>
    </w:p>
    <w:tbl>
      <w:tblPr>
        <w:tblStyle w:val="LightShading-Accent3"/>
        <w:tblW w:w="7821" w:type="dxa"/>
        <w:tblLook w:val="04A0" w:firstRow="1" w:lastRow="0" w:firstColumn="1" w:lastColumn="0" w:noHBand="0" w:noVBand="1"/>
      </w:tblPr>
      <w:tblGrid>
        <w:gridCol w:w="1376"/>
        <w:gridCol w:w="2396"/>
        <w:gridCol w:w="1537"/>
        <w:gridCol w:w="1176"/>
        <w:gridCol w:w="1336"/>
      </w:tblGrid>
      <w:tr w:rsidR="00AB7175" w:rsidRPr="00407408" w:rsidTr="00C322F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76" w:type="dxa"/>
            <w:noWrap/>
            <w:vAlign w:val="center"/>
            <w:hideMark/>
          </w:tcPr>
          <w:p w:rsidR="00AB7175" w:rsidRPr="00407408" w:rsidRDefault="00AB7175" w:rsidP="00C322FD">
            <w:pPr>
              <w:jc w:val="center"/>
              <w:rPr>
                <w:rFonts w:ascii="Calibri" w:hAnsi="Calibri"/>
                <w:color w:val="000000"/>
                <w:sz w:val="20"/>
                <w:szCs w:val="20"/>
              </w:rPr>
            </w:pPr>
            <w:r w:rsidRPr="00407408">
              <w:rPr>
                <w:rFonts w:ascii="Calibri" w:hAnsi="Calibri"/>
                <w:color w:val="000000"/>
                <w:sz w:val="20"/>
                <w:szCs w:val="20"/>
              </w:rPr>
              <w:t>Nº de maquinas</w:t>
            </w:r>
          </w:p>
        </w:tc>
        <w:tc>
          <w:tcPr>
            <w:tcW w:w="2396" w:type="dxa"/>
            <w:noWrap/>
            <w:vAlign w:val="center"/>
            <w:hideMark/>
          </w:tcPr>
          <w:p w:rsidR="00AB7175" w:rsidRPr="00407408" w:rsidRDefault="00AB7175"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407408">
              <w:rPr>
                <w:rFonts w:ascii="Calibri" w:hAnsi="Calibri"/>
                <w:color w:val="000000"/>
                <w:sz w:val="20"/>
                <w:szCs w:val="20"/>
              </w:rPr>
              <w:t>Tiempo por sesión (horas)</w:t>
            </w:r>
          </w:p>
        </w:tc>
        <w:tc>
          <w:tcPr>
            <w:tcW w:w="1537" w:type="dxa"/>
            <w:noWrap/>
            <w:vAlign w:val="center"/>
            <w:hideMark/>
          </w:tcPr>
          <w:p w:rsidR="00AB7175" w:rsidRPr="00407408" w:rsidRDefault="00AB7175"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407408">
              <w:rPr>
                <w:rFonts w:ascii="Calibri" w:hAnsi="Calibri"/>
                <w:color w:val="000000"/>
                <w:sz w:val="20"/>
                <w:szCs w:val="20"/>
              </w:rPr>
              <w:t>Horas de funcionamiento diario</w:t>
            </w:r>
          </w:p>
        </w:tc>
        <w:tc>
          <w:tcPr>
            <w:tcW w:w="1176" w:type="dxa"/>
            <w:noWrap/>
            <w:vAlign w:val="center"/>
            <w:hideMark/>
          </w:tcPr>
          <w:p w:rsidR="00AB7175" w:rsidRPr="00407408" w:rsidRDefault="00AB7175"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407408">
              <w:rPr>
                <w:rFonts w:ascii="Calibri" w:hAnsi="Calibri"/>
                <w:color w:val="000000"/>
                <w:sz w:val="20"/>
                <w:szCs w:val="20"/>
              </w:rPr>
              <w:t>Días laborables</w:t>
            </w:r>
          </w:p>
        </w:tc>
        <w:tc>
          <w:tcPr>
            <w:tcW w:w="1336" w:type="dxa"/>
            <w:noWrap/>
            <w:vAlign w:val="center"/>
            <w:hideMark/>
          </w:tcPr>
          <w:p w:rsidR="00AB7175" w:rsidRPr="00407408" w:rsidRDefault="00AB7175" w:rsidP="00C322FD">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407408">
              <w:rPr>
                <w:rFonts w:ascii="Calibri" w:hAnsi="Calibri"/>
                <w:color w:val="000000"/>
                <w:sz w:val="20"/>
                <w:szCs w:val="20"/>
              </w:rPr>
              <w:t>Total sesiones /año</w:t>
            </w:r>
          </w:p>
        </w:tc>
      </w:tr>
      <w:tr w:rsidR="00AB7175" w:rsidRPr="00407408" w:rsidTr="00C322F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76" w:type="dxa"/>
            <w:noWrap/>
            <w:vAlign w:val="center"/>
            <w:hideMark/>
          </w:tcPr>
          <w:p w:rsidR="00AB7175" w:rsidRPr="00407408" w:rsidRDefault="00AB7175" w:rsidP="00C322FD">
            <w:pPr>
              <w:jc w:val="center"/>
              <w:rPr>
                <w:rFonts w:ascii="Calibri" w:hAnsi="Calibri"/>
                <w:color w:val="000000"/>
                <w:sz w:val="20"/>
                <w:szCs w:val="20"/>
              </w:rPr>
            </w:pPr>
            <w:r w:rsidRPr="00407408">
              <w:rPr>
                <w:rFonts w:ascii="Calibri" w:hAnsi="Calibri"/>
                <w:color w:val="000000"/>
                <w:sz w:val="20"/>
                <w:szCs w:val="20"/>
              </w:rPr>
              <w:t>2</w:t>
            </w:r>
          </w:p>
        </w:tc>
        <w:tc>
          <w:tcPr>
            <w:tcW w:w="2396" w:type="dxa"/>
            <w:noWrap/>
            <w:vAlign w:val="center"/>
            <w:hideMark/>
          </w:tcPr>
          <w:p w:rsidR="00AB7175" w:rsidRPr="00407408" w:rsidRDefault="00AB7175"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07408">
              <w:rPr>
                <w:rFonts w:ascii="Calibri" w:hAnsi="Calibri"/>
                <w:color w:val="000000"/>
                <w:sz w:val="20"/>
                <w:szCs w:val="20"/>
              </w:rPr>
              <w:t>0,3333</w:t>
            </w:r>
          </w:p>
        </w:tc>
        <w:tc>
          <w:tcPr>
            <w:tcW w:w="1537" w:type="dxa"/>
            <w:noWrap/>
            <w:vAlign w:val="center"/>
            <w:hideMark/>
          </w:tcPr>
          <w:p w:rsidR="00AB7175" w:rsidRPr="00407408" w:rsidRDefault="00AB7175"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07408">
              <w:rPr>
                <w:rFonts w:ascii="Calibri" w:hAnsi="Calibri"/>
                <w:color w:val="000000"/>
                <w:sz w:val="20"/>
                <w:szCs w:val="20"/>
              </w:rPr>
              <w:t>12</w:t>
            </w:r>
          </w:p>
        </w:tc>
        <w:tc>
          <w:tcPr>
            <w:tcW w:w="1176" w:type="dxa"/>
            <w:noWrap/>
            <w:vAlign w:val="center"/>
            <w:hideMark/>
          </w:tcPr>
          <w:p w:rsidR="00AB7175" w:rsidRPr="00407408" w:rsidRDefault="00AB7175"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07408">
              <w:rPr>
                <w:rFonts w:ascii="Calibri" w:hAnsi="Calibri"/>
                <w:color w:val="000000"/>
                <w:sz w:val="20"/>
                <w:szCs w:val="20"/>
              </w:rPr>
              <w:t>365</w:t>
            </w:r>
          </w:p>
        </w:tc>
        <w:tc>
          <w:tcPr>
            <w:tcW w:w="1336" w:type="dxa"/>
            <w:noWrap/>
            <w:vAlign w:val="center"/>
            <w:hideMark/>
          </w:tcPr>
          <w:p w:rsidR="00AB7175" w:rsidRPr="00407408" w:rsidRDefault="00AB7175" w:rsidP="00C322F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07408">
              <w:rPr>
                <w:rFonts w:ascii="Calibri" w:hAnsi="Calibri"/>
                <w:color w:val="000000"/>
                <w:sz w:val="20"/>
                <w:szCs w:val="20"/>
              </w:rPr>
              <w:t>22.338</w:t>
            </w:r>
          </w:p>
        </w:tc>
      </w:tr>
    </w:tbl>
    <w:p w:rsidR="00486F8E" w:rsidRPr="00B902DA" w:rsidRDefault="00486F8E" w:rsidP="00486F8E">
      <w:pPr>
        <w:rPr>
          <w:rFonts w:asciiTheme="minorHAnsi" w:hAnsiTheme="minorHAnsi" w:cstheme="minorHAnsi"/>
          <w:bCs/>
          <w:sz w:val="18"/>
          <w:szCs w:val="18"/>
        </w:rPr>
      </w:pPr>
      <w:r w:rsidRPr="00B902DA">
        <w:rPr>
          <w:rFonts w:asciiTheme="minorHAnsi" w:hAnsiTheme="minorHAnsi" w:cstheme="minorHAnsi"/>
          <w:bCs/>
          <w:sz w:val="18"/>
          <w:szCs w:val="18"/>
        </w:rPr>
        <w:t>Fuente: Elaboración propia.</w:t>
      </w:r>
    </w:p>
    <w:p w:rsidR="00524B70" w:rsidRDefault="00524B70" w:rsidP="00AB7175">
      <w:pPr>
        <w:pStyle w:val="Heading3"/>
        <w:rPr>
          <w:rFonts w:asciiTheme="minorHAnsi" w:hAnsiTheme="minorHAnsi" w:cstheme="minorHAnsi"/>
          <w:sz w:val="22"/>
          <w:lang w:val="es-ES_tradnl"/>
        </w:rPr>
      </w:pPr>
    </w:p>
    <w:p w:rsidR="00524B70" w:rsidRDefault="00524B70" w:rsidP="00AB7175">
      <w:pPr>
        <w:pStyle w:val="Heading3"/>
        <w:rPr>
          <w:rFonts w:asciiTheme="minorHAnsi" w:hAnsiTheme="minorHAnsi" w:cstheme="minorHAnsi"/>
          <w:sz w:val="22"/>
          <w:lang w:val="es-ES_tradnl"/>
        </w:rPr>
      </w:pPr>
    </w:p>
    <w:p w:rsidR="00AB7175" w:rsidRPr="003417F3" w:rsidRDefault="00AB7175" w:rsidP="008A366B">
      <w:pPr>
        <w:pStyle w:val="Heading2"/>
        <w:numPr>
          <w:ilvl w:val="1"/>
          <w:numId w:val="1"/>
        </w:numPr>
        <w:rPr>
          <w:rFonts w:asciiTheme="minorHAnsi" w:hAnsiTheme="minorHAnsi"/>
          <w:lang w:val="es-ES_tradnl"/>
        </w:rPr>
      </w:pPr>
      <w:bookmarkStart w:id="71" w:name="_Toc373093535"/>
      <w:r w:rsidRPr="003417F3">
        <w:rPr>
          <w:rFonts w:asciiTheme="minorHAnsi" w:hAnsiTheme="minorHAnsi"/>
          <w:lang w:val="es-ES_tradnl"/>
        </w:rPr>
        <w:t>Braquiterapia</w:t>
      </w:r>
      <w:bookmarkEnd w:id="71"/>
    </w:p>
    <w:p w:rsidR="00AB7175" w:rsidRDefault="00AB7175" w:rsidP="00AB7175">
      <w:pPr>
        <w:rPr>
          <w:lang w:val="es-ES_tradnl"/>
        </w:rPr>
      </w:pPr>
    </w:p>
    <w:p w:rsidR="001F5AF2" w:rsidRDefault="001F5AF2" w:rsidP="001F5AF2">
      <w:pPr>
        <w:jc w:val="both"/>
        <w:rPr>
          <w:rFonts w:asciiTheme="minorHAnsi" w:hAnsiTheme="minorHAnsi" w:cstheme="minorHAnsi"/>
          <w:bCs/>
          <w:color w:val="000000"/>
          <w:sz w:val="22"/>
        </w:rPr>
      </w:pPr>
      <w:r>
        <w:rPr>
          <w:rFonts w:asciiTheme="minorHAnsi" w:hAnsiTheme="minorHAnsi" w:cstheme="minorHAnsi"/>
          <w:bCs/>
          <w:color w:val="000000"/>
          <w:sz w:val="22"/>
        </w:rPr>
        <w:t>Actualmente sólo el Hospital de clínicas tiene una sala acondicionada para el tratamiento mediante radioterapia interna, la cual tiene una tasa de uso de una persona por semana. Considerando un factor de ajuste de 85%, la oferta potencial de tratamientos de radioterapia interna se estima en 52.</w:t>
      </w:r>
      <w:r w:rsidR="00503624">
        <w:rPr>
          <w:rStyle w:val="FootnoteReference"/>
          <w:rFonts w:asciiTheme="minorHAnsi" w:hAnsiTheme="minorHAnsi" w:cstheme="minorHAnsi"/>
          <w:bCs/>
          <w:color w:val="000000"/>
          <w:sz w:val="22"/>
        </w:rPr>
        <w:footnoteReference w:id="62"/>
      </w:r>
    </w:p>
    <w:p w:rsidR="009D12C8" w:rsidRDefault="009D12C8" w:rsidP="00C32BD2">
      <w:pPr>
        <w:rPr>
          <w:rFonts w:asciiTheme="minorHAnsi" w:hAnsiTheme="minorHAnsi" w:cstheme="minorHAnsi"/>
          <w:bCs/>
          <w:color w:val="000000"/>
          <w:sz w:val="22"/>
        </w:rPr>
      </w:pPr>
    </w:p>
    <w:p w:rsidR="00C32BD2" w:rsidRDefault="00C32BD2" w:rsidP="00C32BD2">
      <w:pPr>
        <w:rPr>
          <w:rFonts w:asciiTheme="minorHAnsi" w:hAnsiTheme="minorHAnsi" w:cstheme="minorHAnsi"/>
          <w:bCs/>
          <w:color w:val="000000"/>
          <w:sz w:val="22"/>
        </w:rPr>
      </w:pPr>
      <w:r w:rsidRPr="009C76DB">
        <w:rPr>
          <w:rFonts w:asciiTheme="minorHAnsi" w:hAnsiTheme="minorHAnsi" w:cstheme="minorHAnsi"/>
          <w:bCs/>
          <w:color w:val="000000"/>
          <w:sz w:val="22"/>
        </w:rPr>
        <w:t xml:space="preserve">Tabla </w:t>
      </w:r>
      <w:r w:rsidR="00C322FD">
        <w:rPr>
          <w:rFonts w:asciiTheme="minorHAnsi" w:hAnsiTheme="minorHAnsi" w:cstheme="minorHAnsi"/>
          <w:bCs/>
          <w:color w:val="000000"/>
          <w:sz w:val="22"/>
        </w:rPr>
        <w:t>4.1</w:t>
      </w:r>
      <w:r w:rsidR="00A67DE4">
        <w:rPr>
          <w:rFonts w:asciiTheme="minorHAnsi" w:hAnsiTheme="minorHAnsi" w:cstheme="minorHAnsi"/>
          <w:bCs/>
          <w:color w:val="000000"/>
          <w:sz w:val="22"/>
        </w:rPr>
        <w:t>5</w:t>
      </w:r>
      <w:r w:rsidRPr="009C76DB">
        <w:rPr>
          <w:rFonts w:asciiTheme="minorHAnsi" w:hAnsiTheme="minorHAnsi" w:cstheme="minorHAnsi"/>
          <w:bCs/>
          <w:color w:val="000000"/>
          <w:sz w:val="22"/>
        </w:rPr>
        <w:t xml:space="preserve">: Capacidad anual </w:t>
      </w:r>
      <w:r w:rsidR="009D12C8">
        <w:rPr>
          <w:rFonts w:asciiTheme="minorHAnsi" w:hAnsiTheme="minorHAnsi" w:cstheme="minorHAnsi"/>
          <w:bCs/>
          <w:color w:val="000000"/>
          <w:sz w:val="22"/>
        </w:rPr>
        <w:t>de tratamientos de braquiterapia</w:t>
      </w:r>
    </w:p>
    <w:tbl>
      <w:tblPr>
        <w:tblStyle w:val="LightShading-Accent3"/>
        <w:tblW w:w="6388" w:type="dxa"/>
        <w:tblLook w:val="04A0" w:firstRow="1" w:lastRow="0" w:firstColumn="1" w:lastColumn="0" w:noHBand="0" w:noVBand="1"/>
      </w:tblPr>
      <w:tblGrid>
        <w:gridCol w:w="1376"/>
        <w:gridCol w:w="2396"/>
        <w:gridCol w:w="1316"/>
        <w:gridCol w:w="1300"/>
      </w:tblGrid>
      <w:tr w:rsidR="00AB7175" w:rsidRPr="00407408" w:rsidTr="009534E1">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376" w:type="dxa"/>
            <w:noWrap/>
            <w:vAlign w:val="center"/>
            <w:hideMark/>
          </w:tcPr>
          <w:p w:rsidR="00AB7175" w:rsidRPr="00407408" w:rsidRDefault="00AB7175" w:rsidP="009534E1">
            <w:pPr>
              <w:jc w:val="center"/>
              <w:rPr>
                <w:rFonts w:ascii="Calibri" w:hAnsi="Calibri"/>
                <w:color w:val="000000"/>
                <w:sz w:val="20"/>
                <w:szCs w:val="20"/>
              </w:rPr>
            </w:pPr>
            <w:r w:rsidRPr="00407408">
              <w:rPr>
                <w:rFonts w:ascii="Calibri" w:hAnsi="Calibri"/>
                <w:color w:val="000000"/>
                <w:sz w:val="20"/>
                <w:szCs w:val="20"/>
              </w:rPr>
              <w:t>Nº de SALAS</w:t>
            </w:r>
          </w:p>
        </w:tc>
        <w:tc>
          <w:tcPr>
            <w:tcW w:w="2396" w:type="dxa"/>
            <w:noWrap/>
            <w:vAlign w:val="center"/>
            <w:hideMark/>
          </w:tcPr>
          <w:p w:rsidR="00AB7175" w:rsidRPr="005004E7" w:rsidRDefault="00AB7175" w:rsidP="009534E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lang w:val="pt-BR"/>
              </w:rPr>
            </w:pPr>
            <w:r w:rsidRPr="005004E7">
              <w:rPr>
                <w:rFonts w:ascii="Calibri" w:hAnsi="Calibri"/>
                <w:color w:val="000000"/>
                <w:sz w:val="20"/>
                <w:szCs w:val="20"/>
                <w:lang w:val="pt-BR"/>
              </w:rPr>
              <w:t>Nº de pacientes x sala</w:t>
            </w:r>
          </w:p>
        </w:tc>
        <w:tc>
          <w:tcPr>
            <w:tcW w:w="1316" w:type="dxa"/>
            <w:noWrap/>
            <w:vAlign w:val="center"/>
            <w:hideMark/>
          </w:tcPr>
          <w:p w:rsidR="00AB7175" w:rsidRPr="00407408" w:rsidRDefault="00AB7175" w:rsidP="009534E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407408">
              <w:rPr>
                <w:rFonts w:ascii="Calibri" w:hAnsi="Calibri"/>
                <w:color w:val="000000"/>
                <w:sz w:val="20"/>
                <w:szCs w:val="20"/>
              </w:rPr>
              <w:t>Semanas</w:t>
            </w:r>
          </w:p>
        </w:tc>
        <w:tc>
          <w:tcPr>
            <w:tcW w:w="1300" w:type="dxa"/>
            <w:noWrap/>
            <w:vAlign w:val="center"/>
            <w:hideMark/>
          </w:tcPr>
          <w:p w:rsidR="00AB7175" w:rsidRPr="00407408" w:rsidRDefault="00AB7175" w:rsidP="009534E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407408">
              <w:rPr>
                <w:rFonts w:ascii="Calibri" w:hAnsi="Calibri"/>
                <w:color w:val="000000"/>
                <w:sz w:val="20"/>
                <w:szCs w:val="20"/>
              </w:rPr>
              <w:t>N° de tratamientos</w:t>
            </w:r>
            <w:r w:rsidR="001F5AF2">
              <w:rPr>
                <w:rFonts w:ascii="Calibri" w:hAnsi="Calibri"/>
                <w:color w:val="000000"/>
                <w:sz w:val="20"/>
                <w:szCs w:val="20"/>
              </w:rPr>
              <w:t xml:space="preserve"> por año</w:t>
            </w:r>
          </w:p>
        </w:tc>
      </w:tr>
      <w:tr w:rsidR="00AB7175" w:rsidRPr="00407408" w:rsidTr="009534E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76" w:type="dxa"/>
            <w:noWrap/>
            <w:vAlign w:val="center"/>
            <w:hideMark/>
          </w:tcPr>
          <w:p w:rsidR="00AB7175" w:rsidRPr="00407408" w:rsidRDefault="00AB7175" w:rsidP="009534E1">
            <w:pPr>
              <w:jc w:val="center"/>
              <w:rPr>
                <w:rFonts w:ascii="Calibri" w:hAnsi="Calibri"/>
                <w:color w:val="000000"/>
                <w:sz w:val="20"/>
                <w:szCs w:val="20"/>
              </w:rPr>
            </w:pPr>
            <w:r w:rsidRPr="00407408">
              <w:rPr>
                <w:rFonts w:ascii="Calibri" w:hAnsi="Calibri"/>
                <w:color w:val="000000"/>
                <w:sz w:val="20"/>
                <w:szCs w:val="20"/>
              </w:rPr>
              <w:t>1</w:t>
            </w:r>
          </w:p>
        </w:tc>
        <w:tc>
          <w:tcPr>
            <w:tcW w:w="2396" w:type="dxa"/>
            <w:noWrap/>
            <w:vAlign w:val="center"/>
            <w:hideMark/>
          </w:tcPr>
          <w:p w:rsidR="00AB7175" w:rsidRPr="00407408" w:rsidRDefault="00AB7175" w:rsidP="009534E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07408">
              <w:rPr>
                <w:rFonts w:ascii="Calibri" w:hAnsi="Calibri"/>
                <w:color w:val="000000"/>
                <w:sz w:val="20"/>
                <w:szCs w:val="20"/>
              </w:rPr>
              <w:t>1</w:t>
            </w:r>
          </w:p>
        </w:tc>
        <w:tc>
          <w:tcPr>
            <w:tcW w:w="1316" w:type="dxa"/>
            <w:noWrap/>
            <w:vAlign w:val="center"/>
            <w:hideMark/>
          </w:tcPr>
          <w:p w:rsidR="00AB7175" w:rsidRPr="00407408" w:rsidRDefault="00AB7175" w:rsidP="009534E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07408">
              <w:rPr>
                <w:rFonts w:ascii="Calibri" w:hAnsi="Calibri"/>
                <w:color w:val="000000"/>
                <w:sz w:val="20"/>
                <w:szCs w:val="20"/>
              </w:rPr>
              <w:t>52</w:t>
            </w:r>
          </w:p>
        </w:tc>
        <w:tc>
          <w:tcPr>
            <w:tcW w:w="1300" w:type="dxa"/>
            <w:noWrap/>
            <w:vAlign w:val="center"/>
            <w:hideMark/>
          </w:tcPr>
          <w:p w:rsidR="00AB7175" w:rsidRPr="00407408" w:rsidRDefault="00AB7175" w:rsidP="009534E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407408">
              <w:rPr>
                <w:rFonts w:ascii="Calibri" w:hAnsi="Calibri"/>
                <w:color w:val="000000"/>
                <w:sz w:val="20"/>
                <w:szCs w:val="20"/>
              </w:rPr>
              <w:t>52</w:t>
            </w:r>
          </w:p>
        </w:tc>
      </w:tr>
    </w:tbl>
    <w:p w:rsidR="00486F8E" w:rsidRPr="00B902DA" w:rsidRDefault="00486F8E" w:rsidP="00486F8E">
      <w:pPr>
        <w:rPr>
          <w:rFonts w:asciiTheme="minorHAnsi" w:hAnsiTheme="minorHAnsi" w:cstheme="minorHAnsi"/>
          <w:bCs/>
          <w:sz w:val="18"/>
          <w:szCs w:val="18"/>
        </w:rPr>
      </w:pPr>
      <w:r w:rsidRPr="00B902DA">
        <w:rPr>
          <w:rFonts w:asciiTheme="minorHAnsi" w:hAnsiTheme="minorHAnsi" w:cstheme="minorHAnsi"/>
          <w:bCs/>
          <w:sz w:val="18"/>
          <w:szCs w:val="18"/>
        </w:rPr>
        <w:t>Fuente: Elaboración propia.</w:t>
      </w:r>
    </w:p>
    <w:p w:rsidR="00AB7175" w:rsidRPr="00AB7175" w:rsidRDefault="00AB7175" w:rsidP="00AB7175">
      <w:pPr>
        <w:rPr>
          <w:lang w:val="es-ES_tradnl"/>
        </w:rPr>
      </w:pPr>
    </w:p>
    <w:p w:rsidR="00C00203" w:rsidRDefault="00C00203">
      <w:pPr>
        <w:rPr>
          <w:rFonts w:asciiTheme="minorHAnsi" w:hAnsiTheme="minorHAnsi" w:cstheme="minorHAnsi"/>
          <w:sz w:val="22"/>
        </w:rPr>
      </w:pPr>
    </w:p>
    <w:p w:rsidR="00466A34" w:rsidRDefault="00466A34">
      <w:r>
        <w:br w:type="page"/>
      </w:r>
    </w:p>
    <w:p w:rsidR="00524B70" w:rsidRDefault="00524B70" w:rsidP="00524B70"/>
    <w:p w:rsidR="000F285D" w:rsidRPr="009C76DB" w:rsidRDefault="00FB11A8" w:rsidP="00AA2389">
      <w:pPr>
        <w:pStyle w:val="Heading1"/>
      </w:pPr>
      <w:bookmarkStart w:id="72" w:name="_Toc373093536"/>
      <w:r w:rsidRPr="009C76DB">
        <w:t>INTERACCIÓN OFERTA Y DEMANDA POTENCIAL SITUACIÓN SIN PROYECTO</w:t>
      </w:r>
      <w:bookmarkEnd w:id="72"/>
    </w:p>
    <w:p w:rsidR="000F285D" w:rsidRPr="009C76DB" w:rsidRDefault="000F285D" w:rsidP="000F285D">
      <w:pPr>
        <w:pStyle w:val="BlockText"/>
        <w:ind w:left="0"/>
        <w:rPr>
          <w:rFonts w:asciiTheme="minorHAnsi" w:hAnsiTheme="minorHAnsi" w:cstheme="minorHAnsi"/>
          <w:sz w:val="22"/>
        </w:rPr>
      </w:pPr>
    </w:p>
    <w:p w:rsidR="000F285D" w:rsidRDefault="000F285D" w:rsidP="000F285D">
      <w:pPr>
        <w:keepNext/>
        <w:spacing w:after="120"/>
        <w:jc w:val="both"/>
        <w:rPr>
          <w:rFonts w:asciiTheme="minorHAnsi" w:hAnsiTheme="minorHAnsi" w:cstheme="minorHAnsi"/>
          <w:sz w:val="22"/>
        </w:rPr>
      </w:pPr>
      <w:r w:rsidRPr="009C76DB">
        <w:rPr>
          <w:rFonts w:asciiTheme="minorHAnsi" w:hAnsiTheme="minorHAnsi" w:cstheme="minorHAnsi"/>
          <w:sz w:val="22"/>
        </w:rPr>
        <w:t>De acuerdo a la oferta potencial que mostramos con anterioridad y a la demanda potencial</w:t>
      </w:r>
      <w:r w:rsidR="003F0897">
        <w:rPr>
          <w:rFonts w:asciiTheme="minorHAnsi" w:hAnsiTheme="minorHAnsi" w:cstheme="minorHAnsi"/>
          <w:sz w:val="22"/>
        </w:rPr>
        <w:t xml:space="preserve"> estimada </w:t>
      </w:r>
      <w:r w:rsidR="001C3E7D">
        <w:rPr>
          <w:rFonts w:asciiTheme="minorHAnsi" w:hAnsiTheme="minorHAnsi" w:cstheme="minorHAnsi"/>
          <w:sz w:val="22"/>
        </w:rPr>
        <w:t xml:space="preserve">al año 2017, año </w:t>
      </w:r>
      <w:r w:rsidR="00503624">
        <w:rPr>
          <w:rFonts w:asciiTheme="minorHAnsi" w:hAnsiTheme="minorHAnsi" w:cstheme="minorHAnsi"/>
          <w:sz w:val="22"/>
        </w:rPr>
        <w:t xml:space="preserve">considerado para la </w:t>
      </w:r>
      <w:r w:rsidR="001C3E7D">
        <w:rPr>
          <w:rFonts w:asciiTheme="minorHAnsi" w:hAnsiTheme="minorHAnsi" w:cstheme="minorHAnsi"/>
          <w:sz w:val="22"/>
        </w:rPr>
        <w:t xml:space="preserve">puesta en marcha del Hospital El Alto Sur, </w:t>
      </w:r>
      <w:r w:rsidR="003F0897">
        <w:rPr>
          <w:rFonts w:asciiTheme="minorHAnsi" w:hAnsiTheme="minorHAnsi" w:cstheme="minorHAnsi"/>
          <w:sz w:val="22"/>
        </w:rPr>
        <w:t xml:space="preserve">construimos la Tabla </w:t>
      </w:r>
      <w:r w:rsidR="00C84B59">
        <w:rPr>
          <w:rFonts w:asciiTheme="minorHAnsi" w:hAnsiTheme="minorHAnsi" w:cstheme="minorHAnsi"/>
          <w:sz w:val="22"/>
        </w:rPr>
        <w:t>5</w:t>
      </w:r>
      <w:r w:rsidR="003F0897">
        <w:rPr>
          <w:rFonts w:asciiTheme="minorHAnsi" w:hAnsiTheme="minorHAnsi" w:cstheme="minorHAnsi"/>
          <w:sz w:val="22"/>
        </w:rPr>
        <w:t xml:space="preserve">.1, donde se </w:t>
      </w:r>
      <w:r w:rsidR="00503624">
        <w:rPr>
          <w:rFonts w:asciiTheme="minorHAnsi" w:hAnsiTheme="minorHAnsi" w:cstheme="minorHAnsi"/>
          <w:sz w:val="22"/>
        </w:rPr>
        <w:t>observa</w:t>
      </w:r>
      <w:r w:rsidR="003F0897">
        <w:rPr>
          <w:rFonts w:asciiTheme="minorHAnsi" w:hAnsiTheme="minorHAnsi" w:cstheme="minorHAnsi"/>
          <w:sz w:val="22"/>
        </w:rPr>
        <w:t xml:space="preserve"> el resultado de la interacción entre la oferta y la demanda. </w:t>
      </w:r>
      <w:r w:rsidR="001C3E7D">
        <w:rPr>
          <w:rFonts w:asciiTheme="minorHAnsi" w:hAnsiTheme="minorHAnsi" w:cstheme="minorHAnsi"/>
          <w:sz w:val="22"/>
        </w:rPr>
        <w:t xml:space="preserve">Como se observa, de acuerdo a las prestaciones consideradas en esta evaluación, en la situación sin proyecto, con la excepción de dos prestaciones, existe un déficit </w:t>
      </w:r>
      <w:r w:rsidR="00E63E67">
        <w:rPr>
          <w:rFonts w:asciiTheme="minorHAnsi" w:hAnsiTheme="minorHAnsi" w:cstheme="minorHAnsi"/>
          <w:sz w:val="22"/>
        </w:rPr>
        <w:t xml:space="preserve">evidente para la mayor parte de </w:t>
      </w:r>
      <w:r w:rsidR="005352F3">
        <w:rPr>
          <w:rFonts w:asciiTheme="minorHAnsi" w:hAnsiTheme="minorHAnsi" w:cstheme="minorHAnsi"/>
          <w:sz w:val="22"/>
        </w:rPr>
        <w:t>las prestaciones consideradas</w:t>
      </w:r>
      <w:r w:rsidR="001C3E7D">
        <w:rPr>
          <w:rFonts w:asciiTheme="minorHAnsi" w:hAnsiTheme="minorHAnsi" w:cstheme="minorHAnsi"/>
          <w:sz w:val="22"/>
        </w:rPr>
        <w:t>.</w:t>
      </w:r>
    </w:p>
    <w:p w:rsidR="00A67DE4" w:rsidRDefault="00A67DE4" w:rsidP="000F285D">
      <w:pPr>
        <w:keepNext/>
        <w:spacing w:after="120"/>
        <w:jc w:val="both"/>
        <w:rPr>
          <w:rFonts w:asciiTheme="minorHAnsi" w:hAnsiTheme="minorHAnsi" w:cstheme="minorHAnsi"/>
          <w:sz w:val="22"/>
        </w:rPr>
      </w:pPr>
    </w:p>
    <w:p w:rsidR="00C72EF5" w:rsidRDefault="00C72EF5" w:rsidP="003F0897">
      <w:pPr>
        <w:keepNext/>
        <w:jc w:val="both"/>
        <w:rPr>
          <w:rFonts w:asciiTheme="minorHAnsi" w:hAnsiTheme="minorHAnsi" w:cstheme="minorHAnsi"/>
          <w:sz w:val="22"/>
        </w:rPr>
      </w:pPr>
      <w:r>
        <w:rPr>
          <w:rFonts w:asciiTheme="minorHAnsi" w:hAnsiTheme="minorHAnsi" w:cstheme="minorHAnsi"/>
          <w:sz w:val="22"/>
        </w:rPr>
        <w:t xml:space="preserve">Tabla </w:t>
      </w:r>
      <w:r w:rsidR="00C84B59">
        <w:rPr>
          <w:rFonts w:asciiTheme="minorHAnsi" w:hAnsiTheme="minorHAnsi" w:cstheme="minorHAnsi"/>
          <w:sz w:val="22"/>
        </w:rPr>
        <w:t>5</w:t>
      </w:r>
      <w:r>
        <w:rPr>
          <w:rFonts w:asciiTheme="minorHAnsi" w:hAnsiTheme="minorHAnsi" w:cstheme="minorHAnsi"/>
          <w:sz w:val="22"/>
        </w:rPr>
        <w:t>.1: Año de saturación situación sin proyecto</w:t>
      </w:r>
    </w:p>
    <w:tbl>
      <w:tblPr>
        <w:tblStyle w:val="LightShading-Accent3"/>
        <w:tblW w:w="6732" w:type="dxa"/>
        <w:tblLook w:val="04A0" w:firstRow="1" w:lastRow="0" w:firstColumn="1" w:lastColumn="0" w:noHBand="0" w:noVBand="1"/>
      </w:tblPr>
      <w:tblGrid>
        <w:gridCol w:w="3265"/>
        <w:gridCol w:w="1790"/>
        <w:gridCol w:w="1677"/>
      </w:tblGrid>
      <w:tr w:rsidR="00E63E67" w:rsidRPr="00E63E67" w:rsidTr="00E63E6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5" w:type="dxa"/>
            <w:noWrap/>
            <w:hideMark/>
          </w:tcPr>
          <w:p w:rsidR="00E63E67" w:rsidRPr="00E63E67" w:rsidRDefault="00E63E67" w:rsidP="00E63E67">
            <w:pPr>
              <w:jc w:val="center"/>
              <w:rPr>
                <w:rFonts w:asciiTheme="minorHAnsi" w:hAnsiTheme="minorHAnsi"/>
                <w:color w:val="000000"/>
                <w:sz w:val="20"/>
                <w:szCs w:val="20"/>
              </w:rPr>
            </w:pPr>
            <w:r w:rsidRPr="00E63E67">
              <w:rPr>
                <w:rFonts w:asciiTheme="minorHAnsi" w:hAnsiTheme="minorHAnsi"/>
                <w:color w:val="000000"/>
                <w:sz w:val="20"/>
                <w:szCs w:val="20"/>
              </w:rPr>
              <w:t>Prestación</w:t>
            </w:r>
          </w:p>
        </w:tc>
        <w:tc>
          <w:tcPr>
            <w:tcW w:w="1790" w:type="dxa"/>
            <w:noWrap/>
            <w:hideMark/>
          </w:tcPr>
          <w:p w:rsidR="00E63E67" w:rsidRPr="00E63E67" w:rsidRDefault="00E63E67" w:rsidP="00E63E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63E67">
              <w:rPr>
                <w:rFonts w:asciiTheme="minorHAnsi" w:hAnsiTheme="minorHAnsi"/>
                <w:color w:val="000000"/>
                <w:sz w:val="20"/>
                <w:szCs w:val="20"/>
              </w:rPr>
              <w:t>Año de saturación</w:t>
            </w:r>
          </w:p>
        </w:tc>
        <w:tc>
          <w:tcPr>
            <w:tcW w:w="1677" w:type="dxa"/>
            <w:noWrap/>
            <w:hideMark/>
          </w:tcPr>
          <w:p w:rsidR="00E63E67" w:rsidRDefault="00E63E67" w:rsidP="00E63E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63E67">
              <w:rPr>
                <w:rFonts w:asciiTheme="minorHAnsi" w:hAnsiTheme="minorHAnsi"/>
                <w:color w:val="000000"/>
                <w:sz w:val="20"/>
                <w:szCs w:val="20"/>
              </w:rPr>
              <w:t>Déficit/</w:t>
            </w:r>
            <w:r w:rsidR="005352F3" w:rsidRPr="00E63E67">
              <w:rPr>
                <w:rFonts w:asciiTheme="minorHAnsi" w:hAnsiTheme="minorHAnsi"/>
                <w:color w:val="000000"/>
                <w:sz w:val="20"/>
                <w:szCs w:val="20"/>
              </w:rPr>
              <w:t>superávit</w:t>
            </w:r>
          </w:p>
          <w:p w:rsidR="00E63E67" w:rsidRPr="00E63E67" w:rsidRDefault="00E63E67" w:rsidP="00E63E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Pr>
                <w:rFonts w:asciiTheme="minorHAnsi" w:hAnsiTheme="minorHAnsi"/>
                <w:color w:val="000000"/>
                <w:sz w:val="20"/>
                <w:szCs w:val="20"/>
              </w:rPr>
              <w:t>2017</w:t>
            </w:r>
          </w:p>
        </w:tc>
      </w:tr>
      <w:tr w:rsidR="00E63E67" w:rsidRPr="00E63E67" w:rsidTr="00E63E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5" w:type="dxa"/>
            <w:noWrap/>
            <w:hideMark/>
          </w:tcPr>
          <w:p w:rsidR="00E63E67" w:rsidRPr="00E63E67" w:rsidRDefault="00E63E67">
            <w:pPr>
              <w:rPr>
                <w:rFonts w:asciiTheme="minorHAnsi" w:hAnsiTheme="minorHAnsi"/>
                <w:b w:val="0"/>
                <w:color w:val="000000"/>
                <w:sz w:val="20"/>
                <w:szCs w:val="20"/>
              </w:rPr>
            </w:pPr>
            <w:r w:rsidRPr="00E63E67">
              <w:rPr>
                <w:rFonts w:asciiTheme="minorHAnsi" w:hAnsiTheme="minorHAnsi"/>
                <w:b w:val="0"/>
                <w:color w:val="000000"/>
                <w:sz w:val="20"/>
                <w:szCs w:val="20"/>
              </w:rPr>
              <w:t>Días cama</w:t>
            </w:r>
          </w:p>
        </w:tc>
        <w:tc>
          <w:tcPr>
            <w:tcW w:w="1790" w:type="dxa"/>
            <w:noWrap/>
            <w:hideMark/>
          </w:tcPr>
          <w:p w:rsidR="00E63E67" w:rsidRPr="00E63E67" w:rsidRDefault="00E63E67" w:rsidP="00E63E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E63E67">
              <w:rPr>
                <w:rFonts w:asciiTheme="minorHAnsi" w:hAnsiTheme="minorHAnsi"/>
                <w:color w:val="000000"/>
                <w:sz w:val="20"/>
                <w:szCs w:val="20"/>
              </w:rPr>
              <w:t>Saturado</w:t>
            </w:r>
          </w:p>
        </w:tc>
        <w:tc>
          <w:tcPr>
            <w:tcW w:w="1677" w:type="dxa"/>
            <w:noWrap/>
            <w:hideMark/>
          </w:tcPr>
          <w:p w:rsidR="00E63E67" w:rsidRPr="00E63E67"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0"/>
                <w:szCs w:val="20"/>
              </w:rPr>
            </w:pPr>
            <w:r w:rsidRPr="00E63E67">
              <w:rPr>
                <w:rFonts w:asciiTheme="minorHAnsi" w:hAnsiTheme="minorHAnsi"/>
                <w:bCs/>
                <w:color w:val="000000"/>
                <w:sz w:val="20"/>
                <w:szCs w:val="20"/>
              </w:rPr>
              <w:t>-234.062</w:t>
            </w:r>
          </w:p>
        </w:tc>
      </w:tr>
      <w:tr w:rsidR="00E63E67" w:rsidRPr="00E63E67" w:rsidTr="00E63E67">
        <w:trPr>
          <w:trHeight w:val="20"/>
        </w:trPr>
        <w:tc>
          <w:tcPr>
            <w:cnfStyle w:val="001000000000" w:firstRow="0" w:lastRow="0" w:firstColumn="1" w:lastColumn="0" w:oddVBand="0" w:evenVBand="0" w:oddHBand="0" w:evenHBand="0" w:firstRowFirstColumn="0" w:firstRowLastColumn="0" w:lastRowFirstColumn="0" w:lastRowLastColumn="0"/>
            <w:tcW w:w="3265" w:type="dxa"/>
            <w:noWrap/>
            <w:hideMark/>
          </w:tcPr>
          <w:p w:rsidR="00E63E67" w:rsidRPr="00E63E67" w:rsidRDefault="00E63E67">
            <w:pPr>
              <w:rPr>
                <w:rFonts w:asciiTheme="minorHAnsi" w:hAnsiTheme="minorHAnsi"/>
                <w:b w:val="0"/>
                <w:color w:val="000000"/>
                <w:sz w:val="20"/>
                <w:szCs w:val="20"/>
              </w:rPr>
            </w:pPr>
            <w:r w:rsidRPr="00E63E67">
              <w:rPr>
                <w:rFonts w:asciiTheme="minorHAnsi" w:hAnsiTheme="minorHAnsi"/>
                <w:b w:val="0"/>
                <w:color w:val="000000"/>
                <w:sz w:val="20"/>
                <w:szCs w:val="20"/>
              </w:rPr>
              <w:t>Días cama maternidad</w:t>
            </w:r>
          </w:p>
        </w:tc>
        <w:tc>
          <w:tcPr>
            <w:tcW w:w="1790" w:type="dxa"/>
            <w:noWrap/>
            <w:hideMark/>
          </w:tcPr>
          <w:p w:rsidR="00E63E67" w:rsidRPr="00E63E67" w:rsidRDefault="00E63E67" w:rsidP="00E63E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63E67">
              <w:rPr>
                <w:rFonts w:asciiTheme="minorHAnsi" w:hAnsiTheme="minorHAnsi"/>
                <w:color w:val="000000"/>
                <w:sz w:val="20"/>
                <w:szCs w:val="20"/>
              </w:rPr>
              <w:t>Saturado</w:t>
            </w:r>
          </w:p>
        </w:tc>
        <w:tc>
          <w:tcPr>
            <w:tcW w:w="1677" w:type="dxa"/>
            <w:noWrap/>
            <w:hideMark/>
          </w:tcPr>
          <w:p w:rsidR="00E63E67" w:rsidRPr="00E63E67"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63E67">
              <w:rPr>
                <w:rFonts w:asciiTheme="minorHAnsi" w:hAnsiTheme="minorHAnsi"/>
                <w:color w:val="000000"/>
                <w:sz w:val="20"/>
                <w:szCs w:val="20"/>
              </w:rPr>
              <w:t>-58.827</w:t>
            </w:r>
          </w:p>
        </w:tc>
      </w:tr>
      <w:tr w:rsidR="00E63E67" w:rsidRPr="00E63E67" w:rsidTr="00E63E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5" w:type="dxa"/>
            <w:noWrap/>
            <w:hideMark/>
          </w:tcPr>
          <w:p w:rsidR="00E63E67" w:rsidRPr="00E63E67" w:rsidRDefault="00E63E67">
            <w:pPr>
              <w:rPr>
                <w:rFonts w:asciiTheme="minorHAnsi" w:hAnsiTheme="minorHAnsi"/>
                <w:b w:val="0"/>
                <w:color w:val="000000"/>
                <w:sz w:val="20"/>
                <w:szCs w:val="20"/>
              </w:rPr>
            </w:pPr>
            <w:r w:rsidRPr="00E63E67">
              <w:rPr>
                <w:rFonts w:asciiTheme="minorHAnsi" w:hAnsiTheme="minorHAnsi"/>
                <w:b w:val="0"/>
                <w:color w:val="000000"/>
                <w:sz w:val="20"/>
                <w:szCs w:val="20"/>
              </w:rPr>
              <w:t>Consulta especialidad</w:t>
            </w:r>
          </w:p>
        </w:tc>
        <w:tc>
          <w:tcPr>
            <w:tcW w:w="1790" w:type="dxa"/>
            <w:noWrap/>
            <w:hideMark/>
          </w:tcPr>
          <w:p w:rsidR="00E63E67" w:rsidRPr="00E63E67" w:rsidRDefault="00E63E67" w:rsidP="00E63E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E63E67">
              <w:rPr>
                <w:rFonts w:asciiTheme="minorHAnsi" w:hAnsiTheme="minorHAnsi"/>
                <w:color w:val="000000"/>
                <w:sz w:val="20"/>
                <w:szCs w:val="20"/>
              </w:rPr>
              <w:t>Saturado</w:t>
            </w:r>
          </w:p>
        </w:tc>
        <w:tc>
          <w:tcPr>
            <w:tcW w:w="1677" w:type="dxa"/>
            <w:noWrap/>
            <w:hideMark/>
          </w:tcPr>
          <w:p w:rsidR="00E63E67" w:rsidRPr="00E63E67"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0"/>
                <w:szCs w:val="20"/>
              </w:rPr>
            </w:pPr>
            <w:r w:rsidRPr="00E63E67">
              <w:rPr>
                <w:rFonts w:asciiTheme="minorHAnsi" w:hAnsiTheme="minorHAnsi"/>
                <w:bCs/>
                <w:color w:val="000000"/>
                <w:sz w:val="20"/>
                <w:szCs w:val="20"/>
              </w:rPr>
              <w:t>-147.600</w:t>
            </w:r>
          </w:p>
        </w:tc>
      </w:tr>
      <w:tr w:rsidR="00E63E67" w:rsidRPr="00E63E67" w:rsidTr="00E63E67">
        <w:trPr>
          <w:trHeight w:val="20"/>
        </w:trPr>
        <w:tc>
          <w:tcPr>
            <w:cnfStyle w:val="001000000000" w:firstRow="0" w:lastRow="0" w:firstColumn="1" w:lastColumn="0" w:oddVBand="0" w:evenVBand="0" w:oddHBand="0" w:evenHBand="0" w:firstRowFirstColumn="0" w:firstRowLastColumn="0" w:lastRowFirstColumn="0" w:lastRowLastColumn="0"/>
            <w:tcW w:w="3265" w:type="dxa"/>
            <w:noWrap/>
            <w:hideMark/>
          </w:tcPr>
          <w:p w:rsidR="00E63E67" w:rsidRPr="00E63E67" w:rsidRDefault="00E63E67">
            <w:pPr>
              <w:rPr>
                <w:rFonts w:asciiTheme="minorHAnsi" w:hAnsiTheme="minorHAnsi"/>
                <w:b w:val="0"/>
                <w:color w:val="000000"/>
                <w:sz w:val="20"/>
                <w:szCs w:val="20"/>
              </w:rPr>
            </w:pPr>
            <w:r w:rsidRPr="00E63E67">
              <w:rPr>
                <w:rFonts w:asciiTheme="minorHAnsi" w:hAnsiTheme="minorHAnsi"/>
                <w:b w:val="0"/>
                <w:color w:val="000000"/>
                <w:sz w:val="20"/>
                <w:szCs w:val="20"/>
              </w:rPr>
              <w:t>Urgencia</w:t>
            </w:r>
          </w:p>
        </w:tc>
        <w:tc>
          <w:tcPr>
            <w:tcW w:w="1790" w:type="dxa"/>
            <w:noWrap/>
            <w:hideMark/>
          </w:tcPr>
          <w:p w:rsidR="00E63E67" w:rsidRPr="00E63E67" w:rsidRDefault="00E63E67" w:rsidP="00E63E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63E67">
              <w:rPr>
                <w:rFonts w:asciiTheme="minorHAnsi" w:hAnsiTheme="minorHAnsi"/>
                <w:color w:val="000000"/>
                <w:sz w:val="20"/>
                <w:szCs w:val="20"/>
              </w:rPr>
              <w:t>Holgado</w:t>
            </w:r>
          </w:p>
        </w:tc>
        <w:tc>
          <w:tcPr>
            <w:tcW w:w="1677" w:type="dxa"/>
            <w:noWrap/>
            <w:hideMark/>
          </w:tcPr>
          <w:p w:rsidR="00E63E67" w:rsidRPr="00E63E67"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0"/>
                <w:szCs w:val="20"/>
              </w:rPr>
            </w:pPr>
            <w:r w:rsidRPr="00E63E67">
              <w:rPr>
                <w:rFonts w:asciiTheme="minorHAnsi" w:hAnsiTheme="minorHAnsi"/>
                <w:bCs/>
                <w:color w:val="000000"/>
                <w:sz w:val="20"/>
                <w:szCs w:val="20"/>
              </w:rPr>
              <w:t>359.341</w:t>
            </w:r>
          </w:p>
        </w:tc>
      </w:tr>
      <w:tr w:rsidR="00E63E67" w:rsidRPr="00E63E67" w:rsidTr="00E63E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5" w:type="dxa"/>
            <w:noWrap/>
            <w:hideMark/>
          </w:tcPr>
          <w:p w:rsidR="00E63E67" w:rsidRPr="00E63E67" w:rsidRDefault="00E63E67">
            <w:pPr>
              <w:rPr>
                <w:rFonts w:asciiTheme="minorHAnsi" w:hAnsiTheme="minorHAnsi"/>
                <w:b w:val="0"/>
                <w:color w:val="000000"/>
                <w:sz w:val="20"/>
                <w:szCs w:val="20"/>
              </w:rPr>
            </w:pPr>
            <w:r w:rsidRPr="00E63E67">
              <w:rPr>
                <w:rFonts w:asciiTheme="minorHAnsi" w:hAnsiTheme="minorHAnsi"/>
                <w:b w:val="0"/>
                <w:color w:val="000000"/>
                <w:sz w:val="20"/>
                <w:szCs w:val="20"/>
              </w:rPr>
              <w:t xml:space="preserve">Intervención </w:t>
            </w:r>
            <w:r w:rsidR="005352F3" w:rsidRPr="00E63E67">
              <w:rPr>
                <w:rFonts w:asciiTheme="minorHAnsi" w:hAnsiTheme="minorHAnsi"/>
                <w:b w:val="0"/>
                <w:color w:val="000000"/>
                <w:sz w:val="20"/>
                <w:szCs w:val="20"/>
              </w:rPr>
              <w:t>quirúrgica</w:t>
            </w:r>
          </w:p>
        </w:tc>
        <w:tc>
          <w:tcPr>
            <w:tcW w:w="1790" w:type="dxa"/>
            <w:noWrap/>
            <w:hideMark/>
          </w:tcPr>
          <w:p w:rsidR="00E63E67" w:rsidRPr="00E63E67" w:rsidRDefault="00E63E67" w:rsidP="00E63E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E63E67">
              <w:rPr>
                <w:rFonts w:asciiTheme="minorHAnsi" w:hAnsiTheme="minorHAnsi"/>
                <w:color w:val="000000"/>
                <w:sz w:val="20"/>
                <w:szCs w:val="20"/>
              </w:rPr>
              <w:t>Saturado</w:t>
            </w:r>
          </w:p>
        </w:tc>
        <w:tc>
          <w:tcPr>
            <w:tcW w:w="1677" w:type="dxa"/>
            <w:noWrap/>
            <w:hideMark/>
          </w:tcPr>
          <w:p w:rsidR="00E63E67" w:rsidRPr="00E63E67"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0"/>
                <w:szCs w:val="20"/>
              </w:rPr>
            </w:pPr>
            <w:r w:rsidRPr="00E63E67">
              <w:rPr>
                <w:rFonts w:asciiTheme="minorHAnsi" w:hAnsiTheme="minorHAnsi"/>
                <w:bCs/>
                <w:color w:val="000000"/>
                <w:sz w:val="20"/>
                <w:szCs w:val="20"/>
              </w:rPr>
              <w:t>-11.025</w:t>
            </w:r>
          </w:p>
        </w:tc>
      </w:tr>
      <w:tr w:rsidR="00E63E67" w:rsidRPr="00E63E67" w:rsidTr="00E63E67">
        <w:trPr>
          <w:trHeight w:val="20"/>
        </w:trPr>
        <w:tc>
          <w:tcPr>
            <w:cnfStyle w:val="001000000000" w:firstRow="0" w:lastRow="0" w:firstColumn="1" w:lastColumn="0" w:oddVBand="0" w:evenVBand="0" w:oddHBand="0" w:evenHBand="0" w:firstRowFirstColumn="0" w:firstRowLastColumn="0" w:lastRowFirstColumn="0" w:lastRowLastColumn="0"/>
            <w:tcW w:w="3265" w:type="dxa"/>
            <w:noWrap/>
            <w:hideMark/>
          </w:tcPr>
          <w:p w:rsidR="00E63E67" w:rsidRPr="00E63E67" w:rsidRDefault="005352F3">
            <w:pPr>
              <w:rPr>
                <w:rFonts w:asciiTheme="minorHAnsi" w:hAnsiTheme="minorHAnsi"/>
                <w:b w:val="0"/>
                <w:color w:val="000000"/>
                <w:sz w:val="20"/>
                <w:szCs w:val="20"/>
              </w:rPr>
            </w:pPr>
            <w:r w:rsidRPr="00E63E67">
              <w:rPr>
                <w:rFonts w:asciiTheme="minorHAnsi" w:hAnsiTheme="minorHAnsi"/>
                <w:b w:val="0"/>
                <w:color w:val="000000"/>
                <w:sz w:val="20"/>
                <w:szCs w:val="20"/>
              </w:rPr>
              <w:t>Diálisis</w:t>
            </w:r>
          </w:p>
        </w:tc>
        <w:tc>
          <w:tcPr>
            <w:tcW w:w="1790" w:type="dxa"/>
            <w:noWrap/>
            <w:hideMark/>
          </w:tcPr>
          <w:p w:rsidR="00E63E67" w:rsidRPr="00E63E67" w:rsidRDefault="00E63E67" w:rsidP="00E63E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63E67">
              <w:rPr>
                <w:rFonts w:asciiTheme="minorHAnsi" w:hAnsiTheme="minorHAnsi"/>
                <w:color w:val="000000"/>
                <w:sz w:val="20"/>
                <w:szCs w:val="20"/>
              </w:rPr>
              <w:t>Saturado</w:t>
            </w:r>
          </w:p>
        </w:tc>
        <w:tc>
          <w:tcPr>
            <w:tcW w:w="1677" w:type="dxa"/>
            <w:noWrap/>
            <w:hideMark/>
          </w:tcPr>
          <w:p w:rsidR="00E63E67" w:rsidRPr="00E63E67"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0"/>
                <w:szCs w:val="20"/>
              </w:rPr>
            </w:pPr>
            <w:r w:rsidRPr="00E63E67">
              <w:rPr>
                <w:rFonts w:asciiTheme="minorHAnsi" w:hAnsiTheme="minorHAnsi"/>
                <w:bCs/>
                <w:color w:val="000000"/>
                <w:sz w:val="20"/>
                <w:szCs w:val="20"/>
              </w:rPr>
              <w:t>-17.639</w:t>
            </w:r>
          </w:p>
        </w:tc>
      </w:tr>
      <w:tr w:rsidR="00E63E67" w:rsidRPr="00E63E67" w:rsidTr="00E63E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5" w:type="dxa"/>
            <w:noWrap/>
            <w:hideMark/>
          </w:tcPr>
          <w:p w:rsidR="00E63E67" w:rsidRPr="00E63E67" w:rsidRDefault="00E63E67">
            <w:pPr>
              <w:rPr>
                <w:rFonts w:asciiTheme="minorHAnsi" w:hAnsiTheme="minorHAnsi"/>
                <w:b w:val="0"/>
                <w:color w:val="000000"/>
                <w:sz w:val="20"/>
                <w:szCs w:val="20"/>
              </w:rPr>
            </w:pPr>
            <w:r w:rsidRPr="00E63E67">
              <w:rPr>
                <w:rFonts w:asciiTheme="minorHAnsi" w:hAnsiTheme="minorHAnsi"/>
                <w:b w:val="0"/>
                <w:color w:val="000000"/>
                <w:sz w:val="20"/>
                <w:szCs w:val="20"/>
              </w:rPr>
              <w:t xml:space="preserve">Resonancia </w:t>
            </w:r>
            <w:r w:rsidR="005352F3" w:rsidRPr="00E63E67">
              <w:rPr>
                <w:rFonts w:asciiTheme="minorHAnsi" w:hAnsiTheme="minorHAnsi"/>
                <w:b w:val="0"/>
                <w:color w:val="000000"/>
                <w:sz w:val="20"/>
                <w:szCs w:val="20"/>
              </w:rPr>
              <w:t>magnética</w:t>
            </w:r>
          </w:p>
        </w:tc>
        <w:tc>
          <w:tcPr>
            <w:tcW w:w="1790" w:type="dxa"/>
            <w:noWrap/>
            <w:hideMark/>
          </w:tcPr>
          <w:p w:rsidR="00E63E67" w:rsidRPr="00E63E67" w:rsidRDefault="00E63E67" w:rsidP="00E63E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E63E67">
              <w:rPr>
                <w:rFonts w:asciiTheme="minorHAnsi" w:hAnsiTheme="minorHAnsi"/>
                <w:color w:val="000000"/>
                <w:sz w:val="20"/>
                <w:szCs w:val="20"/>
              </w:rPr>
              <w:t>Saturado</w:t>
            </w:r>
          </w:p>
        </w:tc>
        <w:tc>
          <w:tcPr>
            <w:tcW w:w="1677" w:type="dxa"/>
            <w:noWrap/>
            <w:hideMark/>
          </w:tcPr>
          <w:p w:rsidR="00E63E67" w:rsidRPr="00E63E67"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0"/>
                <w:szCs w:val="20"/>
              </w:rPr>
            </w:pPr>
            <w:r w:rsidRPr="00E63E67">
              <w:rPr>
                <w:rFonts w:asciiTheme="minorHAnsi" w:hAnsiTheme="minorHAnsi"/>
                <w:bCs/>
                <w:color w:val="000000"/>
                <w:sz w:val="20"/>
                <w:szCs w:val="20"/>
              </w:rPr>
              <w:t>-3.778</w:t>
            </w:r>
          </w:p>
        </w:tc>
      </w:tr>
      <w:tr w:rsidR="00E63E67" w:rsidRPr="00E63E67" w:rsidTr="00E63E67">
        <w:trPr>
          <w:trHeight w:val="20"/>
        </w:trPr>
        <w:tc>
          <w:tcPr>
            <w:cnfStyle w:val="001000000000" w:firstRow="0" w:lastRow="0" w:firstColumn="1" w:lastColumn="0" w:oddVBand="0" w:evenVBand="0" w:oddHBand="0" w:evenHBand="0" w:firstRowFirstColumn="0" w:firstRowLastColumn="0" w:lastRowFirstColumn="0" w:lastRowLastColumn="0"/>
            <w:tcW w:w="3265" w:type="dxa"/>
            <w:noWrap/>
            <w:hideMark/>
          </w:tcPr>
          <w:p w:rsidR="00E63E67" w:rsidRPr="00E63E67" w:rsidRDefault="005352F3">
            <w:pPr>
              <w:rPr>
                <w:rFonts w:asciiTheme="minorHAnsi" w:hAnsiTheme="minorHAnsi"/>
                <w:b w:val="0"/>
                <w:color w:val="000000"/>
                <w:sz w:val="20"/>
                <w:szCs w:val="20"/>
              </w:rPr>
            </w:pPr>
            <w:r>
              <w:rPr>
                <w:rFonts w:asciiTheme="minorHAnsi" w:hAnsiTheme="minorHAnsi"/>
                <w:b w:val="0"/>
                <w:color w:val="000000"/>
                <w:sz w:val="20"/>
                <w:szCs w:val="20"/>
              </w:rPr>
              <w:t>Mamó</w:t>
            </w:r>
            <w:r w:rsidRPr="00E63E67">
              <w:rPr>
                <w:rFonts w:asciiTheme="minorHAnsi" w:hAnsiTheme="minorHAnsi"/>
                <w:b w:val="0"/>
                <w:color w:val="000000"/>
                <w:sz w:val="20"/>
                <w:szCs w:val="20"/>
              </w:rPr>
              <w:t>grafo</w:t>
            </w:r>
          </w:p>
        </w:tc>
        <w:tc>
          <w:tcPr>
            <w:tcW w:w="1790" w:type="dxa"/>
            <w:noWrap/>
            <w:hideMark/>
          </w:tcPr>
          <w:p w:rsidR="00E63E67" w:rsidRPr="00E63E67" w:rsidRDefault="00E63E67" w:rsidP="00E63E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63E67">
              <w:rPr>
                <w:rFonts w:asciiTheme="minorHAnsi" w:hAnsiTheme="minorHAnsi"/>
                <w:color w:val="000000"/>
                <w:sz w:val="20"/>
                <w:szCs w:val="20"/>
              </w:rPr>
              <w:t>Saturado</w:t>
            </w:r>
          </w:p>
        </w:tc>
        <w:tc>
          <w:tcPr>
            <w:tcW w:w="1677" w:type="dxa"/>
            <w:noWrap/>
            <w:hideMark/>
          </w:tcPr>
          <w:p w:rsidR="00E63E67" w:rsidRPr="00E63E67"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0"/>
                <w:szCs w:val="20"/>
              </w:rPr>
            </w:pPr>
            <w:r w:rsidRPr="00E63E67">
              <w:rPr>
                <w:rFonts w:asciiTheme="minorHAnsi" w:hAnsiTheme="minorHAnsi"/>
                <w:bCs/>
                <w:color w:val="000000"/>
                <w:sz w:val="20"/>
                <w:szCs w:val="20"/>
              </w:rPr>
              <w:t>-10.436</w:t>
            </w:r>
          </w:p>
        </w:tc>
      </w:tr>
      <w:tr w:rsidR="00E63E67" w:rsidRPr="00E63E67" w:rsidTr="00E63E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5" w:type="dxa"/>
            <w:noWrap/>
            <w:hideMark/>
          </w:tcPr>
          <w:p w:rsidR="00E63E67" w:rsidRPr="00E63E67" w:rsidRDefault="00E63E67">
            <w:pPr>
              <w:rPr>
                <w:rFonts w:asciiTheme="minorHAnsi" w:hAnsiTheme="minorHAnsi"/>
                <w:b w:val="0"/>
                <w:color w:val="000000"/>
                <w:sz w:val="20"/>
                <w:szCs w:val="20"/>
              </w:rPr>
            </w:pPr>
            <w:r w:rsidRPr="00E63E67">
              <w:rPr>
                <w:rFonts w:asciiTheme="minorHAnsi" w:hAnsiTheme="minorHAnsi"/>
                <w:b w:val="0"/>
                <w:color w:val="000000"/>
                <w:sz w:val="20"/>
                <w:szCs w:val="20"/>
              </w:rPr>
              <w:t>RX</w:t>
            </w:r>
          </w:p>
        </w:tc>
        <w:tc>
          <w:tcPr>
            <w:tcW w:w="1790" w:type="dxa"/>
            <w:noWrap/>
            <w:hideMark/>
          </w:tcPr>
          <w:p w:rsidR="00E63E67" w:rsidRPr="00E63E67" w:rsidRDefault="00E63E67" w:rsidP="00E63E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E63E67">
              <w:rPr>
                <w:rFonts w:asciiTheme="minorHAnsi" w:hAnsiTheme="minorHAnsi"/>
                <w:color w:val="000000"/>
                <w:sz w:val="20"/>
                <w:szCs w:val="20"/>
              </w:rPr>
              <w:t>2018</w:t>
            </w:r>
          </w:p>
        </w:tc>
        <w:tc>
          <w:tcPr>
            <w:tcW w:w="1677" w:type="dxa"/>
            <w:noWrap/>
            <w:hideMark/>
          </w:tcPr>
          <w:p w:rsidR="00E63E67" w:rsidRPr="00E63E67"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0"/>
                <w:szCs w:val="20"/>
              </w:rPr>
            </w:pPr>
            <w:r w:rsidRPr="00E63E67">
              <w:rPr>
                <w:rFonts w:asciiTheme="minorHAnsi" w:hAnsiTheme="minorHAnsi"/>
                <w:bCs/>
                <w:color w:val="000000"/>
                <w:sz w:val="20"/>
                <w:szCs w:val="20"/>
              </w:rPr>
              <w:t>7.722</w:t>
            </w:r>
          </w:p>
        </w:tc>
      </w:tr>
      <w:tr w:rsidR="00E63E67" w:rsidRPr="00E63E67" w:rsidTr="00E63E67">
        <w:trPr>
          <w:trHeight w:val="20"/>
        </w:trPr>
        <w:tc>
          <w:tcPr>
            <w:cnfStyle w:val="001000000000" w:firstRow="0" w:lastRow="0" w:firstColumn="1" w:lastColumn="0" w:oddVBand="0" w:evenVBand="0" w:oddHBand="0" w:evenHBand="0" w:firstRowFirstColumn="0" w:firstRowLastColumn="0" w:lastRowFirstColumn="0" w:lastRowLastColumn="0"/>
            <w:tcW w:w="3265" w:type="dxa"/>
            <w:noWrap/>
            <w:hideMark/>
          </w:tcPr>
          <w:p w:rsidR="00E63E67" w:rsidRPr="00E63E67" w:rsidRDefault="00E63E67">
            <w:pPr>
              <w:rPr>
                <w:rFonts w:asciiTheme="minorHAnsi" w:hAnsiTheme="minorHAnsi"/>
                <w:b w:val="0"/>
                <w:color w:val="000000"/>
                <w:sz w:val="20"/>
                <w:szCs w:val="20"/>
              </w:rPr>
            </w:pPr>
            <w:r w:rsidRPr="00E63E67">
              <w:rPr>
                <w:rFonts w:asciiTheme="minorHAnsi" w:hAnsiTheme="minorHAnsi"/>
                <w:b w:val="0"/>
                <w:color w:val="000000"/>
                <w:sz w:val="20"/>
                <w:szCs w:val="20"/>
              </w:rPr>
              <w:t>Endoscopía</w:t>
            </w:r>
          </w:p>
        </w:tc>
        <w:tc>
          <w:tcPr>
            <w:tcW w:w="1790" w:type="dxa"/>
            <w:noWrap/>
            <w:hideMark/>
          </w:tcPr>
          <w:p w:rsidR="00E63E67" w:rsidRPr="00E63E67" w:rsidRDefault="00E63E67" w:rsidP="00E63E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63E67">
              <w:rPr>
                <w:rFonts w:asciiTheme="minorHAnsi" w:hAnsiTheme="minorHAnsi"/>
                <w:color w:val="000000"/>
                <w:sz w:val="20"/>
                <w:szCs w:val="20"/>
              </w:rPr>
              <w:t>Saturado</w:t>
            </w:r>
          </w:p>
        </w:tc>
        <w:tc>
          <w:tcPr>
            <w:tcW w:w="1677" w:type="dxa"/>
            <w:noWrap/>
            <w:hideMark/>
          </w:tcPr>
          <w:p w:rsidR="00E63E67" w:rsidRPr="00E63E67"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0"/>
                <w:szCs w:val="20"/>
              </w:rPr>
            </w:pPr>
            <w:r w:rsidRPr="00E63E67">
              <w:rPr>
                <w:rFonts w:asciiTheme="minorHAnsi" w:hAnsiTheme="minorHAnsi"/>
                <w:bCs/>
                <w:color w:val="000000"/>
                <w:sz w:val="20"/>
                <w:szCs w:val="20"/>
              </w:rPr>
              <w:t>-10.458</w:t>
            </w:r>
          </w:p>
        </w:tc>
      </w:tr>
      <w:tr w:rsidR="00E63E67" w:rsidRPr="00E63E67" w:rsidTr="00E63E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5" w:type="dxa"/>
            <w:noWrap/>
            <w:hideMark/>
          </w:tcPr>
          <w:p w:rsidR="00E63E67" w:rsidRPr="00E63E67" w:rsidRDefault="00E63E67">
            <w:pPr>
              <w:rPr>
                <w:rFonts w:asciiTheme="minorHAnsi" w:hAnsiTheme="minorHAnsi"/>
                <w:b w:val="0"/>
                <w:color w:val="000000"/>
                <w:sz w:val="20"/>
                <w:szCs w:val="20"/>
              </w:rPr>
            </w:pPr>
            <w:r w:rsidRPr="00E63E67">
              <w:rPr>
                <w:rFonts w:asciiTheme="minorHAnsi" w:hAnsiTheme="minorHAnsi"/>
                <w:b w:val="0"/>
                <w:color w:val="000000"/>
                <w:sz w:val="20"/>
                <w:szCs w:val="20"/>
              </w:rPr>
              <w:t>Ecógrafo</w:t>
            </w:r>
          </w:p>
        </w:tc>
        <w:tc>
          <w:tcPr>
            <w:tcW w:w="1790" w:type="dxa"/>
            <w:noWrap/>
            <w:hideMark/>
          </w:tcPr>
          <w:p w:rsidR="00E63E67" w:rsidRPr="00E63E67" w:rsidRDefault="00E63E67" w:rsidP="00E63E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E63E67">
              <w:rPr>
                <w:rFonts w:asciiTheme="minorHAnsi" w:hAnsiTheme="minorHAnsi"/>
                <w:color w:val="000000"/>
                <w:sz w:val="20"/>
                <w:szCs w:val="20"/>
              </w:rPr>
              <w:t>Saturado</w:t>
            </w:r>
          </w:p>
        </w:tc>
        <w:tc>
          <w:tcPr>
            <w:tcW w:w="1677" w:type="dxa"/>
            <w:noWrap/>
            <w:hideMark/>
          </w:tcPr>
          <w:p w:rsidR="00E63E67" w:rsidRPr="00E63E67"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0"/>
                <w:szCs w:val="20"/>
              </w:rPr>
            </w:pPr>
            <w:r w:rsidRPr="00E63E67">
              <w:rPr>
                <w:rFonts w:asciiTheme="minorHAnsi" w:hAnsiTheme="minorHAnsi"/>
                <w:bCs/>
                <w:color w:val="000000"/>
                <w:sz w:val="20"/>
                <w:szCs w:val="20"/>
              </w:rPr>
              <w:t>-87.767</w:t>
            </w:r>
          </w:p>
        </w:tc>
      </w:tr>
      <w:tr w:rsidR="00E63E67" w:rsidRPr="00E63E67" w:rsidTr="00E63E67">
        <w:trPr>
          <w:trHeight w:val="20"/>
        </w:trPr>
        <w:tc>
          <w:tcPr>
            <w:cnfStyle w:val="001000000000" w:firstRow="0" w:lastRow="0" w:firstColumn="1" w:lastColumn="0" w:oddVBand="0" w:evenVBand="0" w:oddHBand="0" w:evenHBand="0" w:firstRowFirstColumn="0" w:firstRowLastColumn="0" w:lastRowFirstColumn="0" w:lastRowLastColumn="0"/>
            <w:tcW w:w="3265" w:type="dxa"/>
            <w:noWrap/>
            <w:hideMark/>
          </w:tcPr>
          <w:p w:rsidR="00E63E67" w:rsidRPr="00E63E67" w:rsidRDefault="005352F3">
            <w:pPr>
              <w:rPr>
                <w:rFonts w:asciiTheme="minorHAnsi" w:hAnsiTheme="minorHAnsi"/>
                <w:b w:val="0"/>
                <w:color w:val="000000"/>
                <w:sz w:val="20"/>
                <w:szCs w:val="20"/>
              </w:rPr>
            </w:pPr>
            <w:r w:rsidRPr="00E63E67">
              <w:rPr>
                <w:rFonts w:asciiTheme="minorHAnsi" w:hAnsiTheme="minorHAnsi"/>
                <w:b w:val="0"/>
                <w:color w:val="000000"/>
                <w:sz w:val="20"/>
                <w:szCs w:val="20"/>
              </w:rPr>
              <w:t>Tomógrafo</w:t>
            </w:r>
          </w:p>
        </w:tc>
        <w:tc>
          <w:tcPr>
            <w:tcW w:w="1790" w:type="dxa"/>
            <w:noWrap/>
            <w:hideMark/>
          </w:tcPr>
          <w:p w:rsidR="00E63E67" w:rsidRPr="00E63E67" w:rsidRDefault="00E63E67" w:rsidP="00E63E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63E67">
              <w:rPr>
                <w:rFonts w:asciiTheme="minorHAnsi" w:hAnsiTheme="minorHAnsi"/>
                <w:color w:val="000000"/>
                <w:sz w:val="20"/>
                <w:szCs w:val="20"/>
              </w:rPr>
              <w:t>2036</w:t>
            </w:r>
          </w:p>
        </w:tc>
        <w:tc>
          <w:tcPr>
            <w:tcW w:w="1677" w:type="dxa"/>
            <w:noWrap/>
            <w:hideMark/>
          </w:tcPr>
          <w:p w:rsidR="00E63E67" w:rsidRPr="00E63E67"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0"/>
                <w:szCs w:val="20"/>
              </w:rPr>
            </w:pPr>
            <w:r w:rsidRPr="00E63E67">
              <w:rPr>
                <w:rFonts w:asciiTheme="minorHAnsi" w:hAnsiTheme="minorHAnsi"/>
                <w:bCs/>
                <w:color w:val="000000"/>
                <w:sz w:val="20"/>
                <w:szCs w:val="20"/>
              </w:rPr>
              <w:t>8.892</w:t>
            </w:r>
          </w:p>
        </w:tc>
      </w:tr>
      <w:tr w:rsidR="00E63E67" w:rsidRPr="00E63E67" w:rsidTr="00E63E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5" w:type="dxa"/>
            <w:noWrap/>
            <w:hideMark/>
          </w:tcPr>
          <w:p w:rsidR="00E63E67" w:rsidRPr="00E63E67" w:rsidRDefault="00E63E67">
            <w:pPr>
              <w:rPr>
                <w:rFonts w:asciiTheme="minorHAnsi" w:hAnsiTheme="minorHAnsi"/>
                <w:b w:val="0"/>
                <w:color w:val="000000"/>
                <w:sz w:val="20"/>
                <w:szCs w:val="20"/>
              </w:rPr>
            </w:pPr>
            <w:r w:rsidRPr="00E63E67">
              <w:rPr>
                <w:rFonts w:asciiTheme="minorHAnsi" w:hAnsiTheme="minorHAnsi"/>
                <w:b w:val="0"/>
                <w:color w:val="000000"/>
                <w:sz w:val="20"/>
                <w:szCs w:val="20"/>
              </w:rPr>
              <w:t>Quimioterapia</w:t>
            </w:r>
          </w:p>
        </w:tc>
        <w:tc>
          <w:tcPr>
            <w:tcW w:w="1790" w:type="dxa"/>
            <w:noWrap/>
            <w:hideMark/>
          </w:tcPr>
          <w:p w:rsidR="00E63E67" w:rsidRPr="00E63E67" w:rsidRDefault="00E63E67" w:rsidP="00E63E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E63E67">
              <w:rPr>
                <w:rFonts w:asciiTheme="minorHAnsi" w:hAnsiTheme="minorHAnsi"/>
                <w:color w:val="000000"/>
                <w:sz w:val="20"/>
                <w:szCs w:val="20"/>
              </w:rPr>
              <w:t>Saturado</w:t>
            </w:r>
          </w:p>
        </w:tc>
        <w:tc>
          <w:tcPr>
            <w:tcW w:w="1677" w:type="dxa"/>
            <w:noWrap/>
            <w:hideMark/>
          </w:tcPr>
          <w:p w:rsidR="00E63E67" w:rsidRPr="00E63E67"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0"/>
                <w:szCs w:val="20"/>
              </w:rPr>
            </w:pPr>
            <w:r w:rsidRPr="00E63E67">
              <w:rPr>
                <w:rFonts w:asciiTheme="minorHAnsi" w:hAnsiTheme="minorHAnsi"/>
                <w:bCs/>
                <w:color w:val="000000"/>
                <w:sz w:val="20"/>
                <w:szCs w:val="20"/>
              </w:rPr>
              <w:t>-57.771</w:t>
            </w:r>
          </w:p>
        </w:tc>
      </w:tr>
      <w:tr w:rsidR="00E63E67" w:rsidRPr="00E63E67" w:rsidTr="00E63E67">
        <w:trPr>
          <w:trHeight w:val="20"/>
        </w:trPr>
        <w:tc>
          <w:tcPr>
            <w:cnfStyle w:val="001000000000" w:firstRow="0" w:lastRow="0" w:firstColumn="1" w:lastColumn="0" w:oddVBand="0" w:evenVBand="0" w:oddHBand="0" w:evenHBand="0" w:firstRowFirstColumn="0" w:firstRowLastColumn="0" w:lastRowFirstColumn="0" w:lastRowLastColumn="0"/>
            <w:tcW w:w="3265" w:type="dxa"/>
            <w:noWrap/>
            <w:hideMark/>
          </w:tcPr>
          <w:p w:rsidR="00E63E67" w:rsidRPr="00E63E67" w:rsidRDefault="00E63E67">
            <w:pPr>
              <w:rPr>
                <w:rFonts w:asciiTheme="minorHAnsi" w:hAnsiTheme="minorHAnsi"/>
                <w:b w:val="0"/>
                <w:color w:val="000000"/>
                <w:sz w:val="20"/>
                <w:szCs w:val="20"/>
              </w:rPr>
            </w:pPr>
            <w:r w:rsidRPr="00E63E67">
              <w:rPr>
                <w:rFonts w:asciiTheme="minorHAnsi" w:hAnsiTheme="minorHAnsi"/>
                <w:b w:val="0"/>
                <w:color w:val="000000"/>
                <w:sz w:val="20"/>
                <w:szCs w:val="20"/>
              </w:rPr>
              <w:t>Radioterapia externa</w:t>
            </w:r>
          </w:p>
        </w:tc>
        <w:tc>
          <w:tcPr>
            <w:tcW w:w="1790" w:type="dxa"/>
            <w:noWrap/>
            <w:hideMark/>
          </w:tcPr>
          <w:p w:rsidR="00E63E67" w:rsidRPr="00E63E67" w:rsidRDefault="00E63E67" w:rsidP="00E63E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63E67">
              <w:rPr>
                <w:rFonts w:asciiTheme="minorHAnsi" w:hAnsiTheme="minorHAnsi"/>
                <w:color w:val="000000"/>
                <w:sz w:val="20"/>
                <w:szCs w:val="20"/>
              </w:rPr>
              <w:t>Saturado</w:t>
            </w:r>
          </w:p>
        </w:tc>
        <w:tc>
          <w:tcPr>
            <w:tcW w:w="1677" w:type="dxa"/>
            <w:noWrap/>
            <w:hideMark/>
          </w:tcPr>
          <w:p w:rsidR="00E63E67" w:rsidRPr="00E63E67"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0"/>
                <w:szCs w:val="20"/>
              </w:rPr>
            </w:pPr>
            <w:r w:rsidRPr="00E63E67">
              <w:rPr>
                <w:rFonts w:asciiTheme="minorHAnsi" w:hAnsiTheme="minorHAnsi"/>
                <w:bCs/>
                <w:color w:val="000000"/>
                <w:sz w:val="20"/>
                <w:szCs w:val="20"/>
              </w:rPr>
              <w:t>-17.639</w:t>
            </w:r>
          </w:p>
        </w:tc>
      </w:tr>
      <w:tr w:rsidR="00E63E67" w:rsidRPr="00E63E67" w:rsidTr="00E63E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65" w:type="dxa"/>
            <w:noWrap/>
            <w:hideMark/>
          </w:tcPr>
          <w:p w:rsidR="00E63E67" w:rsidRPr="00E63E67" w:rsidRDefault="00E63E67">
            <w:pPr>
              <w:rPr>
                <w:rFonts w:asciiTheme="minorHAnsi" w:hAnsiTheme="minorHAnsi"/>
                <w:b w:val="0"/>
                <w:color w:val="000000"/>
                <w:sz w:val="20"/>
                <w:szCs w:val="20"/>
              </w:rPr>
            </w:pPr>
            <w:r w:rsidRPr="00E63E67">
              <w:rPr>
                <w:rFonts w:asciiTheme="minorHAnsi" w:hAnsiTheme="minorHAnsi"/>
                <w:b w:val="0"/>
                <w:color w:val="000000"/>
                <w:sz w:val="20"/>
                <w:szCs w:val="20"/>
              </w:rPr>
              <w:t>Radioterapia interna (Braquiterapia)</w:t>
            </w:r>
          </w:p>
        </w:tc>
        <w:tc>
          <w:tcPr>
            <w:tcW w:w="1790" w:type="dxa"/>
            <w:noWrap/>
            <w:hideMark/>
          </w:tcPr>
          <w:p w:rsidR="00E63E67" w:rsidRPr="00E63E67" w:rsidRDefault="00E63E67" w:rsidP="00E63E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E63E67">
              <w:rPr>
                <w:rFonts w:asciiTheme="minorHAnsi" w:hAnsiTheme="minorHAnsi"/>
                <w:color w:val="000000"/>
                <w:sz w:val="20"/>
                <w:szCs w:val="20"/>
              </w:rPr>
              <w:t>Saturado</w:t>
            </w:r>
          </w:p>
        </w:tc>
        <w:tc>
          <w:tcPr>
            <w:tcW w:w="1677" w:type="dxa"/>
            <w:noWrap/>
            <w:hideMark/>
          </w:tcPr>
          <w:p w:rsidR="00E63E67" w:rsidRPr="00E63E67"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0"/>
                <w:szCs w:val="20"/>
              </w:rPr>
            </w:pPr>
            <w:r w:rsidRPr="00E63E67">
              <w:rPr>
                <w:rFonts w:asciiTheme="minorHAnsi" w:hAnsiTheme="minorHAnsi"/>
                <w:bCs/>
                <w:color w:val="000000"/>
                <w:sz w:val="20"/>
                <w:szCs w:val="20"/>
              </w:rPr>
              <w:t>-1.436</w:t>
            </w:r>
          </w:p>
        </w:tc>
      </w:tr>
      <w:tr w:rsidR="00E63E67" w:rsidRPr="00E63E67" w:rsidTr="00E63E67">
        <w:trPr>
          <w:trHeight w:val="20"/>
        </w:trPr>
        <w:tc>
          <w:tcPr>
            <w:cnfStyle w:val="001000000000" w:firstRow="0" w:lastRow="0" w:firstColumn="1" w:lastColumn="0" w:oddVBand="0" w:evenVBand="0" w:oddHBand="0" w:evenHBand="0" w:firstRowFirstColumn="0" w:firstRowLastColumn="0" w:lastRowFirstColumn="0" w:lastRowLastColumn="0"/>
            <w:tcW w:w="3265" w:type="dxa"/>
            <w:noWrap/>
            <w:hideMark/>
          </w:tcPr>
          <w:p w:rsidR="00E63E67" w:rsidRPr="00E63E67" w:rsidRDefault="005352F3">
            <w:pPr>
              <w:rPr>
                <w:rFonts w:asciiTheme="minorHAnsi" w:hAnsiTheme="minorHAnsi"/>
                <w:b w:val="0"/>
                <w:color w:val="000000"/>
                <w:sz w:val="20"/>
                <w:szCs w:val="20"/>
              </w:rPr>
            </w:pPr>
            <w:r w:rsidRPr="00E63E67">
              <w:rPr>
                <w:rFonts w:asciiTheme="minorHAnsi" w:hAnsiTheme="minorHAnsi"/>
                <w:b w:val="0"/>
                <w:color w:val="000000"/>
                <w:sz w:val="20"/>
                <w:szCs w:val="20"/>
              </w:rPr>
              <w:t>Gamma cámara</w:t>
            </w:r>
          </w:p>
        </w:tc>
        <w:tc>
          <w:tcPr>
            <w:tcW w:w="1790" w:type="dxa"/>
            <w:noWrap/>
            <w:hideMark/>
          </w:tcPr>
          <w:p w:rsidR="00E63E67" w:rsidRPr="00E63E67" w:rsidRDefault="00E63E67" w:rsidP="00E63E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E63E67">
              <w:rPr>
                <w:rFonts w:asciiTheme="minorHAnsi" w:hAnsiTheme="minorHAnsi"/>
                <w:color w:val="000000"/>
                <w:sz w:val="20"/>
                <w:szCs w:val="20"/>
              </w:rPr>
              <w:t>Saturado</w:t>
            </w:r>
          </w:p>
        </w:tc>
        <w:tc>
          <w:tcPr>
            <w:tcW w:w="1677" w:type="dxa"/>
            <w:noWrap/>
            <w:hideMark/>
          </w:tcPr>
          <w:p w:rsidR="00E63E67" w:rsidRPr="00E63E67"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20"/>
                <w:szCs w:val="20"/>
              </w:rPr>
            </w:pPr>
            <w:r w:rsidRPr="00E63E67">
              <w:rPr>
                <w:rFonts w:asciiTheme="minorHAnsi" w:hAnsiTheme="minorHAnsi"/>
                <w:bCs/>
                <w:color w:val="000000"/>
                <w:sz w:val="20"/>
                <w:szCs w:val="20"/>
              </w:rPr>
              <w:t>-9.858</w:t>
            </w:r>
          </w:p>
        </w:tc>
      </w:tr>
    </w:tbl>
    <w:p w:rsidR="000F285D" w:rsidRPr="003F0897" w:rsidRDefault="000F285D" w:rsidP="000F285D">
      <w:pPr>
        <w:keepNext/>
        <w:spacing w:after="120"/>
        <w:jc w:val="both"/>
        <w:rPr>
          <w:rFonts w:asciiTheme="minorHAnsi" w:hAnsiTheme="minorHAnsi" w:cstheme="minorHAnsi"/>
          <w:sz w:val="18"/>
          <w:szCs w:val="18"/>
        </w:rPr>
      </w:pPr>
      <w:r w:rsidRPr="003F0897">
        <w:rPr>
          <w:rFonts w:asciiTheme="minorHAnsi" w:hAnsiTheme="minorHAnsi" w:cstheme="minorHAnsi"/>
          <w:sz w:val="18"/>
          <w:szCs w:val="18"/>
        </w:rPr>
        <w:t>Fuente: Elaboración propia</w:t>
      </w:r>
    </w:p>
    <w:p w:rsidR="000F285D" w:rsidRPr="009C76DB" w:rsidRDefault="000F285D" w:rsidP="000F285D">
      <w:pPr>
        <w:keepNext/>
        <w:widowControl w:val="0"/>
        <w:autoSpaceDE w:val="0"/>
        <w:autoSpaceDN w:val="0"/>
        <w:adjustRightInd w:val="0"/>
        <w:spacing w:after="240"/>
        <w:ind w:right="23"/>
        <w:jc w:val="both"/>
        <w:rPr>
          <w:rFonts w:asciiTheme="minorHAnsi" w:hAnsiTheme="minorHAnsi" w:cstheme="minorHAnsi"/>
          <w:bCs/>
          <w:sz w:val="22"/>
          <w:szCs w:val="22"/>
        </w:rPr>
      </w:pPr>
    </w:p>
    <w:p w:rsidR="000F285D" w:rsidRPr="009C76DB" w:rsidRDefault="000F285D" w:rsidP="000F285D">
      <w:pPr>
        <w:jc w:val="both"/>
        <w:rPr>
          <w:rFonts w:asciiTheme="minorHAnsi" w:hAnsiTheme="minorHAnsi" w:cstheme="minorHAnsi"/>
          <w:bCs/>
          <w:sz w:val="22"/>
          <w:szCs w:val="22"/>
        </w:rPr>
      </w:pPr>
    </w:p>
    <w:p w:rsidR="000E565D" w:rsidRDefault="000E565D">
      <w:pPr>
        <w:rPr>
          <w:rFonts w:asciiTheme="minorHAnsi" w:hAnsiTheme="minorHAnsi" w:cstheme="minorHAnsi"/>
          <w:bCs/>
          <w:sz w:val="22"/>
          <w:szCs w:val="22"/>
        </w:rPr>
      </w:pPr>
      <w:r>
        <w:rPr>
          <w:rFonts w:asciiTheme="minorHAnsi" w:hAnsiTheme="minorHAnsi" w:cstheme="minorHAnsi"/>
          <w:bCs/>
          <w:sz w:val="22"/>
          <w:szCs w:val="22"/>
        </w:rPr>
        <w:br w:type="page"/>
      </w:r>
    </w:p>
    <w:p w:rsidR="00524B70" w:rsidRDefault="00524B70" w:rsidP="00524B70"/>
    <w:p w:rsidR="000F285D" w:rsidRDefault="000F285D" w:rsidP="000F285D">
      <w:pPr>
        <w:pStyle w:val="Heading1"/>
        <w:rPr>
          <w:rFonts w:asciiTheme="minorHAnsi" w:hAnsiTheme="minorHAnsi" w:cstheme="minorHAnsi"/>
          <w:sz w:val="22"/>
        </w:rPr>
      </w:pPr>
      <w:bookmarkStart w:id="73" w:name="_Toc373093537"/>
      <w:r w:rsidRPr="009C76DB">
        <w:rPr>
          <w:rFonts w:asciiTheme="minorHAnsi" w:hAnsiTheme="minorHAnsi" w:cstheme="minorHAnsi"/>
          <w:sz w:val="22"/>
        </w:rPr>
        <w:t>SITUACIÓN CON PROYECTO</w:t>
      </w:r>
      <w:bookmarkEnd w:id="73"/>
    </w:p>
    <w:p w:rsidR="00B7320B" w:rsidRDefault="00B7320B" w:rsidP="00B7320B"/>
    <w:p w:rsidR="00B7320B" w:rsidRDefault="00B7320B" w:rsidP="005D51C3">
      <w:pPr>
        <w:jc w:val="both"/>
        <w:rPr>
          <w:rFonts w:asciiTheme="minorHAnsi" w:hAnsiTheme="minorHAnsi"/>
          <w:sz w:val="22"/>
        </w:rPr>
      </w:pPr>
      <w:r w:rsidRPr="00B7320B">
        <w:rPr>
          <w:rFonts w:asciiTheme="minorHAnsi" w:hAnsiTheme="minorHAnsi"/>
          <w:sz w:val="22"/>
        </w:rPr>
        <w:t>En este apartado no se repite cada tabla de oferta</w:t>
      </w:r>
      <w:r>
        <w:rPr>
          <w:rFonts w:asciiTheme="minorHAnsi" w:hAnsiTheme="minorHAnsi"/>
          <w:sz w:val="22"/>
        </w:rPr>
        <w:t xml:space="preserve"> mostrada en la sección anterior, la forma de estimación d</w:t>
      </w:r>
      <w:r w:rsidR="00A67DE4">
        <w:rPr>
          <w:rFonts w:asciiTheme="minorHAnsi" w:hAnsiTheme="minorHAnsi"/>
          <w:sz w:val="22"/>
        </w:rPr>
        <w:t>e</w:t>
      </w:r>
      <w:r>
        <w:rPr>
          <w:rFonts w:asciiTheme="minorHAnsi" w:hAnsiTheme="minorHAnsi"/>
          <w:sz w:val="22"/>
        </w:rPr>
        <w:t xml:space="preserve"> la oferta potencial en la situación con proyecto es exactamente la misma. Lo único que varía evidentemente</w:t>
      </w:r>
      <w:r w:rsidR="005D51C3">
        <w:rPr>
          <w:rFonts w:asciiTheme="minorHAnsi" w:hAnsiTheme="minorHAnsi"/>
          <w:sz w:val="22"/>
        </w:rPr>
        <w:t xml:space="preserve">, es la adición de oferta en cada una de las prestaciones producto del proyecto en análisis. Sólo se </w:t>
      </w:r>
      <w:r w:rsidR="00170192">
        <w:rPr>
          <w:rFonts w:asciiTheme="minorHAnsi" w:hAnsiTheme="minorHAnsi"/>
          <w:sz w:val="22"/>
        </w:rPr>
        <w:t>explicitan</w:t>
      </w:r>
      <w:r w:rsidR="005D51C3">
        <w:rPr>
          <w:rFonts w:asciiTheme="minorHAnsi" w:hAnsiTheme="minorHAnsi"/>
          <w:sz w:val="22"/>
        </w:rPr>
        <w:t xml:space="preserve"> las tablas de oferta de las prestaciones nuevas que aportará el proyecto.</w:t>
      </w:r>
    </w:p>
    <w:p w:rsidR="005D51C3" w:rsidRPr="00B7320B" w:rsidRDefault="005D51C3" w:rsidP="00B7320B">
      <w:pPr>
        <w:rPr>
          <w:rFonts w:asciiTheme="minorHAnsi" w:hAnsiTheme="minorHAnsi"/>
          <w:sz w:val="22"/>
        </w:rPr>
      </w:pPr>
    </w:p>
    <w:p w:rsidR="006A7A69" w:rsidRPr="00B902DA" w:rsidRDefault="006A7A69" w:rsidP="008A366B">
      <w:pPr>
        <w:pStyle w:val="Heading2"/>
        <w:numPr>
          <w:ilvl w:val="1"/>
          <w:numId w:val="1"/>
        </w:numPr>
        <w:spacing w:line="276" w:lineRule="auto"/>
        <w:rPr>
          <w:rFonts w:asciiTheme="minorHAnsi" w:hAnsiTheme="minorHAnsi" w:cstheme="minorHAnsi"/>
        </w:rPr>
      </w:pPr>
      <w:bookmarkStart w:id="74" w:name="_Toc373093538"/>
      <w:r w:rsidRPr="00B902DA">
        <w:rPr>
          <w:rFonts w:asciiTheme="minorHAnsi" w:hAnsiTheme="minorHAnsi" w:cstheme="minorHAnsi"/>
        </w:rPr>
        <w:t>Estimación oferta potencial por prestación sanitaria</w:t>
      </w:r>
      <w:bookmarkEnd w:id="74"/>
    </w:p>
    <w:p w:rsidR="006A7A69" w:rsidRDefault="006A7A69" w:rsidP="006A7A69">
      <w:pPr>
        <w:rPr>
          <w:rFonts w:asciiTheme="minorHAnsi" w:hAnsiTheme="minorHAnsi" w:cstheme="minorHAnsi"/>
          <w:sz w:val="22"/>
        </w:rPr>
      </w:pPr>
    </w:p>
    <w:p w:rsidR="005A5333" w:rsidRDefault="005A5333" w:rsidP="00171933">
      <w:pPr>
        <w:jc w:val="both"/>
        <w:rPr>
          <w:rFonts w:asciiTheme="minorHAnsi" w:hAnsiTheme="minorHAnsi" w:cstheme="minorHAnsi"/>
          <w:sz w:val="22"/>
        </w:rPr>
      </w:pPr>
      <w:r>
        <w:rPr>
          <w:rFonts w:asciiTheme="minorHAnsi" w:hAnsiTheme="minorHAnsi" w:cstheme="minorHAnsi"/>
          <w:sz w:val="22"/>
        </w:rPr>
        <w:t>La oferta potencial de estudios de resonancia magnética se estiman</w:t>
      </w:r>
      <w:r w:rsidR="00F828CC">
        <w:rPr>
          <w:rFonts w:asciiTheme="minorHAnsi" w:hAnsiTheme="minorHAnsi" w:cstheme="minorHAnsi"/>
          <w:sz w:val="22"/>
        </w:rPr>
        <w:t xml:space="preserve"> considerando un disponibilidad del equipo por un tiempo de 12 horas por 250 días laborables al año, con 30 minutos de duración por estudio,</w:t>
      </w:r>
      <w:r w:rsidR="00821065">
        <w:rPr>
          <w:rStyle w:val="FootnoteReference"/>
          <w:rFonts w:asciiTheme="minorHAnsi" w:hAnsiTheme="minorHAnsi" w:cstheme="minorHAnsi"/>
          <w:sz w:val="22"/>
        </w:rPr>
        <w:footnoteReference w:id="63"/>
      </w:r>
      <w:r w:rsidR="00F828CC">
        <w:rPr>
          <w:rFonts w:asciiTheme="minorHAnsi" w:hAnsiTheme="minorHAnsi" w:cstheme="minorHAnsi"/>
          <w:sz w:val="22"/>
        </w:rPr>
        <w:t xml:space="preserve"> de esta forma y considerando un factor de 85%, la cantidad de estudios se estima en 5.100 por año.</w:t>
      </w:r>
    </w:p>
    <w:p w:rsidR="005A5333" w:rsidRDefault="005A5333" w:rsidP="00171933">
      <w:pPr>
        <w:jc w:val="both"/>
        <w:rPr>
          <w:rFonts w:asciiTheme="minorHAnsi" w:hAnsiTheme="minorHAnsi" w:cstheme="minorHAnsi"/>
          <w:sz w:val="22"/>
        </w:rPr>
      </w:pPr>
    </w:p>
    <w:p w:rsidR="00F828CC" w:rsidRDefault="00F828CC" w:rsidP="00171933">
      <w:pPr>
        <w:jc w:val="both"/>
        <w:rPr>
          <w:rFonts w:asciiTheme="minorHAnsi" w:hAnsiTheme="minorHAnsi" w:cstheme="minorHAnsi"/>
          <w:sz w:val="22"/>
        </w:rPr>
      </w:pPr>
      <w:r>
        <w:rPr>
          <w:rFonts w:asciiTheme="minorHAnsi" w:hAnsiTheme="minorHAnsi" w:cstheme="minorHAnsi"/>
          <w:sz w:val="22"/>
        </w:rPr>
        <w:t xml:space="preserve">Tabla </w:t>
      </w:r>
      <w:r w:rsidR="00C84B59">
        <w:rPr>
          <w:rFonts w:asciiTheme="minorHAnsi" w:hAnsiTheme="minorHAnsi" w:cstheme="minorHAnsi"/>
          <w:sz w:val="22"/>
        </w:rPr>
        <w:t>6.1</w:t>
      </w:r>
      <w:r>
        <w:rPr>
          <w:rFonts w:asciiTheme="minorHAnsi" w:hAnsiTheme="minorHAnsi" w:cstheme="minorHAnsi"/>
          <w:sz w:val="22"/>
        </w:rPr>
        <w:t>: Oferta potencial de estudios de resonancia magnética</w:t>
      </w:r>
    </w:p>
    <w:tbl>
      <w:tblPr>
        <w:tblStyle w:val="LightShading-Accent3"/>
        <w:tblW w:w="8181" w:type="dxa"/>
        <w:tblLook w:val="04A0" w:firstRow="1" w:lastRow="0" w:firstColumn="1" w:lastColumn="0" w:noHBand="0" w:noVBand="1"/>
      </w:tblPr>
      <w:tblGrid>
        <w:gridCol w:w="1336"/>
        <w:gridCol w:w="1656"/>
        <w:gridCol w:w="1537"/>
        <w:gridCol w:w="1936"/>
        <w:gridCol w:w="1716"/>
      </w:tblGrid>
      <w:tr w:rsidR="00F828CC" w:rsidRPr="00F828CC" w:rsidTr="00C84B59">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336" w:type="dxa"/>
            <w:noWrap/>
            <w:vAlign w:val="center"/>
            <w:hideMark/>
          </w:tcPr>
          <w:p w:rsidR="005A5333" w:rsidRPr="00F828CC" w:rsidRDefault="005A5333" w:rsidP="00C84B59">
            <w:pPr>
              <w:jc w:val="center"/>
              <w:rPr>
                <w:rFonts w:ascii="Calibri" w:hAnsi="Calibri"/>
                <w:color w:val="000000" w:themeColor="text1"/>
                <w:sz w:val="20"/>
                <w:szCs w:val="22"/>
              </w:rPr>
            </w:pPr>
            <w:r w:rsidRPr="00F828CC">
              <w:rPr>
                <w:rFonts w:ascii="Calibri" w:hAnsi="Calibri"/>
                <w:color w:val="000000" w:themeColor="text1"/>
                <w:sz w:val="20"/>
                <w:szCs w:val="22"/>
              </w:rPr>
              <w:t>Nº de maquinas</w:t>
            </w:r>
          </w:p>
        </w:tc>
        <w:tc>
          <w:tcPr>
            <w:tcW w:w="1656" w:type="dxa"/>
            <w:noWrap/>
            <w:vAlign w:val="center"/>
            <w:hideMark/>
          </w:tcPr>
          <w:p w:rsidR="005A5333" w:rsidRPr="00F828CC" w:rsidRDefault="005A5333" w:rsidP="00C84B59">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0"/>
                <w:szCs w:val="22"/>
              </w:rPr>
            </w:pPr>
            <w:r w:rsidRPr="00F828CC">
              <w:rPr>
                <w:rFonts w:ascii="Calibri" w:hAnsi="Calibri"/>
                <w:color w:val="000000" w:themeColor="text1"/>
                <w:sz w:val="20"/>
                <w:szCs w:val="22"/>
              </w:rPr>
              <w:t>Tiempo por servicio (horas)</w:t>
            </w:r>
          </w:p>
        </w:tc>
        <w:tc>
          <w:tcPr>
            <w:tcW w:w="1537" w:type="dxa"/>
            <w:noWrap/>
            <w:vAlign w:val="center"/>
            <w:hideMark/>
          </w:tcPr>
          <w:p w:rsidR="005A5333" w:rsidRPr="00F828CC" w:rsidRDefault="005A5333" w:rsidP="00C84B59">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0"/>
                <w:szCs w:val="22"/>
              </w:rPr>
            </w:pPr>
            <w:r w:rsidRPr="00F828CC">
              <w:rPr>
                <w:rFonts w:ascii="Calibri" w:hAnsi="Calibri"/>
                <w:color w:val="000000" w:themeColor="text1"/>
                <w:sz w:val="20"/>
                <w:szCs w:val="22"/>
              </w:rPr>
              <w:t>Horas de funcionamiento diario</w:t>
            </w:r>
          </w:p>
        </w:tc>
        <w:tc>
          <w:tcPr>
            <w:tcW w:w="1936" w:type="dxa"/>
            <w:noWrap/>
            <w:vAlign w:val="center"/>
            <w:hideMark/>
          </w:tcPr>
          <w:p w:rsidR="005A5333" w:rsidRPr="00F828CC" w:rsidRDefault="005A5333" w:rsidP="00C84B59">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0"/>
                <w:szCs w:val="22"/>
              </w:rPr>
            </w:pPr>
            <w:r w:rsidRPr="00F828CC">
              <w:rPr>
                <w:rFonts w:ascii="Calibri" w:hAnsi="Calibri"/>
                <w:color w:val="000000" w:themeColor="text1"/>
                <w:sz w:val="20"/>
                <w:szCs w:val="22"/>
              </w:rPr>
              <w:t>Días laborables</w:t>
            </w:r>
          </w:p>
        </w:tc>
        <w:tc>
          <w:tcPr>
            <w:tcW w:w="1716" w:type="dxa"/>
            <w:noWrap/>
            <w:vAlign w:val="center"/>
            <w:hideMark/>
          </w:tcPr>
          <w:p w:rsidR="005A5333" w:rsidRPr="00F828CC" w:rsidRDefault="005A5333" w:rsidP="00C84B59">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0"/>
                <w:szCs w:val="22"/>
              </w:rPr>
            </w:pPr>
            <w:r w:rsidRPr="00F828CC">
              <w:rPr>
                <w:rFonts w:ascii="Calibri" w:hAnsi="Calibri"/>
                <w:color w:val="000000" w:themeColor="text1"/>
                <w:sz w:val="20"/>
                <w:szCs w:val="22"/>
              </w:rPr>
              <w:t>Total servicios /año</w:t>
            </w:r>
          </w:p>
        </w:tc>
      </w:tr>
      <w:tr w:rsidR="00F828CC" w:rsidRPr="00F828CC" w:rsidTr="00C84B5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336" w:type="dxa"/>
            <w:noWrap/>
            <w:vAlign w:val="center"/>
            <w:hideMark/>
          </w:tcPr>
          <w:p w:rsidR="005A5333" w:rsidRPr="00F828CC" w:rsidRDefault="005A5333" w:rsidP="00C84B59">
            <w:pPr>
              <w:jc w:val="center"/>
              <w:rPr>
                <w:rFonts w:ascii="Calibri" w:hAnsi="Calibri"/>
                <w:color w:val="000000" w:themeColor="text1"/>
                <w:sz w:val="20"/>
                <w:szCs w:val="22"/>
              </w:rPr>
            </w:pPr>
            <w:r w:rsidRPr="00F828CC">
              <w:rPr>
                <w:rFonts w:ascii="Calibri" w:hAnsi="Calibri"/>
                <w:color w:val="000000" w:themeColor="text1"/>
                <w:sz w:val="20"/>
                <w:szCs w:val="22"/>
              </w:rPr>
              <w:t>1</w:t>
            </w:r>
          </w:p>
        </w:tc>
        <w:tc>
          <w:tcPr>
            <w:tcW w:w="1656" w:type="dxa"/>
            <w:noWrap/>
            <w:vAlign w:val="center"/>
            <w:hideMark/>
          </w:tcPr>
          <w:p w:rsidR="005A5333" w:rsidRPr="00F828CC" w:rsidRDefault="005A5333" w:rsidP="00C84B5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2"/>
              </w:rPr>
            </w:pPr>
            <w:r w:rsidRPr="00F828CC">
              <w:rPr>
                <w:rFonts w:ascii="Calibri" w:hAnsi="Calibri"/>
                <w:color w:val="000000" w:themeColor="text1"/>
                <w:sz w:val="20"/>
                <w:szCs w:val="22"/>
              </w:rPr>
              <w:t>0,5000</w:t>
            </w:r>
          </w:p>
        </w:tc>
        <w:tc>
          <w:tcPr>
            <w:tcW w:w="1537" w:type="dxa"/>
            <w:noWrap/>
            <w:vAlign w:val="center"/>
            <w:hideMark/>
          </w:tcPr>
          <w:p w:rsidR="005A5333" w:rsidRPr="00F828CC" w:rsidRDefault="005A5333" w:rsidP="00C84B5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2"/>
              </w:rPr>
            </w:pPr>
            <w:r w:rsidRPr="00F828CC">
              <w:rPr>
                <w:rFonts w:ascii="Calibri" w:hAnsi="Calibri"/>
                <w:color w:val="000000" w:themeColor="text1"/>
                <w:sz w:val="20"/>
                <w:szCs w:val="22"/>
              </w:rPr>
              <w:t>12</w:t>
            </w:r>
          </w:p>
        </w:tc>
        <w:tc>
          <w:tcPr>
            <w:tcW w:w="1936" w:type="dxa"/>
            <w:noWrap/>
            <w:vAlign w:val="center"/>
            <w:hideMark/>
          </w:tcPr>
          <w:p w:rsidR="005A5333" w:rsidRPr="00F828CC" w:rsidRDefault="005A5333" w:rsidP="00C84B5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2"/>
              </w:rPr>
            </w:pPr>
            <w:r w:rsidRPr="00F828CC">
              <w:rPr>
                <w:rFonts w:ascii="Calibri" w:hAnsi="Calibri"/>
                <w:color w:val="000000" w:themeColor="text1"/>
                <w:sz w:val="20"/>
                <w:szCs w:val="22"/>
              </w:rPr>
              <w:t>250</w:t>
            </w:r>
          </w:p>
        </w:tc>
        <w:tc>
          <w:tcPr>
            <w:tcW w:w="1716" w:type="dxa"/>
            <w:noWrap/>
            <w:vAlign w:val="center"/>
            <w:hideMark/>
          </w:tcPr>
          <w:p w:rsidR="005A5333" w:rsidRPr="00F828CC" w:rsidRDefault="005A5333" w:rsidP="00C84B59">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2"/>
              </w:rPr>
            </w:pPr>
            <w:r w:rsidRPr="00F828CC">
              <w:rPr>
                <w:rFonts w:ascii="Calibri" w:hAnsi="Calibri"/>
                <w:color w:val="000000" w:themeColor="text1"/>
                <w:sz w:val="20"/>
                <w:szCs w:val="22"/>
              </w:rPr>
              <w:t>5.100</w:t>
            </w:r>
          </w:p>
        </w:tc>
      </w:tr>
    </w:tbl>
    <w:p w:rsidR="00F828CC" w:rsidRPr="00B902DA" w:rsidRDefault="00F828CC" w:rsidP="00F828CC">
      <w:pPr>
        <w:rPr>
          <w:rFonts w:asciiTheme="minorHAnsi" w:hAnsiTheme="minorHAnsi" w:cstheme="minorHAnsi"/>
          <w:bCs/>
          <w:sz w:val="18"/>
          <w:szCs w:val="18"/>
        </w:rPr>
      </w:pPr>
      <w:r w:rsidRPr="00B902DA">
        <w:rPr>
          <w:rFonts w:asciiTheme="minorHAnsi" w:hAnsiTheme="minorHAnsi" w:cstheme="minorHAnsi"/>
          <w:bCs/>
          <w:sz w:val="18"/>
          <w:szCs w:val="18"/>
        </w:rPr>
        <w:t>Fuente: Elaboración propia.</w:t>
      </w:r>
    </w:p>
    <w:p w:rsidR="005A5333" w:rsidRDefault="005A5333" w:rsidP="00171933">
      <w:pPr>
        <w:jc w:val="both"/>
        <w:rPr>
          <w:rFonts w:asciiTheme="minorHAnsi" w:hAnsiTheme="minorHAnsi" w:cstheme="minorHAnsi"/>
          <w:sz w:val="22"/>
        </w:rPr>
      </w:pPr>
    </w:p>
    <w:p w:rsidR="00F828CC" w:rsidRDefault="00F828CC" w:rsidP="00F828CC">
      <w:pPr>
        <w:jc w:val="both"/>
        <w:rPr>
          <w:rFonts w:asciiTheme="minorHAnsi" w:hAnsiTheme="minorHAnsi" w:cstheme="minorHAnsi"/>
          <w:sz w:val="22"/>
        </w:rPr>
      </w:pPr>
      <w:r>
        <w:rPr>
          <w:rFonts w:asciiTheme="minorHAnsi" w:hAnsiTheme="minorHAnsi" w:cstheme="minorHAnsi"/>
          <w:sz w:val="22"/>
        </w:rPr>
        <w:t xml:space="preserve">La oferta potencial de estudios mediante </w:t>
      </w:r>
      <w:r w:rsidR="005352F3">
        <w:rPr>
          <w:rFonts w:asciiTheme="minorHAnsi" w:hAnsiTheme="minorHAnsi" w:cstheme="minorHAnsi"/>
          <w:sz w:val="22"/>
        </w:rPr>
        <w:t>Gamma cámara</w:t>
      </w:r>
      <w:r>
        <w:rPr>
          <w:rFonts w:asciiTheme="minorHAnsi" w:hAnsiTheme="minorHAnsi" w:cstheme="minorHAnsi"/>
          <w:sz w:val="22"/>
        </w:rPr>
        <w:t xml:space="preserve"> se estiman considerando un disponibilidad del equipo por un tiempo de 12 horas por 250 días laborables al año, con una hora de duración por estudio</w:t>
      </w:r>
      <w:r w:rsidR="00A67DE4">
        <w:rPr>
          <w:rStyle w:val="FootnoteReference"/>
          <w:rFonts w:asciiTheme="minorHAnsi" w:hAnsiTheme="minorHAnsi" w:cstheme="minorHAnsi"/>
          <w:sz w:val="22"/>
        </w:rPr>
        <w:footnoteReference w:id="64"/>
      </w:r>
      <w:r>
        <w:rPr>
          <w:rFonts w:asciiTheme="minorHAnsi" w:hAnsiTheme="minorHAnsi" w:cstheme="minorHAnsi"/>
          <w:sz w:val="22"/>
        </w:rPr>
        <w:t>, de esta forma y considerando un factor de 85%, la cantidad de estudios se estima en 2.550 por año.</w:t>
      </w:r>
    </w:p>
    <w:p w:rsidR="005A5333" w:rsidRDefault="005A5333" w:rsidP="00171933">
      <w:pPr>
        <w:jc w:val="both"/>
        <w:rPr>
          <w:rFonts w:asciiTheme="minorHAnsi" w:hAnsiTheme="minorHAnsi" w:cstheme="minorHAnsi"/>
          <w:sz w:val="22"/>
        </w:rPr>
      </w:pPr>
    </w:p>
    <w:p w:rsidR="00247CE3" w:rsidRDefault="00247CE3" w:rsidP="00247CE3">
      <w:pPr>
        <w:jc w:val="both"/>
        <w:rPr>
          <w:rFonts w:asciiTheme="minorHAnsi" w:hAnsiTheme="minorHAnsi" w:cstheme="minorHAnsi"/>
          <w:sz w:val="22"/>
        </w:rPr>
      </w:pPr>
      <w:r>
        <w:rPr>
          <w:rFonts w:asciiTheme="minorHAnsi" w:hAnsiTheme="minorHAnsi" w:cstheme="minorHAnsi"/>
          <w:sz w:val="22"/>
        </w:rPr>
        <w:t xml:space="preserve">Tabla </w:t>
      </w:r>
      <w:r w:rsidR="00C84B59">
        <w:rPr>
          <w:rFonts w:asciiTheme="minorHAnsi" w:hAnsiTheme="minorHAnsi" w:cstheme="minorHAnsi"/>
          <w:sz w:val="22"/>
        </w:rPr>
        <w:t>6.2</w:t>
      </w:r>
      <w:r>
        <w:rPr>
          <w:rFonts w:asciiTheme="minorHAnsi" w:hAnsiTheme="minorHAnsi" w:cstheme="minorHAnsi"/>
          <w:sz w:val="22"/>
        </w:rPr>
        <w:t>: Oferta potencial de estudios de resonancia magnética</w:t>
      </w:r>
    </w:p>
    <w:tbl>
      <w:tblPr>
        <w:tblStyle w:val="LightShading-Accent3"/>
        <w:tblW w:w="8105" w:type="dxa"/>
        <w:tblLook w:val="04A0" w:firstRow="1" w:lastRow="0" w:firstColumn="1" w:lastColumn="0" w:noHBand="0" w:noVBand="1"/>
      </w:tblPr>
      <w:tblGrid>
        <w:gridCol w:w="1336"/>
        <w:gridCol w:w="1656"/>
        <w:gridCol w:w="1507"/>
        <w:gridCol w:w="1936"/>
        <w:gridCol w:w="1716"/>
      </w:tblGrid>
      <w:tr w:rsidR="00F828CC" w:rsidRPr="00F828CC" w:rsidTr="00247CE3">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336" w:type="dxa"/>
            <w:noWrap/>
            <w:hideMark/>
          </w:tcPr>
          <w:p w:rsidR="00F828CC" w:rsidRPr="00F828CC" w:rsidRDefault="00F828CC">
            <w:pPr>
              <w:jc w:val="center"/>
              <w:rPr>
                <w:rFonts w:ascii="Calibri" w:hAnsi="Calibri"/>
                <w:b w:val="0"/>
                <w:color w:val="000000"/>
                <w:sz w:val="20"/>
                <w:szCs w:val="22"/>
              </w:rPr>
            </w:pPr>
            <w:r w:rsidRPr="00F828CC">
              <w:rPr>
                <w:rFonts w:ascii="Calibri" w:hAnsi="Calibri"/>
                <w:b w:val="0"/>
                <w:color w:val="000000"/>
                <w:sz w:val="20"/>
                <w:szCs w:val="22"/>
              </w:rPr>
              <w:t>Nº de maquinas</w:t>
            </w:r>
          </w:p>
        </w:tc>
        <w:tc>
          <w:tcPr>
            <w:tcW w:w="1656" w:type="dxa"/>
            <w:noWrap/>
            <w:hideMark/>
          </w:tcPr>
          <w:p w:rsidR="00F828CC" w:rsidRPr="00F828CC" w:rsidRDefault="00F828CC">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sz w:val="20"/>
                <w:szCs w:val="22"/>
              </w:rPr>
            </w:pPr>
            <w:r w:rsidRPr="00F828CC">
              <w:rPr>
                <w:rFonts w:ascii="Calibri" w:hAnsi="Calibri"/>
                <w:b w:val="0"/>
                <w:color w:val="000000"/>
                <w:sz w:val="20"/>
                <w:szCs w:val="22"/>
              </w:rPr>
              <w:t>Tiempo por servicio (horas)</w:t>
            </w:r>
          </w:p>
        </w:tc>
        <w:tc>
          <w:tcPr>
            <w:tcW w:w="1461" w:type="dxa"/>
            <w:noWrap/>
            <w:hideMark/>
          </w:tcPr>
          <w:p w:rsidR="00F828CC" w:rsidRPr="00F828CC" w:rsidRDefault="00F828CC">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sz w:val="20"/>
                <w:szCs w:val="22"/>
              </w:rPr>
            </w:pPr>
            <w:r w:rsidRPr="00F828CC">
              <w:rPr>
                <w:rFonts w:ascii="Calibri" w:hAnsi="Calibri"/>
                <w:b w:val="0"/>
                <w:color w:val="000000"/>
                <w:sz w:val="20"/>
                <w:szCs w:val="22"/>
              </w:rPr>
              <w:t>Horas de funcionamiento diario</w:t>
            </w:r>
          </w:p>
        </w:tc>
        <w:tc>
          <w:tcPr>
            <w:tcW w:w="1936" w:type="dxa"/>
            <w:noWrap/>
            <w:hideMark/>
          </w:tcPr>
          <w:p w:rsidR="00F828CC" w:rsidRPr="00F828CC" w:rsidRDefault="00F828CC">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sz w:val="20"/>
                <w:szCs w:val="22"/>
              </w:rPr>
            </w:pPr>
            <w:r w:rsidRPr="00F828CC">
              <w:rPr>
                <w:rFonts w:ascii="Calibri" w:hAnsi="Calibri"/>
                <w:b w:val="0"/>
                <w:color w:val="000000"/>
                <w:sz w:val="20"/>
                <w:szCs w:val="22"/>
              </w:rPr>
              <w:t>Días laborables</w:t>
            </w:r>
          </w:p>
        </w:tc>
        <w:tc>
          <w:tcPr>
            <w:tcW w:w="1716" w:type="dxa"/>
            <w:noWrap/>
            <w:hideMark/>
          </w:tcPr>
          <w:p w:rsidR="00F828CC" w:rsidRPr="00F828CC" w:rsidRDefault="00F828CC">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sz w:val="20"/>
                <w:szCs w:val="22"/>
              </w:rPr>
            </w:pPr>
            <w:r w:rsidRPr="00F828CC">
              <w:rPr>
                <w:rFonts w:ascii="Calibri" w:hAnsi="Calibri"/>
                <w:b w:val="0"/>
                <w:color w:val="000000"/>
                <w:sz w:val="20"/>
                <w:szCs w:val="22"/>
              </w:rPr>
              <w:t>Total servicios /año</w:t>
            </w:r>
          </w:p>
        </w:tc>
      </w:tr>
      <w:tr w:rsidR="00F828CC" w:rsidRPr="00F828CC" w:rsidTr="00247CE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336" w:type="dxa"/>
            <w:noWrap/>
            <w:hideMark/>
          </w:tcPr>
          <w:p w:rsidR="00F828CC" w:rsidRPr="00F828CC" w:rsidRDefault="00F828CC">
            <w:pPr>
              <w:jc w:val="center"/>
              <w:rPr>
                <w:rFonts w:ascii="Calibri" w:hAnsi="Calibri"/>
                <w:color w:val="000000"/>
                <w:sz w:val="20"/>
                <w:szCs w:val="22"/>
              </w:rPr>
            </w:pPr>
            <w:r w:rsidRPr="00F828CC">
              <w:rPr>
                <w:rFonts w:ascii="Calibri" w:hAnsi="Calibri"/>
                <w:b w:val="0"/>
                <w:bCs w:val="0"/>
                <w:color w:val="000000"/>
                <w:sz w:val="20"/>
                <w:szCs w:val="22"/>
              </w:rPr>
              <w:t>1</w:t>
            </w:r>
          </w:p>
        </w:tc>
        <w:tc>
          <w:tcPr>
            <w:tcW w:w="1656" w:type="dxa"/>
            <w:noWrap/>
            <w:hideMark/>
          </w:tcPr>
          <w:p w:rsidR="00F828CC" w:rsidRPr="00F828CC" w:rsidRDefault="00F828C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F828CC">
              <w:rPr>
                <w:rFonts w:ascii="Calibri" w:hAnsi="Calibri"/>
                <w:color w:val="000000"/>
                <w:sz w:val="20"/>
                <w:szCs w:val="22"/>
              </w:rPr>
              <w:t>1</w:t>
            </w:r>
          </w:p>
        </w:tc>
        <w:tc>
          <w:tcPr>
            <w:tcW w:w="1461" w:type="dxa"/>
            <w:noWrap/>
            <w:hideMark/>
          </w:tcPr>
          <w:p w:rsidR="00F828CC" w:rsidRPr="00F828CC" w:rsidRDefault="00F828C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F828CC">
              <w:rPr>
                <w:rFonts w:ascii="Calibri" w:hAnsi="Calibri"/>
                <w:color w:val="000000"/>
                <w:sz w:val="20"/>
                <w:szCs w:val="22"/>
              </w:rPr>
              <w:t>12</w:t>
            </w:r>
          </w:p>
        </w:tc>
        <w:tc>
          <w:tcPr>
            <w:tcW w:w="1936" w:type="dxa"/>
            <w:noWrap/>
            <w:hideMark/>
          </w:tcPr>
          <w:p w:rsidR="00F828CC" w:rsidRPr="00F828CC" w:rsidRDefault="00F828CC">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F828CC">
              <w:rPr>
                <w:rFonts w:ascii="Calibri" w:hAnsi="Calibri"/>
                <w:color w:val="000000"/>
                <w:sz w:val="20"/>
                <w:szCs w:val="22"/>
              </w:rPr>
              <w:t>250</w:t>
            </w:r>
          </w:p>
        </w:tc>
        <w:tc>
          <w:tcPr>
            <w:tcW w:w="1716" w:type="dxa"/>
            <w:noWrap/>
            <w:hideMark/>
          </w:tcPr>
          <w:p w:rsidR="00F828CC" w:rsidRPr="00F828CC" w:rsidRDefault="00F828C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F828CC">
              <w:rPr>
                <w:rFonts w:ascii="Calibri" w:hAnsi="Calibri"/>
                <w:color w:val="000000"/>
                <w:sz w:val="20"/>
                <w:szCs w:val="22"/>
              </w:rPr>
              <w:t>2.550</w:t>
            </w:r>
          </w:p>
        </w:tc>
      </w:tr>
    </w:tbl>
    <w:p w:rsidR="00F828CC" w:rsidRPr="00B902DA" w:rsidRDefault="00F828CC" w:rsidP="00F828CC">
      <w:pPr>
        <w:rPr>
          <w:rFonts w:asciiTheme="minorHAnsi" w:hAnsiTheme="minorHAnsi" w:cstheme="minorHAnsi"/>
          <w:bCs/>
          <w:sz w:val="18"/>
          <w:szCs w:val="18"/>
        </w:rPr>
      </w:pPr>
      <w:r w:rsidRPr="00B902DA">
        <w:rPr>
          <w:rFonts w:asciiTheme="minorHAnsi" w:hAnsiTheme="minorHAnsi" w:cstheme="minorHAnsi"/>
          <w:bCs/>
          <w:sz w:val="18"/>
          <w:szCs w:val="18"/>
        </w:rPr>
        <w:t>Fuente: Elaboración propia.</w:t>
      </w:r>
    </w:p>
    <w:p w:rsidR="00171933" w:rsidRDefault="00171933" w:rsidP="00171933">
      <w:pPr>
        <w:jc w:val="both"/>
        <w:rPr>
          <w:rFonts w:asciiTheme="minorHAnsi" w:hAnsiTheme="minorHAnsi" w:cstheme="minorHAnsi"/>
          <w:sz w:val="22"/>
        </w:rPr>
      </w:pPr>
    </w:p>
    <w:p w:rsidR="00247CE3" w:rsidRDefault="00247CE3" w:rsidP="00171933">
      <w:pPr>
        <w:jc w:val="both"/>
        <w:rPr>
          <w:rFonts w:asciiTheme="minorHAnsi" w:hAnsiTheme="minorHAnsi" w:cstheme="minorHAnsi"/>
          <w:sz w:val="22"/>
        </w:rPr>
      </w:pPr>
      <w:r>
        <w:rPr>
          <w:rFonts w:asciiTheme="minorHAnsi" w:hAnsiTheme="minorHAnsi" w:cstheme="minorHAnsi"/>
          <w:sz w:val="22"/>
        </w:rPr>
        <w:t>Visto en conjunto, la oferta potencial en la situación sin y con proyecto</w:t>
      </w:r>
      <w:r w:rsidR="00861A29">
        <w:rPr>
          <w:rFonts w:asciiTheme="minorHAnsi" w:hAnsiTheme="minorHAnsi" w:cstheme="minorHAnsi"/>
          <w:sz w:val="22"/>
        </w:rPr>
        <w:t xml:space="preserve">, en la Tabla </w:t>
      </w:r>
      <w:r w:rsidR="00C84B59">
        <w:rPr>
          <w:rFonts w:asciiTheme="minorHAnsi" w:hAnsiTheme="minorHAnsi" w:cstheme="minorHAnsi"/>
          <w:sz w:val="22"/>
        </w:rPr>
        <w:t>6.3</w:t>
      </w:r>
      <w:r w:rsidR="00821065">
        <w:rPr>
          <w:rFonts w:asciiTheme="minorHAnsi" w:hAnsiTheme="minorHAnsi" w:cstheme="minorHAnsi"/>
          <w:sz w:val="22"/>
        </w:rPr>
        <w:t xml:space="preserve"> se observa que el</w:t>
      </w:r>
      <w:r w:rsidR="00861A29">
        <w:rPr>
          <w:rFonts w:asciiTheme="minorHAnsi" w:hAnsiTheme="minorHAnsi" w:cstheme="minorHAnsi"/>
          <w:sz w:val="22"/>
        </w:rPr>
        <w:t xml:space="preserve"> proyecto adicionará oferta de manera significativa a la oferta actual, en particular en algunas prestaciones como estudios de mamografía, endoscopía, ecografía y tratamientos de quimioterapia. Adicionalmente, </w:t>
      </w:r>
      <w:r w:rsidR="005352F3">
        <w:rPr>
          <w:rFonts w:asciiTheme="minorHAnsi" w:hAnsiTheme="minorHAnsi" w:cstheme="minorHAnsi"/>
          <w:sz w:val="22"/>
        </w:rPr>
        <w:t>incorporará</w:t>
      </w:r>
      <w:r w:rsidR="00861A29">
        <w:rPr>
          <w:rFonts w:asciiTheme="minorHAnsi" w:hAnsiTheme="minorHAnsi" w:cstheme="minorHAnsi"/>
          <w:sz w:val="22"/>
        </w:rPr>
        <w:t xml:space="preserve"> estudios inexistentes en la red pública en la actualidad como la medicina nuclear mediante </w:t>
      </w:r>
      <w:r w:rsidR="005352F3">
        <w:rPr>
          <w:rFonts w:asciiTheme="minorHAnsi" w:hAnsiTheme="minorHAnsi" w:cstheme="minorHAnsi"/>
          <w:sz w:val="22"/>
        </w:rPr>
        <w:t>estudios</w:t>
      </w:r>
      <w:r w:rsidR="00861A29">
        <w:rPr>
          <w:rFonts w:asciiTheme="minorHAnsi" w:hAnsiTheme="minorHAnsi" w:cstheme="minorHAnsi"/>
          <w:sz w:val="22"/>
        </w:rPr>
        <w:t xml:space="preserve"> de </w:t>
      </w:r>
      <w:r w:rsidR="005352F3">
        <w:rPr>
          <w:rFonts w:asciiTheme="minorHAnsi" w:hAnsiTheme="minorHAnsi" w:cstheme="minorHAnsi"/>
          <w:sz w:val="22"/>
        </w:rPr>
        <w:t>Gamma cámara</w:t>
      </w:r>
      <w:r w:rsidR="00861A29">
        <w:rPr>
          <w:rFonts w:asciiTheme="minorHAnsi" w:hAnsiTheme="minorHAnsi" w:cstheme="minorHAnsi"/>
          <w:sz w:val="22"/>
        </w:rPr>
        <w:t xml:space="preserve"> y resonancia magnética.</w:t>
      </w:r>
    </w:p>
    <w:p w:rsidR="003A451C" w:rsidRDefault="00AF29D7" w:rsidP="006A7A69">
      <w:pPr>
        <w:rPr>
          <w:rFonts w:asciiTheme="minorHAnsi" w:hAnsiTheme="minorHAnsi" w:cstheme="minorHAnsi"/>
          <w:sz w:val="22"/>
        </w:rPr>
      </w:pPr>
      <w:r>
        <w:rPr>
          <w:rFonts w:asciiTheme="minorHAnsi" w:hAnsiTheme="minorHAnsi" w:cstheme="minorHAnsi"/>
          <w:sz w:val="22"/>
        </w:rPr>
        <w:lastRenderedPageBreak/>
        <w:t xml:space="preserve">Tabla </w:t>
      </w:r>
      <w:r w:rsidR="00C84B59">
        <w:rPr>
          <w:rFonts w:asciiTheme="minorHAnsi" w:hAnsiTheme="minorHAnsi" w:cstheme="minorHAnsi"/>
          <w:sz w:val="22"/>
        </w:rPr>
        <w:t>6.3</w:t>
      </w:r>
      <w:r>
        <w:rPr>
          <w:rFonts w:asciiTheme="minorHAnsi" w:hAnsiTheme="minorHAnsi" w:cstheme="minorHAnsi"/>
          <w:sz w:val="22"/>
        </w:rPr>
        <w:t>: Oferta potencial de situación sin y con proyecto</w:t>
      </w:r>
      <w:r w:rsidR="0081146E">
        <w:rPr>
          <w:rFonts w:asciiTheme="minorHAnsi" w:hAnsiTheme="minorHAnsi" w:cstheme="minorHAnsi"/>
          <w:sz w:val="22"/>
        </w:rPr>
        <w:t xml:space="preserve"> al año 2017</w:t>
      </w:r>
      <w:r>
        <w:rPr>
          <w:rFonts w:asciiTheme="minorHAnsi" w:hAnsiTheme="minorHAnsi" w:cstheme="minorHAnsi"/>
          <w:sz w:val="22"/>
        </w:rPr>
        <w:t>.</w:t>
      </w:r>
    </w:p>
    <w:tbl>
      <w:tblPr>
        <w:tblStyle w:val="LightShading-Accent3"/>
        <w:tblW w:w="9053" w:type="dxa"/>
        <w:tblLook w:val="04A0" w:firstRow="1" w:lastRow="0" w:firstColumn="1" w:lastColumn="0" w:noHBand="0" w:noVBand="1"/>
      </w:tblPr>
      <w:tblGrid>
        <w:gridCol w:w="3033"/>
        <w:gridCol w:w="1240"/>
        <w:gridCol w:w="984"/>
        <w:gridCol w:w="2012"/>
        <w:gridCol w:w="1784"/>
      </w:tblGrid>
      <w:tr w:rsidR="00247CE3" w:rsidRPr="00247CE3" w:rsidTr="00247CE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3" w:type="dxa"/>
            <w:noWrap/>
            <w:vAlign w:val="center"/>
            <w:hideMark/>
          </w:tcPr>
          <w:p w:rsidR="00247CE3" w:rsidRPr="00247CE3" w:rsidRDefault="00247CE3" w:rsidP="00247CE3">
            <w:pPr>
              <w:jc w:val="center"/>
              <w:rPr>
                <w:rFonts w:asciiTheme="minorHAnsi" w:hAnsiTheme="minorHAnsi"/>
                <w:color w:val="000000"/>
                <w:sz w:val="18"/>
                <w:szCs w:val="18"/>
              </w:rPr>
            </w:pPr>
            <w:r w:rsidRPr="00247CE3">
              <w:rPr>
                <w:rFonts w:asciiTheme="minorHAnsi" w:hAnsiTheme="minorHAnsi"/>
                <w:color w:val="000000"/>
                <w:sz w:val="18"/>
                <w:szCs w:val="18"/>
              </w:rPr>
              <w:t>Año</w:t>
            </w:r>
          </w:p>
        </w:tc>
        <w:tc>
          <w:tcPr>
            <w:tcW w:w="1240" w:type="dxa"/>
            <w:noWrap/>
            <w:vAlign w:val="center"/>
            <w:hideMark/>
          </w:tcPr>
          <w:p w:rsidR="00247CE3" w:rsidRPr="00247CE3" w:rsidRDefault="00247CE3" w:rsidP="00247CE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Sin proyecto</w:t>
            </w:r>
          </w:p>
        </w:tc>
        <w:tc>
          <w:tcPr>
            <w:tcW w:w="984" w:type="dxa"/>
            <w:noWrap/>
            <w:vAlign w:val="center"/>
            <w:hideMark/>
          </w:tcPr>
          <w:p w:rsidR="00247CE3" w:rsidRPr="00247CE3" w:rsidRDefault="00247CE3" w:rsidP="00247CE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Con proyecto</w:t>
            </w:r>
          </w:p>
        </w:tc>
        <w:tc>
          <w:tcPr>
            <w:tcW w:w="2012" w:type="dxa"/>
            <w:noWrap/>
            <w:vAlign w:val="center"/>
            <w:hideMark/>
          </w:tcPr>
          <w:p w:rsidR="00247CE3" w:rsidRPr="00247CE3" w:rsidRDefault="00247CE3" w:rsidP="00D757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Aporte marginal de oferta del proyecto</w:t>
            </w:r>
          </w:p>
        </w:tc>
        <w:tc>
          <w:tcPr>
            <w:tcW w:w="1784" w:type="dxa"/>
            <w:noWrap/>
            <w:vAlign w:val="center"/>
            <w:hideMark/>
          </w:tcPr>
          <w:p w:rsidR="00247CE3" w:rsidRPr="00247CE3" w:rsidRDefault="00247CE3" w:rsidP="00247CE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Porcentaje de aumento</w:t>
            </w:r>
          </w:p>
        </w:tc>
      </w:tr>
      <w:tr w:rsidR="00247CE3" w:rsidRPr="00247CE3" w:rsidTr="00247C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247CE3" w:rsidRPr="00247CE3" w:rsidRDefault="00247CE3">
            <w:pPr>
              <w:rPr>
                <w:rFonts w:asciiTheme="minorHAnsi" w:hAnsiTheme="minorHAnsi"/>
                <w:color w:val="000000"/>
                <w:sz w:val="18"/>
                <w:szCs w:val="18"/>
              </w:rPr>
            </w:pPr>
            <w:r w:rsidRPr="00247CE3">
              <w:rPr>
                <w:rFonts w:asciiTheme="minorHAnsi" w:hAnsiTheme="minorHAnsi"/>
                <w:color w:val="000000"/>
                <w:sz w:val="18"/>
                <w:szCs w:val="18"/>
              </w:rPr>
              <w:t>Días cama</w:t>
            </w:r>
          </w:p>
        </w:tc>
        <w:tc>
          <w:tcPr>
            <w:tcW w:w="1240"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135.890</w:t>
            </w:r>
          </w:p>
        </w:tc>
        <w:tc>
          <w:tcPr>
            <w:tcW w:w="984"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170.638</w:t>
            </w:r>
          </w:p>
        </w:tc>
        <w:tc>
          <w:tcPr>
            <w:tcW w:w="2012"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34.748</w:t>
            </w:r>
          </w:p>
        </w:tc>
        <w:tc>
          <w:tcPr>
            <w:tcW w:w="1784"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26%</w:t>
            </w:r>
          </w:p>
        </w:tc>
      </w:tr>
      <w:tr w:rsidR="00247CE3" w:rsidRPr="00247CE3" w:rsidTr="00247CE3">
        <w:trPr>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247CE3" w:rsidRPr="00247CE3" w:rsidRDefault="00247CE3">
            <w:pPr>
              <w:rPr>
                <w:rFonts w:asciiTheme="minorHAnsi" w:hAnsiTheme="minorHAnsi"/>
                <w:color w:val="000000"/>
                <w:sz w:val="18"/>
                <w:szCs w:val="18"/>
              </w:rPr>
            </w:pPr>
            <w:r w:rsidRPr="00247CE3">
              <w:rPr>
                <w:rFonts w:asciiTheme="minorHAnsi" w:hAnsiTheme="minorHAnsi"/>
                <w:color w:val="000000"/>
                <w:sz w:val="18"/>
                <w:szCs w:val="18"/>
              </w:rPr>
              <w:t>Días cama maternidad</w:t>
            </w:r>
          </w:p>
        </w:tc>
        <w:tc>
          <w:tcPr>
            <w:tcW w:w="1240"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30.405</w:t>
            </w:r>
          </w:p>
        </w:tc>
        <w:tc>
          <w:tcPr>
            <w:tcW w:w="984"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45.990</w:t>
            </w:r>
          </w:p>
        </w:tc>
        <w:tc>
          <w:tcPr>
            <w:tcW w:w="2012"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15.586</w:t>
            </w:r>
          </w:p>
        </w:tc>
        <w:tc>
          <w:tcPr>
            <w:tcW w:w="1784"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51%</w:t>
            </w:r>
          </w:p>
        </w:tc>
      </w:tr>
      <w:tr w:rsidR="00247CE3" w:rsidRPr="00247CE3" w:rsidTr="00247C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247CE3" w:rsidRPr="00247CE3" w:rsidRDefault="00247CE3">
            <w:pPr>
              <w:rPr>
                <w:rFonts w:asciiTheme="minorHAnsi" w:hAnsiTheme="minorHAnsi"/>
                <w:color w:val="000000"/>
                <w:sz w:val="18"/>
                <w:szCs w:val="18"/>
              </w:rPr>
            </w:pPr>
            <w:r w:rsidRPr="00247CE3">
              <w:rPr>
                <w:rFonts w:asciiTheme="minorHAnsi" w:hAnsiTheme="minorHAnsi"/>
                <w:color w:val="000000"/>
                <w:sz w:val="18"/>
                <w:szCs w:val="18"/>
              </w:rPr>
              <w:t>Consulta especialidad</w:t>
            </w:r>
          </w:p>
        </w:tc>
        <w:tc>
          <w:tcPr>
            <w:tcW w:w="1240"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249.900</w:t>
            </w:r>
          </w:p>
        </w:tc>
        <w:tc>
          <w:tcPr>
            <w:tcW w:w="984"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396.943</w:t>
            </w:r>
          </w:p>
        </w:tc>
        <w:tc>
          <w:tcPr>
            <w:tcW w:w="2012"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147.043</w:t>
            </w:r>
          </w:p>
        </w:tc>
        <w:tc>
          <w:tcPr>
            <w:tcW w:w="1784"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59%</w:t>
            </w:r>
          </w:p>
        </w:tc>
      </w:tr>
      <w:tr w:rsidR="00247CE3" w:rsidRPr="00247CE3" w:rsidTr="00247CE3">
        <w:trPr>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247CE3" w:rsidRPr="00247CE3" w:rsidRDefault="00247CE3">
            <w:pPr>
              <w:rPr>
                <w:rFonts w:asciiTheme="minorHAnsi" w:hAnsiTheme="minorHAnsi"/>
                <w:color w:val="000000"/>
                <w:sz w:val="18"/>
                <w:szCs w:val="18"/>
              </w:rPr>
            </w:pPr>
            <w:r w:rsidRPr="00247CE3">
              <w:rPr>
                <w:rFonts w:asciiTheme="minorHAnsi" w:hAnsiTheme="minorHAnsi"/>
                <w:color w:val="000000"/>
                <w:sz w:val="18"/>
                <w:szCs w:val="18"/>
              </w:rPr>
              <w:t>Urgencia</w:t>
            </w:r>
          </w:p>
        </w:tc>
        <w:tc>
          <w:tcPr>
            <w:tcW w:w="1240"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469.098</w:t>
            </w:r>
          </w:p>
        </w:tc>
        <w:tc>
          <w:tcPr>
            <w:tcW w:w="984"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603.126</w:t>
            </w:r>
          </w:p>
        </w:tc>
        <w:tc>
          <w:tcPr>
            <w:tcW w:w="2012"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134.028</w:t>
            </w:r>
          </w:p>
        </w:tc>
        <w:tc>
          <w:tcPr>
            <w:tcW w:w="1784"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29%</w:t>
            </w:r>
          </w:p>
        </w:tc>
      </w:tr>
      <w:tr w:rsidR="00247CE3" w:rsidRPr="00247CE3" w:rsidTr="00247C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247CE3" w:rsidRPr="00247CE3" w:rsidRDefault="00247CE3">
            <w:pPr>
              <w:rPr>
                <w:rFonts w:asciiTheme="minorHAnsi" w:hAnsiTheme="minorHAnsi"/>
                <w:color w:val="000000"/>
                <w:sz w:val="18"/>
                <w:szCs w:val="18"/>
              </w:rPr>
            </w:pPr>
            <w:r w:rsidRPr="00247CE3">
              <w:rPr>
                <w:rFonts w:asciiTheme="minorHAnsi" w:hAnsiTheme="minorHAnsi"/>
                <w:color w:val="000000"/>
                <w:sz w:val="18"/>
                <w:szCs w:val="18"/>
              </w:rPr>
              <w:t xml:space="preserve">Intervención </w:t>
            </w:r>
            <w:r w:rsidR="005352F3" w:rsidRPr="00247CE3">
              <w:rPr>
                <w:rFonts w:asciiTheme="minorHAnsi" w:hAnsiTheme="minorHAnsi"/>
                <w:color w:val="000000"/>
                <w:sz w:val="18"/>
                <w:szCs w:val="18"/>
              </w:rPr>
              <w:t>quirúrgica</w:t>
            </w:r>
          </w:p>
        </w:tc>
        <w:tc>
          <w:tcPr>
            <w:tcW w:w="1240"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21.097</w:t>
            </w:r>
          </w:p>
        </w:tc>
        <w:tc>
          <w:tcPr>
            <w:tcW w:w="984"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26.928</w:t>
            </w:r>
          </w:p>
        </w:tc>
        <w:tc>
          <w:tcPr>
            <w:tcW w:w="2012"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5.831</w:t>
            </w:r>
          </w:p>
        </w:tc>
        <w:tc>
          <w:tcPr>
            <w:tcW w:w="1784"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28%</w:t>
            </w:r>
          </w:p>
        </w:tc>
      </w:tr>
      <w:tr w:rsidR="00247CE3" w:rsidRPr="00247CE3" w:rsidTr="00247CE3">
        <w:trPr>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247CE3" w:rsidRPr="00247CE3" w:rsidRDefault="005352F3">
            <w:pPr>
              <w:rPr>
                <w:rFonts w:asciiTheme="minorHAnsi" w:hAnsiTheme="minorHAnsi"/>
                <w:color w:val="000000"/>
                <w:sz w:val="18"/>
                <w:szCs w:val="18"/>
              </w:rPr>
            </w:pPr>
            <w:r w:rsidRPr="00247CE3">
              <w:rPr>
                <w:rFonts w:asciiTheme="minorHAnsi" w:hAnsiTheme="minorHAnsi"/>
                <w:color w:val="000000"/>
                <w:sz w:val="18"/>
                <w:szCs w:val="18"/>
              </w:rPr>
              <w:t>Diálisis</w:t>
            </w:r>
          </w:p>
        </w:tc>
        <w:tc>
          <w:tcPr>
            <w:tcW w:w="1240"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15.823</w:t>
            </w:r>
          </w:p>
        </w:tc>
        <w:tc>
          <w:tcPr>
            <w:tcW w:w="984"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26.992</w:t>
            </w:r>
          </w:p>
        </w:tc>
        <w:tc>
          <w:tcPr>
            <w:tcW w:w="2012"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11.169</w:t>
            </w:r>
          </w:p>
        </w:tc>
        <w:tc>
          <w:tcPr>
            <w:tcW w:w="1784"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71%</w:t>
            </w:r>
          </w:p>
        </w:tc>
      </w:tr>
      <w:tr w:rsidR="00247CE3" w:rsidRPr="00247CE3" w:rsidTr="00247C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247CE3" w:rsidRPr="00247CE3" w:rsidRDefault="00247CE3">
            <w:pPr>
              <w:rPr>
                <w:rFonts w:asciiTheme="minorHAnsi" w:hAnsiTheme="minorHAnsi"/>
                <w:color w:val="000000"/>
                <w:sz w:val="18"/>
                <w:szCs w:val="18"/>
              </w:rPr>
            </w:pPr>
            <w:r w:rsidRPr="00247CE3">
              <w:rPr>
                <w:rFonts w:asciiTheme="minorHAnsi" w:hAnsiTheme="minorHAnsi"/>
                <w:color w:val="000000"/>
                <w:sz w:val="18"/>
                <w:szCs w:val="18"/>
              </w:rPr>
              <w:t xml:space="preserve">Resonancia </w:t>
            </w:r>
            <w:r w:rsidR="005352F3" w:rsidRPr="00247CE3">
              <w:rPr>
                <w:rFonts w:asciiTheme="minorHAnsi" w:hAnsiTheme="minorHAnsi"/>
                <w:color w:val="000000"/>
                <w:sz w:val="18"/>
                <w:szCs w:val="18"/>
              </w:rPr>
              <w:t>magnética</w:t>
            </w:r>
          </w:p>
        </w:tc>
        <w:tc>
          <w:tcPr>
            <w:tcW w:w="1240" w:type="dxa"/>
            <w:noWrap/>
            <w:hideMark/>
          </w:tcPr>
          <w:p w:rsidR="00247CE3" w:rsidRPr="00247CE3" w:rsidRDefault="00247CE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p>
        </w:tc>
        <w:tc>
          <w:tcPr>
            <w:tcW w:w="984"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3.400</w:t>
            </w:r>
          </w:p>
        </w:tc>
        <w:tc>
          <w:tcPr>
            <w:tcW w:w="2012" w:type="dxa"/>
            <w:noWrap/>
            <w:vAlign w:val="center"/>
            <w:hideMark/>
          </w:tcPr>
          <w:p w:rsidR="00247CE3" w:rsidRPr="00247CE3" w:rsidRDefault="00247CE3" w:rsidP="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3.400</w:t>
            </w:r>
          </w:p>
        </w:tc>
        <w:tc>
          <w:tcPr>
            <w:tcW w:w="1784" w:type="dxa"/>
            <w:noWrap/>
            <w:hideMark/>
          </w:tcPr>
          <w:p w:rsidR="00247CE3" w:rsidRPr="00247CE3" w:rsidRDefault="00247CE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p>
        </w:tc>
      </w:tr>
      <w:tr w:rsidR="00247CE3" w:rsidRPr="00247CE3" w:rsidTr="00247CE3">
        <w:trPr>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247CE3" w:rsidRPr="00247CE3" w:rsidRDefault="005352F3">
            <w:pPr>
              <w:rPr>
                <w:rFonts w:asciiTheme="minorHAnsi" w:hAnsiTheme="minorHAnsi"/>
                <w:color w:val="000000"/>
                <w:sz w:val="18"/>
                <w:szCs w:val="18"/>
              </w:rPr>
            </w:pPr>
            <w:r w:rsidRPr="00247CE3">
              <w:rPr>
                <w:rFonts w:asciiTheme="minorHAnsi" w:hAnsiTheme="minorHAnsi"/>
                <w:color w:val="000000"/>
                <w:sz w:val="18"/>
                <w:szCs w:val="18"/>
              </w:rPr>
              <w:t>Mamógrafo</w:t>
            </w:r>
          </w:p>
        </w:tc>
        <w:tc>
          <w:tcPr>
            <w:tcW w:w="1240"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3.825</w:t>
            </w:r>
          </w:p>
        </w:tc>
        <w:tc>
          <w:tcPr>
            <w:tcW w:w="984"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10.200</w:t>
            </w:r>
          </w:p>
        </w:tc>
        <w:tc>
          <w:tcPr>
            <w:tcW w:w="2012"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6.375</w:t>
            </w:r>
          </w:p>
        </w:tc>
        <w:tc>
          <w:tcPr>
            <w:tcW w:w="1784"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167%</w:t>
            </w:r>
          </w:p>
        </w:tc>
      </w:tr>
      <w:tr w:rsidR="00247CE3" w:rsidRPr="00247CE3" w:rsidTr="00247C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247CE3" w:rsidRPr="00247CE3" w:rsidRDefault="00247CE3">
            <w:pPr>
              <w:rPr>
                <w:rFonts w:asciiTheme="minorHAnsi" w:hAnsiTheme="minorHAnsi"/>
                <w:color w:val="000000"/>
                <w:sz w:val="18"/>
                <w:szCs w:val="18"/>
              </w:rPr>
            </w:pPr>
            <w:r w:rsidRPr="00247CE3">
              <w:rPr>
                <w:rFonts w:asciiTheme="minorHAnsi" w:hAnsiTheme="minorHAnsi"/>
                <w:color w:val="000000"/>
                <w:sz w:val="18"/>
                <w:szCs w:val="18"/>
              </w:rPr>
              <w:t>RX</w:t>
            </w:r>
          </w:p>
        </w:tc>
        <w:tc>
          <w:tcPr>
            <w:tcW w:w="1240"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238.272</w:t>
            </w:r>
          </w:p>
        </w:tc>
        <w:tc>
          <w:tcPr>
            <w:tcW w:w="984"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268.056</w:t>
            </w:r>
          </w:p>
        </w:tc>
        <w:tc>
          <w:tcPr>
            <w:tcW w:w="2012"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29.784</w:t>
            </w:r>
          </w:p>
        </w:tc>
        <w:tc>
          <w:tcPr>
            <w:tcW w:w="1784"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13%</w:t>
            </w:r>
          </w:p>
        </w:tc>
      </w:tr>
      <w:tr w:rsidR="00247CE3" w:rsidRPr="00247CE3" w:rsidTr="00247CE3">
        <w:trPr>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247CE3" w:rsidRPr="00247CE3" w:rsidRDefault="00247CE3">
            <w:pPr>
              <w:rPr>
                <w:rFonts w:asciiTheme="minorHAnsi" w:hAnsiTheme="minorHAnsi"/>
                <w:color w:val="000000"/>
                <w:sz w:val="18"/>
                <w:szCs w:val="18"/>
              </w:rPr>
            </w:pPr>
            <w:r w:rsidRPr="00247CE3">
              <w:rPr>
                <w:rFonts w:asciiTheme="minorHAnsi" w:hAnsiTheme="minorHAnsi"/>
                <w:color w:val="000000"/>
                <w:sz w:val="18"/>
                <w:szCs w:val="18"/>
              </w:rPr>
              <w:t>Endoscopía</w:t>
            </w:r>
          </w:p>
        </w:tc>
        <w:tc>
          <w:tcPr>
            <w:tcW w:w="1240"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5.100</w:t>
            </w:r>
          </w:p>
        </w:tc>
        <w:tc>
          <w:tcPr>
            <w:tcW w:w="984"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14.000</w:t>
            </w:r>
          </w:p>
        </w:tc>
        <w:tc>
          <w:tcPr>
            <w:tcW w:w="2012"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8.900</w:t>
            </w:r>
          </w:p>
        </w:tc>
        <w:tc>
          <w:tcPr>
            <w:tcW w:w="1784"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175%</w:t>
            </w:r>
          </w:p>
        </w:tc>
      </w:tr>
      <w:tr w:rsidR="00247CE3" w:rsidRPr="00247CE3" w:rsidTr="00247C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247CE3" w:rsidRPr="00247CE3" w:rsidRDefault="00247CE3">
            <w:pPr>
              <w:rPr>
                <w:rFonts w:asciiTheme="minorHAnsi" w:hAnsiTheme="minorHAnsi"/>
                <w:color w:val="000000"/>
                <w:sz w:val="18"/>
                <w:szCs w:val="18"/>
              </w:rPr>
            </w:pPr>
            <w:r w:rsidRPr="00247CE3">
              <w:rPr>
                <w:rFonts w:asciiTheme="minorHAnsi" w:hAnsiTheme="minorHAnsi"/>
                <w:color w:val="000000"/>
                <w:sz w:val="18"/>
                <w:szCs w:val="18"/>
              </w:rPr>
              <w:t>Ecógrafo</w:t>
            </w:r>
          </w:p>
        </w:tc>
        <w:tc>
          <w:tcPr>
            <w:tcW w:w="1240"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20.400</w:t>
            </w:r>
          </w:p>
        </w:tc>
        <w:tc>
          <w:tcPr>
            <w:tcW w:w="984"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42.000</w:t>
            </w:r>
          </w:p>
        </w:tc>
        <w:tc>
          <w:tcPr>
            <w:tcW w:w="2012"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21.600</w:t>
            </w:r>
          </w:p>
        </w:tc>
        <w:tc>
          <w:tcPr>
            <w:tcW w:w="1784"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106%</w:t>
            </w:r>
          </w:p>
        </w:tc>
      </w:tr>
      <w:tr w:rsidR="00247CE3" w:rsidRPr="00247CE3" w:rsidTr="00247CE3">
        <w:trPr>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247CE3" w:rsidRPr="00247CE3" w:rsidRDefault="005352F3">
            <w:pPr>
              <w:rPr>
                <w:rFonts w:asciiTheme="minorHAnsi" w:hAnsiTheme="minorHAnsi"/>
                <w:color w:val="000000"/>
                <w:sz w:val="18"/>
                <w:szCs w:val="18"/>
              </w:rPr>
            </w:pPr>
            <w:r w:rsidRPr="00247CE3">
              <w:rPr>
                <w:rFonts w:asciiTheme="minorHAnsi" w:hAnsiTheme="minorHAnsi"/>
                <w:color w:val="000000"/>
                <w:sz w:val="18"/>
                <w:szCs w:val="18"/>
              </w:rPr>
              <w:t>Tomógrafo</w:t>
            </w:r>
          </w:p>
        </w:tc>
        <w:tc>
          <w:tcPr>
            <w:tcW w:w="1240"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24.820</w:t>
            </w:r>
          </w:p>
        </w:tc>
        <w:tc>
          <w:tcPr>
            <w:tcW w:w="984"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37.230</w:t>
            </w:r>
          </w:p>
        </w:tc>
        <w:tc>
          <w:tcPr>
            <w:tcW w:w="2012"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12.410</w:t>
            </w:r>
          </w:p>
        </w:tc>
        <w:tc>
          <w:tcPr>
            <w:tcW w:w="1784"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50%</w:t>
            </w:r>
          </w:p>
        </w:tc>
      </w:tr>
      <w:tr w:rsidR="00247CE3" w:rsidRPr="00247CE3" w:rsidTr="00247C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247CE3" w:rsidRPr="00247CE3" w:rsidRDefault="00247CE3">
            <w:pPr>
              <w:rPr>
                <w:rFonts w:asciiTheme="minorHAnsi" w:hAnsiTheme="minorHAnsi"/>
                <w:color w:val="000000"/>
                <w:sz w:val="18"/>
                <w:szCs w:val="18"/>
              </w:rPr>
            </w:pPr>
            <w:r w:rsidRPr="00247CE3">
              <w:rPr>
                <w:rFonts w:asciiTheme="minorHAnsi" w:hAnsiTheme="minorHAnsi"/>
                <w:color w:val="000000"/>
                <w:sz w:val="18"/>
                <w:szCs w:val="18"/>
              </w:rPr>
              <w:t>Quimioterapia</w:t>
            </w:r>
          </w:p>
        </w:tc>
        <w:tc>
          <w:tcPr>
            <w:tcW w:w="1240"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3.400</w:t>
            </w:r>
          </w:p>
        </w:tc>
        <w:tc>
          <w:tcPr>
            <w:tcW w:w="984"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11.333</w:t>
            </w:r>
          </w:p>
        </w:tc>
        <w:tc>
          <w:tcPr>
            <w:tcW w:w="2012"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7.933</w:t>
            </w:r>
          </w:p>
        </w:tc>
        <w:tc>
          <w:tcPr>
            <w:tcW w:w="1784"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233%</w:t>
            </w:r>
          </w:p>
        </w:tc>
      </w:tr>
      <w:tr w:rsidR="00247CE3" w:rsidRPr="00247CE3" w:rsidTr="00247CE3">
        <w:trPr>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247CE3" w:rsidRPr="00247CE3" w:rsidRDefault="00247CE3">
            <w:pPr>
              <w:rPr>
                <w:rFonts w:asciiTheme="minorHAnsi" w:hAnsiTheme="minorHAnsi"/>
                <w:color w:val="000000"/>
                <w:sz w:val="18"/>
                <w:szCs w:val="18"/>
              </w:rPr>
            </w:pPr>
            <w:r w:rsidRPr="00247CE3">
              <w:rPr>
                <w:rFonts w:asciiTheme="minorHAnsi" w:hAnsiTheme="minorHAnsi"/>
                <w:color w:val="000000"/>
                <w:sz w:val="18"/>
                <w:szCs w:val="18"/>
              </w:rPr>
              <w:t>Radioterapia externa</w:t>
            </w:r>
          </w:p>
        </w:tc>
        <w:tc>
          <w:tcPr>
            <w:tcW w:w="1240"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22.338</w:t>
            </w:r>
          </w:p>
        </w:tc>
        <w:tc>
          <w:tcPr>
            <w:tcW w:w="984"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33.507</w:t>
            </w:r>
          </w:p>
        </w:tc>
        <w:tc>
          <w:tcPr>
            <w:tcW w:w="2012"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11.169</w:t>
            </w:r>
          </w:p>
        </w:tc>
        <w:tc>
          <w:tcPr>
            <w:tcW w:w="1784"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50%</w:t>
            </w:r>
          </w:p>
        </w:tc>
      </w:tr>
      <w:tr w:rsidR="00247CE3" w:rsidRPr="00247CE3" w:rsidTr="00247CE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247CE3" w:rsidRPr="00247CE3" w:rsidRDefault="00247CE3">
            <w:pPr>
              <w:rPr>
                <w:rFonts w:asciiTheme="minorHAnsi" w:hAnsiTheme="minorHAnsi"/>
                <w:color w:val="000000"/>
                <w:sz w:val="18"/>
                <w:szCs w:val="18"/>
              </w:rPr>
            </w:pPr>
            <w:r w:rsidRPr="00247CE3">
              <w:rPr>
                <w:rFonts w:asciiTheme="minorHAnsi" w:hAnsiTheme="minorHAnsi"/>
                <w:color w:val="000000"/>
                <w:sz w:val="18"/>
                <w:szCs w:val="18"/>
              </w:rPr>
              <w:t>Radioterapia interna (Braquiterapia)</w:t>
            </w:r>
          </w:p>
        </w:tc>
        <w:tc>
          <w:tcPr>
            <w:tcW w:w="1240"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52</w:t>
            </w:r>
          </w:p>
        </w:tc>
        <w:tc>
          <w:tcPr>
            <w:tcW w:w="984"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104</w:t>
            </w:r>
          </w:p>
        </w:tc>
        <w:tc>
          <w:tcPr>
            <w:tcW w:w="2012"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52</w:t>
            </w:r>
          </w:p>
        </w:tc>
        <w:tc>
          <w:tcPr>
            <w:tcW w:w="1784" w:type="dxa"/>
            <w:noWrap/>
            <w:hideMark/>
          </w:tcPr>
          <w:p w:rsidR="00247CE3" w:rsidRPr="00247CE3" w:rsidRDefault="00247CE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100%</w:t>
            </w:r>
          </w:p>
        </w:tc>
      </w:tr>
      <w:tr w:rsidR="00247CE3" w:rsidRPr="00247CE3" w:rsidTr="00861A29">
        <w:trPr>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247CE3" w:rsidRPr="00247CE3" w:rsidRDefault="005352F3">
            <w:pPr>
              <w:rPr>
                <w:rFonts w:asciiTheme="minorHAnsi" w:hAnsiTheme="minorHAnsi"/>
                <w:color w:val="000000"/>
                <w:sz w:val="18"/>
                <w:szCs w:val="18"/>
              </w:rPr>
            </w:pPr>
            <w:r w:rsidRPr="00247CE3">
              <w:rPr>
                <w:rFonts w:asciiTheme="minorHAnsi" w:hAnsiTheme="minorHAnsi"/>
                <w:color w:val="000000"/>
                <w:sz w:val="18"/>
                <w:szCs w:val="18"/>
              </w:rPr>
              <w:t>Gamma cámara</w:t>
            </w:r>
          </w:p>
        </w:tc>
        <w:tc>
          <w:tcPr>
            <w:tcW w:w="1240" w:type="dxa"/>
            <w:noWrap/>
            <w:hideMark/>
          </w:tcPr>
          <w:p w:rsidR="00247CE3" w:rsidRPr="00247CE3" w:rsidRDefault="00247CE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p>
        </w:tc>
        <w:tc>
          <w:tcPr>
            <w:tcW w:w="984" w:type="dxa"/>
            <w:noWrap/>
            <w:hideMark/>
          </w:tcPr>
          <w:p w:rsidR="00247CE3" w:rsidRPr="00247CE3"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247CE3">
              <w:rPr>
                <w:rFonts w:asciiTheme="minorHAnsi" w:hAnsiTheme="minorHAnsi"/>
                <w:color w:val="000000"/>
                <w:sz w:val="18"/>
                <w:szCs w:val="18"/>
              </w:rPr>
              <w:t>2.550</w:t>
            </w:r>
          </w:p>
        </w:tc>
        <w:tc>
          <w:tcPr>
            <w:tcW w:w="2012" w:type="dxa"/>
            <w:noWrap/>
            <w:vAlign w:val="center"/>
            <w:hideMark/>
          </w:tcPr>
          <w:p w:rsidR="00247CE3" w:rsidRPr="00247CE3" w:rsidRDefault="00861A29" w:rsidP="00861A2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2.550</w:t>
            </w:r>
          </w:p>
        </w:tc>
        <w:tc>
          <w:tcPr>
            <w:tcW w:w="1784" w:type="dxa"/>
            <w:noWrap/>
            <w:hideMark/>
          </w:tcPr>
          <w:p w:rsidR="00247CE3" w:rsidRPr="00247CE3" w:rsidRDefault="00247CE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p>
        </w:tc>
      </w:tr>
    </w:tbl>
    <w:p w:rsidR="00AF29D7" w:rsidRDefault="00AF29D7" w:rsidP="00AF29D7">
      <w:pPr>
        <w:rPr>
          <w:rFonts w:asciiTheme="minorHAnsi" w:hAnsiTheme="minorHAnsi" w:cstheme="minorHAnsi"/>
          <w:bCs/>
          <w:sz w:val="18"/>
          <w:szCs w:val="18"/>
        </w:rPr>
      </w:pPr>
      <w:r w:rsidRPr="00B902DA">
        <w:rPr>
          <w:rFonts w:asciiTheme="minorHAnsi" w:hAnsiTheme="minorHAnsi" w:cstheme="minorHAnsi"/>
          <w:bCs/>
          <w:sz w:val="18"/>
          <w:szCs w:val="18"/>
        </w:rPr>
        <w:t>Fuente: Elaboración propia.</w:t>
      </w:r>
    </w:p>
    <w:p w:rsidR="000F285D" w:rsidRPr="00821065" w:rsidRDefault="000F285D" w:rsidP="008A366B">
      <w:pPr>
        <w:pStyle w:val="Heading2"/>
        <w:numPr>
          <w:ilvl w:val="1"/>
          <w:numId w:val="1"/>
        </w:numPr>
        <w:spacing w:line="276" w:lineRule="auto"/>
        <w:rPr>
          <w:rFonts w:asciiTheme="minorHAnsi" w:hAnsiTheme="minorHAnsi" w:cstheme="minorHAnsi"/>
          <w:bCs w:val="0"/>
        </w:rPr>
      </w:pPr>
      <w:bookmarkStart w:id="75" w:name="_Toc373093539"/>
      <w:r w:rsidRPr="00821065">
        <w:rPr>
          <w:rFonts w:asciiTheme="minorHAnsi" w:hAnsiTheme="minorHAnsi" w:cstheme="minorHAnsi"/>
          <w:bCs w:val="0"/>
        </w:rPr>
        <w:t>Interacción de oferta y demanda potencial en situación con proyecto</w:t>
      </w:r>
      <w:bookmarkEnd w:id="75"/>
    </w:p>
    <w:p w:rsidR="000F285D" w:rsidRPr="009C76DB" w:rsidRDefault="000F285D" w:rsidP="000F285D">
      <w:pPr>
        <w:rPr>
          <w:rFonts w:asciiTheme="minorHAnsi" w:hAnsiTheme="minorHAnsi" w:cstheme="minorHAnsi"/>
          <w:b/>
          <w:sz w:val="22"/>
        </w:rPr>
      </w:pPr>
    </w:p>
    <w:p w:rsidR="000F285D" w:rsidRDefault="00C95ED9" w:rsidP="000F285D">
      <w:pPr>
        <w:jc w:val="both"/>
        <w:rPr>
          <w:rFonts w:asciiTheme="minorHAnsi" w:hAnsiTheme="minorHAnsi" w:cstheme="minorHAnsi"/>
          <w:sz w:val="22"/>
        </w:rPr>
      </w:pPr>
      <w:r>
        <w:rPr>
          <w:rFonts w:asciiTheme="minorHAnsi" w:hAnsiTheme="minorHAnsi" w:cstheme="minorHAnsi"/>
          <w:sz w:val="22"/>
        </w:rPr>
        <w:t xml:space="preserve">En la Tabla </w:t>
      </w:r>
      <w:r w:rsidR="00C84B59">
        <w:rPr>
          <w:rFonts w:asciiTheme="minorHAnsi" w:hAnsiTheme="minorHAnsi" w:cstheme="minorHAnsi"/>
          <w:sz w:val="22"/>
        </w:rPr>
        <w:t>6</w:t>
      </w:r>
      <w:r>
        <w:rPr>
          <w:rFonts w:asciiTheme="minorHAnsi" w:hAnsiTheme="minorHAnsi" w:cstheme="minorHAnsi"/>
          <w:sz w:val="22"/>
        </w:rPr>
        <w:t>.4</w:t>
      </w:r>
      <w:r w:rsidR="000F285D" w:rsidRPr="009C76DB">
        <w:rPr>
          <w:rFonts w:asciiTheme="minorHAnsi" w:hAnsiTheme="minorHAnsi" w:cstheme="minorHAnsi"/>
          <w:sz w:val="22"/>
        </w:rPr>
        <w:t xml:space="preserve"> se presentan los años de saturación de las prestaciones de salud que entregará el proyecto, las cuales surgen de la interacción de la oferta</w:t>
      </w:r>
      <w:r>
        <w:rPr>
          <w:rFonts w:asciiTheme="minorHAnsi" w:hAnsiTheme="minorHAnsi" w:cstheme="minorHAnsi"/>
          <w:sz w:val="22"/>
        </w:rPr>
        <w:t xml:space="preserve"> en la situación con proyecto</w:t>
      </w:r>
      <w:r w:rsidR="000F285D" w:rsidRPr="009C76DB">
        <w:rPr>
          <w:rFonts w:asciiTheme="minorHAnsi" w:hAnsiTheme="minorHAnsi" w:cstheme="minorHAnsi"/>
          <w:sz w:val="22"/>
        </w:rPr>
        <w:t xml:space="preserve"> y </w:t>
      </w:r>
      <w:r>
        <w:rPr>
          <w:rFonts w:asciiTheme="minorHAnsi" w:hAnsiTheme="minorHAnsi" w:cstheme="minorHAnsi"/>
          <w:sz w:val="22"/>
        </w:rPr>
        <w:t xml:space="preserve">la </w:t>
      </w:r>
      <w:r w:rsidR="000F285D" w:rsidRPr="009C76DB">
        <w:rPr>
          <w:rFonts w:asciiTheme="minorHAnsi" w:hAnsiTheme="minorHAnsi" w:cstheme="minorHAnsi"/>
          <w:sz w:val="22"/>
        </w:rPr>
        <w:t xml:space="preserve">demanda potencial. Se observa que </w:t>
      </w:r>
      <w:r w:rsidR="0081146E">
        <w:rPr>
          <w:rFonts w:asciiTheme="minorHAnsi" w:hAnsiTheme="minorHAnsi" w:cstheme="minorHAnsi"/>
          <w:sz w:val="22"/>
        </w:rPr>
        <w:t xml:space="preserve">el </w:t>
      </w:r>
      <w:r w:rsidR="000F285D" w:rsidRPr="009C76DB">
        <w:rPr>
          <w:rFonts w:asciiTheme="minorHAnsi" w:hAnsiTheme="minorHAnsi" w:cstheme="minorHAnsi"/>
          <w:sz w:val="22"/>
        </w:rPr>
        <w:t xml:space="preserve">proyecto logra postergar los años de saturación respecto de la situación sin proyecto, en </w:t>
      </w:r>
      <w:r w:rsidR="0081146E">
        <w:rPr>
          <w:rFonts w:asciiTheme="minorHAnsi" w:hAnsiTheme="minorHAnsi" w:cstheme="minorHAnsi"/>
          <w:sz w:val="22"/>
        </w:rPr>
        <w:t xml:space="preserve">estudios de </w:t>
      </w:r>
      <w:r w:rsidR="00861A29">
        <w:rPr>
          <w:rFonts w:asciiTheme="minorHAnsi" w:hAnsiTheme="minorHAnsi" w:cstheme="minorHAnsi"/>
          <w:sz w:val="22"/>
        </w:rPr>
        <w:t xml:space="preserve">tomografía, cubriendo las necesidades de </w:t>
      </w:r>
      <w:r w:rsidR="005352F3">
        <w:rPr>
          <w:rFonts w:asciiTheme="minorHAnsi" w:hAnsiTheme="minorHAnsi" w:cstheme="minorHAnsi"/>
          <w:sz w:val="22"/>
        </w:rPr>
        <w:t>este</w:t>
      </w:r>
      <w:r w:rsidR="00861A29">
        <w:rPr>
          <w:rFonts w:asciiTheme="minorHAnsi" w:hAnsiTheme="minorHAnsi" w:cstheme="minorHAnsi"/>
          <w:sz w:val="22"/>
        </w:rPr>
        <w:t xml:space="preserve"> tipo de estudios, y cubriendo </w:t>
      </w:r>
      <w:r w:rsidR="005352F3">
        <w:rPr>
          <w:rFonts w:asciiTheme="minorHAnsi" w:hAnsiTheme="minorHAnsi" w:cstheme="minorHAnsi"/>
          <w:sz w:val="22"/>
        </w:rPr>
        <w:t>las necesidades</w:t>
      </w:r>
      <w:r w:rsidR="00861A29">
        <w:rPr>
          <w:rFonts w:asciiTheme="minorHAnsi" w:hAnsiTheme="minorHAnsi" w:cstheme="minorHAnsi"/>
          <w:sz w:val="22"/>
        </w:rPr>
        <w:t xml:space="preserve"> de estudios de resonancia magnética hasta el año 2033.</w:t>
      </w:r>
    </w:p>
    <w:p w:rsidR="00861A29" w:rsidRDefault="00861A29" w:rsidP="000F285D">
      <w:pPr>
        <w:jc w:val="both"/>
        <w:rPr>
          <w:rFonts w:asciiTheme="minorHAnsi" w:hAnsiTheme="minorHAnsi" w:cstheme="minorHAnsi"/>
          <w:sz w:val="22"/>
        </w:rPr>
      </w:pPr>
    </w:p>
    <w:p w:rsidR="00861A29" w:rsidRPr="009C76DB" w:rsidRDefault="00861A29" w:rsidP="000F285D">
      <w:pPr>
        <w:jc w:val="both"/>
        <w:rPr>
          <w:rFonts w:asciiTheme="minorHAnsi" w:hAnsiTheme="minorHAnsi" w:cstheme="minorHAnsi"/>
          <w:sz w:val="22"/>
        </w:rPr>
      </w:pPr>
      <w:r>
        <w:rPr>
          <w:rFonts w:asciiTheme="minorHAnsi" w:hAnsiTheme="minorHAnsi" w:cstheme="minorHAnsi"/>
          <w:sz w:val="22"/>
        </w:rPr>
        <w:t xml:space="preserve">Por otra parte, el proyecto logra disminuir </w:t>
      </w:r>
      <w:r w:rsidR="005352F3">
        <w:rPr>
          <w:rFonts w:asciiTheme="minorHAnsi" w:hAnsiTheme="minorHAnsi" w:cstheme="minorHAnsi"/>
          <w:sz w:val="22"/>
        </w:rPr>
        <w:t>el</w:t>
      </w:r>
      <w:r>
        <w:rPr>
          <w:rFonts w:asciiTheme="minorHAnsi" w:hAnsiTheme="minorHAnsi" w:cstheme="minorHAnsi"/>
          <w:sz w:val="22"/>
        </w:rPr>
        <w:t xml:space="preserve"> déficit de prestaciones mediante la incorporación de estudios de mamografía, diálisis</w:t>
      </w:r>
      <w:r w:rsidR="007939D6">
        <w:rPr>
          <w:rFonts w:asciiTheme="minorHAnsi" w:hAnsiTheme="minorHAnsi" w:cstheme="minorHAnsi"/>
          <w:sz w:val="22"/>
        </w:rPr>
        <w:t xml:space="preserve"> y radioterapia externa entre las más significativas.</w:t>
      </w:r>
    </w:p>
    <w:p w:rsidR="000F285D" w:rsidRPr="009C76DB" w:rsidRDefault="000F285D" w:rsidP="000F285D">
      <w:pPr>
        <w:rPr>
          <w:rFonts w:asciiTheme="minorHAnsi" w:hAnsiTheme="minorHAnsi" w:cstheme="minorHAnsi"/>
          <w:sz w:val="22"/>
        </w:rPr>
      </w:pPr>
    </w:p>
    <w:p w:rsidR="00C95ED9" w:rsidRDefault="00C95ED9" w:rsidP="000F285D">
      <w:pPr>
        <w:rPr>
          <w:rFonts w:asciiTheme="minorHAnsi" w:hAnsiTheme="minorHAnsi" w:cstheme="minorHAnsi"/>
          <w:sz w:val="22"/>
        </w:rPr>
      </w:pPr>
      <w:r>
        <w:rPr>
          <w:rFonts w:asciiTheme="minorHAnsi" w:hAnsiTheme="minorHAnsi" w:cstheme="minorHAnsi"/>
          <w:sz w:val="22"/>
        </w:rPr>
        <w:t xml:space="preserve">Tabla </w:t>
      </w:r>
      <w:r w:rsidR="00C84B59">
        <w:rPr>
          <w:rFonts w:asciiTheme="minorHAnsi" w:hAnsiTheme="minorHAnsi" w:cstheme="minorHAnsi"/>
          <w:sz w:val="22"/>
        </w:rPr>
        <w:t>6</w:t>
      </w:r>
      <w:r>
        <w:rPr>
          <w:rFonts w:asciiTheme="minorHAnsi" w:hAnsiTheme="minorHAnsi" w:cstheme="minorHAnsi"/>
          <w:sz w:val="22"/>
        </w:rPr>
        <w:t>.4: Años de saturación de servicios situación con proyecto</w:t>
      </w:r>
    </w:p>
    <w:tbl>
      <w:tblPr>
        <w:tblStyle w:val="LightShading-Accent3"/>
        <w:tblW w:w="9054" w:type="dxa"/>
        <w:tblLook w:val="04A0" w:firstRow="1" w:lastRow="0" w:firstColumn="1" w:lastColumn="0" w:noHBand="0" w:noVBand="1"/>
      </w:tblPr>
      <w:tblGrid>
        <w:gridCol w:w="3033"/>
        <w:gridCol w:w="1681"/>
        <w:gridCol w:w="2170"/>
        <w:gridCol w:w="2170"/>
      </w:tblGrid>
      <w:tr w:rsidR="00E63E67" w:rsidRPr="00861A29" w:rsidTr="00C84B5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3" w:type="dxa"/>
            <w:noWrap/>
            <w:vAlign w:val="center"/>
            <w:hideMark/>
          </w:tcPr>
          <w:p w:rsidR="00E63E67" w:rsidRPr="00861A29" w:rsidRDefault="00E63E67" w:rsidP="00E63E67">
            <w:pPr>
              <w:jc w:val="center"/>
              <w:rPr>
                <w:rFonts w:asciiTheme="minorHAnsi" w:hAnsiTheme="minorHAnsi"/>
                <w:color w:val="000000"/>
                <w:sz w:val="18"/>
                <w:szCs w:val="20"/>
              </w:rPr>
            </w:pPr>
            <w:r w:rsidRPr="00861A29">
              <w:rPr>
                <w:rFonts w:asciiTheme="minorHAnsi" w:hAnsiTheme="minorHAnsi"/>
                <w:color w:val="000000"/>
                <w:sz w:val="18"/>
                <w:szCs w:val="20"/>
              </w:rPr>
              <w:t>Prestación</w:t>
            </w:r>
          </w:p>
        </w:tc>
        <w:tc>
          <w:tcPr>
            <w:tcW w:w="1681" w:type="dxa"/>
            <w:noWrap/>
            <w:vAlign w:val="center"/>
            <w:hideMark/>
          </w:tcPr>
          <w:p w:rsidR="00E63E67" w:rsidRPr="00861A29" w:rsidRDefault="00E63E67" w:rsidP="0081146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Año de saturación (c/proyecto)</w:t>
            </w:r>
          </w:p>
        </w:tc>
        <w:tc>
          <w:tcPr>
            <w:tcW w:w="2170" w:type="dxa"/>
            <w:noWrap/>
            <w:vAlign w:val="center"/>
            <w:hideMark/>
          </w:tcPr>
          <w:p w:rsidR="00E63E67" w:rsidRPr="00861A29" w:rsidRDefault="00E63E67" w:rsidP="00E63E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Déficit/</w:t>
            </w:r>
            <w:r w:rsidR="005352F3" w:rsidRPr="00861A29">
              <w:rPr>
                <w:rFonts w:asciiTheme="minorHAnsi" w:hAnsiTheme="minorHAnsi"/>
                <w:color w:val="000000"/>
                <w:sz w:val="18"/>
                <w:szCs w:val="20"/>
              </w:rPr>
              <w:t>superávit</w:t>
            </w:r>
            <w:r w:rsidRPr="00861A29">
              <w:rPr>
                <w:rFonts w:asciiTheme="minorHAnsi" w:hAnsiTheme="minorHAnsi"/>
                <w:color w:val="000000"/>
                <w:sz w:val="18"/>
                <w:szCs w:val="20"/>
              </w:rPr>
              <w:t xml:space="preserve"> 2017 (s/proyecto)</w:t>
            </w:r>
          </w:p>
        </w:tc>
        <w:tc>
          <w:tcPr>
            <w:tcW w:w="2170" w:type="dxa"/>
            <w:noWrap/>
            <w:vAlign w:val="center"/>
            <w:hideMark/>
          </w:tcPr>
          <w:p w:rsidR="00E63E67" w:rsidRPr="00861A29" w:rsidRDefault="00E63E67" w:rsidP="00E63E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Déficit/</w:t>
            </w:r>
            <w:r w:rsidR="005352F3" w:rsidRPr="00861A29">
              <w:rPr>
                <w:rFonts w:asciiTheme="minorHAnsi" w:hAnsiTheme="minorHAnsi"/>
                <w:color w:val="000000"/>
                <w:sz w:val="18"/>
                <w:szCs w:val="20"/>
              </w:rPr>
              <w:t>superávit</w:t>
            </w:r>
            <w:r w:rsidRPr="00861A29">
              <w:rPr>
                <w:rFonts w:asciiTheme="minorHAnsi" w:hAnsiTheme="minorHAnsi"/>
                <w:color w:val="000000"/>
                <w:sz w:val="18"/>
                <w:szCs w:val="20"/>
              </w:rPr>
              <w:t xml:space="preserve"> 2017 (c/proyecto)</w:t>
            </w:r>
          </w:p>
        </w:tc>
      </w:tr>
      <w:tr w:rsidR="00E63E67" w:rsidRPr="00861A29" w:rsidTr="00C84B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E63E67" w:rsidRPr="00861A29" w:rsidRDefault="00E63E67">
            <w:pPr>
              <w:rPr>
                <w:rFonts w:asciiTheme="minorHAnsi" w:hAnsiTheme="minorHAnsi"/>
                <w:color w:val="000000"/>
                <w:sz w:val="18"/>
                <w:szCs w:val="20"/>
              </w:rPr>
            </w:pPr>
            <w:r w:rsidRPr="00861A29">
              <w:rPr>
                <w:rFonts w:asciiTheme="minorHAnsi" w:hAnsiTheme="minorHAnsi"/>
                <w:color w:val="000000"/>
                <w:sz w:val="18"/>
                <w:szCs w:val="20"/>
              </w:rPr>
              <w:t>Días cama</w:t>
            </w:r>
          </w:p>
        </w:tc>
        <w:tc>
          <w:tcPr>
            <w:tcW w:w="1681" w:type="dxa"/>
            <w:noWrap/>
            <w:hideMark/>
          </w:tcPr>
          <w:p w:rsidR="00E63E67" w:rsidRPr="00861A29" w:rsidRDefault="00E63E67" w:rsidP="0081146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Saturado</w:t>
            </w:r>
          </w:p>
        </w:tc>
        <w:tc>
          <w:tcPr>
            <w:tcW w:w="2170" w:type="dxa"/>
            <w:noWrap/>
            <w:hideMark/>
          </w:tcPr>
          <w:p w:rsidR="00E63E67" w:rsidRPr="00861A29"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-234.062</w:t>
            </w:r>
          </w:p>
        </w:tc>
        <w:tc>
          <w:tcPr>
            <w:tcW w:w="2170" w:type="dxa"/>
            <w:noWrap/>
            <w:hideMark/>
          </w:tcPr>
          <w:p w:rsidR="00E63E67" w:rsidRPr="00861A29"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-199.314</w:t>
            </w:r>
          </w:p>
        </w:tc>
      </w:tr>
      <w:tr w:rsidR="00E63E67" w:rsidRPr="00861A29" w:rsidTr="00C84B59">
        <w:trPr>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E63E67" w:rsidRPr="00861A29" w:rsidRDefault="00E63E67">
            <w:pPr>
              <w:rPr>
                <w:rFonts w:asciiTheme="minorHAnsi" w:hAnsiTheme="minorHAnsi"/>
                <w:color w:val="000000"/>
                <w:sz w:val="18"/>
                <w:szCs w:val="20"/>
              </w:rPr>
            </w:pPr>
            <w:r w:rsidRPr="00861A29">
              <w:rPr>
                <w:rFonts w:asciiTheme="minorHAnsi" w:hAnsiTheme="minorHAnsi"/>
                <w:color w:val="000000"/>
                <w:sz w:val="18"/>
                <w:szCs w:val="20"/>
              </w:rPr>
              <w:t>Días cama maternidad</w:t>
            </w:r>
          </w:p>
        </w:tc>
        <w:tc>
          <w:tcPr>
            <w:tcW w:w="1681" w:type="dxa"/>
            <w:noWrap/>
            <w:hideMark/>
          </w:tcPr>
          <w:p w:rsidR="00E63E67" w:rsidRPr="00861A29" w:rsidRDefault="00E63E67" w:rsidP="0081146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Saturado</w:t>
            </w:r>
          </w:p>
        </w:tc>
        <w:tc>
          <w:tcPr>
            <w:tcW w:w="2170" w:type="dxa"/>
            <w:noWrap/>
            <w:hideMark/>
          </w:tcPr>
          <w:p w:rsidR="00E63E67" w:rsidRPr="00861A29"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-58.827</w:t>
            </w:r>
          </w:p>
        </w:tc>
        <w:tc>
          <w:tcPr>
            <w:tcW w:w="2170" w:type="dxa"/>
            <w:noWrap/>
            <w:hideMark/>
          </w:tcPr>
          <w:p w:rsidR="00E63E67" w:rsidRPr="00861A29"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-43.241</w:t>
            </w:r>
          </w:p>
        </w:tc>
      </w:tr>
      <w:tr w:rsidR="00E63E67" w:rsidRPr="00861A29" w:rsidTr="00C84B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E63E67" w:rsidRPr="00861A29" w:rsidRDefault="00E63E67">
            <w:pPr>
              <w:rPr>
                <w:rFonts w:asciiTheme="minorHAnsi" w:hAnsiTheme="minorHAnsi"/>
                <w:color w:val="000000"/>
                <w:sz w:val="18"/>
                <w:szCs w:val="20"/>
              </w:rPr>
            </w:pPr>
            <w:r w:rsidRPr="00861A29">
              <w:rPr>
                <w:rFonts w:asciiTheme="minorHAnsi" w:hAnsiTheme="minorHAnsi"/>
                <w:color w:val="000000"/>
                <w:sz w:val="18"/>
                <w:szCs w:val="20"/>
              </w:rPr>
              <w:t>Consulta especialidad</w:t>
            </w:r>
          </w:p>
        </w:tc>
        <w:tc>
          <w:tcPr>
            <w:tcW w:w="1681" w:type="dxa"/>
            <w:noWrap/>
            <w:hideMark/>
          </w:tcPr>
          <w:p w:rsidR="00E63E67" w:rsidRPr="00861A29" w:rsidRDefault="00E63E67" w:rsidP="0081146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Saturado</w:t>
            </w:r>
          </w:p>
        </w:tc>
        <w:tc>
          <w:tcPr>
            <w:tcW w:w="2170" w:type="dxa"/>
            <w:noWrap/>
            <w:hideMark/>
          </w:tcPr>
          <w:p w:rsidR="00E63E67" w:rsidRPr="00861A29"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-147.600</w:t>
            </w:r>
          </w:p>
        </w:tc>
        <w:tc>
          <w:tcPr>
            <w:tcW w:w="2170" w:type="dxa"/>
            <w:noWrap/>
            <w:hideMark/>
          </w:tcPr>
          <w:p w:rsidR="00E63E67" w:rsidRPr="00861A29"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-557</w:t>
            </w:r>
          </w:p>
        </w:tc>
      </w:tr>
      <w:tr w:rsidR="00E63E67" w:rsidRPr="00861A29" w:rsidTr="00C84B59">
        <w:trPr>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E63E67" w:rsidRPr="00861A29" w:rsidRDefault="00E63E67">
            <w:pPr>
              <w:rPr>
                <w:rFonts w:asciiTheme="minorHAnsi" w:hAnsiTheme="minorHAnsi"/>
                <w:color w:val="000000"/>
                <w:sz w:val="18"/>
                <w:szCs w:val="20"/>
              </w:rPr>
            </w:pPr>
            <w:r w:rsidRPr="00861A29">
              <w:rPr>
                <w:rFonts w:asciiTheme="minorHAnsi" w:hAnsiTheme="minorHAnsi"/>
                <w:color w:val="000000"/>
                <w:sz w:val="18"/>
                <w:szCs w:val="20"/>
              </w:rPr>
              <w:t>Urgencia</w:t>
            </w:r>
          </w:p>
        </w:tc>
        <w:tc>
          <w:tcPr>
            <w:tcW w:w="1681" w:type="dxa"/>
            <w:noWrap/>
            <w:hideMark/>
          </w:tcPr>
          <w:p w:rsidR="00E63E67" w:rsidRPr="00861A29" w:rsidRDefault="00E63E67" w:rsidP="0081146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Holgado</w:t>
            </w:r>
          </w:p>
        </w:tc>
        <w:tc>
          <w:tcPr>
            <w:tcW w:w="2170" w:type="dxa"/>
            <w:noWrap/>
            <w:hideMark/>
          </w:tcPr>
          <w:p w:rsidR="00E63E67" w:rsidRPr="00861A29"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359.341</w:t>
            </w:r>
          </w:p>
        </w:tc>
        <w:tc>
          <w:tcPr>
            <w:tcW w:w="2170" w:type="dxa"/>
            <w:noWrap/>
            <w:hideMark/>
          </w:tcPr>
          <w:p w:rsidR="00E63E67" w:rsidRPr="00861A29"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493.369</w:t>
            </w:r>
          </w:p>
        </w:tc>
      </w:tr>
      <w:tr w:rsidR="00E63E67" w:rsidRPr="00861A29" w:rsidTr="00C84B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E63E67" w:rsidRPr="00861A29" w:rsidRDefault="00E63E67">
            <w:pPr>
              <w:rPr>
                <w:rFonts w:asciiTheme="minorHAnsi" w:hAnsiTheme="minorHAnsi"/>
                <w:color w:val="000000"/>
                <w:sz w:val="18"/>
                <w:szCs w:val="20"/>
              </w:rPr>
            </w:pPr>
            <w:r w:rsidRPr="00861A29">
              <w:rPr>
                <w:rFonts w:asciiTheme="minorHAnsi" w:hAnsiTheme="minorHAnsi"/>
                <w:color w:val="000000"/>
                <w:sz w:val="18"/>
                <w:szCs w:val="20"/>
              </w:rPr>
              <w:t xml:space="preserve">Intervención </w:t>
            </w:r>
            <w:r w:rsidR="005352F3" w:rsidRPr="00861A29">
              <w:rPr>
                <w:rFonts w:asciiTheme="minorHAnsi" w:hAnsiTheme="minorHAnsi"/>
                <w:color w:val="000000"/>
                <w:sz w:val="18"/>
                <w:szCs w:val="20"/>
              </w:rPr>
              <w:t>quirúrgica</w:t>
            </w:r>
          </w:p>
        </w:tc>
        <w:tc>
          <w:tcPr>
            <w:tcW w:w="1681" w:type="dxa"/>
            <w:noWrap/>
            <w:hideMark/>
          </w:tcPr>
          <w:p w:rsidR="00E63E67" w:rsidRPr="00861A29" w:rsidRDefault="00E63E67" w:rsidP="0081146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Saturado</w:t>
            </w:r>
          </w:p>
        </w:tc>
        <w:tc>
          <w:tcPr>
            <w:tcW w:w="2170" w:type="dxa"/>
            <w:noWrap/>
            <w:hideMark/>
          </w:tcPr>
          <w:p w:rsidR="00E63E67" w:rsidRPr="00861A29"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-11.025</w:t>
            </w:r>
          </w:p>
        </w:tc>
        <w:tc>
          <w:tcPr>
            <w:tcW w:w="2170" w:type="dxa"/>
            <w:noWrap/>
            <w:hideMark/>
          </w:tcPr>
          <w:p w:rsidR="00E63E67" w:rsidRPr="00861A29"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-5.194</w:t>
            </w:r>
          </w:p>
        </w:tc>
      </w:tr>
      <w:tr w:rsidR="00E63E67" w:rsidRPr="00861A29" w:rsidTr="00C84B59">
        <w:trPr>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E63E67" w:rsidRPr="00861A29" w:rsidRDefault="005352F3">
            <w:pPr>
              <w:rPr>
                <w:rFonts w:asciiTheme="minorHAnsi" w:hAnsiTheme="minorHAnsi"/>
                <w:color w:val="000000"/>
                <w:sz w:val="18"/>
                <w:szCs w:val="20"/>
              </w:rPr>
            </w:pPr>
            <w:r w:rsidRPr="00861A29">
              <w:rPr>
                <w:rFonts w:asciiTheme="minorHAnsi" w:hAnsiTheme="minorHAnsi"/>
                <w:color w:val="000000"/>
                <w:sz w:val="18"/>
                <w:szCs w:val="20"/>
              </w:rPr>
              <w:t>Diálisis</w:t>
            </w:r>
          </w:p>
        </w:tc>
        <w:tc>
          <w:tcPr>
            <w:tcW w:w="1681" w:type="dxa"/>
            <w:noWrap/>
            <w:hideMark/>
          </w:tcPr>
          <w:p w:rsidR="00E63E67" w:rsidRPr="00861A29" w:rsidRDefault="00E63E67" w:rsidP="0081146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Saturado</w:t>
            </w:r>
          </w:p>
        </w:tc>
        <w:tc>
          <w:tcPr>
            <w:tcW w:w="2170" w:type="dxa"/>
            <w:noWrap/>
            <w:hideMark/>
          </w:tcPr>
          <w:p w:rsidR="00E63E67" w:rsidRPr="00861A29" w:rsidRDefault="00247CE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-27.516</w:t>
            </w:r>
          </w:p>
        </w:tc>
        <w:tc>
          <w:tcPr>
            <w:tcW w:w="2170" w:type="dxa"/>
            <w:noWrap/>
            <w:hideMark/>
          </w:tcPr>
          <w:p w:rsidR="00E63E67" w:rsidRPr="00861A29"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-16.347</w:t>
            </w:r>
          </w:p>
        </w:tc>
      </w:tr>
      <w:tr w:rsidR="00E63E67" w:rsidRPr="00861A29" w:rsidTr="00C84B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E63E67" w:rsidRPr="00861A29" w:rsidRDefault="00E63E67">
            <w:pPr>
              <w:rPr>
                <w:rFonts w:asciiTheme="minorHAnsi" w:hAnsiTheme="minorHAnsi"/>
                <w:color w:val="000000"/>
                <w:sz w:val="18"/>
                <w:szCs w:val="20"/>
              </w:rPr>
            </w:pPr>
            <w:r w:rsidRPr="00861A29">
              <w:rPr>
                <w:rFonts w:asciiTheme="minorHAnsi" w:hAnsiTheme="minorHAnsi"/>
                <w:color w:val="000000"/>
                <w:sz w:val="18"/>
                <w:szCs w:val="20"/>
              </w:rPr>
              <w:t xml:space="preserve">Resonancia </w:t>
            </w:r>
            <w:r w:rsidR="005352F3" w:rsidRPr="00861A29">
              <w:rPr>
                <w:rFonts w:asciiTheme="minorHAnsi" w:hAnsiTheme="minorHAnsi"/>
                <w:color w:val="000000"/>
                <w:sz w:val="18"/>
                <w:szCs w:val="20"/>
              </w:rPr>
              <w:t>magnética</w:t>
            </w:r>
          </w:p>
        </w:tc>
        <w:tc>
          <w:tcPr>
            <w:tcW w:w="1681" w:type="dxa"/>
            <w:noWrap/>
            <w:hideMark/>
          </w:tcPr>
          <w:p w:rsidR="00E63E67" w:rsidRPr="00861A29" w:rsidRDefault="00E63E67" w:rsidP="0081146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2033</w:t>
            </w:r>
          </w:p>
        </w:tc>
        <w:tc>
          <w:tcPr>
            <w:tcW w:w="2170" w:type="dxa"/>
            <w:noWrap/>
            <w:hideMark/>
          </w:tcPr>
          <w:p w:rsidR="00E63E67" w:rsidRPr="00861A29"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-3.778</w:t>
            </w:r>
          </w:p>
        </w:tc>
        <w:tc>
          <w:tcPr>
            <w:tcW w:w="2170" w:type="dxa"/>
            <w:noWrap/>
            <w:hideMark/>
          </w:tcPr>
          <w:p w:rsidR="00E63E67" w:rsidRPr="00861A29"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1.322</w:t>
            </w:r>
          </w:p>
        </w:tc>
      </w:tr>
      <w:tr w:rsidR="00E63E67" w:rsidRPr="00861A29" w:rsidTr="00C84B59">
        <w:trPr>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E63E67" w:rsidRPr="00861A29" w:rsidRDefault="005352F3">
            <w:pPr>
              <w:rPr>
                <w:rFonts w:asciiTheme="minorHAnsi" w:hAnsiTheme="minorHAnsi"/>
                <w:color w:val="000000"/>
                <w:sz w:val="18"/>
                <w:szCs w:val="20"/>
              </w:rPr>
            </w:pPr>
            <w:r w:rsidRPr="00861A29">
              <w:rPr>
                <w:rFonts w:asciiTheme="minorHAnsi" w:hAnsiTheme="minorHAnsi"/>
                <w:color w:val="000000"/>
                <w:sz w:val="18"/>
                <w:szCs w:val="20"/>
              </w:rPr>
              <w:t>Mamógrafo</w:t>
            </w:r>
          </w:p>
        </w:tc>
        <w:tc>
          <w:tcPr>
            <w:tcW w:w="1681" w:type="dxa"/>
            <w:noWrap/>
            <w:hideMark/>
          </w:tcPr>
          <w:p w:rsidR="00E63E67" w:rsidRPr="00861A29" w:rsidRDefault="00E63E67" w:rsidP="0081146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Saturado</w:t>
            </w:r>
          </w:p>
        </w:tc>
        <w:tc>
          <w:tcPr>
            <w:tcW w:w="2170" w:type="dxa"/>
            <w:noWrap/>
            <w:hideMark/>
          </w:tcPr>
          <w:p w:rsidR="00E63E67" w:rsidRPr="00861A29"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-10.436</w:t>
            </w:r>
          </w:p>
        </w:tc>
        <w:tc>
          <w:tcPr>
            <w:tcW w:w="2170" w:type="dxa"/>
            <w:noWrap/>
            <w:hideMark/>
          </w:tcPr>
          <w:p w:rsidR="00E63E67" w:rsidRPr="00861A29"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-2.786</w:t>
            </w:r>
          </w:p>
        </w:tc>
      </w:tr>
      <w:tr w:rsidR="00E63E67" w:rsidRPr="00861A29" w:rsidTr="00C84B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E63E67" w:rsidRPr="00861A29" w:rsidRDefault="00E63E67">
            <w:pPr>
              <w:rPr>
                <w:rFonts w:asciiTheme="minorHAnsi" w:hAnsiTheme="minorHAnsi"/>
                <w:color w:val="000000"/>
                <w:sz w:val="18"/>
                <w:szCs w:val="20"/>
              </w:rPr>
            </w:pPr>
            <w:r w:rsidRPr="00861A29">
              <w:rPr>
                <w:rFonts w:asciiTheme="minorHAnsi" w:hAnsiTheme="minorHAnsi"/>
                <w:color w:val="000000"/>
                <w:sz w:val="18"/>
                <w:szCs w:val="20"/>
              </w:rPr>
              <w:t>RX</w:t>
            </w:r>
          </w:p>
        </w:tc>
        <w:tc>
          <w:tcPr>
            <w:tcW w:w="1681" w:type="dxa"/>
            <w:noWrap/>
            <w:hideMark/>
          </w:tcPr>
          <w:p w:rsidR="00E63E67" w:rsidRPr="00861A29" w:rsidRDefault="00E63E67" w:rsidP="0081146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2019</w:t>
            </w:r>
          </w:p>
        </w:tc>
        <w:tc>
          <w:tcPr>
            <w:tcW w:w="2170" w:type="dxa"/>
            <w:noWrap/>
            <w:hideMark/>
          </w:tcPr>
          <w:p w:rsidR="00E63E67" w:rsidRPr="00861A29"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7.722</w:t>
            </w:r>
          </w:p>
        </w:tc>
        <w:tc>
          <w:tcPr>
            <w:tcW w:w="2170" w:type="dxa"/>
            <w:noWrap/>
            <w:hideMark/>
          </w:tcPr>
          <w:p w:rsidR="00E63E67" w:rsidRPr="00861A29"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37.506</w:t>
            </w:r>
          </w:p>
        </w:tc>
      </w:tr>
      <w:tr w:rsidR="00E63E67" w:rsidRPr="00861A29" w:rsidTr="00C84B59">
        <w:trPr>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E63E67" w:rsidRPr="00861A29" w:rsidRDefault="00E63E67">
            <w:pPr>
              <w:rPr>
                <w:rFonts w:asciiTheme="minorHAnsi" w:hAnsiTheme="minorHAnsi"/>
                <w:color w:val="000000"/>
                <w:sz w:val="18"/>
                <w:szCs w:val="20"/>
              </w:rPr>
            </w:pPr>
            <w:r w:rsidRPr="00861A29">
              <w:rPr>
                <w:rFonts w:asciiTheme="minorHAnsi" w:hAnsiTheme="minorHAnsi"/>
                <w:color w:val="000000"/>
                <w:sz w:val="18"/>
                <w:szCs w:val="20"/>
              </w:rPr>
              <w:t>Endoscopía</w:t>
            </w:r>
          </w:p>
        </w:tc>
        <w:tc>
          <w:tcPr>
            <w:tcW w:w="1681" w:type="dxa"/>
            <w:noWrap/>
            <w:hideMark/>
          </w:tcPr>
          <w:p w:rsidR="00E63E67" w:rsidRPr="00861A29" w:rsidRDefault="00E63E67" w:rsidP="0081146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Saturado</w:t>
            </w:r>
          </w:p>
        </w:tc>
        <w:tc>
          <w:tcPr>
            <w:tcW w:w="2170" w:type="dxa"/>
            <w:noWrap/>
            <w:hideMark/>
          </w:tcPr>
          <w:p w:rsidR="00E63E67" w:rsidRPr="00861A29"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-10.458</w:t>
            </w:r>
          </w:p>
        </w:tc>
        <w:tc>
          <w:tcPr>
            <w:tcW w:w="2170" w:type="dxa"/>
            <w:noWrap/>
            <w:hideMark/>
          </w:tcPr>
          <w:p w:rsidR="00E63E67" w:rsidRPr="00861A29"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-1.558</w:t>
            </w:r>
          </w:p>
        </w:tc>
      </w:tr>
      <w:tr w:rsidR="00E63E67" w:rsidRPr="00861A29" w:rsidTr="00C84B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E63E67" w:rsidRPr="00861A29" w:rsidRDefault="00E63E67">
            <w:pPr>
              <w:rPr>
                <w:rFonts w:asciiTheme="minorHAnsi" w:hAnsiTheme="minorHAnsi"/>
                <w:color w:val="000000"/>
                <w:sz w:val="18"/>
                <w:szCs w:val="20"/>
              </w:rPr>
            </w:pPr>
            <w:r w:rsidRPr="00861A29">
              <w:rPr>
                <w:rFonts w:asciiTheme="minorHAnsi" w:hAnsiTheme="minorHAnsi"/>
                <w:color w:val="000000"/>
                <w:sz w:val="18"/>
                <w:szCs w:val="20"/>
              </w:rPr>
              <w:t>Ecógrafo</w:t>
            </w:r>
          </w:p>
        </w:tc>
        <w:tc>
          <w:tcPr>
            <w:tcW w:w="1681" w:type="dxa"/>
            <w:noWrap/>
            <w:hideMark/>
          </w:tcPr>
          <w:p w:rsidR="00E63E67" w:rsidRPr="00861A29" w:rsidRDefault="00E63E67" w:rsidP="0081146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Saturado</w:t>
            </w:r>
          </w:p>
        </w:tc>
        <w:tc>
          <w:tcPr>
            <w:tcW w:w="2170" w:type="dxa"/>
            <w:noWrap/>
            <w:hideMark/>
          </w:tcPr>
          <w:p w:rsidR="00E63E67" w:rsidRPr="00861A29"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-87.767</w:t>
            </w:r>
          </w:p>
        </w:tc>
        <w:tc>
          <w:tcPr>
            <w:tcW w:w="2170" w:type="dxa"/>
            <w:noWrap/>
            <w:hideMark/>
          </w:tcPr>
          <w:p w:rsidR="00E63E67" w:rsidRPr="00861A29"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-66.167</w:t>
            </w:r>
          </w:p>
        </w:tc>
      </w:tr>
      <w:tr w:rsidR="00E63E67" w:rsidRPr="00861A29" w:rsidTr="00C84B59">
        <w:trPr>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E63E67" w:rsidRPr="00861A29" w:rsidRDefault="005352F3">
            <w:pPr>
              <w:rPr>
                <w:rFonts w:asciiTheme="minorHAnsi" w:hAnsiTheme="minorHAnsi"/>
                <w:color w:val="000000"/>
                <w:sz w:val="18"/>
                <w:szCs w:val="20"/>
              </w:rPr>
            </w:pPr>
            <w:r w:rsidRPr="00861A29">
              <w:rPr>
                <w:rFonts w:asciiTheme="minorHAnsi" w:hAnsiTheme="minorHAnsi"/>
                <w:color w:val="000000"/>
                <w:sz w:val="18"/>
                <w:szCs w:val="20"/>
              </w:rPr>
              <w:t>Tomógrafo</w:t>
            </w:r>
          </w:p>
        </w:tc>
        <w:tc>
          <w:tcPr>
            <w:tcW w:w="1681" w:type="dxa"/>
            <w:noWrap/>
            <w:hideMark/>
          </w:tcPr>
          <w:p w:rsidR="00E63E67" w:rsidRPr="00861A29" w:rsidRDefault="00E63E67" w:rsidP="0081146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Holgado</w:t>
            </w:r>
          </w:p>
        </w:tc>
        <w:tc>
          <w:tcPr>
            <w:tcW w:w="2170" w:type="dxa"/>
            <w:noWrap/>
            <w:hideMark/>
          </w:tcPr>
          <w:p w:rsidR="00E63E67" w:rsidRPr="00861A29"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8.892</w:t>
            </w:r>
          </w:p>
        </w:tc>
        <w:tc>
          <w:tcPr>
            <w:tcW w:w="2170" w:type="dxa"/>
            <w:noWrap/>
            <w:hideMark/>
          </w:tcPr>
          <w:p w:rsidR="00E63E67" w:rsidRPr="00861A29"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23.784</w:t>
            </w:r>
          </w:p>
        </w:tc>
      </w:tr>
      <w:tr w:rsidR="00E63E67" w:rsidRPr="00861A29" w:rsidTr="00C84B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E63E67" w:rsidRPr="00861A29" w:rsidRDefault="00E63E67">
            <w:pPr>
              <w:rPr>
                <w:rFonts w:asciiTheme="minorHAnsi" w:hAnsiTheme="minorHAnsi"/>
                <w:color w:val="000000"/>
                <w:sz w:val="18"/>
                <w:szCs w:val="20"/>
              </w:rPr>
            </w:pPr>
            <w:r w:rsidRPr="00861A29">
              <w:rPr>
                <w:rFonts w:asciiTheme="minorHAnsi" w:hAnsiTheme="minorHAnsi"/>
                <w:color w:val="000000"/>
                <w:sz w:val="18"/>
                <w:szCs w:val="20"/>
              </w:rPr>
              <w:t>Quimioterapia</w:t>
            </w:r>
          </w:p>
        </w:tc>
        <w:tc>
          <w:tcPr>
            <w:tcW w:w="1681" w:type="dxa"/>
            <w:noWrap/>
            <w:hideMark/>
          </w:tcPr>
          <w:p w:rsidR="00E63E67" w:rsidRPr="00861A29" w:rsidRDefault="00E63E67" w:rsidP="0081146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Saturado</w:t>
            </w:r>
          </w:p>
        </w:tc>
        <w:tc>
          <w:tcPr>
            <w:tcW w:w="2170" w:type="dxa"/>
            <w:noWrap/>
            <w:hideMark/>
          </w:tcPr>
          <w:p w:rsidR="00E63E67" w:rsidRPr="00861A29"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-57.771</w:t>
            </w:r>
          </w:p>
        </w:tc>
        <w:tc>
          <w:tcPr>
            <w:tcW w:w="2170" w:type="dxa"/>
            <w:noWrap/>
            <w:hideMark/>
          </w:tcPr>
          <w:p w:rsidR="00E63E67" w:rsidRPr="00861A29"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-49.838</w:t>
            </w:r>
          </w:p>
        </w:tc>
      </w:tr>
      <w:tr w:rsidR="00E63E67" w:rsidRPr="00861A29" w:rsidTr="00C84B59">
        <w:trPr>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E63E67" w:rsidRPr="00861A29" w:rsidRDefault="00E63E67">
            <w:pPr>
              <w:rPr>
                <w:rFonts w:asciiTheme="minorHAnsi" w:hAnsiTheme="minorHAnsi"/>
                <w:color w:val="000000"/>
                <w:sz w:val="18"/>
                <w:szCs w:val="20"/>
              </w:rPr>
            </w:pPr>
            <w:r w:rsidRPr="00861A29">
              <w:rPr>
                <w:rFonts w:asciiTheme="minorHAnsi" w:hAnsiTheme="minorHAnsi"/>
                <w:color w:val="000000"/>
                <w:sz w:val="18"/>
                <w:szCs w:val="20"/>
              </w:rPr>
              <w:t>Radioterapia externa</w:t>
            </w:r>
          </w:p>
        </w:tc>
        <w:tc>
          <w:tcPr>
            <w:tcW w:w="1681" w:type="dxa"/>
            <w:noWrap/>
            <w:hideMark/>
          </w:tcPr>
          <w:p w:rsidR="00E63E67" w:rsidRPr="00861A29" w:rsidRDefault="00E63E67" w:rsidP="0081146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Saturado</w:t>
            </w:r>
          </w:p>
        </w:tc>
        <w:tc>
          <w:tcPr>
            <w:tcW w:w="2170" w:type="dxa"/>
            <w:noWrap/>
            <w:hideMark/>
          </w:tcPr>
          <w:p w:rsidR="00E63E67" w:rsidRPr="00861A29"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-17.639</w:t>
            </w:r>
          </w:p>
        </w:tc>
        <w:tc>
          <w:tcPr>
            <w:tcW w:w="2170" w:type="dxa"/>
            <w:noWrap/>
            <w:hideMark/>
          </w:tcPr>
          <w:p w:rsidR="00E63E67" w:rsidRPr="00861A29"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-6.470</w:t>
            </w:r>
          </w:p>
        </w:tc>
      </w:tr>
      <w:tr w:rsidR="00E63E67" w:rsidRPr="00861A29" w:rsidTr="00C84B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E63E67" w:rsidRPr="00861A29" w:rsidRDefault="00E63E67">
            <w:pPr>
              <w:rPr>
                <w:rFonts w:asciiTheme="minorHAnsi" w:hAnsiTheme="minorHAnsi"/>
                <w:color w:val="000000"/>
                <w:sz w:val="18"/>
                <w:szCs w:val="20"/>
              </w:rPr>
            </w:pPr>
            <w:r w:rsidRPr="00861A29">
              <w:rPr>
                <w:rFonts w:asciiTheme="minorHAnsi" w:hAnsiTheme="minorHAnsi"/>
                <w:color w:val="000000"/>
                <w:sz w:val="18"/>
                <w:szCs w:val="20"/>
              </w:rPr>
              <w:t>Radioterapia interna (Braquiterapia)</w:t>
            </w:r>
          </w:p>
        </w:tc>
        <w:tc>
          <w:tcPr>
            <w:tcW w:w="1681" w:type="dxa"/>
            <w:noWrap/>
            <w:hideMark/>
          </w:tcPr>
          <w:p w:rsidR="00E63E67" w:rsidRPr="00861A29" w:rsidRDefault="00E63E67" w:rsidP="0081146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Saturado</w:t>
            </w:r>
          </w:p>
        </w:tc>
        <w:tc>
          <w:tcPr>
            <w:tcW w:w="2170" w:type="dxa"/>
            <w:noWrap/>
            <w:hideMark/>
          </w:tcPr>
          <w:p w:rsidR="00E63E67" w:rsidRPr="00861A29"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-1.436</w:t>
            </w:r>
          </w:p>
        </w:tc>
        <w:tc>
          <w:tcPr>
            <w:tcW w:w="2170" w:type="dxa"/>
            <w:noWrap/>
            <w:hideMark/>
          </w:tcPr>
          <w:p w:rsidR="00E63E67" w:rsidRPr="00861A29" w:rsidRDefault="00E63E6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-1.384</w:t>
            </w:r>
          </w:p>
        </w:tc>
      </w:tr>
      <w:tr w:rsidR="00E63E67" w:rsidRPr="00861A29" w:rsidTr="00C84B59">
        <w:trPr>
          <w:trHeight w:val="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E63E67" w:rsidRPr="00861A29" w:rsidRDefault="005352F3">
            <w:pPr>
              <w:rPr>
                <w:rFonts w:asciiTheme="minorHAnsi" w:hAnsiTheme="minorHAnsi"/>
                <w:color w:val="000000"/>
                <w:sz w:val="18"/>
                <w:szCs w:val="20"/>
              </w:rPr>
            </w:pPr>
            <w:r w:rsidRPr="00861A29">
              <w:rPr>
                <w:rFonts w:asciiTheme="minorHAnsi" w:hAnsiTheme="minorHAnsi"/>
                <w:color w:val="000000"/>
                <w:sz w:val="18"/>
                <w:szCs w:val="20"/>
              </w:rPr>
              <w:t>Gamma cámara</w:t>
            </w:r>
          </w:p>
        </w:tc>
        <w:tc>
          <w:tcPr>
            <w:tcW w:w="1681" w:type="dxa"/>
            <w:noWrap/>
            <w:hideMark/>
          </w:tcPr>
          <w:p w:rsidR="00E63E67" w:rsidRPr="00861A29" w:rsidRDefault="00E63E67" w:rsidP="0081146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Saturado</w:t>
            </w:r>
          </w:p>
        </w:tc>
        <w:tc>
          <w:tcPr>
            <w:tcW w:w="2170" w:type="dxa"/>
            <w:noWrap/>
            <w:hideMark/>
          </w:tcPr>
          <w:p w:rsidR="00E63E67" w:rsidRPr="00861A29"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-9.858</w:t>
            </w:r>
          </w:p>
        </w:tc>
        <w:tc>
          <w:tcPr>
            <w:tcW w:w="2170" w:type="dxa"/>
            <w:noWrap/>
            <w:hideMark/>
          </w:tcPr>
          <w:p w:rsidR="00E63E67" w:rsidRPr="00861A29" w:rsidRDefault="00E63E6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20"/>
              </w:rPr>
            </w:pPr>
            <w:r w:rsidRPr="00861A29">
              <w:rPr>
                <w:rFonts w:asciiTheme="minorHAnsi" w:hAnsiTheme="minorHAnsi"/>
                <w:color w:val="000000"/>
                <w:sz w:val="18"/>
                <w:szCs w:val="20"/>
              </w:rPr>
              <w:t>-7.308</w:t>
            </w:r>
          </w:p>
        </w:tc>
      </w:tr>
    </w:tbl>
    <w:p w:rsidR="000F285D" w:rsidRDefault="000F285D" w:rsidP="000F285D">
      <w:pPr>
        <w:rPr>
          <w:rFonts w:asciiTheme="minorHAnsi" w:hAnsiTheme="minorHAnsi" w:cstheme="minorHAnsi"/>
          <w:sz w:val="18"/>
          <w:szCs w:val="18"/>
        </w:rPr>
      </w:pPr>
      <w:r w:rsidRPr="001D12D3">
        <w:rPr>
          <w:rFonts w:asciiTheme="minorHAnsi" w:hAnsiTheme="minorHAnsi" w:cstheme="minorHAnsi"/>
          <w:sz w:val="18"/>
          <w:szCs w:val="18"/>
        </w:rPr>
        <w:t>Fuente: Elaboración propia.</w:t>
      </w:r>
    </w:p>
    <w:p w:rsidR="00A67DE4" w:rsidRPr="001D12D3" w:rsidRDefault="00A67DE4" w:rsidP="000F285D">
      <w:pPr>
        <w:rPr>
          <w:rFonts w:asciiTheme="minorHAnsi" w:hAnsiTheme="minorHAnsi" w:cstheme="minorHAnsi"/>
          <w:sz w:val="18"/>
          <w:szCs w:val="18"/>
        </w:rPr>
      </w:pPr>
    </w:p>
    <w:p w:rsidR="00656F99" w:rsidRPr="009C76DB" w:rsidRDefault="00656F99" w:rsidP="00656F99">
      <w:pPr>
        <w:pStyle w:val="Heading1"/>
        <w:rPr>
          <w:rFonts w:asciiTheme="minorHAnsi" w:hAnsiTheme="minorHAnsi" w:cstheme="minorHAnsi"/>
          <w:sz w:val="22"/>
        </w:rPr>
      </w:pPr>
      <w:bookmarkStart w:id="76" w:name="_Toc373093540"/>
      <w:r w:rsidRPr="009C76DB">
        <w:rPr>
          <w:rFonts w:asciiTheme="minorHAnsi" w:hAnsiTheme="minorHAnsi" w:cstheme="minorHAnsi"/>
          <w:sz w:val="22"/>
        </w:rPr>
        <w:t>EVALUACION SOCIOECONOMICA</w:t>
      </w:r>
      <w:bookmarkEnd w:id="76"/>
    </w:p>
    <w:p w:rsidR="00656F99" w:rsidRPr="009C76DB" w:rsidRDefault="00656F99" w:rsidP="00656F99">
      <w:pPr>
        <w:rPr>
          <w:rFonts w:asciiTheme="minorHAnsi" w:hAnsiTheme="minorHAnsi" w:cstheme="minorHAnsi"/>
          <w:b/>
          <w:sz w:val="22"/>
        </w:rPr>
      </w:pPr>
    </w:p>
    <w:p w:rsidR="00656F99" w:rsidRPr="009C76DB" w:rsidRDefault="00656F99" w:rsidP="00656F99">
      <w:pPr>
        <w:jc w:val="both"/>
        <w:rPr>
          <w:rFonts w:asciiTheme="minorHAnsi" w:hAnsiTheme="minorHAnsi" w:cstheme="minorHAnsi"/>
          <w:sz w:val="22"/>
        </w:rPr>
      </w:pPr>
      <w:r w:rsidRPr="009C76DB">
        <w:rPr>
          <w:rFonts w:asciiTheme="minorHAnsi" w:hAnsiTheme="minorHAnsi" w:cstheme="minorHAnsi"/>
          <w:sz w:val="22"/>
        </w:rPr>
        <w:t xml:space="preserve">Para la evaluación socioeconómica del proyecto se asume un horizonte de evaluación de 30 años y un tiempo de construcción de la nueva infraestructura de </w:t>
      </w:r>
      <w:r w:rsidR="00AF29D7">
        <w:rPr>
          <w:rFonts w:asciiTheme="minorHAnsi" w:hAnsiTheme="minorHAnsi" w:cstheme="minorHAnsi"/>
          <w:sz w:val="22"/>
        </w:rPr>
        <w:t>3</w:t>
      </w:r>
      <w:r w:rsidRPr="009C76DB">
        <w:rPr>
          <w:rFonts w:asciiTheme="minorHAnsi" w:hAnsiTheme="minorHAnsi" w:cstheme="minorHAnsi"/>
          <w:sz w:val="22"/>
        </w:rPr>
        <w:t xml:space="preserve"> años, es decir, el proyecto en tanto oferente de servicios sanitarios entra en operación en el </w:t>
      </w:r>
      <w:r w:rsidR="001D12D3">
        <w:rPr>
          <w:rFonts w:asciiTheme="minorHAnsi" w:hAnsiTheme="minorHAnsi" w:cstheme="minorHAnsi"/>
          <w:sz w:val="22"/>
        </w:rPr>
        <w:t>periodo</w:t>
      </w:r>
      <w:r w:rsidRPr="009C76DB">
        <w:rPr>
          <w:rFonts w:asciiTheme="minorHAnsi" w:hAnsiTheme="minorHAnsi" w:cstheme="minorHAnsi"/>
          <w:sz w:val="22"/>
        </w:rPr>
        <w:t xml:space="preserve"> </w:t>
      </w:r>
      <w:r w:rsidR="00EF6E5C">
        <w:rPr>
          <w:rFonts w:asciiTheme="minorHAnsi" w:hAnsiTheme="minorHAnsi" w:cstheme="minorHAnsi"/>
          <w:sz w:val="22"/>
        </w:rPr>
        <w:t>3 (2017)</w:t>
      </w:r>
      <w:r w:rsidRPr="009C76DB">
        <w:rPr>
          <w:rFonts w:asciiTheme="minorHAnsi" w:hAnsiTheme="minorHAnsi" w:cstheme="minorHAnsi"/>
          <w:sz w:val="22"/>
        </w:rPr>
        <w:t xml:space="preserve">. La inversión en obras se considera que se realiza en montos </w:t>
      </w:r>
      <w:r w:rsidR="00AF29D7">
        <w:rPr>
          <w:rFonts w:asciiTheme="minorHAnsi" w:hAnsiTheme="minorHAnsi" w:cstheme="minorHAnsi"/>
          <w:sz w:val="22"/>
        </w:rPr>
        <w:t>iguales los años de evaluación 2014, 2015 y 2016</w:t>
      </w:r>
      <w:r w:rsidRPr="009C76DB">
        <w:rPr>
          <w:rFonts w:asciiTheme="minorHAnsi" w:hAnsiTheme="minorHAnsi" w:cstheme="minorHAnsi"/>
          <w:sz w:val="22"/>
        </w:rPr>
        <w:t xml:space="preserve">, y la inversión en equipos se realiza el año </w:t>
      </w:r>
      <w:r w:rsidR="00AF29D7">
        <w:rPr>
          <w:rFonts w:asciiTheme="minorHAnsi" w:hAnsiTheme="minorHAnsi" w:cstheme="minorHAnsi"/>
          <w:sz w:val="22"/>
        </w:rPr>
        <w:t>2016</w:t>
      </w:r>
      <w:r w:rsidRPr="009C76DB">
        <w:rPr>
          <w:rFonts w:asciiTheme="minorHAnsi" w:hAnsiTheme="minorHAnsi" w:cstheme="minorHAnsi"/>
          <w:sz w:val="22"/>
        </w:rPr>
        <w:t>.</w:t>
      </w:r>
    </w:p>
    <w:p w:rsidR="00656F99" w:rsidRPr="009C76DB" w:rsidRDefault="00656F99" w:rsidP="00656F99">
      <w:pPr>
        <w:jc w:val="both"/>
        <w:rPr>
          <w:rFonts w:asciiTheme="minorHAnsi" w:hAnsiTheme="minorHAnsi" w:cstheme="minorHAnsi"/>
          <w:sz w:val="22"/>
        </w:rPr>
      </w:pPr>
    </w:p>
    <w:p w:rsidR="00656F99" w:rsidRPr="009C76DB" w:rsidRDefault="00656F99" w:rsidP="00656F99">
      <w:pPr>
        <w:jc w:val="both"/>
        <w:rPr>
          <w:rFonts w:asciiTheme="minorHAnsi" w:hAnsiTheme="minorHAnsi" w:cstheme="minorHAnsi"/>
          <w:sz w:val="22"/>
        </w:rPr>
      </w:pPr>
      <w:r w:rsidRPr="009C76DB">
        <w:rPr>
          <w:rFonts w:asciiTheme="minorHAnsi" w:hAnsiTheme="minorHAnsi" w:cstheme="minorHAnsi"/>
          <w:sz w:val="22"/>
        </w:rPr>
        <w:t xml:space="preserve">Para la valorización social de los beneficios y costos de operación e inversión del proyecto se utilizan factores de ajuste como </w:t>
      </w:r>
      <w:r w:rsidR="005352F3" w:rsidRPr="00D7578F">
        <w:rPr>
          <w:rFonts w:asciiTheme="minorHAnsi" w:hAnsiTheme="minorHAnsi" w:cstheme="minorHAnsi"/>
          <w:i/>
          <w:sz w:val="22"/>
        </w:rPr>
        <w:t>proxis</w:t>
      </w:r>
      <w:r w:rsidRPr="009C76DB">
        <w:rPr>
          <w:rFonts w:asciiTheme="minorHAnsi" w:hAnsiTheme="minorHAnsi" w:cstheme="minorHAnsi"/>
          <w:sz w:val="22"/>
        </w:rPr>
        <w:t xml:space="preserve"> de precios sociales, los cuales son proveídos por el Ministerio de Planificación del Desarrollo de Bolivia.</w:t>
      </w:r>
      <w:r w:rsidR="002B0C8A">
        <w:rPr>
          <w:rStyle w:val="FootnoteReference"/>
          <w:rFonts w:asciiTheme="minorHAnsi" w:hAnsiTheme="minorHAnsi" w:cstheme="minorHAnsi"/>
          <w:sz w:val="22"/>
        </w:rPr>
        <w:footnoteReference w:id="65"/>
      </w:r>
    </w:p>
    <w:p w:rsidR="00656F99" w:rsidRPr="009C76DB" w:rsidRDefault="00656F99" w:rsidP="00656F99">
      <w:pPr>
        <w:jc w:val="both"/>
        <w:rPr>
          <w:rFonts w:asciiTheme="minorHAnsi" w:hAnsiTheme="minorHAnsi" w:cstheme="minorHAnsi"/>
          <w:sz w:val="22"/>
        </w:rPr>
      </w:pPr>
    </w:p>
    <w:p w:rsidR="00656F99" w:rsidRPr="009C76DB" w:rsidRDefault="00CB02AD" w:rsidP="00656F99">
      <w:pPr>
        <w:jc w:val="both"/>
        <w:rPr>
          <w:rFonts w:asciiTheme="minorHAnsi" w:hAnsiTheme="minorHAnsi" w:cstheme="minorHAnsi"/>
          <w:sz w:val="22"/>
        </w:rPr>
      </w:pPr>
      <w:r>
        <w:rPr>
          <w:rFonts w:asciiTheme="minorHAnsi" w:hAnsiTheme="minorHAnsi" w:cstheme="minorHAnsi"/>
          <w:sz w:val="22"/>
        </w:rPr>
        <w:t xml:space="preserve">En términos de valores privados, el monto de inversión que Bolivia </w:t>
      </w:r>
      <w:r w:rsidR="00DD1BF7">
        <w:rPr>
          <w:rFonts w:asciiTheme="minorHAnsi" w:hAnsiTheme="minorHAnsi" w:cstheme="minorHAnsi"/>
          <w:sz w:val="22"/>
        </w:rPr>
        <w:t>solicita</w:t>
      </w:r>
      <w:r>
        <w:rPr>
          <w:rFonts w:asciiTheme="minorHAnsi" w:hAnsiTheme="minorHAnsi" w:cstheme="minorHAnsi"/>
          <w:sz w:val="22"/>
        </w:rPr>
        <w:t xml:space="preserve"> en calidad de préstamo asciende a </w:t>
      </w:r>
      <w:r w:rsidRPr="00CB02AD">
        <w:rPr>
          <w:rFonts w:asciiTheme="minorHAnsi" w:hAnsiTheme="minorHAnsi" w:cstheme="minorHAnsi"/>
          <w:sz w:val="22"/>
        </w:rPr>
        <w:t>48,5 millones de dólares.</w:t>
      </w:r>
      <w:r>
        <w:rPr>
          <w:rFonts w:asciiTheme="minorHAnsi" w:hAnsiTheme="minorHAnsi" w:cstheme="minorHAnsi"/>
          <w:sz w:val="22"/>
        </w:rPr>
        <w:t xml:space="preserve"> De estos,</w:t>
      </w:r>
      <w:r w:rsidRPr="00CB02AD">
        <w:rPr>
          <w:rFonts w:asciiTheme="minorHAnsi" w:hAnsiTheme="minorHAnsi" w:cstheme="minorHAnsi"/>
          <w:sz w:val="22"/>
        </w:rPr>
        <w:t xml:space="preserve">  41,9 millones corresponden a los costos de inversión que se desarrollan en la sección 7.1 y 6,6 millones </w:t>
      </w:r>
      <w:r>
        <w:rPr>
          <w:rFonts w:asciiTheme="minorHAnsi" w:hAnsiTheme="minorHAnsi" w:cstheme="minorHAnsi"/>
          <w:sz w:val="22"/>
        </w:rPr>
        <w:t xml:space="preserve">a </w:t>
      </w:r>
      <w:r w:rsidRPr="00CB02AD">
        <w:rPr>
          <w:rFonts w:asciiTheme="minorHAnsi" w:hAnsiTheme="minorHAnsi" w:cstheme="minorHAnsi"/>
          <w:sz w:val="22"/>
        </w:rPr>
        <w:t>costos de operación que se describen en la sección 7.2 de este documento</w:t>
      </w:r>
      <w:r>
        <w:rPr>
          <w:rFonts w:asciiTheme="minorHAnsi" w:hAnsiTheme="minorHAnsi" w:cstheme="minorHAnsi"/>
          <w:sz w:val="22"/>
        </w:rPr>
        <w:t xml:space="preserve">. En la sección 7.3 se identifican los beneficios que generará el proyecto, y </w:t>
      </w:r>
      <w:r w:rsidR="00DD1BF7">
        <w:rPr>
          <w:rFonts w:asciiTheme="minorHAnsi" w:hAnsiTheme="minorHAnsi" w:cstheme="minorHAnsi"/>
          <w:sz w:val="22"/>
        </w:rPr>
        <w:t xml:space="preserve">en </w:t>
      </w:r>
      <w:r>
        <w:rPr>
          <w:rFonts w:asciiTheme="minorHAnsi" w:hAnsiTheme="minorHAnsi" w:cstheme="minorHAnsi"/>
          <w:sz w:val="22"/>
        </w:rPr>
        <w:t xml:space="preserve">la sección 7.4 se presentan los resultados de la evaluación propiamente tal, y </w:t>
      </w:r>
      <w:r w:rsidR="00656F99" w:rsidRPr="009C76DB">
        <w:rPr>
          <w:rFonts w:asciiTheme="minorHAnsi" w:hAnsiTheme="minorHAnsi" w:cstheme="minorHAnsi"/>
          <w:sz w:val="22"/>
        </w:rPr>
        <w:t xml:space="preserve">en </w:t>
      </w:r>
      <w:r w:rsidR="00D7578F">
        <w:rPr>
          <w:rFonts w:asciiTheme="minorHAnsi" w:hAnsiTheme="minorHAnsi" w:cstheme="minorHAnsi"/>
          <w:sz w:val="22"/>
        </w:rPr>
        <w:t>función de un</w:t>
      </w:r>
      <w:r w:rsidR="005F0181">
        <w:rPr>
          <w:rFonts w:asciiTheme="minorHAnsi" w:hAnsiTheme="minorHAnsi" w:cstheme="minorHAnsi"/>
          <w:sz w:val="22"/>
        </w:rPr>
        <w:t xml:space="preserve"> escenario base</w:t>
      </w:r>
      <w:r w:rsidR="00656F99" w:rsidRPr="009C76DB">
        <w:rPr>
          <w:rFonts w:asciiTheme="minorHAnsi" w:hAnsiTheme="minorHAnsi" w:cstheme="minorHAnsi"/>
          <w:sz w:val="22"/>
        </w:rPr>
        <w:t xml:space="preserve"> se </w:t>
      </w:r>
      <w:r w:rsidR="001D12D3">
        <w:rPr>
          <w:rFonts w:asciiTheme="minorHAnsi" w:hAnsiTheme="minorHAnsi" w:cstheme="minorHAnsi"/>
          <w:sz w:val="22"/>
        </w:rPr>
        <w:t xml:space="preserve">ha </w:t>
      </w:r>
      <w:r w:rsidR="00656F99" w:rsidRPr="009C76DB">
        <w:rPr>
          <w:rFonts w:asciiTheme="minorHAnsi" w:hAnsiTheme="minorHAnsi" w:cstheme="minorHAnsi"/>
          <w:sz w:val="22"/>
        </w:rPr>
        <w:t xml:space="preserve">realizado una sensibilización del proyecto respecto del monto de inversión </w:t>
      </w:r>
      <w:r w:rsidR="001D12D3">
        <w:rPr>
          <w:rFonts w:asciiTheme="minorHAnsi" w:hAnsiTheme="minorHAnsi" w:cstheme="minorHAnsi"/>
          <w:sz w:val="22"/>
        </w:rPr>
        <w:t>y los valores de las prestaciones</w:t>
      </w:r>
      <w:r w:rsidR="00DD1BF7">
        <w:rPr>
          <w:rFonts w:asciiTheme="minorHAnsi" w:hAnsiTheme="minorHAnsi" w:cstheme="minorHAnsi"/>
          <w:sz w:val="22"/>
        </w:rPr>
        <w:t xml:space="preserve"> sanitarias</w:t>
      </w:r>
      <w:r w:rsidR="00656F99" w:rsidRPr="009C76DB">
        <w:rPr>
          <w:rFonts w:asciiTheme="minorHAnsi" w:hAnsiTheme="minorHAnsi" w:cstheme="minorHAnsi"/>
          <w:sz w:val="22"/>
        </w:rPr>
        <w:t>.</w:t>
      </w:r>
    </w:p>
    <w:p w:rsidR="00656F99" w:rsidRPr="009C76DB" w:rsidRDefault="00656F99" w:rsidP="00656F99">
      <w:pPr>
        <w:jc w:val="both"/>
        <w:rPr>
          <w:rFonts w:asciiTheme="minorHAnsi" w:hAnsiTheme="minorHAnsi" w:cstheme="minorHAnsi"/>
          <w:sz w:val="22"/>
        </w:rPr>
      </w:pPr>
      <w:r w:rsidRPr="009C76DB">
        <w:rPr>
          <w:rFonts w:asciiTheme="minorHAnsi" w:hAnsiTheme="minorHAnsi" w:cstheme="minorHAnsi"/>
          <w:sz w:val="22"/>
        </w:rPr>
        <w:t xml:space="preserve"> </w:t>
      </w:r>
    </w:p>
    <w:p w:rsidR="00656F99" w:rsidRPr="009C76DB" w:rsidRDefault="00656F99" w:rsidP="00656F99">
      <w:pPr>
        <w:jc w:val="both"/>
        <w:rPr>
          <w:rFonts w:asciiTheme="minorHAnsi" w:hAnsiTheme="minorHAnsi" w:cstheme="minorHAnsi"/>
          <w:sz w:val="22"/>
        </w:rPr>
      </w:pPr>
    </w:p>
    <w:p w:rsidR="00656F99" w:rsidRPr="00821065" w:rsidRDefault="00656F99" w:rsidP="008A366B">
      <w:pPr>
        <w:pStyle w:val="Heading2"/>
        <w:numPr>
          <w:ilvl w:val="1"/>
          <w:numId w:val="1"/>
        </w:numPr>
        <w:spacing w:line="276" w:lineRule="auto"/>
        <w:rPr>
          <w:rFonts w:asciiTheme="minorHAnsi" w:hAnsiTheme="minorHAnsi" w:cstheme="minorHAnsi"/>
          <w:bCs w:val="0"/>
        </w:rPr>
      </w:pPr>
      <w:bookmarkStart w:id="77" w:name="_Toc373093541"/>
      <w:r w:rsidRPr="00821065">
        <w:rPr>
          <w:rFonts w:asciiTheme="minorHAnsi" w:hAnsiTheme="minorHAnsi" w:cstheme="minorHAnsi"/>
          <w:bCs w:val="0"/>
        </w:rPr>
        <w:t>Identificación y valoración de costos de inversión</w:t>
      </w:r>
      <w:bookmarkEnd w:id="77"/>
    </w:p>
    <w:p w:rsidR="00656F99" w:rsidRPr="009C76DB" w:rsidRDefault="00656F99" w:rsidP="00656F99">
      <w:pPr>
        <w:jc w:val="both"/>
        <w:rPr>
          <w:rFonts w:asciiTheme="minorHAnsi" w:hAnsiTheme="minorHAnsi" w:cstheme="minorHAnsi"/>
          <w:sz w:val="22"/>
        </w:rPr>
      </w:pPr>
    </w:p>
    <w:p w:rsidR="00656F99" w:rsidRDefault="00656F99" w:rsidP="00656F99">
      <w:pPr>
        <w:jc w:val="both"/>
        <w:rPr>
          <w:rFonts w:asciiTheme="minorHAnsi" w:hAnsiTheme="minorHAnsi" w:cstheme="minorHAnsi"/>
          <w:sz w:val="22"/>
        </w:rPr>
      </w:pPr>
      <w:r w:rsidRPr="009C76DB">
        <w:rPr>
          <w:rFonts w:asciiTheme="minorHAnsi" w:hAnsiTheme="minorHAnsi" w:cstheme="minorHAnsi"/>
          <w:sz w:val="22"/>
        </w:rPr>
        <w:t>L</w:t>
      </w:r>
      <w:r w:rsidR="00116365">
        <w:rPr>
          <w:rFonts w:asciiTheme="minorHAnsi" w:hAnsiTheme="minorHAnsi" w:cstheme="minorHAnsi"/>
          <w:sz w:val="22"/>
        </w:rPr>
        <w:t>os requerimientos de inversión d</w:t>
      </w:r>
      <w:r w:rsidRPr="009C76DB">
        <w:rPr>
          <w:rFonts w:asciiTheme="minorHAnsi" w:hAnsiTheme="minorHAnsi" w:cstheme="minorHAnsi"/>
          <w:sz w:val="22"/>
        </w:rPr>
        <w:t>e este proyecto se observan en la Tabla</w:t>
      </w:r>
      <w:r w:rsidR="00B27740">
        <w:rPr>
          <w:rFonts w:asciiTheme="minorHAnsi" w:hAnsiTheme="minorHAnsi" w:cstheme="minorHAnsi"/>
          <w:sz w:val="22"/>
        </w:rPr>
        <w:t xml:space="preserve"> </w:t>
      </w:r>
      <w:r w:rsidR="00D7578F">
        <w:rPr>
          <w:rFonts w:asciiTheme="minorHAnsi" w:hAnsiTheme="minorHAnsi" w:cstheme="minorHAnsi"/>
          <w:sz w:val="22"/>
        </w:rPr>
        <w:t>7</w:t>
      </w:r>
      <w:r w:rsidR="001D12D3">
        <w:rPr>
          <w:rFonts w:asciiTheme="minorHAnsi" w:hAnsiTheme="minorHAnsi" w:cstheme="minorHAnsi"/>
          <w:sz w:val="22"/>
        </w:rPr>
        <w:t>.1</w:t>
      </w:r>
      <w:r w:rsidRPr="009C76DB">
        <w:rPr>
          <w:rFonts w:asciiTheme="minorHAnsi" w:hAnsiTheme="minorHAnsi" w:cstheme="minorHAnsi"/>
          <w:sz w:val="22"/>
        </w:rPr>
        <w:t xml:space="preserve">, lo cual expresa los montos de inversión valorados privadamente en </w:t>
      </w:r>
      <w:r w:rsidR="005352F3" w:rsidRPr="009C76DB">
        <w:rPr>
          <w:rFonts w:asciiTheme="minorHAnsi" w:hAnsiTheme="minorHAnsi" w:cstheme="minorHAnsi"/>
          <w:sz w:val="22"/>
        </w:rPr>
        <w:t>los ítems</w:t>
      </w:r>
      <w:r w:rsidRPr="009C76DB">
        <w:rPr>
          <w:rFonts w:asciiTheme="minorHAnsi" w:hAnsiTheme="minorHAnsi" w:cstheme="minorHAnsi"/>
          <w:sz w:val="22"/>
        </w:rPr>
        <w:t xml:space="preserve"> de </w:t>
      </w:r>
      <w:r w:rsidR="00B27740">
        <w:rPr>
          <w:rFonts w:asciiTheme="minorHAnsi" w:hAnsiTheme="minorHAnsi" w:cstheme="minorHAnsi"/>
          <w:sz w:val="22"/>
        </w:rPr>
        <w:t>obras de construcción y equipamiento</w:t>
      </w:r>
      <w:r w:rsidRPr="009C76DB">
        <w:rPr>
          <w:rFonts w:asciiTheme="minorHAnsi" w:hAnsiTheme="minorHAnsi" w:cstheme="minorHAnsi"/>
          <w:sz w:val="22"/>
        </w:rPr>
        <w:t>.</w:t>
      </w:r>
      <w:r w:rsidR="00302700">
        <w:rPr>
          <w:rFonts w:asciiTheme="minorHAnsi" w:hAnsiTheme="minorHAnsi" w:cstheme="minorHAnsi"/>
          <w:sz w:val="22"/>
        </w:rPr>
        <w:t xml:space="preserve"> También hemos considerado en la inversión los recursos necesarios para el buen funcionamiento de la red asistencial y del propio hospital, junto con los recursos necesarios para la puesta en marcha y operación del proyecto. También se incluyen la formación en recursos humanos, gestión y mejoramiento de programas.</w:t>
      </w:r>
    </w:p>
    <w:p w:rsidR="00302700" w:rsidRPr="009C76DB" w:rsidRDefault="00302700" w:rsidP="00656F99">
      <w:pPr>
        <w:jc w:val="both"/>
        <w:rPr>
          <w:rFonts w:asciiTheme="minorHAnsi" w:hAnsiTheme="minorHAnsi" w:cstheme="minorHAnsi"/>
          <w:sz w:val="22"/>
        </w:rPr>
      </w:pPr>
    </w:p>
    <w:p w:rsidR="00656F99" w:rsidRDefault="00656F99" w:rsidP="00656F99">
      <w:pPr>
        <w:jc w:val="both"/>
        <w:rPr>
          <w:rFonts w:asciiTheme="minorHAnsi" w:hAnsiTheme="minorHAnsi" w:cstheme="minorHAnsi"/>
          <w:sz w:val="22"/>
        </w:rPr>
      </w:pPr>
      <w:r w:rsidRPr="009C76DB">
        <w:rPr>
          <w:rFonts w:asciiTheme="minorHAnsi" w:hAnsiTheme="minorHAnsi" w:cstheme="minorHAnsi"/>
          <w:sz w:val="22"/>
        </w:rPr>
        <w:t xml:space="preserve">Tabla </w:t>
      </w:r>
      <w:r w:rsidR="00D7578F">
        <w:rPr>
          <w:rFonts w:asciiTheme="minorHAnsi" w:hAnsiTheme="minorHAnsi" w:cstheme="minorHAnsi"/>
          <w:sz w:val="22"/>
        </w:rPr>
        <w:t>7</w:t>
      </w:r>
      <w:r w:rsidR="001D12D3">
        <w:rPr>
          <w:rFonts w:asciiTheme="minorHAnsi" w:hAnsiTheme="minorHAnsi" w:cstheme="minorHAnsi"/>
          <w:sz w:val="22"/>
        </w:rPr>
        <w:t>.1</w:t>
      </w:r>
      <w:r w:rsidRPr="009C76DB">
        <w:rPr>
          <w:rFonts w:asciiTheme="minorHAnsi" w:hAnsiTheme="minorHAnsi" w:cstheme="minorHAnsi"/>
          <w:sz w:val="22"/>
        </w:rPr>
        <w:t xml:space="preserve">: </w:t>
      </w:r>
      <w:r w:rsidR="00B27740">
        <w:rPr>
          <w:rFonts w:asciiTheme="minorHAnsi" w:hAnsiTheme="minorHAnsi" w:cstheme="minorHAnsi"/>
          <w:sz w:val="22"/>
        </w:rPr>
        <w:t xml:space="preserve">Valoración </w:t>
      </w:r>
      <w:r w:rsidRPr="009C76DB">
        <w:rPr>
          <w:rFonts w:asciiTheme="minorHAnsi" w:hAnsiTheme="minorHAnsi" w:cstheme="minorHAnsi"/>
          <w:sz w:val="22"/>
        </w:rPr>
        <w:t xml:space="preserve">Inversión </w:t>
      </w:r>
      <w:r w:rsidR="00B27740">
        <w:rPr>
          <w:rFonts w:asciiTheme="minorHAnsi" w:hAnsiTheme="minorHAnsi" w:cstheme="minorHAnsi"/>
          <w:sz w:val="22"/>
        </w:rPr>
        <w:t xml:space="preserve">privada </w:t>
      </w:r>
      <w:r w:rsidRPr="009C76DB">
        <w:rPr>
          <w:rFonts w:asciiTheme="minorHAnsi" w:hAnsiTheme="minorHAnsi" w:cstheme="minorHAnsi"/>
          <w:sz w:val="22"/>
        </w:rPr>
        <w:t>requerida</w:t>
      </w:r>
    </w:p>
    <w:tbl>
      <w:tblPr>
        <w:tblW w:w="8808" w:type="dxa"/>
        <w:tblInd w:w="70" w:type="dxa"/>
        <w:tblCellMar>
          <w:left w:w="70" w:type="dxa"/>
          <w:right w:w="70" w:type="dxa"/>
        </w:tblCellMar>
        <w:tblLook w:val="04A0" w:firstRow="1" w:lastRow="0" w:firstColumn="1" w:lastColumn="0" w:noHBand="0" w:noVBand="1"/>
      </w:tblPr>
      <w:tblGrid>
        <w:gridCol w:w="4536"/>
        <w:gridCol w:w="1596"/>
        <w:gridCol w:w="2676"/>
      </w:tblGrid>
      <w:tr w:rsidR="00E424EB" w:rsidTr="00E424EB">
        <w:trPr>
          <w:trHeight w:val="20"/>
        </w:trPr>
        <w:tc>
          <w:tcPr>
            <w:tcW w:w="4536" w:type="dxa"/>
            <w:tcBorders>
              <w:top w:val="single" w:sz="8" w:space="0" w:color="9BBB59"/>
              <w:left w:val="nil"/>
              <w:bottom w:val="single" w:sz="8" w:space="0" w:color="9BBB59"/>
              <w:right w:val="nil"/>
            </w:tcBorders>
            <w:shd w:val="clear" w:color="auto" w:fill="auto"/>
            <w:noWrap/>
            <w:vAlign w:val="center"/>
            <w:hideMark/>
          </w:tcPr>
          <w:p w:rsidR="00E424EB" w:rsidRDefault="00E424EB">
            <w:pPr>
              <w:rPr>
                <w:rFonts w:ascii="Calibri" w:hAnsi="Calibri"/>
                <w:color w:val="000000"/>
                <w:sz w:val="20"/>
                <w:szCs w:val="20"/>
              </w:rPr>
            </w:pPr>
            <w:r>
              <w:rPr>
                <w:rFonts w:ascii="Calibri" w:hAnsi="Calibri"/>
                <w:color w:val="000000"/>
                <w:sz w:val="20"/>
                <w:szCs w:val="20"/>
              </w:rPr>
              <w:t> </w:t>
            </w:r>
          </w:p>
        </w:tc>
        <w:tc>
          <w:tcPr>
            <w:tcW w:w="1596" w:type="dxa"/>
            <w:tcBorders>
              <w:top w:val="single" w:sz="8" w:space="0" w:color="9BBB59"/>
              <w:left w:val="nil"/>
              <w:bottom w:val="single" w:sz="8" w:space="0" w:color="9BBB59"/>
              <w:right w:val="nil"/>
            </w:tcBorders>
            <w:shd w:val="clear" w:color="auto" w:fill="auto"/>
            <w:noWrap/>
            <w:vAlign w:val="center"/>
            <w:hideMark/>
          </w:tcPr>
          <w:p w:rsidR="00E424EB" w:rsidRDefault="00E424EB">
            <w:pPr>
              <w:jc w:val="center"/>
              <w:rPr>
                <w:rFonts w:ascii="Calibri" w:hAnsi="Calibri"/>
                <w:color w:val="000000"/>
                <w:sz w:val="20"/>
                <w:szCs w:val="20"/>
              </w:rPr>
            </w:pPr>
            <w:r>
              <w:rPr>
                <w:rFonts w:ascii="Calibri" w:hAnsi="Calibri"/>
                <w:color w:val="000000"/>
                <w:sz w:val="20"/>
                <w:szCs w:val="20"/>
              </w:rPr>
              <w:t>US$</w:t>
            </w:r>
          </w:p>
        </w:tc>
        <w:tc>
          <w:tcPr>
            <w:tcW w:w="2676" w:type="dxa"/>
            <w:tcBorders>
              <w:top w:val="single" w:sz="8" w:space="0" w:color="9BBB59"/>
              <w:left w:val="nil"/>
              <w:bottom w:val="single" w:sz="8" w:space="0" w:color="9BBB59"/>
              <w:right w:val="nil"/>
            </w:tcBorders>
            <w:shd w:val="clear" w:color="auto" w:fill="auto"/>
            <w:noWrap/>
            <w:vAlign w:val="center"/>
            <w:hideMark/>
          </w:tcPr>
          <w:p w:rsidR="00E424EB" w:rsidRDefault="00E424EB" w:rsidP="00DD1BF7">
            <w:pPr>
              <w:jc w:val="center"/>
              <w:rPr>
                <w:rFonts w:ascii="Calibri" w:hAnsi="Calibri"/>
                <w:color w:val="000000"/>
                <w:sz w:val="20"/>
                <w:szCs w:val="20"/>
              </w:rPr>
            </w:pPr>
            <w:r>
              <w:rPr>
                <w:rFonts w:ascii="Calibri" w:hAnsi="Calibri"/>
                <w:color w:val="000000"/>
                <w:sz w:val="20"/>
                <w:szCs w:val="20"/>
              </w:rPr>
              <w:t>Bs</w:t>
            </w:r>
          </w:p>
        </w:tc>
      </w:tr>
      <w:tr w:rsidR="00E424EB" w:rsidTr="00E424EB">
        <w:trPr>
          <w:trHeight w:val="20"/>
        </w:trPr>
        <w:tc>
          <w:tcPr>
            <w:tcW w:w="4536" w:type="dxa"/>
            <w:tcBorders>
              <w:top w:val="nil"/>
              <w:left w:val="nil"/>
              <w:bottom w:val="nil"/>
              <w:right w:val="nil"/>
            </w:tcBorders>
            <w:shd w:val="clear" w:color="000000" w:fill="E6EED5"/>
            <w:noWrap/>
            <w:vAlign w:val="center"/>
            <w:hideMark/>
          </w:tcPr>
          <w:p w:rsidR="00E424EB" w:rsidRDefault="00E424EB">
            <w:pPr>
              <w:rPr>
                <w:rFonts w:ascii="Calibri" w:hAnsi="Calibri"/>
                <w:color w:val="000000"/>
                <w:sz w:val="20"/>
                <w:szCs w:val="20"/>
              </w:rPr>
            </w:pPr>
            <w:r>
              <w:rPr>
                <w:rFonts w:ascii="Calibri" w:hAnsi="Calibri"/>
                <w:color w:val="000000"/>
                <w:sz w:val="20"/>
                <w:szCs w:val="20"/>
              </w:rPr>
              <w:t>Total Obras</w:t>
            </w:r>
          </w:p>
        </w:tc>
        <w:tc>
          <w:tcPr>
            <w:tcW w:w="1596" w:type="dxa"/>
            <w:tcBorders>
              <w:top w:val="nil"/>
              <w:left w:val="nil"/>
              <w:bottom w:val="nil"/>
              <w:right w:val="nil"/>
            </w:tcBorders>
            <w:shd w:val="clear" w:color="000000" w:fill="E6EED5"/>
            <w:noWrap/>
            <w:vAlign w:val="center"/>
            <w:hideMark/>
          </w:tcPr>
          <w:p w:rsidR="00E424EB" w:rsidRDefault="00E424EB">
            <w:pPr>
              <w:jc w:val="right"/>
              <w:rPr>
                <w:rFonts w:ascii="Calibri" w:hAnsi="Calibri"/>
                <w:color w:val="000000"/>
                <w:sz w:val="20"/>
                <w:szCs w:val="20"/>
              </w:rPr>
            </w:pPr>
            <w:r>
              <w:rPr>
                <w:rFonts w:ascii="Calibri" w:hAnsi="Calibri"/>
                <w:color w:val="000000"/>
                <w:sz w:val="20"/>
                <w:szCs w:val="20"/>
              </w:rPr>
              <w:t>15.358.000</w:t>
            </w:r>
          </w:p>
        </w:tc>
        <w:tc>
          <w:tcPr>
            <w:tcW w:w="2676" w:type="dxa"/>
            <w:tcBorders>
              <w:top w:val="nil"/>
              <w:left w:val="nil"/>
              <w:bottom w:val="nil"/>
              <w:right w:val="nil"/>
            </w:tcBorders>
            <w:shd w:val="clear" w:color="000000" w:fill="E6EED5"/>
            <w:noWrap/>
            <w:vAlign w:val="center"/>
            <w:hideMark/>
          </w:tcPr>
          <w:p w:rsidR="00E424EB" w:rsidRDefault="00E424EB">
            <w:pPr>
              <w:jc w:val="right"/>
              <w:rPr>
                <w:rFonts w:ascii="Calibri" w:hAnsi="Calibri"/>
                <w:color w:val="000000"/>
                <w:sz w:val="20"/>
                <w:szCs w:val="20"/>
              </w:rPr>
            </w:pPr>
            <w:r>
              <w:rPr>
                <w:rFonts w:ascii="Calibri" w:hAnsi="Calibri"/>
                <w:color w:val="000000"/>
                <w:sz w:val="20"/>
                <w:szCs w:val="20"/>
              </w:rPr>
              <w:t>107.506.000</w:t>
            </w:r>
          </w:p>
        </w:tc>
      </w:tr>
      <w:tr w:rsidR="00E424EB" w:rsidTr="00E424EB">
        <w:trPr>
          <w:trHeight w:val="20"/>
        </w:trPr>
        <w:tc>
          <w:tcPr>
            <w:tcW w:w="4536" w:type="dxa"/>
            <w:tcBorders>
              <w:top w:val="nil"/>
              <w:left w:val="nil"/>
              <w:bottom w:val="nil"/>
              <w:right w:val="nil"/>
            </w:tcBorders>
            <w:shd w:val="clear" w:color="auto" w:fill="auto"/>
            <w:noWrap/>
            <w:vAlign w:val="center"/>
            <w:hideMark/>
          </w:tcPr>
          <w:p w:rsidR="00E52595" w:rsidRDefault="00E52595" w:rsidP="00E52595">
            <w:pPr>
              <w:pStyle w:val="FootnoteText"/>
              <w:widowControl w:val="0"/>
              <w:tabs>
                <w:tab w:val="left" w:pos="580"/>
              </w:tabs>
              <w:rPr>
                <w:lang w:val="es-ES_tradnl"/>
              </w:rPr>
            </w:pPr>
            <w:hyperlink r:id="rId14" w:history="1">
              <w:r>
                <w:rPr>
                  <w:rStyle w:val="Hyperlink"/>
                  <w:lang w:val="es-ES_tradnl"/>
                </w:rPr>
                <w:t>Equipos</w:t>
              </w:r>
            </w:hyperlink>
            <w:bookmarkStart w:id="78" w:name="_GoBack"/>
            <w:bookmarkEnd w:id="78"/>
          </w:p>
          <w:p w:rsidR="00E424EB" w:rsidRDefault="00E424EB">
            <w:pPr>
              <w:rPr>
                <w:rFonts w:ascii="Calibri" w:hAnsi="Calibri"/>
                <w:color w:val="000000"/>
                <w:sz w:val="20"/>
                <w:szCs w:val="20"/>
              </w:rPr>
            </w:pPr>
          </w:p>
        </w:tc>
        <w:tc>
          <w:tcPr>
            <w:tcW w:w="1596" w:type="dxa"/>
            <w:tcBorders>
              <w:top w:val="nil"/>
              <w:left w:val="nil"/>
              <w:bottom w:val="nil"/>
              <w:right w:val="nil"/>
            </w:tcBorders>
            <w:shd w:val="clear" w:color="auto" w:fill="auto"/>
            <w:noWrap/>
            <w:vAlign w:val="center"/>
            <w:hideMark/>
          </w:tcPr>
          <w:p w:rsidR="00E424EB" w:rsidRDefault="00E424EB">
            <w:pPr>
              <w:jc w:val="right"/>
              <w:rPr>
                <w:rFonts w:ascii="Calibri" w:hAnsi="Calibri"/>
                <w:color w:val="000000"/>
                <w:sz w:val="20"/>
                <w:szCs w:val="20"/>
              </w:rPr>
            </w:pPr>
            <w:r>
              <w:rPr>
                <w:rFonts w:ascii="Calibri" w:hAnsi="Calibri"/>
                <w:color w:val="000000"/>
                <w:sz w:val="20"/>
                <w:szCs w:val="20"/>
              </w:rPr>
              <w:t>17.479.881</w:t>
            </w:r>
          </w:p>
        </w:tc>
        <w:tc>
          <w:tcPr>
            <w:tcW w:w="2676" w:type="dxa"/>
            <w:tcBorders>
              <w:top w:val="nil"/>
              <w:left w:val="nil"/>
              <w:bottom w:val="nil"/>
              <w:right w:val="nil"/>
            </w:tcBorders>
            <w:shd w:val="clear" w:color="auto" w:fill="auto"/>
            <w:noWrap/>
            <w:vAlign w:val="center"/>
            <w:hideMark/>
          </w:tcPr>
          <w:p w:rsidR="00E424EB" w:rsidRDefault="00E424EB">
            <w:pPr>
              <w:jc w:val="right"/>
              <w:rPr>
                <w:rFonts w:ascii="Calibri" w:hAnsi="Calibri"/>
                <w:color w:val="000000"/>
                <w:sz w:val="20"/>
                <w:szCs w:val="20"/>
              </w:rPr>
            </w:pPr>
            <w:r>
              <w:rPr>
                <w:rFonts w:ascii="Calibri" w:hAnsi="Calibri"/>
                <w:color w:val="000000"/>
                <w:sz w:val="20"/>
                <w:szCs w:val="20"/>
              </w:rPr>
              <w:t>122.359.168</w:t>
            </w:r>
          </w:p>
        </w:tc>
      </w:tr>
      <w:tr w:rsidR="00E424EB" w:rsidTr="00E424EB">
        <w:trPr>
          <w:trHeight w:val="20"/>
        </w:trPr>
        <w:tc>
          <w:tcPr>
            <w:tcW w:w="4536" w:type="dxa"/>
            <w:tcBorders>
              <w:top w:val="nil"/>
              <w:left w:val="nil"/>
              <w:bottom w:val="nil"/>
              <w:right w:val="nil"/>
            </w:tcBorders>
            <w:shd w:val="clear" w:color="000000" w:fill="E6EED5"/>
            <w:noWrap/>
            <w:vAlign w:val="center"/>
            <w:hideMark/>
          </w:tcPr>
          <w:p w:rsidR="00E424EB" w:rsidRDefault="00E424EB">
            <w:pPr>
              <w:rPr>
                <w:rFonts w:ascii="Calibri" w:hAnsi="Calibri"/>
                <w:color w:val="000000"/>
                <w:sz w:val="20"/>
                <w:szCs w:val="20"/>
              </w:rPr>
            </w:pPr>
            <w:r>
              <w:rPr>
                <w:rFonts w:ascii="Calibri" w:hAnsi="Calibri"/>
                <w:color w:val="000000"/>
                <w:sz w:val="20"/>
                <w:szCs w:val="20"/>
              </w:rPr>
              <w:t>Mejoramiento capacidad resolutiva en el primer nivel</w:t>
            </w:r>
          </w:p>
        </w:tc>
        <w:tc>
          <w:tcPr>
            <w:tcW w:w="1596" w:type="dxa"/>
            <w:tcBorders>
              <w:top w:val="nil"/>
              <w:left w:val="nil"/>
              <w:bottom w:val="nil"/>
              <w:right w:val="nil"/>
            </w:tcBorders>
            <w:shd w:val="clear" w:color="000000" w:fill="E6EED5"/>
            <w:noWrap/>
            <w:vAlign w:val="center"/>
            <w:hideMark/>
          </w:tcPr>
          <w:p w:rsidR="00E424EB" w:rsidRDefault="00E424EB">
            <w:pPr>
              <w:jc w:val="right"/>
              <w:rPr>
                <w:rFonts w:ascii="Calibri" w:hAnsi="Calibri"/>
                <w:color w:val="000000"/>
                <w:sz w:val="20"/>
                <w:szCs w:val="20"/>
              </w:rPr>
            </w:pPr>
            <w:r>
              <w:rPr>
                <w:rFonts w:ascii="Calibri" w:hAnsi="Calibri"/>
                <w:color w:val="000000"/>
                <w:sz w:val="20"/>
                <w:szCs w:val="20"/>
              </w:rPr>
              <w:t>3.830.000</w:t>
            </w:r>
          </w:p>
        </w:tc>
        <w:tc>
          <w:tcPr>
            <w:tcW w:w="2676" w:type="dxa"/>
            <w:tcBorders>
              <w:top w:val="nil"/>
              <w:left w:val="nil"/>
              <w:bottom w:val="nil"/>
              <w:right w:val="nil"/>
            </w:tcBorders>
            <w:shd w:val="clear" w:color="000000" w:fill="E6EED5"/>
            <w:noWrap/>
            <w:vAlign w:val="center"/>
            <w:hideMark/>
          </w:tcPr>
          <w:p w:rsidR="00E424EB" w:rsidRDefault="00E424EB">
            <w:pPr>
              <w:jc w:val="right"/>
              <w:rPr>
                <w:rFonts w:ascii="Calibri" w:hAnsi="Calibri"/>
                <w:color w:val="000000"/>
                <w:sz w:val="20"/>
                <w:szCs w:val="20"/>
              </w:rPr>
            </w:pPr>
            <w:r>
              <w:rPr>
                <w:rFonts w:ascii="Calibri" w:hAnsi="Calibri"/>
                <w:color w:val="000000"/>
                <w:sz w:val="20"/>
                <w:szCs w:val="20"/>
              </w:rPr>
              <w:t>26.810.000</w:t>
            </w:r>
          </w:p>
        </w:tc>
      </w:tr>
      <w:tr w:rsidR="00E424EB" w:rsidTr="00E424EB">
        <w:trPr>
          <w:trHeight w:val="20"/>
        </w:trPr>
        <w:tc>
          <w:tcPr>
            <w:tcW w:w="4536" w:type="dxa"/>
            <w:tcBorders>
              <w:top w:val="nil"/>
              <w:left w:val="nil"/>
              <w:bottom w:val="nil"/>
              <w:right w:val="nil"/>
            </w:tcBorders>
            <w:shd w:val="clear" w:color="auto" w:fill="auto"/>
            <w:noWrap/>
            <w:vAlign w:val="center"/>
            <w:hideMark/>
          </w:tcPr>
          <w:p w:rsidR="00E424EB" w:rsidRDefault="00E424EB">
            <w:pPr>
              <w:rPr>
                <w:rFonts w:ascii="Calibri" w:hAnsi="Calibri"/>
                <w:color w:val="000000"/>
                <w:sz w:val="20"/>
                <w:szCs w:val="20"/>
              </w:rPr>
            </w:pPr>
            <w:r>
              <w:rPr>
                <w:rFonts w:ascii="Calibri" w:hAnsi="Calibri"/>
                <w:color w:val="000000"/>
                <w:sz w:val="20"/>
                <w:szCs w:val="20"/>
              </w:rPr>
              <w:t>Puesta en marcha</w:t>
            </w:r>
          </w:p>
        </w:tc>
        <w:tc>
          <w:tcPr>
            <w:tcW w:w="1596" w:type="dxa"/>
            <w:tcBorders>
              <w:top w:val="nil"/>
              <w:left w:val="nil"/>
              <w:bottom w:val="nil"/>
              <w:right w:val="nil"/>
            </w:tcBorders>
            <w:shd w:val="clear" w:color="auto" w:fill="auto"/>
            <w:noWrap/>
            <w:vAlign w:val="center"/>
            <w:hideMark/>
          </w:tcPr>
          <w:p w:rsidR="00E424EB" w:rsidRDefault="00E424EB">
            <w:pPr>
              <w:jc w:val="right"/>
              <w:rPr>
                <w:rFonts w:ascii="Calibri" w:hAnsi="Calibri"/>
                <w:color w:val="000000"/>
                <w:sz w:val="20"/>
                <w:szCs w:val="20"/>
              </w:rPr>
            </w:pPr>
            <w:r>
              <w:rPr>
                <w:rFonts w:ascii="Calibri" w:hAnsi="Calibri"/>
                <w:color w:val="000000"/>
                <w:sz w:val="20"/>
                <w:szCs w:val="20"/>
              </w:rPr>
              <w:t>900.000</w:t>
            </w:r>
          </w:p>
        </w:tc>
        <w:tc>
          <w:tcPr>
            <w:tcW w:w="2676" w:type="dxa"/>
            <w:tcBorders>
              <w:top w:val="nil"/>
              <w:left w:val="nil"/>
              <w:bottom w:val="nil"/>
              <w:right w:val="nil"/>
            </w:tcBorders>
            <w:shd w:val="clear" w:color="auto" w:fill="auto"/>
            <w:noWrap/>
            <w:vAlign w:val="center"/>
            <w:hideMark/>
          </w:tcPr>
          <w:p w:rsidR="00E424EB" w:rsidRDefault="00E424EB">
            <w:pPr>
              <w:jc w:val="right"/>
              <w:rPr>
                <w:rFonts w:ascii="Calibri" w:hAnsi="Calibri"/>
                <w:color w:val="000000"/>
                <w:sz w:val="20"/>
                <w:szCs w:val="20"/>
              </w:rPr>
            </w:pPr>
            <w:r>
              <w:rPr>
                <w:rFonts w:ascii="Calibri" w:hAnsi="Calibri"/>
                <w:color w:val="000000"/>
                <w:sz w:val="20"/>
                <w:szCs w:val="20"/>
              </w:rPr>
              <w:t>6.300.000</w:t>
            </w:r>
          </w:p>
        </w:tc>
      </w:tr>
      <w:tr w:rsidR="00E424EB" w:rsidTr="00E424EB">
        <w:trPr>
          <w:trHeight w:val="20"/>
        </w:trPr>
        <w:tc>
          <w:tcPr>
            <w:tcW w:w="4536" w:type="dxa"/>
            <w:tcBorders>
              <w:top w:val="nil"/>
              <w:left w:val="nil"/>
              <w:bottom w:val="nil"/>
              <w:right w:val="nil"/>
            </w:tcBorders>
            <w:shd w:val="clear" w:color="000000" w:fill="E6EED5"/>
            <w:noWrap/>
            <w:vAlign w:val="center"/>
            <w:hideMark/>
          </w:tcPr>
          <w:p w:rsidR="00E424EB" w:rsidRDefault="00E424EB">
            <w:pPr>
              <w:rPr>
                <w:rFonts w:ascii="Calibri" w:hAnsi="Calibri"/>
                <w:color w:val="000000"/>
                <w:sz w:val="20"/>
                <w:szCs w:val="20"/>
              </w:rPr>
            </w:pPr>
            <w:r>
              <w:rPr>
                <w:rFonts w:ascii="Calibri" w:hAnsi="Calibri"/>
                <w:color w:val="000000"/>
                <w:sz w:val="20"/>
                <w:szCs w:val="20"/>
              </w:rPr>
              <w:t>Formación RRHH</w:t>
            </w:r>
          </w:p>
        </w:tc>
        <w:tc>
          <w:tcPr>
            <w:tcW w:w="1596" w:type="dxa"/>
            <w:tcBorders>
              <w:top w:val="nil"/>
              <w:left w:val="nil"/>
              <w:bottom w:val="nil"/>
              <w:right w:val="nil"/>
            </w:tcBorders>
            <w:shd w:val="clear" w:color="000000" w:fill="E6EED5"/>
            <w:noWrap/>
            <w:vAlign w:val="center"/>
            <w:hideMark/>
          </w:tcPr>
          <w:p w:rsidR="00E424EB" w:rsidRDefault="00E424EB">
            <w:pPr>
              <w:jc w:val="right"/>
              <w:rPr>
                <w:rFonts w:ascii="Calibri" w:hAnsi="Calibri"/>
                <w:color w:val="000000"/>
                <w:sz w:val="20"/>
                <w:szCs w:val="20"/>
              </w:rPr>
            </w:pPr>
            <w:r>
              <w:rPr>
                <w:rFonts w:ascii="Calibri" w:hAnsi="Calibri"/>
                <w:color w:val="000000"/>
                <w:sz w:val="20"/>
                <w:szCs w:val="20"/>
              </w:rPr>
              <w:t>4.370.000</w:t>
            </w:r>
          </w:p>
        </w:tc>
        <w:tc>
          <w:tcPr>
            <w:tcW w:w="2676" w:type="dxa"/>
            <w:tcBorders>
              <w:top w:val="nil"/>
              <w:left w:val="nil"/>
              <w:bottom w:val="nil"/>
              <w:right w:val="nil"/>
            </w:tcBorders>
            <w:shd w:val="clear" w:color="000000" w:fill="E6EED5"/>
            <w:noWrap/>
            <w:vAlign w:val="center"/>
            <w:hideMark/>
          </w:tcPr>
          <w:p w:rsidR="00E424EB" w:rsidRDefault="00E424EB">
            <w:pPr>
              <w:jc w:val="right"/>
              <w:rPr>
                <w:rFonts w:ascii="Calibri" w:hAnsi="Calibri"/>
                <w:color w:val="000000"/>
                <w:sz w:val="20"/>
                <w:szCs w:val="20"/>
              </w:rPr>
            </w:pPr>
            <w:r>
              <w:rPr>
                <w:rFonts w:ascii="Calibri" w:hAnsi="Calibri"/>
                <w:color w:val="000000"/>
                <w:sz w:val="20"/>
                <w:szCs w:val="20"/>
              </w:rPr>
              <w:t>30.590.000</w:t>
            </w:r>
          </w:p>
        </w:tc>
      </w:tr>
      <w:tr w:rsidR="00E424EB" w:rsidTr="00E424EB">
        <w:trPr>
          <w:trHeight w:val="20"/>
        </w:trPr>
        <w:tc>
          <w:tcPr>
            <w:tcW w:w="4536" w:type="dxa"/>
            <w:tcBorders>
              <w:top w:val="nil"/>
              <w:left w:val="nil"/>
              <w:bottom w:val="single" w:sz="8" w:space="0" w:color="9BBB59"/>
              <w:right w:val="nil"/>
            </w:tcBorders>
            <w:shd w:val="clear" w:color="auto" w:fill="auto"/>
            <w:noWrap/>
            <w:vAlign w:val="center"/>
            <w:hideMark/>
          </w:tcPr>
          <w:p w:rsidR="00E424EB" w:rsidRDefault="00E424EB">
            <w:pPr>
              <w:rPr>
                <w:rFonts w:ascii="Calibri" w:hAnsi="Calibri"/>
                <w:color w:val="000000"/>
                <w:sz w:val="20"/>
                <w:szCs w:val="20"/>
              </w:rPr>
            </w:pPr>
            <w:r>
              <w:rPr>
                <w:rFonts w:ascii="Calibri" w:hAnsi="Calibri"/>
                <w:color w:val="000000"/>
                <w:sz w:val="20"/>
                <w:szCs w:val="20"/>
              </w:rPr>
              <w:t>Total</w:t>
            </w:r>
          </w:p>
        </w:tc>
        <w:tc>
          <w:tcPr>
            <w:tcW w:w="1596" w:type="dxa"/>
            <w:tcBorders>
              <w:top w:val="nil"/>
              <w:left w:val="nil"/>
              <w:bottom w:val="single" w:sz="8" w:space="0" w:color="9BBB59"/>
              <w:right w:val="nil"/>
            </w:tcBorders>
            <w:shd w:val="clear" w:color="auto" w:fill="auto"/>
            <w:noWrap/>
            <w:vAlign w:val="center"/>
            <w:hideMark/>
          </w:tcPr>
          <w:p w:rsidR="00E424EB" w:rsidRDefault="00E424EB">
            <w:pPr>
              <w:jc w:val="right"/>
              <w:rPr>
                <w:rFonts w:ascii="Calibri" w:hAnsi="Calibri"/>
                <w:color w:val="000000"/>
                <w:sz w:val="20"/>
                <w:szCs w:val="20"/>
              </w:rPr>
            </w:pPr>
            <w:r>
              <w:rPr>
                <w:rFonts w:ascii="Calibri" w:hAnsi="Calibri"/>
                <w:color w:val="000000"/>
                <w:sz w:val="20"/>
                <w:szCs w:val="20"/>
              </w:rPr>
              <w:t>41.937.881</w:t>
            </w:r>
          </w:p>
        </w:tc>
        <w:tc>
          <w:tcPr>
            <w:tcW w:w="2676" w:type="dxa"/>
            <w:tcBorders>
              <w:top w:val="nil"/>
              <w:left w:val="nil"/>
              <w:bottom w:val="single" w:sz="8" w:space="0" w:color="9BBB59"/>
              <w:right w:val="nil"/>
            </w:tcBorders>
            <w:shd w:val="clear" w:color="auto" w:fill="auto"/>
            <w:noWrap/>
            <w:vAlign w:val="center"/>
            <w:hideMark/>
          </w:tcPr>
          <w:p w:rsidR="00E424EB" w:rsidRDefault="00E424EB">
            <w:pPr>
              <w:jc w:val="right"/>
              <w:rPr>
                <w:rFonts w:ascii="Calibri" w:hAnsi="Calibri"/>
                <w:color w:val="000000"/>
                <w:sz w:val="20"/>
                <w:szCs w:val="20"/>
              </w:rPr>
            </w:pPr>
            <w:r>
              <w:rPr>
                <w:rFonts w:ascii="Calibri" w:hAnsi="Calibri"/>
                <w:color w:val="000000"/>
                <w:sz w:val="20"/>
                <w:szCs w:val="20"/>
              </w:rPr>
              <w:t>293.565.168</w:t>
            </w:r>
          </w:p>
        </w:tc>
      </w:tr>
    </w:tbl>
    <w:p w:rsidR="00656F99" w:rsidRPr="009C76DB" w:rsidRDefault="00656F99" w:rsidP="00656F99">
      <w:pPr>
        <w:jc w:val="both"/>
        <w:rPr>
          <w:rFonts w:asciiTheme="minorHAnsi" w:hAnsiTheme="minorHAnsi" w:cstheme="minorHAnsi"/>
          <w:sz w:val="16"/>
          <w:szCs w:val="18"/>
        </w:rPr>
      </w:pPr>
      <w:r w:rsidRPr="009C76DB">
        <w:rPr>
          <w:rFonts w:asciiTheme="minorHAnsi" w:hAnsiTheme="minorHAnsi" w:cstheme="minorHAnsi"/>
          <w:sz w:val="16"/>
          <w:szCs w:val="18"/>
        </w:rPr>
        <w:t xml:space="preserve">Fuente: </w:t>
      </w:r>
      <w:r w:rsidR="00116365">
        <w:rPr>
          <w:rFonts w:asciiTheme="minorHAnsi" w:hAnsiTheme="minorHAnsi" w:cstheme="minorHAnsi"/>
          <w:sz w:val="16"/>
          <w:szCs w:val="18"/>
        </w:rPr>
        <w:t>Misión BID</w:t>
      </w:r>
      <w:r w:rsidR="00524B70">
        <w:rPr>
          <w:rFonts w:asciiTheme="minorHAnsi" w:hAnsiTheme="minorHAnsi" w:cstheme="minorHAnsi"/>
          <w:sz w:val="16"/>
          <w:szCs w:val="18"/>
        </w:rPr>
        <w:t>.</w:t>
      </w:r>
    </w:p>
    <w:p w:rsidR="00656F99" w:rsidRPr="009C76DB" w:rsidRDefault="00656F99" w:rsidP="00656F99">
      <w:pPr>
        <w:jc w:val="both"/>
        <w:rPr>
          <w:rFonts w:asciiTheme="minorHAnsi" w:hAnsiTheme="minorHAnsi" w:cstheme="minorHAnsi"/>
          <w:sz w:val="22"/>
        </w:rPr>
      </w:pPr>
    </w:p>
    <w:p w:rsidR="00656F99" w:rsidRDefault="00656F99" w:rsidP="00656F99">
      <w:pPr>
        <w:jc w:val="both"/>
        <w:rPr>
          <w:rFonts w:asciiTheme="minorHAnsi" w:hAnsiTheme="minorHAnsi" w:cstheme="minorHAnsi"/>
          <w:sz w:val="22"/>
        </w:rPr>
      </w:pPr>
      <w:r w:rsidRPr="009C76DB">
        <w:rPr>
          <w:rFonts w:asciiTheme="minorHAnsi" w:hAnsiTheme="minorHAnsi" w:cstheme="minorHAnsi"/>
          <w:sz w:val="22"/>
        </w:rPr>
        <w:lastRenderedPageBreak/>
        <w:t>A continuación expresaremos estos montos de inversión en valor social.</w:t>
      </w:r>
      <w:r w:rsidR="00E424EB">
        <w:rPr>
          <w:rStyle w:val="FootnoteReference"/>
          <w:rFonts w:asciiTheme="minorHAnsi" w:hAnsiTheme="minorHAnsi" w:cstheme="minorHAnsi"/>
          <w:sz w:val="22"/>
        </w:rPr>
        <w:footnoteReference w:id="66"/>
      </w:r>
      <w:r w:rsidRPr="009C76DB">
        <w:rPr>
          <w:rFonts w:asciiTheme="minorHAnsi" w:hAnsiTheme="minorHAnsi" w:cstheme="minorHAnsi"/>
          <w:sz w:val="22"/>
        </w:rPr>
        <w:t xml:space="preserve"> </w:t>
      </w:r>
      <w:r w:rsidR="00B27740">
        <w:rPr>
          <w:rFonts w:asciiTheme="minorHAnsi" w:hAnsiTheme="minorHAnsi" w:cstheme="minorHAnsi"/>
          <w:sz w:val="22"/>
        </w:rPr>
        <w:t>E</w:t>
      </w:r>
      <w:r w:rsidRPr="009C76DB">
        <w:rPr>
          <w:rFonts w:asciiTheme="minorHAnsi" w:hAnsiTheme="minorHAnsi" w:cstheme="minorHAnsi"/>
          <w:sz w:val="22"/>
        </w:rPr>
        <w:t xml:space="preserve">n la Tabla </w:t>
      </w:r>
      <w:r w:rsidR="00D7578F">
        <w:rPr>
          <w:rFonts w:asciiTheme="minorHAnsi" w:hAnsiTheme="minorHAnsi" w:cstheme="minorHAnsi"/>
          <w:sz w:val="22"/>
        </w:rPr>
        <w:t>7</w:t>
      </w:r>
      <w:r w:rsidR="001D12D3">
        <w:rPr>
          <w:rFonts w:asciiTheme="minorHAnsi" w:hAnsiTheme="minorHAnsi" w:cstheme="minorHAnsi"/>
          <w:sz w:val="22"/>
        </w:rPr>
        <w:t>.2</w:t>
      </w:r>
      <w:r w:rsidRPr="009C76DB">
        <w:rPr>
          <w:rFonts w:asciiTheme="minorHAnsi" w:hAnsiTheme="minorHAnsi" w:cstheme="minorHAnsi"/>
          <w:sz w:val="22"/>
        </w:rPr>
        <w:t xml:space="preserve">, observamos los valores privados sin impuestos y valores sociales de la inversión, donde hemos parcelado la inversión en obras de acuerdo a la calificación de la mano de obra que podría intervenir en </w:t>
      </w:r>
      <w:r w:rsidR="00B27740">
        <w:rPr>
          <w:rFonts w:asciiTheme="minorHAnsi" w:hAnsiTheme="minorHAnsi" w:cstheme="minorHAnsi"/>
          <w:sz w:val="22"/>
        </w:rPr>
        <w:t>construcción</w:t>
      </w:r>
      <w:r w:rsidR="00622160">
        <w:rPr>
          <w:rFonts w:asciiTheme="minorHAnsi" w:hAnsiTheme="minorHAnsi" w:cstheme="minorHAnsi"/>
          <w:sz w:val="22"/>
        </w:rPr>
        <w:t>, y de acuerdo a</w:t>
      </w:r>
      <w:r w:rsidRPr="009C76DB">
        <w:rPr>
          <w:rFonts w:asciiTheme="minorHAnsi" w:hAnsiTheme="minorHAnsi" w:cstheme="minorHAnsi"/>
          <w:sz w:val="22"/>
        </w:rPr>
        <w:t xml:space="preserve"> la procedencia que podrían tener los insumos y materiales utilizados en la construcción, esta transformación las realizamos con objeto de cuantificar el valor social de la inversión de acuerdo a los parámetros utilizados usualmente.</w:t>
      </w:r>
    </w:p>
    <w:p w:rsidR="000B2275" w:rsidRDefault="000B2275" w:rsidP="00656F99">
      <w:pPr>
        <w:jc w:val="both"/>
        <w:rPr>
          <w:rFonts w:asciiTheme="minorHAnsi" w:hAnsiTheme="minorHAnsi" w:cstheme="minorHAnsi"/>
          <w:sz w:val="22"/>
        </w:rPr>
      </w:pPr>
    </w:p>
    <w:p w:rsidR="00656F99" w:rsidRDefault="00656F99" w:rsidP="00656F99">
      <w:pPr>
        <w:rPr>
          <w:rFonts w:asciiTheme="minorHAnsi" w:hAnsiTheme="minorHAnsi" w:cstheme="minorHAnsi"/>
          <w:sz w:val="22"/>
        </w:rPr>
      </w:pPr>
      <w:r w:rsidRPr="009C76DB">
        <w:rPr>
          <w:rFonts w:asciiTheme="minorHAnsi" w:hAnsiTheme="minorHAnsi" w:cstheme="minorHAnsi"/>
          <w:sz w:val="22"/>
        </w:rPr>
        <w:t xml:space="preserve">Tabla </w:t>
      </w:r>
      <w:r w:rsidR="00D7578F">
        <w:rPr>
          <w:rFonts w:asciiTheme="minorHAnsi" w:hAnsiTheme="minorHAnsi" w:cstheme="minorHAnsi"/>
          <w:sz w:val="22"/>
        </w:rPr>
        <w:t>7</w:t>
      </w:r>
      <w:r w:rsidR="001D12D3">
        <w:rPr>
          <w:rFonts w:asciiTheme="minorHAnsi" w:hAnsiTheme="minorHAnsi" w:cstheme="minorHAnsi"/>
          <w:sz w:val="22"/>
        </w:rPr>
        <w:t>.2</w:t>
      </w:r>
      <w:r w:rsidRPr="009C76DB">
        <w:rPr>
          <w:rFonts w:asciiTheme="minorHAnsi" w:hAnsiTheme="minorHAnsi" w:cstheme="minorHAnsi"/>
          <w:sz w:val="22"/>
        </w:rPr>
        <w:t xml:space="preserve">: Costo privado y social de la inversión en Obras </w:t>
      </w:r>
      <w:r w:rsidR="00DD1BF7">
        <w:rPr>
          <w:rFonts w:asciiTheme="minorHAnsi" w:hAnsiTheme="minorHAnsi" w:cstheme="minorHAnsi"/>
          <w:sz w:val="22"/>
        </w:rPr>
        <w:t>(Bs</w:t>
      </w:r>
      <w:r w:rsidR="00622160">
        <w:rPr>
          <w:rFonts w:asciiTheme="minorHAnsi" w:hAnsiTheme="minorHAnsi" w:cstheme="minorHAnsi"/>
          <w:sz w:val="22"/>
        </w:rPr>
        <w:t>)</w:t>
      </w:r>
    </w:p>
    <w:tbl>
      <w:tblPr>
        <w:tblStyle w:val="LightShading-Accent3"/>
        <w:tblW w:w="8908" w:type="dxa"/>
        <w:tblLook w:val="04A0" w:firstRow="1" w:lastRow="0" w:firstColumn="1" w:lastColumn="0" w:noHBand="0" w:noVBand="1"/>
      </w:tblPr>
      <w:tblGrid>
        <w:gridCol w:w="2578"/>
        <w:gridCol w:w="1829"/>
        <w:gridCol w:w="1439"/>
        <w:gridCol w:w="1839"/>
        <w:gridCol w:w="1223"/>
      </w:tblGrid>
      <w:tr w:rsidR="00F91200" w:rsidRPr="00F91200" w:rsidTr="00983AA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8" w:type="dxa"/>
            <w:noWrap/>
            <w:hideMark/>
          </w:tcPr>
          <w:p w:rsidR="00F91200" w:rsidRPr="00F91200" w:rsidRDefault="00F91200">
            <w:pPr>
              <w:rPr>
                <w:rFonts w:asciiTheme="minorHAnsi" w:hAnsiTheme="minorHAnsi"/>
                <w:color w:val="000000"/>
                <w:sz w:val="20"/>
                <w:szCs w:val="20"/>
              </w:rPr>
            </w:pPr>
            <w:r w:rsidRPr="00F91200">
              <w:rPr>
                <w:rFonts w:asciiTheme="minorHAnsi" w:hAnsiTheme="minorHAnsi"/>
                <w:color w:val="000000"/>
                <w:sz w:val="20"/>
                <w:szCs w:val="20"/>
              </w:rPr>
              <w:t> </w:t>
            </w:r>
          </w:p>
        </w:tc>
        <w:tc>
          <w:tcPr>
            <w:tcW w:w="1829" w:type="dxa"/>
            <w:noWrap/>
            <w:hideMark/>
          </w:tcPr>
          <w:p w:rsidR="00F91200" w:rsidRPr="00F91200" w:rsidRDefault="00F912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b w:val="0"/>
                <w:bCs w:val="0"/>
                <w:color w:val="000000"/>
                <w:sz w:val="20"/>
                <w:szCs w:val="20"/>
              </w:rPr>
              <w:t>% de participación (1)</w:t>
            </w:r>
          </w:p>
        </w:tc>
        <w:tc>
          <w:tcPr>
            <w:tcW w:w="1439" w:type="dxa"/>
            <w:noWrap/>
            <w:hideMark/>
          </w:tcPr>
          <w:p w:rsidR="00F91200" w:rsidRPr="00F91200" w:rsidRDefault="00F912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b w:val="0"/>
                <w:bCs w:val="0"/>
                <w:color w:val="000000"/>
                <w:sz w:val="20"/>
                <w:szCs w:val="20"/>
              </w:rPr>
              <w:t>Costo privado sin iva (2)</w:t>
            </w:r>
          </w:p>
        </w:tc>
        <w:tc>
          <w:tcPr>
            <w:tcW w:w="1839" w:type="dxa"/>
            <w:noWrap/>
            <w:hideMark/>
          </w:tcPr>
          <w:p w:rsidR="00983AA1" w:rsidRDefault="00F912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color w:val="000000"/>
                <w:sz w:val="20"/>
                <w:szCs w:val="20"/>
              </w:rPr>
            </w:pPr>
            <w:r w:rsidRPr="00F91200">
              <w:rPr>
                <w:rFonts w:asciiTheme="minorHAnsi" w:hAnsiTheme="minorHAnsi" w:cs="Arial"/>
                <w:b w:val="0"/>
                <w:bCs w:val="0"/>
                <w:color w:val="000000"/>
                <w:sz w:val="20"/>
                <w:szCs w:val="20"/>
              </w:rPr>
              <w:t xml:space="preserve">Factor de ajuste </w:t>
            </w:r>
          </w:p>
          <w:p w:rsidR="00F91200" w:rsidRPr="00F91200" w:rsidRDefault="00F912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b w:val="0"/>
                <w:bCs w:val="0"/>
                <w:color w:val="000000"/>
                <w:sz w:val="20"/>
                <w:szCs w:val="20"/>
              </w:rPr>
              <w:t>(3)</w:t>
            </w:r>
          </w:p>
        </w:tc>
        <w:tc>
          <w:tcPr>
            <w:tcW w:w="1223" w:type="dxa"/>
            <w:noWrap/>
            <w:hideMark/>
          </w:tcPr>
          <w:p w:rsidR="00F91200" w:rsidRPr="00F91200" w:rsidRDefault="00F912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b w:val="0"/>
                <w:bCs w:val="0"/>
                <w:color w:val="000000"/>
                <w:sz w:val="20"/>
                <w:szCs w:val="20"/>
              </w:rPr>
              <w:t>Costo social</w:t>
            </w:r>
          </w:p>
        </w:tc>
      </w:tr>
      <w:tr w:rsidR="00F91200" w:rsidRPr="00F91200" w:rsidTr="00983A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8" w:type="dxa"/>
            <w:noWrap/>
            <w:hideMark/>
          </w:tcPr>
          <w:p w:rsidR="00F91200" w:rsidRPr="00F91200" w:rsidRDefault="00F91200">
            <w:pPr>
              <w:rPr>
                <w:rFonts w:asciiTheme="minorHAnsi" w:hAnsiTheme="minorHAnsi" w:cs="Arial"/>
                <w:color w:val="000000"/>
                <w:sz w:val="20"/>
                <w:szCs w:val="20"/>
              </w:rPr>
            </w:pPr>
            <w:r w:rsidRPr="00F91200">
              <w:rPr>
                <w:rFonts w:asciiTheme="minorHAnsi" w:hAnsiTheme="minorHAnsi" w:cs="Arial"/>
                <w:color w:val="000000"/>
                <w:sz w:val="20"/>
                <w:szCs w:val="20"/>
              </w:rPr>
              <w:t>Materiales no transables</w:t>
            </w:r>
          </w:p>
        </w:tc>
        <w:tc>
          <w:tcPr>
            <w:tcW w:w="1829" w:type="dxa"/>
            <w:noWrap/>
            <w:hideMark/>
          </w:tcPr>
          <w:p w:rsidR="00F91200" w:rsidRPr="00F91200" w:rsidRDefault="00F912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36%</w:t>
            </w:r>
          </w:p>
        </w:tc>
        <w:tc>
          <w:tcPr>
            <w:tcW w:w="1439" w:type="dxa"/>
            <w:noWrap/>
            <w:hideMark/>
          </w:tcPr>
          <w:p w:rsidR="00F91200" w:rsidRPr="00F91200" w:rsidRDefault="00F9120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33.671.620</w:t>
            </w:r>
          </w:p>
        </w:tc>
        <w:tc>
          <w:tcPr>
            <w:tcW w:w="1839" w:type="dxa"/>
            <w:noWrap/>
            <w:hideMark/>
          </w:tcPr>
          <w:p w:rsidR="00F91200" w:rsidRPr="00F91200" w:rsidRDefault="00F912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1</w:t>
            </w:r>
          </w:p>
        </w:tc>
        <w:tc>
          <w:tcPr>
            <w:tcW w:w="1223" w:type="dxa"/>
            <w:noWrap/>
            <w:hideMark/>
          </w:tcPr>
          <w:p w:rsidR="00F91200" w:rsidRPr="00F91200" w:rsidRDefault="00F9120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33.671.620</w:t>
            </w:r>
          </w:p>
        </w:tc>
      </w:tr>
      <w:tr w:rsidR="00F91200" w:rsidRPr="00F91200" w:rsidTr="00983AA1">
        <w:trPr>
          <w:trHeight w:val="20"/>
        </w:trPr>
        <w:tc>
          <w:tcPr>
            <w:cnfStyle w:val="001000000000" w:firstRow="0" w:lastRow="0" w:firstColumn="1" w:lastColumn="0" w:oddVBand="0" w:evenVBand="0" w:oddHBand="0" w:evenHBand="0" w:firstRowFirstColumn="0" w:firstRowLastColumn="0" w:lastRowFirstColumn="0" w:lastRowLastColumn="0"/>
            <w:tcW w:w="2578" w:type="dxa"/>
            <w:noWrap/>
            <w:hideMark/>
          </w:tcPr>
          <w:p w:rsidR="00F91200" w:rsidRPr="00F91200" w:rsidRDefault="00F91200">
            <w:pPr>
              <w:rPr>
                <w:rFonts w:asciiTheme="minorHAnsi" w:hAnsiTheme="minorHAnsi" w:cs="Arial"/>
                <w:color w:val="000000"/>
                <w:sz w:val="20"/>
                <w:szCs w:val="20"/>
              </w:rPr>
            </w:pPr>
            <w:r w:rsidRPr="00F91200">
              <w:rPr>
                <w:rFonts w:asciiTheme="minorHAnsi" w:hAnsiTheme="minorHAnsi" w:cs="Arial"/>
                <w:color w:val="000000"/>
                <w:sz w:val="20"/>
                <w:szCs w:val="20"/>
              </w:rPr>
              <w:t>Materiales transables</w:t>
            </w:r>
          </w:p>
        </w:tc>
        <w:tc>
          <w:tcPr>
            <w:tcW w:w="1829" w:type="dxa"/>
            <w:noWrap/>
            <w:hideMark/>
          </w:tcPr>
          <w:p w:rsidR="00F91200" w:rsidRPr="00F91200" w:rsidRDefault="00F91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24%</w:t>
            </w:r>
          </w:p>
        </w:tc>
        <w:tc>
          <w:tcPr>
            <w:tcW w:w="1439" w:type="dxa"/>
            <w:noWrap/>
            <w:hideMark/>
          </w:tcPr>
          <w:p w:rsidR="00F91200" w:rsidRPr="00F91200" w:rsidRDefault="00F912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22.447.747</w:t>
            </w:r>
          </w:p>
        </w:tc>
        <w:tc>
          <w:tcPr>
            <w:tcW w:w="1839" w:type="dxa"/>
            <w:noWrap/>
            <w:hideMark/>
          </w:tcPr>
          <w:p w:rsidR="00F91200" w:rsidRPr="00F91200" w:rsidRDefault="00F91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1,24</w:t>
            </w:r>
          </w:p>
        </w:tc>
        <w:tc>
          <w:tcPr>
            <w:tcW w:w="1223" w:type="dxa"/>
            <w:noWrap/>
            <w:hideMark/>
          </w:tcPr>
          <w:p w:rsidR="00F91200" w:rsidRPr="00F91200" w:rsidRDefault="00F912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27.835.206</w:t>
            </w:r>
          </w:p>
        </w:tc>
      </w:tr>
      <w:tr w:rsidR="00F91200" w:rsidRPr="00F91200" w:rsidTr="00983A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8" w:type="dxa"/>
            <w:noWrap/>
            <w:hideMark/>
          </w:tcPr>
          <w:p w:rsidR="00F91200" w:rsidRPr="00F91200" w:rsidRDefault="00F91200">
            <w:pPr>
              <w:rPr>
                <w:rFonts w:asciiTheme="minorHAnsi" w:hAnsiTheme="minorHAnsi" w:cs="Arial"/>
                <w:color w:val="000000"/>
                <w:sz w:val="20"/>
                <w:szCs w:val="20"/>
              </w:rPr>
            </w:pPr>
            <w:r w:rsidRPr="00F91200">
              <w:rPr>
                <w:rFonts w:asciiTheme="minorHAnsi" w:hAnsiTheme="minorHAnsi" w:cs="Arial"/>
                <w:color w:val="000000"/>
                <w:sz w:val="20"/>
                <w:szCs w:val="20"/>
              </w:rPr>
              <w:t>Mano de obra calificada</w:t>
            </w:r>
          </w:p>
        </w:tc>
        <w:tc>
          <w:tcPr>
            <w:tcW w:w="1829" w:type="dxa"/>
            <w:noWrap/>
            <w:hideMark/>
          </w:tcPr>
          <w:p w:rsidR="00F91200" w:rsidRPr="00F91200" w:rsidRDefault="00F912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5%</w:t>
            </w:r>
          </w:p>
        </w:tc>
        <w:tc>
          <w:tcPr>
            <w:tcW w:w="1439" w:type="dxa"/>
            <w:noWrap/>
            <w:hideMark/>
          </w:tcPr>
          <w:p w:rsidR="00F91200" w:rsidRPr="00F91200" w:rsidRDefault="00F9120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4.676.614</w:t>
            </w:r>
          </w:p>
        </w:tc>
        <w:tc>
          <w:tcPr>
            <w:tcW w:w="1839" w:type="dxa"/>
            <w:noWrap/>
            <w:hideMark/>
          </w:tcPr>
          <w:p w:rsidR="00F91200" w:rsidRPr="00F91200" w:rsidRDefault="00F912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1</w:t>
            </w:r>
          </w:p>
        </w:tc>
        <w:tc>
          <w:tcPr>
            <w:tcW w:w="1223" w:type="dxa"/>
            <w:noWrap/>
            <w:hideMark/>
          </w:tcPr>
          <w:p w:rsidR="00F91200" w:rsidRPr="00F91200" w:rsidRDefault="00F9120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4.676.614</w:t>
            </w:r>
          </w:p>
        </w:tc>
      </w:tr>
      <w:tr w:rsidR="00F91200" w:rsidRPr="00F91200" w:rsidTr="00983AA1">
        <w:trPr>
          <w:trHeight w:val="20"/>
        </w:trPr>
        <w:tc>
          <w:tcPr>
            <w:cnfStyle w:val="001000000000" w:firstRow="0" w:lastRow="0" w:firstColumn="1" w:lastColumn="0" w:oddVBand="0" w:evenVBand="0" w:oddHBand="0" w:evenHBand="0" w:firstRowFirstColumn="0" w:firstRowLastColumn="0" w:lastRowFirstColumn="0" w:lastRowLastColumn="0"/>
            <w:tcW w:w="2578" w:type="dxa"/>
            <w:noWrap/>
            <w:hideMark/>
          </w:tcPr>
          <w:p w:rsidR="00F91200" w:rsidRPr="00F91200" w:rsidRDefault="00F91200">
            <w:pPr>
              <w:rPr>
                <w:rFonts w:asciiTheme="minorHAnsi" w:hAnsiTheme="minorHAnsi" w:cs="Arial"/>
                <w:color w:val="000000"/>
                <w:sz w:val="20"/>
                <w:szCs w:val="20"/>
              </w:rPr>
            </w:pPr>
            <w:r w:rsidRPr="00F91200">
              <w:rPr>
                <w:rFonts w:asciiTheme="minorHAnsi" w:hAnsiTheme="minorHAnsi" w:cs="Arial"/>
                <w:color w:val="000000"/>
                <w:sz w:val="20"/>
                <w:szCs w:val="20"/>
              </w:rPr>
              <w:t>Mano de obra semicalificada</w:t>
            </w:r>
          </w:p>
        </w:tc>
        <w:tc>
          <w:tcPr>
            <w:tcW w:w="1829" w:type="dxa"/>
            <w:noWrap/>
            <w:hideMark/>
          </w:tcPr>
          <w:p w:rsidR="00F91200" w:rsidRPr="00F91200" w:rsidRDefault="00F91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20%</w:t>
            </w:r>
          </w:p>
        </w:tc>
        <w:tc>
          <w:tcPr>
            <w:tcW w:w="1439" w:type="dxa"/>
            <w:noWrap/>
            <w:hideMark/>
          </w:tcPr>
          <w:p w:rsidR="00F91200" w:rsidRPr="00F91200" w:rsidRDefault="00F912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18.706.456</w:t>
            </w:r>
          </w:p>
        </w:tc>
        <w:tc>
          <w:tcPr>
            <w:tcW w:w="1839" w:type="dxa"/>
            <w:noWrap/>
            <w:hideMark/>
          </w:tcPr>
          <w:p w:rsidR="00F91200" w:rsidRPr="00F91200" w:rsidRDefault="00F91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0,43</w:t>
            </w:r>
          </w:p>
        </w:tc>
        <w:tc>
          <w:tcPr>
            <w:tcW w:w="1223" w:type="dxa"/>
            <w:noWrap/>
            <w:hideMark/>
          </w:tcPr>
          <w:p w:rsidR="00F91200" w:rsidRPr="00F91200" w:rsidRDefault="00F912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8.043.776</w:t>
            </w:r>
          </w:p>
        </w:tc>
      </w:tr>
      <w:tr w:rsidR="00F91200" w:rsidRPr="00F91200" w:rsidTr="00983A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78" w:type="dxa"/>
            <w:noWrap/>
            <w:hideMark/>
          </w:tcPr>
          <w:p w:rsidR="00F91200" w:rsidRPr="00F91200" w:rsidRDefault="00F91200">
            <w:pPr>
              <w:rPr>
                <w:rFonts w:asciiTheme="minorHAnsi" w:hAnsiTheme="minorHAnsi" w:cs="Arial"/>
                <w:color w:val="000000"/>
                <w:sz w:val="20"/>
                <w:szCs w:val="20"/>
              </w:rPr>
            </w:pPr>
            <w:r w:rsidRPr="00F91200">
              <w:rPr>
                <w:rFonts w:asciiTheme="minorHAnsi" w:hAnsiTheme="minorHAnsi" w:cs="Arial"/>
                <w:color w:val="000000"/>
                <w:sz w:val="20"/>
                <w:szCs w:val="20"/>
              </w:rPr>
              <w:t>Mano de obra no calificada</w:t>
            </w:r>
          </w:p>
        </w:tc>
        <w:tc>
          <w:tcPr>
            <w:tcW w:w="1829" w:type="dxa"/>
            <w:noWrap/>
            <w:hideMark/>
          </w:tcPr>
          <w:p w:rsidR="00F91200" w:rsidRPr="00F91200" w:rsidRDefault="00F912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15%</w:t>
            </w:r>
          </w:p>
        </w:tc>
        <w:tc>
          <w:tcPr>
            <w:tcW w:w="1439" w:type="dxa"/>
            <w:noWrap/>
            <w:hideMark/>
          </w:tcPr>
          <w:p w:rsidR="00F91200" w:rsidRPr="00F91200" w:rsidRDefault="00F9120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14.029.842</w:t>
            </w:r>
          </w:p>
        </w:tc>
        <w:tc>
          <w:tcPr>
            <w:tcW w:w="1839" w:type="dxa"/>
            <w:noWrap/>
            <w:hideMark/>
          </w:tcPr>
          <w:p w:rsidR="00F91200" w:rsidRPr="00F91200" w:rsidRDefault="00F912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0,23</w:t>
            </w:r>
          </w:p>
        </w:tc>
        <w:tc>
          <w:tcPr>
            <w:tcW w:w="1223" w:type="dxa"/>
            <w:noWrap/>
            <w:hideMark/>
          </w:tcPr>
          <w:p w:rsidR="00F91200" w:rsidRPr="00F91200" w:rsidRDefault="00F9120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3.226.864</w:t>
            </w:r>
          </w:p>
        </w:tc>
      </w:tr>
      <w:tr w:rsidR="00F91200" w:rsidRPr="00F91200" w:rsidTr="00983AA1">
        <w:trPr>
          <w:trHeight w:val="20"/>
        </w:trPr>
        <w:tc>
          <w:tcPr>
            <w:cnfStyle w:val="001000000000" w:firstRow="0" w:lastRow="0" w:firstColumn="1" w:lastColumn="0" w:oddVBand="0" w:evenVBand="0" w:oddHBand="0" w:evenHBand="0" w:firstRowFirstColumn="0" w:firstRowLastColumn="0" w:lastRowFirstColumn="0" w:lastRowLastColumn="0"/>
            <w:tcW w:w="2578" w:type="dxa"/>
            <w:noWrap/>
            <w:hideMark/>
          </w:tcPr>
          <w:p w:rsidR="00F91200" w:rsidRPr="00F91200" w:rsidRDefault="00F91200">
            <w:pPr>
              <w:rPr>
                <w:rFonts w:asciiTheme="minorHAnsi" w:hAnsiTheme="minorHAnsi" w:cs="Arial"/>
                <w:color w:val="000000"/>
                <w:sz w:val="20"/>
                <w:szCs w:val="20"/>
              </w:rPr>
            </w:pPr>
            <w:r w:rsidRPr="00F91200">
              <w:rPr>
                <w:rFonts w:asciiTheme="minorHAnsi" w:hAnsiTheme="minorHAnsi" w:cs="Arial"/>
                <w:color w:val="000000"/>
                <w:sz w:val="20"/>
                <w:szCs w:val="20"/>
              </w:rPr>
              <w:t>Total obras</w:t>
            </w:r>
          </w:p>
        </w:tc>
        <w:tc>
          <w:tcPr>
            <w:tcW w:w="1829" w:type="dxa"/>
            <w:noWrap/>
            <w:hideMark/>
          </w:tcPr>
          <w:p w:rsidR="00F91200" w:rsidRPr="00F91200" w:rsidRDefault="00F9120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F91200">
              <w:rPr>
                <w:rFonts w:asciiTheme="minorHAnsi" w:hAnsiTheme="minorHAnsi"/>
                <w:color w:val="000000"/>
                <w:sz w:val="20"/>
                <w:szCs w:val="20"/>
              </w:rPr>
              <w:t> </w:t>
            </w:r>
          </w:p>
        </w:tc>
        <w:tc>
          <w:tcPr>
            <w:tcW w:w="1439" w:type="dxa"/>
            <w:noWrap/>
            <w:hideMark/>
          </w:tcPr>
          <w:p w:rsidR="00F91200" w:rsidRPr="00F91200" w:rsidRDefault="00F91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93.532.278</w:t>
            </w:r>
          </w:p>
        </w:tc>
        <w:tc>
          <w:tcPr>
            <w:tcW w:w="1839" w:type="dxa"/>
            <w:noWrap/>
            <w:hideMark/>
          </w:tcPr>
          <w:p w:rsidR="00F91200" w:rsidRPr="00F91200" w:rsidRDefault="00F9120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F91200">
              <w:rPr>
                <w:rFonts w:asciiTheme="minorHAnsi" w:hAnsiTheme="minorHAnsi"/>
                <w:color w:val="000000"/>
                <w:sz w:val="20"/>
                <w:szCs w:val="20"/>
              </w:rPr>
              <w:t> </w:t>
            </w:r>
          </w:p>
        </w:tc>
        <w:tc>
          <w:tcPr>
            <w:tcW w:w="1223" w:type="dxa"/>
            <w:noWrap/>
            <w:hideMark/>
          </w:tcPr>
          <w:p w:rsidR="00F91200" w:rsidRPr="00F91200" w:rsidRDefault="00F9120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77.454.079</w:t>
            </w:r>
          </w:p>
        </w:tc>
      </w:tr>
    </w:tbl>
    <w:p w:rsidR="00656F99" w:rsidRPr="009C76DB" w:rsidRDefault="00656F99" w:rsidP="00656F99">
      <w:pPr>
        <w:jc w:val="both"/>
        <w:rPr>
          <w:rFonts w:asciiTheme="minorHAnsi" w:hAnsiTheme="minorHAnsi" w:cstheme="minorHAnsi"/>
          <w:sz w:val="16"/>
          <w:szCs w:val="18"/>
        </w:rPr>
      </w:pPr>
      <w:r w:rsidRPr="009C76DB">
        <w:rPr>
          <w:rFonts w:asciiTheme="minorHAnsi" w:hAnsiTheme="minorHAnsi" w:cstheme="minorHAnsi"/>
          <w:sz w:val="16"/>
          <w:szCs w:val="18"/>
        </w:rPr>
        <w:t>Fuente: Elaboración propia.</w:t>
      </w:r>
    </w:p>
    <w:p w:rsidR="00656F99" w:rsidRPr="009C76DB" w:rsidRDefault="00656F99" w:rsidP="008A366B">
      <w:pPr>
        <w:pStyle w:val="ListParagraph"/>
        <w:numPr>
          <w:ilvl w:val="0"/>
          <w:numId w:val="2"/>
        </w:numPr>
        <w:jc w:val="both"/>
        <w:rPr>
          <w:rFonts w:asciiTheme="minorHAnsi" w:hAnsiTheme="minorHAnsi" w:cstheme="minorHAnsi"/>
          <w:sz w:val="16"/>
          <w:szCs w:val="18"/>
        </w:rPr>
      </w:pPr>
      <w:r w:rsidRPr="009C76DB">
        <w:rPr>
          <w:rFonts w:asciiTheme="minorHAnsi" w:hAnsiTheme="minorHAnsi" w:cstheme="minorHAnsi"/>
          <w:sz w:val="16"/>
          <w:szCs w:val="18"/>
        </w:rPr>
        <w:t>Estos porcentajes los tomamos del Estudios de Aedo, L. et al (1994, pp.115) realizado en Chile, por lo tanto deben considerarse como un supuesto.</w:t>
      </w:r>
    </w:p>
    <w:p w:rsidR="00656F99" w:rsidRPr="009C76DB" w:rsidRDefault="00656F99" w:rsidP="008A366B">
      <w:pPr>
        <w:pStyle w:val="ListParagraph"/>
        <w:numPr>
          <w:ilvl w:val="0"/>
          <w:numId w:val="2"/>
        </w:numPr>
        <w:jc w:val="both"/>
        <w:rPr>
          <w:rFonts w:asciiTheme="minorHAnsi" w:hAnsiTheme="minorHAnsi" w:cstheme="minorHAnsi"/>
          <w:sz w:val="16"/>
          <w:szCs w:val="18"/>
        </w:rPr>
      </w:pPr>
      <w:r w:rsidRPr="009C76DB">
        <w:rPr>
          <w:rFonts w:asciiTheme="minorHAnsi" w:hAnsiTheme="minorHAnsi" w:cstheme="minorHAnsi"/>
          <w:sz w:val="16"/>
          <w:szCs w:val="18"/>
        </w:rPr>
        <w:t>El IVA que descontamo</w:t>
      </w:r>
      <w:r w:rsidR="00D7578F">
        <w:rPr>
          <w:rFonts w:asciiTheme="minorHAnsi" w:hAnsiTheme="minorHAnsi" w:cstheme="minorHAnsi"/>
          <w:sz w:val="16"/>
          <w:szCs w:val="18"/>
        </w:rPr>
        <w:t>s a los valores de la Tabla 7</w:t>
      </w:r>
      <w:r w:rsidRPr="009C76DB">
        <w:rPr>
          <w:rFonts w:asciiTheme="minorHAnsi" w:hAnsiTheme="minorHAnsi" w:cstheme="minorHAnsi"/>
          <w:sz w:val="16"/>
          <w:szCs w:val="18"/>
        </w:rPr>
        <w:t>.1 es 14,94%.</w:t>
      </w:r>
    </w:p>
    <w:p w:rsidR="00656F99" w:rsidRPr="009C76DB" w:rsidRDefault="00656F99" w:rsidP="008A366B">
      <w:pPr>
        <w:pStyle w:val="ListParagraph"/>
        <w:numPr>
          <w:ilvl w:val="0"/>
          <w:numId w:val="2"/>
        </w:numPr>
        <w:jc w:val="both"/>
        <w:rPr>
          <w:rFonts w:asciiTheme="minorHAnsi" w:hAnsiTheme="minorHAnsi" w:cstheme="minorHAnsi"/>
          <w:sz w:val="16"/>
          <w:szCs w:val="18"/>
        </w:rPr>
      </w:pPr>
      <w:r w:rsidRPr="009C76DB">
        <w:rPr>
          <w:rFonts w:asciiTheme="minorHAnsi" w:hAnsiTheme="minorHAnsi" w:cstheme="minorHAnsi"/>
          <w:sz w:val="16"/>
          <w:szCs w:val="18"/>
        </w:rPr>
        <w:t>Factores de ajuste sugeridos por el Ministerio de Planificación y Desarrollo de Bolivia.</w:t>
      </w:r>
    </w:p>
    <w:p w:rsidR="00656F99" w:rsidRPr="009C76DB" w:rsidRDefault="00656F99" w:rsidP="00656F99">
      <w:pPr>
        <w:jc w:val="both"/>
        <w:rPr>
          <w:rFonts w:asciiTheme="minorHAnsi" w:hAnsiTheme="minorHAnsi" w:cstheme="minorHAnsi"/>
          <w:sz w:val="22"/>
        </w:rPr>
      </w:pPr>
    </w:p>
    <w:p w:rsidR="00656F99" w:rsidRPr="009C76DB" w:rsidRDefault="00656F99" w:rsidP="00656F99">
      <w:pPr>
        <w:jc w:val="both"/>
        <w:rPr>
          <w:rFonts w:asciiTheme="minorHAnsi" w:hAnsiTheme="minorHAnsi" w:cstheme="minorHAnsi"/>
          <w:sz w:val="22"/>
        </w:rPr>
      </w:pPr>
    </w:p>
    <w:p w:rsidR="00656F99" w:rsidRPr="009C76DB" w:rsidRDefault="00656F99" w:rsidP="00656F99">
      <w:pPr>
        <w:jc w:val="both"/>
        <w:rPr>
          <w:rFonts w:asciiTheme="minorHAnsi" w:hAnsiTheme="minorHAnsi" w:cstheme="minorHAnsi"/>
          <w:sz w:val="22"/>
        </w:rPr>
      </w:pPr>
      <w:r w:rsidRPr="009C76DB">
        <w:rPr>
          <w:rFonts w:asciiTheme="minorHAnsi" w:hAnsiTheme="minorHAnsi" w:cstheme="minorHAnsi"/>
          <w:sz w:val="22"/>
        </w:rPr>
        <w:t xml:space="preserve">En la Tabla </w:t>
      </w:r>
      <w:r w:rsidR="00D7578F">
        <w:rPr>
          <w:rFonts w:asciiTheme="minorHAnsi" w:hAnsiTheme="minorHAnsi" w:cstheme="minorHAnsi"/>
          <w:sz w:val="22"/>
        </w:rPr>
        <w:t>7</w:t>
      </w:r>
      <w:r w:rsidR="001D12D3">
        <w:rPr>
          <w:rFonts w:asciiTheme="minorHAnsi" w:hAnsiTheme="minorHAnsi" w:cstheme="minorHAnsi"/>
          <w:sz w:val="22"/>
        </w:rPr>
        <w:t>.3</w:t>
      </w:r>
      <w:r w:rsidRPr="009C76DB">
        <w:rPr>
          <w:rFonts w:asciiTheme="minorHAnsi" w:hAnsiTheme="minorHAnsi" w:cstheme="minorHAnsi"/>
          <w:sz w:val="22"/>
        </w:rPr>
        <w:t xml:space="preserve"> realizamos la misma transformación para la inversión en equipos suponiendo que la totalidad de esta inversión se realiza en el extranjero. El valor de la tabla corresponde al valor privado sin iva ni arancel y al valor social.</w:t>
      </w:r>
      <w:r w:rsidRPr="009C76DB">
        <w:rPr>
          <w:rStyle w:val="FootnoteReference"/>
          <w:rFonts w:asciiTheme="minorHAnsi" w:hAnsiTheme="minorHAnsi" w:cstheme="minorHAnsi"/>
          <w:sz w:val="22"/>
        </w:rPr>
        <w:footnoteReference w:id="67"/>
      </w:r>
    </w:p>
    <w:p w:rsidR="00656F99" w:rsidRPr="009C76DB" w:rsidRDefault="00656F99" w:rsidP="00656F99">
      <w:pPr>
        <w:jc w:val="both"/>
        <w:rPr>
          <w:rFonts w:asciiTheme="minorHAnsi" w:hAnsiTheme="minorHAnsi" w:cstheme="minorHAnsi"/>
          <w:sz w:val="22"/>
        </w:rPr>
      </w:pPr>
    </w:p>
    <w:p w:rsidR="00656F99" w:rsidRDefault="00656F99" w:rsidP="00656F99">
      <w:pPr>
        <w:jc w:val="both"/>
        <w:rPr>
          <w:rFonts w:asciiTheme="minorHAnsi" w:hAnsiTheme="minorHAnsi" w:cstheme="minorHAnsi"/>
          <w:sz w:val="22"/>
        </w:rPr>
      </w:pPr>
      <w:r w:rsidRPr="009C76DB">
        <w:rPr>
          <w:rFonts w:asciiTheme="minorHAnsi" w:hAnsiTheme="minorHAnsi" w:cstheme="minorHAnsi"/>
          <w:sz w:val="22"/>
        </w:rPr>
        <w:t xml:space="preserve">Tabla </w:t>
      </w:r>
      <w:r w:rsidR="00D7578F">
        <w:rPr>
          <w:rFonts w:asciiTheme="minorHAnsi" w:hAnsiTheme="minorHAnsi" w:cstheme="minorHAnsi"/>
          <w:sz w:val="22"/>
        </w:rPr>
        <w:t>7</w:t>
      </w:r>
      <w:r w:rsidR="001D12D3">
        <w:rPr>
          <w:rFonts w:asciiTheme="minorHAnsi" w:hAnsiTheme="minorHAnsi" w:cstheme="minorHAnsi"/>
          <w:sz w:val="22"/>
        </w:rPr>
        <w:t>.3</w:t>
      </w:r>
      <w:r w:rsidRPr="009C76DB">
        <w:rPr>
          <w:rFonts w:asciiTheme="minorHAnsi" w:hAnsiTheme="minorHAnsi" w:cstheme="minorHAnsi"/>
          <w:sz w:val="22"/>
        </w:rPr>
        <w:t xml:space="preserve">: Costo privado y social de la inversión en </w:t>
      </w:r>
      <w:r w:rsidR="00116365">
        <w:rPr>
          <w:rFonts w:asciiTheme="minorHAnsi" w:hAnsiTheme="minorHAnsi" w:cstheme="minorHAnsi"/>
          <w:sz w:val="22"/>
        </w:rPr>
        <w:t>Equipamiento</w:t>
      </w:r>
      <w:r w:rsidR="00DD1BF7">
        <w:rPr>
          <w:rFonts w:asciiTheme="minorHAnsi" w:hAnsiTheme="minorHAnsi" w:cstheme="minorHAnsi"/>
          <w:sz w:val="22"/>
        </w:rPr>
        <w:t>. (Bs)</w:t>
      </w:r>
    </w:p>
    <w:tbl>
      <w:tblPr>
        <w:tblStyle w:val="LightShading-Accent3"/>
        <w:tblW w:w="9054" w:type="dxa"/>
        <w:tblLook w:val="04A0" w:firstRow="1" w:lastRow="0" w:firstColumn="1" w:lastColumn="0" w:noHBand="0" w:noVBand="1"/>
      </w:tblPr>
      <w:tblGrid>
        <w:gridCol w:w="2675"/>
        <w:gridCol w:w="2901"/>
        <w:gridCol w:w="1916"/>
        <w:gridCol w:w="1562"/>
      </w:tblGrid>
      <w:tr w:rsidR="00F91200" w:rsidRPr="00F91200" w:rsidTr="00F9120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75" w:type="dxa"/>
            <w:vMerge w:val="restart"/>
            <w:noWrap/>
            <w:hideMark/>
          </w:tcPr>
          <w:p w:rsidR="00F91200" w:rsidRPr="00F91200" w:rsidRDefault="00F91200">
            <w:pPr>
              <w:jc w:val="center"/>
              <w:rPr>
                <w:rFonts w:asciiTheme="minorHAnsi" w:hAnsiTheme="minorHAnsi" w:cs="Arial"/>
                <w:color w:val="000000"/>
                <w:sz w:val="20"/>
                <w:szCs w:val="20"/>
              </w:rPr>
            </w:pPr>
            <w:r w:rsidRPr="00F91200">
              <w:rPr>
                <w:rFonts w:asciiTheme="minorHAnsi" w:hAnsiTheme="minorHAnsi" w:cs="Arial"/>
                <w:b w:val="0"/>
                <w:bCs w:val="0"/>
                <w:color w:val="000000"/>
                <w:sz w:val="20"/>
                <w:szCs w:val="20"/>
              </w:rPr>
              <w:t>Costo social de equipos</w:t>
            </w:r>
          </w:p>
        </w:tc>
        <w:tc>
          <w:tcPr>
            <w:tcW w:w="2901" w:type="dxa"/>
            <w:noWrap/>
            <w:hideMark/>
          </w:tcPr>
          <w:p w:rsidR="00F91200" w:rsidRPr="00F91200" w:rsidRDefault="00F912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b w:val="0"/>
                <w:bCs w:val="0"/>
                <w:color w:val="000000"/>
                <w:sz w:val="20"/>
                <w:szCs w:val="20"/>
              </w:rPr>
              <w:t>Costo privado sin iva y arancel</w:t>
            </w:r>
          </w:p>
        </w:tc>
        <w:tc>
          <w:tcPr>
            <w:tcW w:w="1916" w:type="dxa"/>
            <w:hideMark/>
          </w:tcPr>
          <w:p w:rsidR="00F91200" w:rsidRPr="00F91200" w:rsidRDefault="00F912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b w:val="0"/>
                <w:bCs w:val="0"/>
                <w:color w:val="000000"/>
                <w:sz w:val="20"/>
                <w:szCs w:val="20"/>
              </w:rPr>
              <w:t>Factor de ajuste</w:t>
            </w:r>
          </w:p>
        </w:tc>
        <w:tc>
          <w:tcPr>
            <w:tcW w:w="1562" w:type="dxa"/>
            <w:vMerge w:val="restart"/>
            <w:hideMark/>
          </w:tcPr>
          <w:p w:rsidR="00F91200" w:rsidRPr="00F91200" w:rsidRDefault="00F9120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b w:val="0"/>
                <w:bCs w:val="0"/>
                <w:color w:val="000000"/>
                <w:sz w:val="20"/>
                <w:szCs w:val="20"/>
              </w:rPr>
              <w:t>Costo social</w:t>
            </w:r>
          </w:p>
        </w:tc>
      </w:tr>
      <w:tr w:rsidR="00F91200" w:rsidRPr="00F91200" w:rsidTr="00F912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75" w:type="dxa"/>
            <w:vMerge/>
            <w:hideMark/>
          </w:tcPr>
          <w:p w:rsidR="00F91200" w:rsidRPr="00F91200" w:rsidRDefault="00F91200">
            <w:pPr>
              <w:rPr>
                <w:rFonts w:asciiTheme="minorHAnsi" w:hAnsiTheme="minorHAnsi" w:cs="Arial"/>
                <w:color w:val="000000"/>
                <w:sz w:val="20"/>
                <w:szCs w:val="20"/>
              </w:rPr>
            </w:pPr>
          </w:p>
        </w:tc>
        <w:tc>
          <w:tcPr>
            <w:tcW w:w="2901" w:type="dxa"/>
            <w:noWrap/>
            <w:hideMark/>
          </w:tcPr>
          <w:p w:rsidR="00F91200" w:rsidRPr="00F91200" w:rsidRDefault="00F912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20"/>
                <w:szCs w:val="20"/>
              </w:rPr>
            </w:pPr>
            <w:r>
              <w:rPr>
                <w:rFonts w:asciiTheme="minorHAnsi" w:hAnsiTheme="minorHAnsi" w:cs="Arial"/>
                <w:b/>
                <w:bCs/>
                <w:color w:val="000000"/>
                <w:sz w:val="20"/>
                <w:szCs w:val="20"/>
              </w:rPr>
              <w:t>(</w:t>
            </w:r>
            <w:r w:rsidRPr="00F91200">
              <w:rPr>
                <w:rFonts w:asciiTheme="minorHAnsi" w:hAnsiTheme="minorHAnsi" w:cs="Arial"/>
                <w:b/>
                <w:bCs/>
                <w:color w:val="000000"/>
                <w:sz w:val="20"/>
                <w:szCs w:val="20"/>
              </w:rPr>
              <w:t>1</w:t>
            </w:r>
            <w:r>
              <w:rPr>
                <w:rFonts w:asciiTheme="minorHAnsi" w:hAnsiTheme="minorHAnsi" w:cs="Arial"/>
                <w:b/>
                <w:bCs/>
                <w:color w:val="000000"/>
                <w:sz w:val="20"/>
                <w:szCs w:val="20"/>
              </w:rPr>
              <w:t>)</w:t>
            </w:r>
          </w:p>
        </w:tc>
        <w:tc>
          <w:tcPr>
            <w:tcW w:w="1916" w:type="dxa"/>
            <w:hideMark/>
          </w:tcPr>
          <w:p w:rsidR="00F91200" w:rsidRPr="00F91200" w:rsidRDefault="00F9120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20"/>
                <w:szCs w:val="20"/>
              </w:rPr>
            </w:pPr>
            <w:r>
              <w:rPr>
                <w:rFonts w:asciiTheme="minorHAnsi" w:hAnsiTheme="minorHAnsi" w:cs="Arial"/>
                <w:b/>
                <w:bCs/>
                <w:color w:val="000000"/>
                <w:sz w:val="20"/>
                <w:szCs w:val="20"/>
              </w:rPr>
              <w:t>(</w:t>
            </w:r>
            <w:r w:rsidRPr="00F91200">
              <w:rPr>
                <w:rFonts w:asciiTheme="minorHAnsi" w:hAnsiTheme="minorHAnsi" w:cs="Arial"/>
                <w:b/>
                <w:bCs/>
                <w:color w:val="000000"/>
                <w:sz w:val="20"/>
                <w:szCs w:val="20"/>
              </w:rPr>
              <w:t>2</w:t>
            </w:r>
            <w:r>
              <w:rPr>
                <w:rFonts w:asciiTheme="minorHAnsi" w:hAnsiTheme="minorHAnsi" w:cs="Arial"/>
                <w:b/>
                <w:bCs/>
                <w:color w:val="000000"/>
                <w:sz w:val="20"/>
                <w:szCs w:val="20"/>
              </w:rPr>
              <w:t>)</w:t>
            </w:r>
          </w:p>
        </w:tc>
        <w:tc>
          <w:tcPr>
            <w:tcW w:w="1562" w:type="dxa"/>
            <w:vMerge/>
            <w:hideMark/>
          </w:tcPr>
          <w:p w:rsidR="00F91200" w:rsidRPr="00F91200" w:rsidRDefault="00F91200">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000000"/>
                <w:sz w:val="20"/>
                <w:szCs w:val="20"/>
              </w:rPr>
            </w:pPr>
          </w:p>
        </w:tc>
      </w:tr>
      <w:tr w:rsidR="00F91200" w:rsidRPr="00F91200" w:rsidTr="00F91200">
        <w:trPr>
          <w:trHeight w:val="20"/>
        </w:trPr>
        <w:tc>
          <w:tcPr>
            <w:cnfStyle w:val="001000000000" w:firstRow="0" w:lastRow="0" w:firstColumn="1" w:lastColumn="0" w:oddVBand="0" w:evenVBand="0" w:oddHBand="0" w:evenHBand="0" w:firstRowFirstColumn="0" w:firstRowLastColumn="0" w:lastRowFirstColumn="0" w:lastRowLastColumn="0"/>
            <w:tcW w:w="2675" w:type="dxa"/>
            <w:noWrap/>
            <w:hideMark/>
          </w:tcPr>
          <w:p w:rsidR="00F91200" w:rsidRPr="00F91200" w:rsidRDefault="00F91200">
            <w:pPr>
              <w:rPr>
                <w:rFonts w:asciiTheme="minorHAnsi" w:hAnsiTheme="minorHAnsi" w:cs="Arial"/>
                <w:color w:val="000000"/>
                <w:sz w:val="20"/>
                <w:szCs w:val="20"/>
              </w:rPr>
            </w:pPr>
            <w:r w:rsidRPr="00F91200">
              <w:rPr>
                <w:rFonts w:asciiTheme="minorHAnsi" w:hAnsiTheme="minorHAnsi" w:cs="Arial"/>
                <w:color w:val="000000"/>
                <w:sz w:val="20"/>
                <w:szCs w:val="20"/>
              </w:rPr>
              <w:t>Equipos</w:t>
            </w:r>
          </w:p>
        </w:tc>
        <w:tc>
          <w:tcPr>
            <w:tcW w:w="2901" w:type="dxa"/>
            <w:noWrap/>
            <w:hideMark/>
          </w:tcPr>
          <w:p w:rsidR="00F91200" w:rsidRPr="00F91200" w:rsidRDefault="00F91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96.777.107</w:t>
            </w:r>
          </w:p>
        </w:tc>
        <w:tc>
          <w:tcPr>
            <w:tcW w:w="1916" w:type="dxa"/>
            <w:noWrap/>
            <w:hideMark/>
          </w:tcPr>
          <w:p w:rsidR="00F91200" w:rsidRPr="00F91200" w:rsidRDefault="00F91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1,24</w:t>
            </w:r>
          </w:p>
        </w:tc>
        <w:tc>
          <w:tcPr>
            <w:tcW w:w="1562" w:type="dxa"/>
            <w:noWrap/>
            <w:hideMark/>
          </w:tcPr>
          <w:p w:rsidR="00F91200" w:rsidRPr="00F91200" w:rsidRDefault="00F9120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F91200">
              <w:rPr>
                <w:rFonts w:asciiTheme="minorHAnsi" w:hAnsiTheme="minorHAnsi" w:cs="Arial"/>
                <w:color w:val="000000"/>
                <w:sz w:val="20"/>
                <w:szCs w:val="20"/>
              </w:rPr>
              <w:t>120.003.613</w:t>
            </w:r>
          </w:p>
        </w:tc>
      </w:tr>
    </w:tbl>
    <w:p w:rsidR="00656F99" w:rsidRPr="009C76DB" w:rsidRDefault="00656F99" w:rsidP="00656F99">
      <w:pPr>
        <w:jc w:val="both"/>
        <w:rPr>
          <w:rFonts w:asciiTheme="minorHAnsi" w:hAnsiTheme="minorHAnsi" w:cstheme="minorHAnsi"/>
          <w:sz w:val="16"/>
          <w:szCs w:val="18"/>
        </w:rPr>
      </w:pPr>
      <w:r w:rsidRPr="009C76DB">
        <w:rPr>
          <w:rFonts w:asciiTheme="minorHAnsi" w:hAnsiTheme="minorHAnsi" w:cstheme="minorHAnsi"/>
          <w:sz w:val="16"/>
          <w:szCs w:val="18"/>
        </w:rPr>
        <w:t>Fuente: Elaboración propia.</w:t>
      </w:r>
    </w:p>
    <w:p w:rsidR="00656F99" w:rsidRPr="009C76DB" w:rsidRDefault="00656F99" w:rsidP="008A366B">
      <w:pPr>
        <w:pStyle w:val="ListParagraph"/>
        <w:numPr>
          <w:ilvl w:val="0"/>
          <w:numId w:val="3"/>
        </w:numPr>
        <w:jc w:val="both"/>
        <w:rPr>
          <w:rFonts w:asciiTheme="minorHAnsi" w:hAnsiTheme="minorHAnsi" w:cstheme="minorHAnsi"/>
          <w:sz w:val="16"/>
          <w:szCs w:val="18"/>
        </w:rPr>
      </w:pPr>
      <w:r w:rsidRPr="009C76DB">
        <w:rPr>
          <w:rFonts w:asciiTheme="minorHAnsi" w:hAnsiTheme="minorHAnsi" w:cstheme="minorHAnsi"/>
          <w:sz w:val="16"/>
          <w:szCs w:val="18"/>
        </w:rPr>
        <w:t>Este cálculo se realiza de la siguiente manera, al valor de los equipos se los transforma a bolivianos mediante el tipo de cambio actual de 7 Bs/US$, a este valor se le sustrae el arancel, que suponemos de 10%, al valor obtenido se le descuenta el IVA de 14,94%, obteniendo el valor de la tabla.</w:t>
      </w:r>
    </w:p>
    <w:p w:rsidR="00656F99" w:rsidRPr="009C76DB" w:rsidRDefault="00656F99" w:rsidP="008A366B">
      <w:pPr>
        <w:pStyle w:val="ListParagraph"/>
        <w:numPr>
          <w:ilvl w:val="0"/>
          <w:numId w:val="3"/>
        </w:numPr>
        <w:jc w:val="both"/>
        <w:rPr>
          <w:rFonts w:asciiTheme="minorHAnsi" w:hAnsiTheme="minorHAnsi" w:cstheme="minorHAnsi"/>
          <w:sz w:val="16"/>
          <w:szCs w:val="18"/>
        </w:rPr>
      </w:pPr>
      <w:r w:rsidRPr="009C76DB">
        <w:rPr>
          <w:rFonts w:asciiTheme="minorHAnsi" w:hAnsiTheme="minorHAnsi" w:cstheme="minorHAnsi"/>
          <w:sz w:val="16"/>
          <w:szCs w:val="18"/>
        </w:rPr>
        <w:t>Factores de ajuste sugeridos por el Ministerio de Planificación y Desarrollo de Bolivia.</w:t>
      </w:r>
    </w:p>
    <w:p w:rsidR="00656F99" w:rsidRPr="009C76DB" w:rsidRDefault="00656F99" w:rsidP="00656F99">
      <w:pPr>
        <w:jc w:val="both"/>
        <w:rPr>
          <w:rFonts w:asciiTheme="minorHAnsi" w:hAnsiTheme="minorHAnsi" w:cstheme="minorHAnsi"/>
          <w:sz w:val="22"/>
        </w:rPr>
      </w:pPr>
    </w:p>
    <w:p w:rsidR="00656F99" w:rsidRPr="009C76DB" w:rsidRDefault="00656F99" w:rsidP="00656F99">
      <w:pPr>
        <w:jc w:val="both"/>
        <w:rPr>
          <w:rFonts w:asciiTheme="minorHAnsi" w:hAnsiTheme="minorHAnsi" w:cstheme="minorHAnsi"/>
          <w:sz w:val="22"/>
        </w:rPr>
      </w:pPr>
    </w:p>
    <w:p w:rsidR="00656F99" w:rsidRPr="009C76DB" w:rsidRDefault="00656F99" w:rsidP="00656F99">
      <w:pPr>
        <w:jc w:val="both"/>
        <w:rPr>
          <w:rFonts w:asciiTheme="minorHAnsi" w:hAnsiTheme="minorHAnsi" w:cstheme="minorHAnsi"/>
          <w:sz w:val="22"/>
        </w:rPr>
      </w:pPr>
      <w:r w:rsidRPr="009C76DB">
        <w:rPr>
          <w:rFonts w:asciiTheme="minorHAnsi" w:hAnsiTheme="minorHAnsi" w:cstheme="minorHAnsi"/>
          <w:sz w:val="22"/>
        </w:rPr>
        <w:t xml:space="preserve">De las tablas </w:t>
      </w:r>
      <w:r w:rsidR="00DD1BF7">
        <w:rPr>
          <w:rFonts w:asciiTheme="minorHAnsi" w:hAnsiTheme="minorHAnsi" w:cstheme="minorHAnsi"/>
          <w:sz w:val="22"/>
        </w:rPr>
        <w:t xml:space="preserve">7.1 </w:t>
      </w:r>
      <w:r w:rsidR="00D7578F">
        <w:rPr>
          <w:rFonts w:asciiTheme="minorHAnsi" w:hAnsiTheme="minorHAnsi" w:cstheme="minorHAnsi"/>
          <w:sz w:val="22"/>
        </w:rPr>
        <w:t>7</w:t>
      </w:r>
      <w:r w:rsidR="00F458E6">
        <w:rPr>
          <w:rFonts w:asciiTheme="minorHAnsi" w:hAnsiTheme="minorHAnsi" w:cstheme="minorHAnsi"/>
          <w:sz w:val="22"/>
        </w:rPr>
        <w:t>.2</w:t>
      </w:r>
      <w:r w:rsidRPr="009C76DB">
        <w:rPr>
          <w:rFonts w:asciiTheme="minorHAnsi" w:hAnsiTheme="minorHAnsi" w:cstheme="minorHAnsi"/>
          <w:sz w:val="22"/>
        </w:rPr>
        <w:t xml:space="preserve"> y </w:t>
      </w:r>
      <w:r w:rsidR="00D7578F">
        <w:rPr>
          <w:rFonts w:asciiTheme="minorHAnsi" w:hAnsiTheme="minorHAnsi" w:cstheme="minorHAnsi"/>
          <w:sz w:val="22"/>
        </w:rPr>
        <w:t>7</w:t>
      </w:r>
      <w:r w:rsidR="00F458E6">
        <w:rPr>
          <w:rFonts w:asciiTheme="minorHAnsi" w:hAnsiTheme="minorHAnsi" w:cstheme="minorHAnsi"/>
          <w:sz w:val="22"/>
        </w:rPr>
        <w:t>.3</w:t>
      </w:r>
      <w:r w:rsidRPr="009C76DB">
        <w:rPr>
          <w:rFonts w:asciiTheme="minorHAnsi" w:hAnsiTheme="minorHAnsi" w:cstheme="minorHAnsi"/>
          <w:sz w:val="22"/>
        </w:rPr>
        <w:t xml:space="preserve"> se desprenden el costo social de la inversión en el proyecto que ascendería a </w:t>
      </w:r>
      <w:r w:rsidR="00622160">
        <w:rPr>
          <w:rFonts w:asciiTheme="minorHAnsi" w:hAnsiTheme="minorHAnsi" w:cstheme="minorHAnsi"/>
          <w:sz w:val="22"/>
        </w:rPr>
        <w:t xml:space="preserve">Bs. </w:t>
      </w:r>
      <w:r w:rsidR="00DD1BF7" w:rsidRPr="00DD1BF7">
        <w:rPr>
          <w:rFonts w:asciiTheme="minorHAnsi" w:hAnsiTheme="minorHAnsi" w:cstheme="minorHAnsi"/>
          <w:sz w:val="22"/>
        </w:rPr>
        <w:t>261.157.692</w:t>
      </w:r>
      <w:r w:rsidRPr="009C76DB">
        <w:rPr>
          <w:rFonts w:asciiTheme="minorHAnsi" w:hAnsiTheme="minorHAnsi" w:cstheme="minorHAnsi"/>
          <w:sz w:val="22"/>
        </w:rPr>
        <w:t>.</w:t>
      </w:r>
      <w:r w:rsidR="00DD1BF7">
        <w:rPr>
          <w:rStyle w:val="FootnoteReference"/>
          <w:rFonts w:asciiTheme="minorHAnsi" w:hAnsiTheme="minorHAnsi" w:cstheme="minorHAnsi"/>
          <w:sz w:val="22"/>
        </w:rPr>
        <w:footnoteReference w:id="68"/>
      </w:r>
    </w:p>
    <w:p w:rsidR="00656F99" w:rsidRPr="009C76DB" w:rsidRDefault="00656F99" w:rsidP="00656F99">
      <w:pPr>
        <w:jc w:val="both"/>
        <w:rPr>
          <w:rFonts w:asciiTheme="minorHAnsi" w:hAnsiTheme="minorHAnsi" w:cstheme="minorHAnsi"/>
          <w:sz w:val="22"/>
        </w:rPr>
      </w:pPr>
    </w:p>
    <w:p w:rsidR="00656F99" w:rsidRPr="00821065" w:rsidRDefault="00656F99" w:rsidP="008A366B">
      <w:pPr>
        <w:pStyle w:val="Heading2"/>
        <w:numPr>
          <w:ilvl w:val="1"/>
          <w:numId w:val="1"/>
        </w:numPr>
        <w:spacing w:line="276" w:lineRule="auto"/>
        <w:rPr>
          <w:rFonts w:asciiTheme="minorHAnsi" w:hAnsiTheme="minorHAnsi" w:cstheme="minorHAnsi"/>
          <w:bCs w:val="0"/>
        </w:rPr>
      </w:pPr>
      <w:bookmarkStart w:id="79" w:name="_Toc373093542"/>
      <w:r w:rsidRPr="00821065">
        <w:rPr>
          <w:rFonts w:asciiTheme="minorHAnsi" w:hAnsiTheme="minorHAnsi" w:cstheme="minorHAnsi"/>
          <w:bCs w:val="0"/>
        </w:rPr>
        <w:t>Identificación y valoración de costos de operación</w:t>
      </w:r>
      <w:bookmarkEnd w:id="79"/>
    </w:p>
    <w:p w:rsidR="00656F99" w:rsidRPr="009C76DB" w:rsidRDefault="00656F99" w:rsidP="00656F99">
      <w:pPr>
        <w:pStyle w:val="Heading1"/>
        <w:numPr>
          <w:ilvl w:val="0"/>
          <w:numId w:val="0"/>
        </w:numPr>
        <w:spacing w:after="0"/>
        <w:ind w:left="357" w:hanging="357"/>
        <w:rPr>
          <w:rFonts w:asciiTheme="minorHAnsi" w:hAnsiTheme="minorHAnsi" w:cstheme="minorHAnsi"/>
          <w:sz w:val="22"/>
        </w:rPr>
      </w:pPr>
    </w:p>
    <w:p w:rsidR="00656F99" w:rsidRPr="009C76DB" w:rsidRDefault="00656F99" w:rsidP="00656F99">
      <w:pPr>
        <w:jc w:val="both"/>
        <w:rPr>
          <w:rFonts w:asciiTheme="minorHAnsi" w:hAnsiTheme="minorHAnsi" w:cstheme="minorHAnsi"/>
          <w:sz w:val="22"/>
        </w:rPr>
      </w:pPr>
      <w:r w:rsidRPr="009C76DB">
        <w:rPr>
          <w:rFonts w:asciiTheme="minorHAnsi" w:hAnsiTheme="minorHAnsi" w:cstheme="minorHAnsi"/>
          <w:sz w:val="22"/>
        </w:rPr>
        <w:t>A continuación se describen los costos de operación considerados en la evaluación, donde identificamos costos por concepto de remuneraciones de los recursos humanos, insumos, gastos generales, y mantención.</w:t>
      </w:r>
    </w:p>
    <w:p w:rsidR="00656F99" w:rsidRPr="009C76DB" w:rsidRDefault="00656F99" w:rsidP="00656F99">
      <w:pPr>
        <w:jc w:val="both"/>
        <w:rPr>
          <w:rFonts w:asciiTheme="minorHAnsi" w:hAnsiTheme="minorHAnsi" w:cstheme="minorHAnsi"/>
          <w:sz w:val="22"/>
        </w:rPr>
      </w:pPr>
    </w:p>
    <w:p w:rsidR="00656F99" w:rsidRPr="009C76DB" w:rsidRDefault="00656F99" w:rsidP="00656F99">
      <w:pPr>
        <w:jc w:val="both"/>
        <w:rPr>
          <w:rFonts w:asciiTheme="minorHAnsi" w:hAnsiTheme="minorHAnsi" w:cstheme="minorHAnsi"/>
          <w:sz w:val="22"/>
        </w:rPr>
      </w:pPr>
      <w:r w:rsidRPr="009C76DB">
        <w:rPr>
          <w:rFonts w:asciiTheme="minorHAnsi" w:hAnsiTheme="minorHAnsi" w:cstheme="minorHAnsi"/>
          <w:sz w:val="22"/>
        </w:rPr>
        <w:t xml:space="preserve">En la Tabla </w:t>
      </w:r>
      <w:r w:rsidR="001739B0">
        <w:rPr>
          <w:rFonts w:asciiTheme="minorHAnsi" w:hAnsiTheme="minorHAnsi" w:cstheme="minorHAnsi"/>
          <w:sz w:val="22"/>
        </w:rPr>
        <w:t>7</w:t>
      </w:r>
      <w:r w:rsidR="00F458E6">
        <w:rPr>
          <w:rFonts w:asciiTheme="minorHAnsi" w:hAnsiTheme="minorHAnsi" w:cstheme="minorHAnsi"/>
          <w:sz w:val="22"/>
        </w:rPr>
        <w:t>.4</w:t>
      </w:r>
      <w:r w:rsidRPr="009C76DB">
        <w:rPr>
          <w:rFonts w:asciiTheme="minorHAnsi" w:hAnsiTheme="minorHAnsi" w:cstheme="minorHAnsi"/>
          <w:sz w:val="22"/>
        </w:rPr>
        <w:t xml:space="preserve"> se observa el costo privado y social de la mano de obra de acuerdo a su calificación </w:t>
      </w:r>
      <w:r w:rsidR="00524B70">
        <w:rPr>
          <w:rFonts w:asciiTheme="minorHAnsi" w:hAnsiTheme="minorHAnsi" w:cstheme="minorHAnsi"/>
          <w:sz w:val="22"/>
        </w:rPr>
        <w:t xml:space="preserve">para </w:t>
      </w:r>
      <w:r w:rsidRPr="009C76DB">
        <w:rPr>
          <w:rFonts w:asciiTheme="minorHAnsi" w:hAnsiTheme="minorHAnsi" w:cstheme="minorHAnsi"/>
          <w:sz w:val="22"/>
        </w:rPr>
        <w:t xml:space="preserve">la situación con proyecto. </w:t>
      </w:r>
      <w:r w:rsidR="00232470">
        <w:rPr>
          <w:rFonts w:asciiTheme="minorHAnsi" w:hAnsiTheme="minorHAnsi" w:cstheme="minorHAnsi"/>
          <w:sz w:val="22"/>
        </w:rPr>
        <w:t xml:space="preserve">La valoración con proyecto corresponde al </w:t>
      </w:r>
      <w:r w:rsidR="00F458E6">
        <w:rPr>
          <w:rFonts w:asciiTheme="minorHAnsi" w:hAnsiTheme="minorHAnsi" w:cstheme="minorHAnsi"/>
          <w:sz w:val="22"/>
        </w:rPr>
        <w:t>periodo</w:t>
      </w:r>
      <w:r w:rsidR="00232470">
        <w:rPr>
          <w:rFonts w:asciiTheme="minorHAnsi" w:hAnsiTheme="minorHAnsi" w:cstheme="minorHAnsi"/>
          <w:sz w:val="22"/>
        </w:rPr>
        <w:t xml:space="preserve"> </w:t>
      </w:r>
      <w:r w:rsidR="00524B70">
        <w:rPr>
          <w:rFonts w:asciiTheme="minorHAnsi" w:hAnsiTheme="minorHAnsi" w:cstheme="minorHAnsi"/>
          <w:sz w:val="22"/>
        </w:rPr>
        <w:t>4</w:t>
      </w:r>
      <w:r w:rsidR="00232470">
        <w:rPr>
          <w:rFonts w:asciiTheme="minorHAnsi" w:hAnsiTheme="minorHAnsi" w:cstheme="minorHAnsi"/>
          <w:sz w:val="22"/>
        </w:rPr>
        <w:t xml:space="preserve">, que es donde el proyecto </w:t>
      </w:r>
      <w:r w:rsidR="00524B70">
        <w:rPr>
          <w:rFonts w:asciiTheme="minorHAnsi" w:hAnsiTheme="minorHAnsi" w:cstheme="minorHAnsi"/>
          <w:sz w:val="22"/>
        </w:rPr>
        <w:t>comenzaría su operación, es decir, en el año 2017</w:t>
      </w:r>
      <w:r w:rsidR="00232470">
        <w:rPr>
          <w:rFonts w:asciiTheme="minorHAnsi" w:hAnsiTheme="minorHAnsi" w:cstheme="minorHAnsi"/>
          <w:sz w:val="22"/>
        </w:rPr>
        <w:t>.</w:t>
      </w:r>
      <w:r w:rsidR="00E50B21">
        <w:rPr>
          <w:rStyle w:val="FootnoteReference"/>
          <w:rFonts w:asciiTheme="minorHAnsi" w:hAnsiTheme="minorHAnsi" w:cstheme="minorHAnsi"/>
          <w:sz w:val="22"/>
        </w:rPr>
        <w:footnoteReference w:id="69"/>
      </w:r>
      <w:r w:rsidR="00232470">
        <w:rPr>
          <w:rFonts w:asciiTheme="minorHAnsi" w:hAnsiTheme="minorHAnsi" w:cstheme="minorHAnsi"/>
          <w:sz w:val="22"/>
        </w:rPr>
        <w:t xml:space="preserve"> </w:t>
      </w:r>
    </w:p>
    <w:p w:rsidR="00444A68" w:rsidRPr="009C76DB" w:rsidRDefault="00444A68">
      <w:pPr>
        <w:rPr>
          <w:rFonts w:asciiTheme="minorHAnsi" w:hAnsiTheme="minorHAnsi" w:cstheme="minorHAnsi"/>
          <w:sz w:val="22"/>
        </w:rPr>
      </w:pPr>
    </w:p>
    <w:p w:rsidR="00656F99" w:rsidRPr="009C76DB" w:rsidRDefault="00656F99" w:rsidP="00656F99">
      <w:pPr>
        <w:ind w:left="360"/>
        <w:jc w:val="both"/>
        <w:rPr>
          <w:rFonts w:asciiTheme="minorHAnsi" w:hAnsiTheme="minorHAnsi" w:cstheme="minorHAnsi"/>
          <w:vanish/>
          <w:sz w:val="22"/>
          <w:specVanish/>
        </w:rPr>
      </w:pPr>
    </w:p>
    <w:p w:rsidR="00656F99" w:rsidRDefault="00656F99" w:rsidP="00656F99">
      <w:pPr>
        <w:jc w:val="both"/>
        <w:rPr>
          <w:rFonts w:asciiTheme="minorHAnsi" w:hAnsiTheme="minorHAnsi" w:cstheme="minorHAnsi"/>
          <w:sz w:val="22"/>
        </w:rPr>
      </w:pPr>
      <w:r w:rsidRPr="009C76DB">
        <w:rPr>
          <w:rFonts w:asciiTheme="minorHAnsi" w:hAnsiTheme="minorHAnsi" w:cstheme="minorHAnsi"/>
          <w:sz w:val="22"/>
        </w:rPr>
        <w:t xml:space="preserve">Tabla </w:t>
      </w:r>
      <w:r w:rsidR="001739B0">
        <w:rPr>
          <w:rFonts w:asciiTheme="minorHAnsi" w:hAnsiTheme="minorHAnsi" w:cstheme="minorHAnsi"/>
          <w:sz w:val="22"/>
        </w:rPr>
        <w:t>7</w:t>
      </w:r>
      <w:r w:rsidR="00F458E6">
        <w:rPr>
          <w:rFonts w:asciiTheme="minorHAnsi" w:hAnsiTheme="minorHAnsi" w:cstheme="minorHAnsi"/>
          <w:sz w:val="22"/>
        </w:rPr>
        <w:t>.4</w:t>
      </w:r>
      <w:r w:rsidRPr="009C76DB">
        <w:rPr>
          <w:rFonts w:asciiTheme="minorHAnsi" w:hAnsiTheme="minorHAnsi" w:cstheme="minorHAnsi"/>
          <w:sz w:val="22"/>
        </w:rPr>
        <w:t>: Costos privado y social de la mano de obra, situación con proyecto</w:t>
      </w:r>
      <w:r w:rsidR="00DD1BF7">
        <w:rPr>
          <w:rFonts w:asciiTheme="minorHAnsi" w:hAnsiTheme="minorHAnsi" w:cstheme="minorHAnsi"/>
          <w:sz w:val="22"/>
        </w:rPr>
        <w:t>. (Bs)</w:t>
      </w:r>
    </w:p>
    <w:tbl>
      <w:tblPr>
        <w:tblStyle w:val="LightShading-Accent3"/>
        <w:tblW w:w="6564" w:type="dxa"/>
        <w:tblLook w:val="04A0" w:firstRow="1" w:lastRow="0" w:firstColumn="1" w:lastColumn="0" w:noHBand="0" w:noVBand="1"/>
      </w:tblPr>
      <w:tblGrid>
        <w:gridCol w:w="1559"/>
        <w:gridCol w:w="620"/>
        <w:gridCol w:w="1467"/>
        <w:gridCol w:w="1644"/>
        <w:gridCol w:w="1274"/>
      </w:tblGrid>
      <w:tr w:rsidR="001739B0" w:rsidRPr="001739B0" w:rsidTr="001739B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noWrap/>
            <w:hideMark/>
          </w:tcPr>
          <w:p w:rsidR="001739B0" w:rsidRPr="001739B0" w:rsidRDefault="001739B0">
            <w:pPr>
              <w:rPr>
                <w:rFonts w:ascii="Calibri" w:hAnsi="Calibri"/>
                <w:color w:val="000000"/>
                <w:sz w:val="20"/>
                <w:szCs w:val="20"/>
              </w:rPr>
            </w:pPr>
            <w:r w:rsidRPr="001739B0">
              <w:rPr>
                <w:rFonts w:ascii="Calibri" w:hAnsi="Calibri"/>
                <w:color w:val="000000"/>
                <w:sz w:val="20"/>
                <w:szCs w:val="20"/>
              </w:rPr>
              <w:t>RRHH</w:t>
            </w:r>
          </w:p>
        </w:tc>
        <w:tc>
          <w:tcPr>
            <w:tcW w:w="620" w:type="dxa"/>
            <w:noWrap/>
            <w:vAlign w:val="center"/>
            <w:hideMark/>
          </w:tcPr>
          <w:p w:rsidR="001739B0" w:rsidRPr="001739B0" w:rsidRDefault="001739B0" w:rsidP="001739B0">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1739B0">
              <w:rPr>
                <w:rFonts w:ascii="Calibri" w:hAnsi="Calibri"/>
                <w:color w:val="000000"/>
                <w:sz w:val="20"/>
                <w:szCs w:val="20"/>
              </w:rPr>
              <w:t>N°</w:t>
            </w:r>
          </w:p>
        </w:tc>
        <w:tc>
          <w:tcPr>
            <w:tcW w:w="1467" w:type="dxa"/>
            <w:noWrap/>
            <w:hideMark/>
          </w:tcPr>
          <w:p w:rsidR="001739B0" w:rsidRPr="001739B0" w:rsidRDefault="001739B0">
            <w:pP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1739B0">
              <w:rPr>
                <w:rFonts w:ascii="Calibri" w:hAnsi="Calibri"/>
                <w:color w:val="000000"/>
                <w:sz w:val="20"/>
                <w:szCs w:val="20"/>
              </w:rPr>
              <w:t>Costo privado</w:t>
            </w:r>
          </w:p>
        </w:tc>
        <w:tc>
          <w:tcPr>
            <w:tcW w:w="1644" w:type="dxa"/>
            <w:noWrap/>
            <w:vAlign w:val="center"/>
            <w:hideMark/>
          </w:tcPr>
          <w:p w:rsidR="001739B0" w:rsidRPr="001739B0" w:rsidRDefault="001739B0" w:rsidP="001739B0">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1739B0">
              <w:rPr>
                <w:rFonts w:ascii="Calibri" w:hAnsi="Calibri"/>
                <w:color w:val="000000"/>
                <w:sz w:val="20"/>
                <w:szCs w:val="20"/>
              </w:rPr>
              <w:t>Factor de ajuste</w:t>
            </w:r>
          </w:p>
        </w:tc>
        <w:tc>
          <w:tcPr>
            <w:tcW w:w="1274" w:type="dxa"/>
            <w:noWrap/>
            <w:hideMark/>
          </w:tcPr>
          <w:p w:rsidR="001739B0" w:rsidRPr="001739B0" w:rsidRDefault="001739B0">
            <w:pP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1739B0">
              <w:rPr>
                <w:rFonts w:ascii="Calibri" w:hAnsi="Calibri"/>
                <w:color w:val="000000"/>
                <w:sz w:val="20"/>
                <w:szCs w:val="20"/>
              </w:rPr>
              <w:t>Valor social</w:t>
            </w:r>
          </w:p>
        </w:tc>
      </w:tr>
      <w:tr w:rsidR="001739B0" w:rsidRPr="001739B0" w:rsidTr="00173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noWrap/>
            <w:hideMark/>
          </w:tcPr>
          <w:p w:rsidR="001739B0" w:rsidRPr="001739B0" w:rsidRDefault="001739B0">
            <w:pPr>
              <w:rPr>
                <w:rFonts w:ascii="Calibri" w:hAnsi="Calibri"/>
                <w:color w:val="000000"/>
                <w:sz w:val="20"/>
                <w:szCs w:val="20"/>
              </w:rPr>
            </w:pPr>
            <w:r w:rsidRPr="001739B0">
              <w:rPr>
                <w:rFonts w:ascii="Calibri" w:hAnsi="Calibri"/>
                <w:color w:val="000000"/>
                <w:sz w:val="20"/>
                <w:szCs w:val="20"/>
              </w:rPr>
              <w:t>Calificado</w:t>
            </w:r>
          </w:p>
        </w:tc>
        <w:tc>
          <w:tcPr>
            <w:tcW w:w="620" w:type="dxa"/>
            <w:noWrap/>
            <w:vAlign w:val="center"/>
            <w:hideMark/>
          </w:tcPr>
          <w:p w:rsidR="001739B0" w:rsidRPr="001739B0" w:rsidRDefault="001739B0" w:rsidP="001739B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1739B0">
              <w:rPr>
                <w:rFonts w:ascii="Calibri" w:hAnsi="Calibri"/>
                <w:color w:val="000000"/>
                <w:sz w:val="20"/>
                <w:szCs w:val="20"/>
              </w:rPr>
              <w:t>204</w:t>
            </w:r>
          </w:p>
        </w:tc>
        <w:tc>
          <w:tcPr>
            <w:tcW w:w="1467" w:type="dxa"/>
            <w:noWrap/>
            <w:hideMark/>
          </w:tcPr>
          <w:p w:rsidR="001739B0" w:rsidRPr="001739B0" w:rsidRDefault="001739B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1739B0">
              <w:rPr>
                <w:rFonts w:ascii="Calibri" w:hAnsi="Calibri"/>
                <w:color w:val="000000"/>
                <w:sz w:val="20"/>
                <w:szCs w:val="20"/>
              </w:rPr>
              <w:t>15.505.100</w:t>
            </w:r>
          </w:p>
        </w:tc>
        <w:tc>
          <w:tcPr>
            <w:tcW w:w="1644" w:type="dxa"/>
            <w:noWrap/>
            <w:vAlign w:val="center"/>
            <w:hideMark/>
          </w:tcPr>
          <w:p w:rsidR="001739B0" w:rsidRPr="001739B0" w:rsidRDefault="001739B0" w:rsidP="001739B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1739B0">
              <w:rPr>
                <w:rFonts w:ascii="Calibri" w:hAnsi="Calibri"/>
                <w:color w:val="000000"/>
                <w:sz w:val="20"/>
                <w:szCs w:val="20"/>
              </w:rPr>
              <w:t>1</w:t>
            </w:r>
          </w:p>
        </w:tc>
        <w:tc>
          <w:tcPr>
            <w:tcW w:w="1274" w:type="dxa"/>
            <w:noWrap/>
            <w:hideMark/>
          </w:tcPr>
          <w:p w:rsidR="001739B0" w:rsidRPr="001739B0" w:rsidRDefault="001739B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1739B0">
              <w:rPr>
                <w:rFonts w:ascii="Calibri" w:hAnsi="Calibri"/>
                <w:color w:val="000000"/>
                <w:sz w:val="20"/>
                <w:szCs w:val="20"/>
              </w:rPr>
              <w:t>15.505.100</w:t>
            </w:r>
          </w:p>
        </w:tc>
      </w:tr>
      <w:tr w:rsidR="001739B0" w:rsidRPr="001739B0" w:rsidTr="001739B0">
        <w:trPr>
          <w:trHeight w:val="20"/>
        </w:trPr>
        <w:tc>
          <w:tcPr>
            <w:cnfStyle w:val="001000000000" w:firstRow="0" w:lastRow="0" w:firstColumn="1" w:lastColumn="0" w:oddVBand="0" w:evenVBand="0" w:oddHBand="0" w:evenHBand="0" w:firstRowFirstColumn="0" w:firstRowLastColumn="0" w:lastRowFirstColumn="0" w:lastRowLastColumn="0"/>
            <w:tcW w:w="1559" w:type="dxa"/>
            <w:noWrap/>
            <w:hideMark/>
          </w:tcPr>
          <w:p w:rsidR="001739B0" w:rsidRPr="001739B0" w:rsidRDefault="001739B0">
            <w:pPr>
              <w:rPr>
                <w:rFonts w:ascii="Calibri" w:hAnsi="Calibri"/>
                <w:color w:val="000000"/>
                <w:sz w:val="20"/>
                <w:szCs w:val="20"/>
              </w:rPr>
            </w:pPr>
            <w:r w:rsidRPr="001739B0">
              <w:rPr>
                <w:rFonts w:ascii="Calibri" w:hAnsi="Calibri"/>
                <w:color w:val="000000"/>
                <w:sz w:val="20"/>
                <w:szCs w:val="20"/>
              </w:rPr>
              <w:t>Semi calificado</w:t>
            </w:r>
          </w:p>
        </w:tc>
        <w:tc>
          <w:tcPr>
            <w:tcW w:w="620" w:type="dxa"/>
            <w:noWrap/>
            <w:vAlign w:val="center"/>
            <w:hideMark/>
          </w:tcPr>
          <w:p w:rsidR="001739B0" w:rsidRPr="001739B0" w:rsidRDefault="001739B0" w:rsidP="001739B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739B0">
              <w:rPr>
                <w:rFonts w:ascii="Calibri" w:hAnsi="Calibri"/>
                <w:color w:val="000000"/>
                <w:sz w:val="20"/>
                <w:szCs w:val="20"/>
              </w:rPr>
              <w:t>233</w:t>
            </w:r>
          </w:p>
        </w:tc>
        <w:tc>
          <w:tcPr>
            <w:tcW w:w="1467" w:type="dxa"/>
            <w:noWrap/>
            <w:hideMark/>
          </w:tcPr>
          <w:p w:rsidR="001739B0" w:rsidRPr="001739B0" w:rsidRDefault="001739B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739B0">
              <w:rPr>
                <w:rFonts w:ascii="Calibri" w:hAnsi="Calibri"/>
                <w:color w:val="000000"/>
                <w:sz w:val="20"/>
                <w:szCs w:val="20"/>
              </w:rPr>
              <w:t>10.095.800</w:t>
            </w:r>
          </w:p>
        </w:tc>
        <w:tc>
          <w:tcPr>
            <w:tcW w:w="1644" w:type="dxa"/>
            <w:noWrap/>
            <w:vAlign w:val="center"/>
            <w:hideMark/>
          </w:tcPr>
          <w:p w:rsidR="001739B0" w:rsidRPr="001739B0" w:rsidRDefault="001739B0" w:rsidP="001739B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739B0">
              <w:rPr>
                <w:rFonts w:ascii="Calibri" w:hAnsi="Calibri"/>
                <w:color w:val="000000"/>
                <w:sz w:val="20"/>
                <w:szCs w:val="20"/>
              </w:rPr>
              <w:t>0,43</w:t>
            </w:r>
          </w:p>
        </w:tc>
        <w:tc>
          <w:tcPr>
            <w:tcW w:w="1274" w:type="dxa"/>
            <w:noWrap/>
            <w:hideMark/>
          </w:tcPr>
          <w:p w:rsidR="001739B0" w:rsidRPr="001739B0" w:rsidRDefault="001739B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739B0">
              <w:rPr>
                <w:rFonts w:ascii="Calibri" w:hAnsi="Calibri"/>
                <w:color w:val="000000"/>
                <w:sz w:val="20"/>
                <w:szCs w:val="20"/>
              </w:rPr>
              <w:t>4.341.194</w:t>
            </w:r>
          </w:p>
        </w:tc>
      </w:tr>
      <w:tr w:rsidR="001739B0" w:rsidRPr="001739B0" w:rsidTr="001739B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9" w:type="dxa"/>
            <w:noWrap/>
            <w:hideMark/>
          </w:tcPr>
          <w:p w:rsidR="001739B0" w:rsidRPr="001739B0" w:rsidRDefault="001739B0">
            <w:pPr>
              <w:rPr>
                <w:rFonts w:ascii="Calibri" w:hAnsi="Calibri"/>
                <w:color w:val="000000"/>
                <w:sz w:val="20"/>
                <w:szCs w:val="20"/>
              </w:rPr>
            </w:pPr>
            <w:r w:rsidRPr="001739B0">
              <w:rPr>
                <w:rFonts w:ascii="Calibri" w:hAnsi="Calibri"/>
                <w:color w:val="000000"/>
                <w:sz w:val="20"/>
                <w:szCs w:val="20"/>
              </w:rPr>
              <w:t>No calificado</w:t>
            </w:r>
          </w:p>
        </w:tc>
        <w:tc>
          <w:tcPr>
            <w:tcW w:w="620" w:type="dxa"/>
            <w:noWrap/>
            <w:vAlign w:val="center"/>
            <w:hideMark/>
          </w:tcPr>
          <w:p w:rsidR="001739B0" w:rsidRPr="001739B0" w:rsidRDefault="001739B0" w:rsidP="001739B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1739B0">
              <w:rPr>
                <w:rFonts w:ascii="Calibri" w:hAnsi="Calibri"/>
                <w:color w:val="000000"/>
                <w:sz w:val="20"/>
                <w:szCs w:val="20"/>
              </w:rPr>
              <w:t>82</w:t>
            </w:r>
          </w:p>
        </w:tc>
        <w:tc>
          <w:tcPr>
            <w:tcW w:w="1467" w:type="dxa"/>
            <w:noWrap/>
            <w:hideMark/>
          </w:tcPr>
          <w:p w:rsidR="001739B0" w:rsidRPr="001739B0" w:rsidRDefault="001739B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1739B0">
              <w:rPr>
                <w:rFonts w:ascii="Calibri" w:hAnsi="Calibri"/>
                <w:color w:val="000000"/>
                <w:sz w:val="20"/>
                <w:szCs w:val="20"/>
              </w:rPr>
              <w:t>2.878.200</w:t>
            </w:r>
          </w:p>
        </w:tc>
        <w:tc>
          <w:tcPr>
            <w:tcW w:w="1644" w:type="dxa"/>
            <w:noWrap/>
            <w:vAlign w:val="center"/>
            <w:hideMark/>
          </w:tcPr>
          <w:p w:rsidR="001739B0" w:rsidRPr="001739B0" w:rsidRDefault="001739B0" w:rsidP="001739B0">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1739B0">
              <w:rPr>
                <w:rFonts w:ascii="Calibri" w:hAnsi="Calibri"/>
                <w:color w:val="000000"/>
                <w:sz w:val="20"/>
                <w:szCs w:val="20"/>
              </w:rPr>
              <w:t>0,23</w:t>
            </w:r>
          </w:p>
        </w:tc>
        <w:tc>
          <w:tcPr>
            <w:tcW w:w="1274" w:type="dxa"/>
            <w:noWrap/>
            <w:hideMark/>
          </w:tcPr>
          <w:p w:rsidR="001739B0" w:rsidRPr="001739B0" w:rsidRDefault="001739B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1739B0">
              <w:rPr>
                <w:rFonts w:ascii="Calibri" w:hAnsi="Calibri"/>
                <w:color w:val="000000"/>
                <w:sz w:val="20"/>
                <w:szCs w:val="20"/>
              </w:rPr>
              <w:t>661.986</w:t>
            </w:r>
          </w:p>
        </w:tc>
      </w:tr>
      <w:tr w:rsidR="001739B0" w:rsidRPr="001739B0" w:rsidTr="001739B0">
        <w:trPr>
          <w:trHeight w:val="20"/>
        </w:trPr>
        <w:tc>
          <w:tcPr>
            <w:cnfStyle w:val="001000000000" w:firstRow="0" w:lastRow="0" w:firstColumn="1" w:lastColumn="0" w:oddVBand="0" w:evenVBand="0" w:oddHBand="0" w:evenHBand="0" w:firstRowFirstColumn="0" w:firstRowLastColumn="0" w:lastRowFirstColumn="0" w:lastRowLastColumn="0"/>
            <w:tcW w:w="1559" w:type="dxa"/>
            <w:noWrap/>
            <w:hideMark/>
          </w:tcPr>
          <w:p w:rsidR="001739B0" w:rsidRPr="001739B0" w:rsidRDefault="001739B0">
            <w:pPr>
              <w:rPr>
                <w:rFonts w:ascii="Calibri" w:hAnsi="Calibri"/>
                <w:color w:val="000000"/>
                <w:sz w:val="20"/>
                <w:szCs w:val="20"/>
              </w:rPr>
            </w:pPr>
            <w:r w:rsidRPr="001739B0">
              <w:rPr>
                <w:rFonts w:ascii="Calibri" w:hAnsi="Calibri"/>
                <w:color w:val="000000"/>
                <w:sz w:val="20"/>
                <w:szCs w:val="20"/>
              </w:rPr>
              <w:t>Total</w:t>
            </w:r>
          </w:p>
        </w:tc>
        <w:tc>
          <w:tcPr>
            <w:tcW w:w="620" w:type="dxa"/>
            <w:noWrap/>
            <w:vAlign w:val="center"/>
            <w:hideMark/>
          </w:tcPr>
          <w:p w:rsidR="001739B0" w:rsidRPr="001739B0" w:rsidRDefault="001739B0" w:rsidP="001739B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739B0">
              <w:rPr>
                <w:rFonts w:ascii="Calibri" w:hAnsi="Calibri"/>
                <w:color w:val="000000"/>
                <w:sz w:val="20"/>
                <w:szCs w:val="20"/>
              </w:rPr>
              <w:t>519</w:t>
            </w:r>
          </w:p>
        </w:tc>
        <w:tc>
          <w:tcPr>
            <w:tcW w:w="1467" w:type="dxa"/>
            <w:noWrap/>
            <w:hideMark/>
          </w:tcPr>
          <w:p w:rsidR="001739B0" w:rsidRPr="001739B0" w:rsidRDefault="001739B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739B0">
              <w:rPr>
                <w:rFonts w:ascii="Calibri" w:hAnsi="Calibri"/>
                <w:color w:val="000000"/>
                <w:sz w:val="20"/>
                <w:szCs w:val="20"/>
              </w:rPr>
              <w:t>28.479.100</w:t>
            </w:r>
          </w:p>
        </w:tc>
        <w:tc>
          <w:tcPr>
            <w:tcW w:w="1644" w:type="dxa"/>
            <w:noWrap/>
            <w:vAlign w:val="center"/>
            <w:hideMark/>
          </w:tcPr>
          <w:p w:rsidR="001739B0" w:rsidRPr="001739B0" w:rsidRDefault="001739B0" w:rsidP="001739B0">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1274" w:type="dxa"/>
            <w:noWrap/>
            <w:hideMark/>
          </w:tcPr>
          <w:p w:rsidR="001739B0" w:rsidRPr="001739B0" w:rsidRDefault="001739B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1739B0">
              <w:rPr>
                <w:rFonts w:ascii="Calibri" w:hAnsi="Calibri"/>
                <w:color w:val="000000"/>
                <w:sz w:val="20"/>
                <w:szCs w:val="20"/>
              </w:rPr>
              <w:t>20.508.280</w:t>
            </w:r>
          </w:p>
        </w:tc>
      </w:tr>
    </w:tbl>
    <w:p w:rsidR="00656F99" w:rsidRPr="009C76DB" w:rsidRDefault="00656F99" w:rsidP="00656F99">
      <w:pPr>
        <w:rPr>
          <w:rFonts w:asciiTheme="minorHAnsi" w:hAnsiTheme="minorHAnsi" w:cstheme="minorHAnsi"/>
          <w:sz w:val="16"/>
          <w:szCs w:val="18"/>
        </w:rPr>
      </w:pPr>
      <w:r w:rsidRPr="009C76DB">
        <w:rPr>
          <w:rFonts w:asciiTheme="minorHAnsi" w:hAnsiTheme="minorHAnsi" w:cstheme="minorHAnsi"/>
          <w:sz w:val="16"/>
          <w:szCs w:val="18"/>
        </w:rPr>
        <w:t>Fuente: Elaboración propia.</w:t>
      </w:r>
    </w:p>
    <w:p w:rsidR="00656F99" w:rsidRPr="009C76DB" w:rsidRDefault="00656F99" w:rsidP="00656F99">
      <w:pPr>
        <w:jc w:val="both"/>
        <w:rPr>
          <w:rFonts w:asciiTheme="minorHAnsi" w:hAnsiTheme="minorHAnsi" w:cstheme="minorHAnsi"/>
          <w:sz w:val="16"/>
          <w:szCs w:val="18"/>
        </w:rPr>
      </w:pPr>
      <w:r w:rsidRPr="009C76DB">
        <w:rPr>
          <w:rFonts w:asciiTheme="minorHAnsi" w:hAnsiTheme="minorHAnsi" w:cstheme="minorHAnsi"/>
          <w:sz w:val="16"/>
          <w:szCs w:val="18"/>
        </w:rPr>
        <w:t>(*) Los factores de ajuste corresponden a la Razón Precio Cuenta de la Mano de Obra Calificada (RPCMOC), Razón Precio Cuenta de la Mano de Obra Semicalificada (RPCMOSC) y a la Razón Precio Cuenta de la Mano de Obra No Calificada Urbana (RPCMONCU) publicadas en la Resolución nº 159, del Ministerio de Planificación del Desarrollo. La Paz 22 de Septiembre 2006.</w:t>
      </w:r>
    </w:p>
    <w:p w:rsidR="00656F99" w:rsidRPr="009C76DB" w:rsidRDefault="00656F99" w:rsidP="00656F99">
      <w:pPr>
        <w:rPr>
          <w:rFonts w:asciiTheme="minorHAnsi" w:hAnsiTheme="minorHAnsi" w:cstheme="minorHAnsi"/>
          <w:sz w:val="16"/>
          <w:szCs w:val="18"/>
        </w:rPr>
      </w:pPr>
    </w:p>
    <w:p w:rsidR="00656F99" w:rsidRDefault="00656F99" w:rsidP="00656F99">
      <w:pPr>
        <w:rPr>
          <w:rFonts w:asciiTheme="minorHAnsi" w:hAnsiTheme="minorHAnsi" w:cstheme="minorHAnsi"/>
          <w:sz w:val="22"/>
        </w:rPr>
      </w:pPr>
      <w:r w:rsidRPr="009C76DB">
        <w:rPr>
          <w:rFonts w:asciiTheme="minorHAnsi" w:hAnsiTheme="minorHAnsi" w:cstheme="minorHAnsi"/>
          <w:sz w:val="22"/>
        </w:rPr>
        <w:t>En la Tabla</w:t>
      </w:r>
      <w:r w:rsidR="001739B0">
        <w:rPr>
          <w:rFonts w:asciiTheme="minorHAnsi" w:hAnsiTheme="minorHAnsi" w:cstheme="minorHAnsi"/>
          <w:sz w:val="22"/>
        </w:rPr>
        <w:t>7</w:t>
      </w:r>
      <w:r w:rsidR="00F458E6">
        <w:rPr>
          <w:rFonts w:asciiTheme="minorHAnsi" w:hAnsiTheme="minorHAnsi" w:cstheme="minorHAnsi"/>
          <w:sz w:val="22"/>
        </w:rPr>
        <w:t>.5</w:t>
      </w:r>
      <w:r w:rsidRPr="009C76DB">
        <w:rPr>
          <w:rFonts w:asciiTheme="minorHAnsi" w:hAnsiTheme="minorHAnsi" w:cstheme="minorHAnsi"/>
          <w:sz w:val="22"/>
        </w:rPr>
        <w:t xml:space="preserve"> observamos el costo privado y social para la situación con proyecto de los insumos.</w:t>
      </w:r>
      <w:r w:rsidR="000A3B72">
        <w:rPr>
          <w:rFonts w:asciiTheme="minorHAnsi" w:hAnsiTheme="minorHAnsi" w:cstheme="minorHAnsi"/>
          <w:sz w:val="22"/>
        </w:rPr>
        <w:t xml:space="preserve"> Para obtener estos costos se optó por asociar la estructura de costos del Hospital El Alto Sur, a la estructura de costos del </w:t>
      </w:r>
      <w:r w:rsidR="005352F3">
        <w:rPr>
          <w:rFonts w:asciiTheme="minorHAnsi" w:hAnsiTheme="minorHAnsi" w:cstheme="minorHAnsi"/>
          <w:sz w:val="22"/>
        </w:rPr>
        <w:t>Hospital</w:t>
      </w:r>
      <w:r w:rsidR="000A3B72">
        <w:rPr>
          <w:rFonts w:asciiTheme="minorHAnsi" w:hAnsiTheme="minorHAnsi" w:cstheme="minorHAnsi"/>
          <w:sz w:val="22"/>
        </w:rPr>
        <w:t xml:space="preserve"> Daniel Bracamonte. Esto en razón de que son hospitales de igual nivel </w:t>
      </w:r>
      <w:r w:rsidR="00821065">
        <w:rPr>
          <w:rFonts w:asciiTheme="minorHAnsi" w:hAnsiTheme="minorHAnsi" w:cstheme="minorHAnsi"/>
          <w:sz w:val="22"/>
        </w:rPr>
        <w:t>d</w:t>
      </w:r>
      <w:r w:rsidR="000A3B72">
        <w:rPr>
          <w:rFonts w:asciiTheme="minorHAnsi" w:hAnsiTheme="minorHAnsi" w:cstheme="minorHAnsi"/>
          <w:sz w:val="22"/>
        </w:rPr>
        <w:t>e complejidad y con un número similar de camas.</w:t>
      </w:r>
      <w:r w:rsidR="000A3B72">
        <w:rPr>
          <w:rStyle w:val="FootnoteReference"/>
          <w:rFonts w:asciiTheme="minorHAnsi" w:hAnsiTheme="minorHAnsi" w:cstheme="minorHAnsi"/>
          <w:sz w:val="22"/>
        </w:rPr>
        <w:footnoteReference w:id="70"/>
      </w:r>
      <w:r w:rsidR="000A3B72">
        <w:rPr>
          <w:rFonts w:asciiTheme="minorHAnsi" w:hAnsiTheme="minorHAnsi" w:cstheme="minorHAnsi"/>
          <w:sz w:val="22"/>
        </w:rPr>
        <w:t xml:space="preserve"> </w:t>
      </w:r>
    </w:p>
    <w:p w:rsidR="000A3B72" w:rsidRDefault="000A3B72" w:rsidP="00656F99">
      <w:pPr>
        <w:rPr>
          <w:rFonts w:asciiTheme="minorHAnsi" w:hAnsiTheme="minorHAnsi" w:cstheme="minorHAnsi"/>
          <w:sz w:val="22"/>
        </w:rPr>
      </w:pPr>
    </w:p>
    <w:p w:rsidR="000A3B72" w:rsidRPr="009C76DB" w:rsidRDefault="000A3B72" w:rsidP="000A3B72">
      <w:pPr>
        <w:jc w:val="both"/>
        <w:rPr>
          <w:rFonts w:asciiTheme="minorHAnsi" w:hAnsiTheme="minorHAnsi" w:cstheme="minorHAnsi"/>
          <w:sz w:val="22"/>
        </w:rPr>
      </w:pPr>
      <w:r>
        <w:rPr>
          <w:rFonts w:asciiTheme="minorHAnsi" w:hAnsiTheme="minorHAnsi" w:cstheme="minorHAnsi"/>
          <w:sz w:val="22"/>
        </w:rPr>
        <w:t>Sin embargo, dado que este hospital tendrá una unidad de oncología, se aument</w:t>
      </w:r>
      <w:r w:rsidR="001739B0">
        <w:rPr>
          <w:rFonts w:asciiTheme="minorHAnsi" w:hAnsiTheme="minorHAnsi" w:cstheme="minorHAnsi"/>
          <w:sz w:val="22"/>
        </w:rPr>
        <w:t>ó</w:t>
      </w:r>
      <w:r>
        <w:rPr>
          <w:rFonts w:asciiTheme="minorHAnsi" w:hAnsiTheme="minorHAnsi" w:cstheme="minorHAnsi"/>
          <w:sz w:val="22"/>
        </w:rPr>
        <w:t xml:space="preserve"> el ítem de productos químicos y </w:t>
      </w:r>
      <w:r w:rsidR="005352F3">
        <w:rPr>
          <w:rFonts w:asciiTheme="minorHAnsi" w:hAnsiTheme="minorHAnsi" w:cstheme="minorHAnsi"/>
          <w:sz w:val="22"/>
        </w:rPr>
        <w:t>farmacéutico</w:t>
      </w:r>
      <w:r>
        <w:rPr>
          <w:rFonts w:asciiTheme="minorHAnsi" w:hAnsiTheme="minorHAnsi" w:cstheme="minorHAnsi"/>
          <w:sz w:val="22"/>
        </w:rPr>
        <w:t xml:space="preserve"> en un 15%, de manera de dar cuenta de esta especificidad del hospital en evaluación.</w:t>
      </w:r>
      <w:r>
        <w:rPr>
          <w:rStyle w:val="FootnoteReference"/>
          <w:rFonts w:asciiTheme="minorHAnsi" w:hAnsiTheme="minorHAnsi" w:cstheme="minorHAnsi"/>
          <w:sz w:val="22"/>
        </w:rPr>
        <w:footnoteReference w:id="71"/>
      </w:r>
    </w:p>
    <w:p w:rsidR="00E820C2" w:rsidRDefault="00E820C2">
      <w:pPr>
        <w:rPr>
          <w:rFonts w:asciiTheme="minorHAnsi" w:hAnsiTheme="minorHAnsi" w:cstheme="minorHAnsi"/>
          <w:sz w:val="22"/>
        </w:rPr>
      </w:pPr>
    </w:p>
    <w:p w:rsidR="00DD1BF7" w:rsidRDefault="00DD1BF7">
      <w:pPr>
        <w:rPr>
          <w:rFonts w:asciiTheme="minorHAnsi" w:hAnsiTheme="minorHAnsi" w:cstheme="minorHAnsi"/>
          <w:sz w:val="22"/>
        </w:rPr>
      </w:pPr>
      <w:r>
        <w:rPr>
          <w:rFonts w:asciiTheme="minorHAnsi" w:hAnsiTheme="minorHAnsi" w:cstheme="minorHAnsi"/>
          <w:sz w:val="22"/>
        </w:rPr>
        <w:br w:type="page"/>
      </w:r>
    </w:p>
    <w:p w:rsidR="00656F99" w:rsidRDefault="00656F99" w:rsidP="00656F99">
      <w:pPr>
        <w:rPr>
          <w:rFonts w:asciiTheme="minorHAnsi" w:hAnsiTheme="minorHAnsi" w:cstheme="minorHAnsi"/>
          <w:sz w:val="22"/>
        </w:rPr>
      </w:pPr>
      <w:r w:rsidRPr="009C76DB">
        <w:rPr>
          <w:rFonts w:asciiTheme="minorHAnsi" w:hAnsiTheme="minorHAnsi" w:cstheme="minorHAnsi"/>
          <w:sz w:val="22"/>
        </w:rPr>
        <w:lastRenderedPageBreak/>
        <w:t xml:space="preserve">Tabla </w:t>
      </w:r>
      <w:r w:rsidR="001739B0">
        <w:rPr>
          <w:rFonts w:asciiTheme="minorHAnsi" w:hAnsiTheme="minorHAnsi" w:cstheme="minorHAnsi"/>
          <w:sz w:val="22"/>
        </w:rPr>
        <w:t>7</w:t>
      </w:r>
      <w:r w:rsidR="00F458E6">
        <w:rPr>
          <w:rFonts w:asciiTheme="minorHAnsi" w:hAnsiTheme="minorHAnsi" w:cstheme="minorHAnsi"/>
          <w:sz w:val="22"/>
        </w:rPr>
        <w:t>.5</w:t>
      </w:r>
      <w:r w:rsidRPr="009C76DB">
        <w:rPr>
          <w:rFonts w:asciiTheme="minorHAnsi" w:hAnsiTheme="minorHAnsi" w:cstheme="minorHAnsi"/>
          <w:sz w:val="22"/>
        </w:rPr>
        <w:t>: Costos privado y social de insumos, situación con proyecto</w:t>
      </w:r>
      <w:r w:rsidR="00115F22">
        <w:rPr>
          <w:rFonts w:asciiTheme="minorHAnsi" w:hAnsiTheme="minorHAnsi" w:cstheme="minorHAnsi"/>
          <w:sz w:val="22"/>
        </w:rPr>
        <w:t>.</w:t>
      </w:r>
      <w:r w:rsidR="00DD1BF7">
        <w:rPr>
          <w:rFonts w:asciiTheme="minorHAnsi" w:hAnsiTheme="minorHAnsi" w:cstheme="minorHAnsi"/>
          <w:sz w:val="22"/>
        </w:rPr>
        <w:t xml:space="preserve"> (Bs)</w:t>
      </w:r>
    </w:p>
    <w:tbl>
      <w:tblPr>
        <w:tblStyle w:val="LightShading-Accent3"/>
        <w:tblW w:w="6419" w:type="dxa"/>
        <w:tblLook w:val="04A0" w:firstRow="1" w:lastRow="0" w:firstColumn="1" w:lastColumn="0" w:noHBand="0" w:noVBand="1"/>
      </w:tblPr>
      <w:tblGrid>
        <w:gridCol w:w="3747"/>
        <w:gridCol w:w="1336"/>
        <w:gridCol w:w="1336"/>
      </w:tblGrid>
      <w:tr w:rsidR="00115F22" w:rsidRPr="00115F22" w:rsidTr="00115F22">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747" w:type="dxa"/>
            <w:noWrap/>
            <w:hideMark/>
          </w:tcPr>
          <w:p w:rsidR="00115F22" w:rsidRPr="00115F22" w:rsidRDefault="00115F22" w:rsidP="00115F22">
            <w:pPr>
              <w:jc w:val="center"/>
              <w:rPr>
                <w:rFonts w:ascii="Calibri" w:hAnsi="Calibri"/>
                <w:color w:val="000000" w:themeColor="text1"/>
                <w:sz w:val="20"/>
                <w:szCs w:val="20"/>
              </w:rPr>
            </w:pPr>
            <w:r w:rsidRPr="00115F22">
              <w:rPr>
                <w:rFonts w:ascii="Calibri" w:hAnsi="Calibri"/>
                <w:color w:val="000000" w:themeColor="text1"/>
                <w:sz w:val="20"/>
                <w:szCs w:val="20"/>
              </w:rPr>
              <w:t>Ítem</w:t>
            </w:r>
          </w:p>
        </w:tc>
        <w:tc>
          <w:tcPr>
            <w:tcW w:w="1336" w:type="dxa"/>
            <w:noWrap/>
            <w:hideMark/>
          </w:tcPr>
          <w:p w:rsidR="00115F22" w:rsidRPr="00115F22" w:rsidRDefault="00115F22" w:rsidP="00115F22">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15F22">
              <w:rPr>
                <w:rFonts w:ascii="Calibri" w:hAnsi="Calibri"/>
                <w:color w:val="000000" w:themeColor="text1"/>
                <w:sz w:val="20"/>
                <w:szCs w:val="20"/>
              </w:rPr>
              <w:t>CP cp</w:t>
            </w:r>
          </w:p>
        </w:tc>
        <w:tc>
          <w:tcPr>
            <w:tcW w:w="1336" w:type="dxa"/>
            <w:noWrap/>
            <w:hideMark/>
          </w:tcPr>
          <w:p w:rsidR="00115F22" w:rsidRPr="00115F22" w:rsidRDefault="00115F22" w:rsidP="00115F22">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15F22">
              <w:rPr>
                <w:rFonts w:ascii="Calibri" w:hAnsi="Calibri"/>
                <w:color w:val="000000" w:themeColor="text1"/>
                <w:sz w:val="20"/>
                <w:szCs w:val="20"/>
              </w:rPr>
              <w:t>CS s/iva cp</w:t>
            </w:r>
          </w:p>
        </w:tc>
      </w:tr>
      <w:tr w:rsidR="00115F22" w:rsidRPr="00115F22" w:rsidTr="00115F2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747" w:type="dxa"/>
            <w:noWrap/>
            <w:hideMark/>
          </w:tcPr>
          <w:p w:rsidR="00115F22" w:rsidRPr="00115F22" w:rsidRDefault="00115F22" w:rsidP="00F57D71">
            <w:pPr>
              <w:rPr>
                <w:rFonts w:ascii="Calibri" w:hAnsi="Calibri"/>
                <w:b w:val="0"/>
                <w:color w:val="000000" w:themeColor="text1"/>
                <w:sz w:val="20"/>
                <w:szCs w:val="20"/>
              </w:rPr>
            </w:pPr>
            <w:r w:rsidRPr="00115F22">
              <w:rPr>
                <w:rFonts w:ascii="Calibri" w:hAnsi="Calibri"/>
                <w:b w:val="0"/>
                <w:color w:val="000000" w:themeColor="text1"/>
                <w:sz w:val="20"/>
                <w:szCs w:val="20"/>
              </w:rPr>
              <w:t>Costo ss no personales</w:t>
            </w:r>
            <w:r w:rsidRPr="00115F22">
              <w:rPr>
                <w:rStyle w:val="FootnoteReference"/>
                <w:rFonts w:asciiTheme="minorHAnsi" w:hAnsiTheme="minorHAnsi" w:cstheme="minorHAnsi"/>
                <w:b w:val="0"/>
                <w:color w:val="000000" w:themeColor="text1"/>
                <w:sz w:val="20"/>
                <w:szCs w:val="20"/>
              </w:rPr>
              <w:footnoteReference w:id="72"/>
            </w:r>
          </w:p>
        </w:tc>
        <w:tc>
          <w:tcPr>
            <w:tcW w:w="1336" w:type="dxa"/>
            <w:noWrap/>
            <w:hideMark/>
          </w:tcPr>
          <w:p w:rsidR="00115F22" w:rsidRPr="00115F22" w:rsidRDefault="00115F2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15F22">
              <w:rPr>
                <w:rFonts w:ascii="Calibri" w:hAnsi="Calibri"/>
                <w:color w:val="000000" w:themeColor="text1"/>
                <w:sz w:val="20"/>
                <w:szCs w:val="20"/>
              </w:rPr>
              <w:t>158.522</w:t>
            </w:r>
          </w:p>
        </w:tc>
        <w:tc>
          <w:tcPr>
            <w:tcW w:w="1336" w:type="dxa"/>
            <w:noWrap/>
            <w:hideMark/>
          </w:tcPr>
          <w:p w:rsidR="00115F22" w:rsidRPr="00115F22" w:rsidRDefault="00115F2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15F22">
              <w:rPr>
                <w:rFonts w:ascii="Calibri" w:hAnsi="Calibri"/>
                <w:color w:val="000000" w:themeColor="text1"/>
                <w:sz w:val="20"/>
                <w:szCs w:val="20"/>
              </w:rPr>
              <w:t>137.918</w:t>
            </w:r>
          </w:p>
        </w:tc>
      </w:tr>
      <w:tr w:rsidR="00115F22" w:rsidRPr="00115F22" w:rsidTr="00115F22">
        <w:trPr>
          <w:trHeight w:val="57"/>
        </w:trPr>
        <w:tc>
          <w:tcPr>
            <w:cnfStyle w:val="001000000000" w:firstRow="0" w:lastRow="0" w:firstColumn="1" w:lastColumn="0" w:oddVBand="0" w:evenVBand="0" w:oddHBand="0" w:evenHBand="0" w:firstRowFirstColumn="0" w:firstRowLastColumn="0" w:lastRowFirstColumn="0" w:lastRowLastColumn="0"/>
            <w:tcW w:w="3747" w:type="dxa"/>
            <w:noWrap/>
            <w:hideMark/>
          </w:tcPr>
          <w:p w:rsidR="00115F22" w:rsidRPr="00115F22" w:rsidRDefault="00115F22" w:rsidP="00F57D71">
            <w:pPr>
              <w:rPr>
                <w:rFonts w:ascii="Calibri" w:hAnsi="Calibri"/>
                <w:b w:val="0"/>
                <w:color w:val="000000" w:themeColor="text1"/>
                <w:sz w:val="20"/>
                <w:szCs w:val="20"/>
              </w:rPr>
            </w:pPr>
            <w:r w:rsidRPr="00115F22">
              <w:rPr>
                <w:rFonts w:ascii="Calibri" w:hAnsi="Calibri"/>
                <w:b w:val="0"/>
                <w:color w:val="000000" w:themeColor="text1"/>
                <w:sz w:val="20"/>
                <w:szCs w:val="20"/>
              </w:rPr>
              <w:t>Alimentos y Productos Agroforestales</w:t>
            </w:r>
          </w:p>
        </w:tc>
        <w:tc>
          <w:tcPr>
            <w:tcW w:w="1336" w:type="dxa"/>
            <w:noWrap/>
            <w:hideMark/>
          </w:tcPr>
          <w:p w:rsidR="00115F22" w:rsidRPr="00115F22" w:rsidRDefault="00115F2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15F22">
              <w:rPr>
                <w:rFonts w:ascii="Calibri" w:hAnsi="Calibri"/>
                <w:color w:val="000000" w:themeColor="text1"/>
                <w:sz w:val="20"/>
                <w:szCs w:val="20"/>
              </w:rPr>
              <w:t>1.509.412</w:t>
            </w:r>
          </w:p>
        </w:tc>
        <w:tc>
          <w:tcPr>
            <w:tcW w:w="1336" w:type="dxa"/>
            <w:noWrap/>
            <w:hideMark/>
          </w:tcPr>
          <w:p w:rsidR="00115F22" w:rsidRPr="00115F22" w:rsidRDefault="00115F2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15F22">
              <w:rPr>
                <w:rFonts w:ascii="Calibri" w:hAnsi="Calibri"/>
                <w:color w:val="000000" w:themeColor="text1"/>
                <w:sz w:val="20"/>
                <w:szCs w:val="20"/>
              </w:rPr>
              <w:t>1.313.217</w:t>
            </w:r>
          </w:p>
        </w:tc>
      </w:tr>
      <w:tr w:rsidR="00115F22" w:rsidRPr="00115F22" w:rsidTr="00115F2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747" w:type="dxa"/>
            <w:noWrap/>
            <w:hideMark/>
          </w:tcPr>
          <w:p w:rsidR="00115F22" w:rsidRPr="00115F22" w:rsidRDefault="00115F22" w:rsidP="00F57D71">
            <w:pPr>
              <w:rPr>
                <w:rFonts w:ascii="Calibri" w:hAnsi="Calibri"/>
                <w:b w:val="0"/>
                <w:color w:val="000000" w:themeColor="text1"/>
                <w:sz w:val="20"/>
                <w:szCs w:val="20"/>
              </w:rPr>
            </w:pPr>
            <w:r w:rsidRPr="00115F22">
              <w:rPr>
                <w:rFonts w:ascii="Calibri" w:hAnsi="Calibri"/>
                <w:b w:val="0"/>
                <w:color w:val="000000" w:themeColor="text1"/>
                <w:sz w:val="20"/>
                <w:szCs w:val="20"/>
              </w:rPr>
              <w:t>Productos de Papel, Cartón é Impresos</w:t>
            </w:r>
          </w:p>
        </w:tc>
        <w:tc>
          <w:tcPr>
            <w:tcW w:w="1336" w:type="dxa"/>
            <w:noWrap/>
            <w:hideMark/>
          </w:tcPr>
          <w:p w:rsidR="00115F22" w:rsidRPr="00115F22" w:rsidRDefault="00115F2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15F22">
              <w:rPr>
                <w:rFonts w:ascii="Calibri" w:hAnsi="Calibri"/>
                <w:color w:val="000000" w:themeColor="text1"/>
                <w:sz w:val="20"/>
                <w:szCs w:val="20"/>
              </w:rPr>
              <w:t>222.455</w:t>
            </w:r>
          </w:p>
        </w:tc>
        <w:tc>
          <w:tcPr>
            <w:tcW w:w="1336" w:type="dxa"/>
            <w:noWrap/>
            <w:hideMark/>
          </w:tcPr>
          <w:p w:rsidR="00115F22" w:rsidRPr="00115F22" w:rsidRDefault="00115F2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15F22">
              <w:rPr>
                <w:rFonts w:ascii="Calibri" w:hAnsi="Calibri"/>
                <w:color w:val="000000" w:themeColor="text1"/>
                <w:sz w:val="20"/>
                <w:szCs w:val="20"/>
              </w:rPr>
              <w:t>193.540</w:t>
            </w:r>
          </w:p>
        </w:tc>
      </w:tr>
      <w:tr w:rsidR="00115F22" w:rsidRPr="00115F22" w:rsidTr="00115F22">
        <w:trPr>
          <w:trHeight w:val="57"/>
        </w:trPr>
        <w:tc>
          <w:tcPr>
            <w:cnfStyle w:val="001000000000" w:firstRow="0" w:lastRow="0" w:firstColumn="1" w:lastColumn="0" w:oddVBand="0" w:evenVBand="0" w:oddHBand="0" w:evenHBand="0" w:firstRowFirstColumn="0" w:firstRowLastColumn="0" w:lastRowFirstColumn="0" w:lastRowLastColumn="0"/>
            <w:tcW w:w="3747" w:type="dxa"/>
            <w:noWrap/>
            <w:hideMark/>
          </w:tcPr>
          <w:p w:rsidR="00115F22" w:rsidRPr="00115F22" w:rsidRDefault="00115F22" w:rsidP="00F57D71">
            <w:pPr>
              <w:rPr>
                <w:rFonts w:ascii="Calibri" w:hAnsi="Calibri"/>
                <w:b w:val="0"/>
                <w:color w:val="000000" w:themeColor="text1"/>
                <w:sz w:val="20"/>
                <w:szCs w:val="20"/>
              </w:rPr>
            </w:pPr>
            <w:r w:rsidRPr="00115F22">
              <w:rPr>
                <w:rFonts w:ascii="Calibri" w:hAnsi="Calibri"/>
                <w:b w:val="0"/>
                <w:color w:val="000000" w:themeColor="text1"/>
                <w:sz w:val="20"/>
                <w:szCs w:val="20"/>
              </w:rPr>
              <w:t>Textiles y Vestuario</w:t>
            </w:r>
          </w:p>
        </w:tc>
        <w:tc>
          <w:tcPr>
            <w:tcW w:w="1336" w:type="dxa"/>
            <w:noWrap/>
            <w:hideMark/>
          </w:tcPr>
          <w:p w:rsidR="00115F22" w:rsidRPr="00115F22" w:rsidRDefault="00115F2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15F22">
              <w:rPr>
                <w:rFonts w:ascii="Calibri" w:hAnsi="Calibri"/>
                <w:color w:val="000000" w:themeColor="text1"/>
                <w:sz w:val="20"/>
                <w:szCs w:val="20"/>
              </w:rPr>
              <w:t>234.786</w:t>
            </w:r>
          </w:p>
        </w:tc>
        <w:tc>
          <w:tcPr>
            <w:tcW w:w="1336" w:type="dxa"/>
            <w:noWrap/>
            <w:hideMark/>
          </w:tcPr>
          <w:p w:rsidR="00115F22" w:rsidRPr="00115F22" w:rsidRDefault="00115F2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15F22">
              <w:rPr>
                <w:rFonts w:ascii="Calibri" w:hAnsi="Calibri"/>
                <w:color w:val="000000" w:themeColor="text1"/>
                <w:sz w:val="20"/>
                <w:szCs w:val="20"/>
              </w:rPr>
              <w:t>204.268</w:t>
            </w:r>
          </w:p>
        </w:tc>
      </w:tr>
      <w:tr w:rsidR="00115F22" w:rsidRPr="00115F22" w:rsidTr="00115F2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747" w:type="dxa"/>
            <w:noWrap/>
            <w:hideMark/>
          </w:tcPr>
          <w:p w:rsidR="00115F22" w:rsidRPr="00115F22" w:rsidRDefault="00115F22" w:rsidP="00F57D71">
            <w:pPr>
              <w:rPr>
                <w:rFonts w:ascii="Calibri" w:hAnsi="Calibri"/>
                <w:b w:val="0"/>
                <w:color w:val="000000" w:themeColor="text1"/>
                <w:sz w:val="20"/>
                <w:szCs w:val="20"/>
              </w:rPr>
            </w:pPr>
            <w:r w:rsidRPr="00115F22">
              <w:rPr>
                <w:rFonts w:ascii="Calibri" w:hAnsi="Calibri"/>
                <w:b w:val="0"/>
                <w:color w:val="000000" w:themeColor="text1"/>
                <w:sz w:val="20"/>
                <w:szCs w:val="20"/>
              </w:rPr>
              <w:t xml:space="preserve">Productos Químicos y </w:t>
            </w:r>
            <w:r w:rsidR="005352F3" w:rsidRPr="00115F22">
              <w:rPr>
                <w:rFonts w:ascii="Calibri" w:hAnsi="Calibri"/>
                <w:b w:val="0"/>
                <w:color w:val="000000" w:themeColor="text1"/>
                <w:sz w:val="20"/>
                <w:szCs w:val="20"/>
              </w:rPr>
              <w:t>Farmacéuticos</w:t>
            </w:r>
          </w:p>
        </w:tc>
        <w:tc>
          <w:tcPr>
            <w:tcW w:w="1336" w:type="dxa"/>
            <w:noWrap/>
            <w:hideMark/>
          </w:tcPr>
          <w:p w:rsidR="00115F22" w:rsidRPr="00115F22" w:rsidRDefault="00115F2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15F22">
              <w:rPr>
                <w:rFonts w:ascii="Calibri" w:hAnsi="Calibri"/>
                <w:color w:val="000000" w:themeColor="text1"/>
                <w:sz w:val="20"/>
                <w:szCs w:val="20"/>
              </w:rPr>
              <w:t>9.039.416</w:t>
            </w:r>
          </w:p>
        </w:tc>
        <w:tc>
          <w:tcPr>
            <w:tcW w:w="1336" w:type="dxa"/>
            <w:noWrap/>
            <w:hideMark/>
          </w:tcPr>
          <w:p w:rsidR="00115F22" w:rsidRPr="00115F22" w:rsidRDefault="00115F2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15F22">
              <w:rPr>
                <w:rFonts w:ascii="Calibri" w:hAnsi="Calibri"/>
                <w:color w:val="000000" w:themeColor="text1"/>
                <w:sz w:val="20"/>
                <w:szCs w:val="20"/>
              </w:rPr>
              <w:t>7.864.465</w:t>
            </w:r>
          </w:p>
        </w:tc>
      </w:tr>
      <w:tr w:rsidR="00115F22" w:rsidRPr="00115F22" w:rsidTr="00115F22">
        <w:trPr>
          <w:trHeight w:val="57"/>
        </w:trPr>
        <w:tc>
          <w:tcPr>
            <w:cnfStyle w:val="001000000000" w:firstRow="0" w:lastRow="0" w:firstColumn="1" w:lastColumn="0" w:oddVBand="0" w:evenVBand="0" w:oddHBand="0" w:evenHBand="0" w:firstRowFirstColumn="0" w:firstRowLastColumn="0" w:lastRowFirstColumn="0" w:lastRowLastColumn="0"/>
            <w:tcW w:w="3747" w:type="dxa"/>
            <w:noWrap/>
            <w:hideMark/>
          </w:tcPr>
          <w:p w:rsidR="00115F22" w:rsidRPr="00115F22" w:rsidRDefault="00115F22" w:rsidP="00F57D71">
            <w:pPr>
              <w:rPr>
                <w:rFonts w:ascii="Calibri" w:hAnsi="Calibri"/>
                <w:b w:val="0"/>
                <w:color w:val="000000" w:themeColor="text1"/>
                <w:sz w:val="20"/>
                <w:szCs w:val="20"/>
              </w:rPr>
            </w:pPr>
            <w:r w:rsidRPr="00115F22">
              <w:rPr>
                <w:rFonts w:ascii="Calibri" w:hAnsi="Calibri"/>
                <w:b w:val="0"/>
                <w:color w:val="000000" w:themeColor="text1"/>
                <w:sz w:val="20"/>
                <w:szCs w:val="20"/>
              </w:rPr>
              <w:t>Otros Productos químicos y farmacéuticos</w:t>
            </w:r>
          </w:p>
        </w:tc>
        <w:tc>
          <w:tcPr>
            <w:tcW w:w="1336" w:type="dxa"/>
            <w:noWrap/>
            <w:hideMark/>
          </w:tcPr>
          <w:p w:rsidR="00115F22" w:rsidRPr="00115F22" w:rsidRDefault="00115F2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15F22">
              <w:rPr>
                <w:rFonts w:ascii="Calibri" w:hAnsi="Calibri"/>
                <w:color w:val="000000" w:themeColor="text1"/>
                <w:sz w:val="20"/>
                <w:szCs w:val="20"/>
              </w:rPr>
              <w:t>314.069</w:t>
            </w:r>
          </w:p>
        </w:tc>
        <w:tc>
          <w:tcPr>
            <w:tcW w:w="1336" w:type="dxa"/>
            <w:noWrap/>
            <w:hideMark/>
          </w:tcPr>
          <w:p w:rsidR="00115F22" w:rsidRPr="00115F22" w:rsidRDefault="00115F2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15F22">
              <w:rPr>
                <w:rFonts w:ascii="Calibri" w:hAnsi="Calibri"/>
                <w:color w:val="000000" w:themeColor="text1"/>
                <w:sz w:val="20"/>
                <w:szCs w:val="20"/>
              </w:rPr>
              <w:t>273.246</w:t>
            </w:r>
          </w:p>
        </w:tc>
      </w:tr>
      <w:tr w:rsidR="00115F22" w:rsidRPr="00115F22" w:rsidTr="00115F2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747" w:type="dxa"/>
            <w:noWrap/>
            <w:hideMark/>
          </w:tcPr>
          <w:p w:rsidR="00115F22" w:rsidRPr="00115F22" w:rsidRDefault="00115F22" w:rsidP="00F57D71">
            <w:pPr>
              <w:rPr>
                <w:rFonts w:ascii="Calibri" w:hAnsi="Calibri"/>
                <w:b w:val="0"/>
                <w:color w:val="000000" w:themeColor="text1"/>
                <w:sz w:val="20"/>
                <w:szCs w:val="20"/>
              </w:rPr>
            </w:pPr>
            <w:r w:rsidRPr="00115F22">
              <w:rPr>
                <w:rFonts w:ascii="Calibri" w:hAnsi="Calibri"/>
                <w:b w:val="0"/>
                <w:color w:val="000000" w:themeColor="text1"/>
                <w:sz w:val="20"/>
                <w:szCs w:val="20"/>
              </w:rPr>
              <w:t xml:space="preserve">Instrumental menor médico </w:t>
            </w:r>
            <w:r w:rsidR="005352F3" w:rsidRPr="00115F22">
              <w:rPr>
                <w:rFonts w:ascii="Calibri" w:hAnsi="Calibri"/>
                <w:b w:val="0"/>
                <w:color w:val="000000" w:themeColor="text1"/>
                <w:sz w:val="20"/>
                <w:szCs w:val="20"/>
              </w:rPr>
              <w:t>quirúrgico</w:t>
            </w:r>
          </w:p>
        </w:tc>
        <w:tc>
          <w:tcPr>
            <w:tcW w:w="1336" w:type="dxa"/>
            <w:noWrap/>
            <w:hideMark/>
          </w:tcPr>
          <w:p w:rsidR="00115F22" w:rsidRPr="00115F22" w:rsidRDefault="00115F2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15F22">
              <w:rPr>
                <w:rFonts w:ascii="Calibri" w:hAnsi="Calibri"/>
                <w:color w:val="000000" w:themeColor="text1"/>
                <w:sz w:val="20"/>
                <w:szCs w:val="20"/>
              </w:rPr>
              <w:t>678.006</w:t>
            </w:r>
          </w:p>
        </w:tc>
        <w:tc>
          <w:tcPr>
            <w:tcW w:w="1336" w:type="dxa"/>
            <w:noWrap/>
            <w:hideMark/>
          </w:tcPr>
          <w:p w:rsidR="00115F22" w:rsidRPr="00115F22" w:rsidRDefault="00115F2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0"/>
                <w:szCs w:val="20"/>
              </w:rPr>
            </w:pPr>
            <w:r w:rsidRPr="00115F22">
              <w:rPr>
                <w:rFonts w:ascii="Calibri" w:hAnsi="Calibri"/>
                <w:color w:val="000000" w:themeColor="text1"/>
                <w:sz w:val="20"/>
                <w:szCs w:val="20"/>
              </w:rPr>
              <w:t>589.878</w:t>
            </w:r>
          </w:p>
        </w:tc>
      </w:tr>
      <w:tr w:rsidR="00115F22" w:rsidRPr="00115F22" w:rsidTr="00115F22">
        <w:trPr>
          <w:trHeight w:val="57"/>
        </w:trPr>
        <w:tc>
          <w:tcPr>
            <w:cnfStyle w:val="001000000000" w:firstRow="0" w:lastRow="0" w:firstColumn="1" w:lastColumn="0" w:oddVBand="0" w:evenVBand="0" w:oddHBand="0" w:evenHBand="0" w:firstRowFirstColumn="0" w:firstRowLastColumn="0" w:lastRowFirstColumn="0" w:lastRowLastColumn="0"/>
            <w:tcW w:w="3747" w:type="dxa"/>
            <w:noWrap/>
            <w:hideMark/>
          </w:tcPr>
          <w:p w:rsidR="00115F22" w:rsidRPr="00115F22" w:rsidRDefault="00115F22" w:rsidP="00F57D71">
            <w:pPr>
              <w:rPr>
                <w:rFonts w:ascii="Calibri" w:hAnsi="Calibri"/>
                <w:b w:val="0"/>
                <w:color w:val="000000" w:themeColor="text1"/>
                <w:sz w:val="20"/>
                <w:szCs w:val="20"/>
              </w:rPr>
            </w:pPr>
            <w:r w:rsidRPr="00115F22">
              <w:rPr>
                <w:rFonts w:ascii="Calibri" w:hAnsi="Calibri"/>
                <w:b w:val="0"/>
                <w:color w:val="000000" w:themeColor="text1"/>
                <w:sz w:val="20"/>
                <w:szCs w:val="20"/>
              </w:rPr>
              <w:t>Productos varios</w:t>
            </w:r>
            <w:r w:rsidRPr="00115F22">
              <w:rPr>
                <w:rStyle w:val="FootnoteReference"/>
                <w:rFonts w:asciiTheme="minorHAnsi" w:hAnsiTheme="minorHAnsi" w:cstheme="minorHAnsi"/>
                <w:b w:val="0"/>
                <w:color w:val="000000" w:themeColor="text1"/>
                <w:sz w:val="20"/>
                <w:szCs w:val="20"/>
              </w:rPr>
              <w:footnoteReference w:id="73"/>
            </w:r>
          </w:p>
        </w:tc>
        <w:tc>
          <w:tcPr>
            <w:tcW w:w="1336" w:type="dxa"/>
            <w:noWrap/>
            <w:hideMark/>
          </w:tcPr>
          <w:p w:rsidR="00115F22" w:rsidRPr="00115F22" w:rsidRDefault="00115F2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15F22">
              <w:rPr>
                <w:rFonts w:ascii="Calibri" w:hAnsi="Calibri"/>
                <w:color w:val="000000" w:themeColor="text1"/>
                <w:sz w:val="20"/>
                <w:szCs w:val="20"/>
              </w:rPr>
              <w:t>353.944</w:t>
            </w:r>
          </w:p>
        </w:tc>
        <w:tc>
          <w:tcPr>
            <w:tcW w:w="1336" w:type="dxa"/>
            <w:noWrap/>
            <w:hideMark/>
          </w:tcPr>
          <w:p w:rsidR="00115F22" w:rsidRPr="00115F22" w:rsidRDefault="00115F2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115F22">
              <w:rPr>
                <w:rFonts w:ascii="Calibri" w:hAnsi="Calibri"/>
                <w:color w:val="000000" w:themeColor="text1"/>
                <w:sz w:val="20"/>
                <w:szCs w:val="20"/>
              </w:rPr>
              <w:t>307.938</w:t>
            </w:r>
          </w:p>
        </w:tc>
      </w:tr>
      <w:tr w:rsidR="00115F22" w:rsidRPr="00115F22" w:rsidTr="00115F2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747" w:type="dxa"/>
            <w:noWrap/>
            <w:hideMark/>
          </w:tcPr>
          <w:p w:rsidR="00115F22" w:rsidRPr="00115F22" w:rsidRDefault="00115F22">
            <w:pPr>
              <w:rPr>
                <w:rFonts w:ascii="Calibri" w:hAnsi="Calibri"/>
                <w:color w:val="000000" w:themeColor="text1"/>
                <w:sz w:val="20"/>
                <w:szCs w:val="20"/>
              </w:rPr>
            </w:pPr>
            <w:r w:rsidRPr="00115F22">
              <w:rPr>
                <w:rFonts w:ascii="Calibri" w:hAnsi="Calibri"/>
                <w:bCs w:val="0"/>
                <w:color w:val="000000" w:themeColor="text1"/>
                <w:sz w:val="20"/>
                <w:szCs w:val="20"/>
              </w:rPr>
              <w:t>Total</w:t>
            </w:r>
          </w:p>
        </w:tc>
        <w:tc>
          <w:tcPr>
            <w:tcW w:w="1336" w:type="dxa"/>
            <w:noWrap/>
            <w:hideMark/>
          </w:tcPr>
          <w:p w:rsidR="00115F22" w:rsidRPr="00115F22" w:rsidRDefault="00115F22">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themeColor="text1"/>
                <w:sz w:val="20"/>
                <w:szCs w:val="20"/>
              </w:rPr>
            </w:pPr>
            <w:r w:rsidRPr="00115F22">
              <w:rPr>
                <w:rFonts w:ascii="Calibri" w:hAnsi="Calibri"/>
                <w:b/>
                <w:bCs/>
                <w:color w:val="000000" w:themeColor="text1"/>
                <w:sz w:val="20"/>
                <w:szCs w:val="20"/>
              </w:rPr>
              <w:t>12.510.610</w:t>
            </w:r>
          </w:p>
        </w:tc>
        <w:tc>
          <w:tcPr>
            <w:tcW w:w="1336" w:type="dxa"/>
            <w:noWrap/>
            <w:hideMark/>
          </w:tcPr>
          <w:p w:rsidR="00115F22" w:rsidRPr="00115F22" w:rsidRDefault="00115F22">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themeColor="text1"/>
                <w:sz w:val="20"/>
                <w:szCs w:val="20"/>
              </w:rPr>
            </w:pPr>
            <w:r w:rsidRPr="00115F22">
              <w:rPr>
                <w:rFonts w:ascii="Calibri" w:hAnsi="Calibri"/>
                <w:b/>
                <w:bCs/>
                <w:color w:val="000000" w:themeColor="text1"/>
                <w:sz w:val="20"/>
                <w:szCs w:val="20"/>
              </w:rPr>
              <w:t>10.884.470</w:t>
            </w:r>
          </w:p>
        </w:tc>
      </w:tr>
    </w:tbl>
    <w:p w:rsidR="00656F99" w:rsidRPr="009C76DB" w:rsidRDefault="00656F99" w:rsidP="00656F99">
      <w:pPr>
        <w:rPr>
          <w:rFonts w:asciiTheme="minorHAnsi" w:hAnsiTheme="minorHAnsi" w:cstheme="minorHAnsi"/>
          <w:sz w:val="16"/>
          <w:szCs w:val="18"/>
        </w:rPr>
      </w:pPr>
      <w:r w:rsidRPr="009C76DB">
        <w:rPr>
          <w:rFonts w:asciiTheme="minorHAnsi" w:hAnsiTheme="minorHAnsi" w:cstheme="minorHAnsi"/>
          <w:sz w:val="16"/>
          <w:szCs w:val="18"/>
        </w:rPr>
        <w:t>Fuente: Elaboración propia.</w:t>
      </w:r>
    </w:p>
    <w:p w:rsidR="00656F99" w:rsidRDefault="00656F99" w:rsidP="00DF458A">
      <w:pPr>
        <w:jc w:val="both"/>
        <w:rPr>
          <w:rFonts w:asciiTheme="minorHAnsi" w:hAnsiTheme="minorHAnsi" w:cstheme="minorHAnsi"/>
          <w:sz w:val="22"/>
        </w:rPr>
      </w:pPr>
      <w:r w:rsidRPr="009C76DB">
        <w:rPr>
          <w:rFonts w:asciiTheme="minorHAnsi" w:hAnsiTheme="minorHAnsi" w:cstheme="minorHAnsi"/>
          <w:sz w:val="22"/>
        </w:rPr>
        <w:t xml:space="preserve">En la Tabla </w:t>
      </w:r>
      <w:r w:rsidR="00115F22">
        <w:rPr>
          <w:rFonts w:asciiTheme="minorHAnsi" w:hAnsiTheme="minorHAnsi" w:cstheme="minorHAnsi"/>
          <w:sz w:val="22"/>
        </w:rPr>
        <w:t>7</w:t>
      </w:r>
      <w:r w:rsidR="00F458E6">
        <w:rPr>
          <w:rFonts w:asciiTheme="minorHAnsi" w:hAnsiTheme="minorHAnsi" w:cstheme="minorHAnsi"/>
          <w:sz w:val="22"/>
        </w:rPr>
        <w:t>.6</w:t>
      </w:r>
      <w:r w:rsidR="00DF458A">
        <w:rPr>
          <w:rFonts w:asciiTheme="minorHAnsi" w:hAnsiTheme="minorHAnsi" w:cstheme="minorHAnsi"/>
          <w:sz w:val="22"/>
        </w:rPr>
        <w:t>,</w:t>
      </w:r>
      <w:r w:rsidRPr="009C76DB">
        <w:rPr>
          <w:rFonts w:asciiTheme="minorHAnsi" w:hAnsiTheme="minorHAnsi" w:cstheme="minorHAnsi"/>
          <w:sz w:val="22"/>
        </w:rPr>
        <w:t xml:space="preserve"> observamos el costo privado y social para la situación con proyecto de los servicios generales.</w:t>
      </w:r>
      <w:r w:rsidR="00DF458A">
        <w:rPr>
          <w:rFonts w:asciiTheme="minorHAnsi" w:hAnsiTheme="minorHAnsi" w:cstheme="minorHAnsi"/>
          <w:sz w:val="22"/>
        </w:rPr>
        <w:t xml:space="preserve"> </w:t>
      </w:r>
    </w:p>
    <w:p w:rsidR="00DF458A" w:rsidRDefault="00DF458A" w:rsidP="00656F99">
      <w:pPr>
        <w:rPr>
          <w:rFonts w:asciiTheme="minorHAnsi" w:hAnsiTheme="minorHAnsi" w:cstheme="minorHAnsi"/>
          <w:sz w:val="22"/>
        </w:rPr>
      </w:pPr>
    </w:p>
    <w:p w:rsidR="00DF458A" w:rsidRPr="009C76DB" w:rsidRDefault="00DF458A" w:rsidP="00656F99">
      <w:pPr>
        <w:rPr>
          <w:rFonts w:asciiTheme="minorHAnsi" w:hAnsiTheme="minorHAnsi" w:cstheme="minorHAnsi"/>
          <w:sz w:val="22"/>
        </w:rPr>
      </w:pPr>
      <w:r>
        <w:rPr>
          <w:rFonts w:asciiTheme="minorHAnsi" w:hAnsiTheme="minorHAnsi" w:cstheme="minorHAnsi"/>
          <w:sz w:val="22"/>
        </w:rPr>
        <w:t xml:space="preserve">Tabla </w:t>
      </w:r>
      <w:r w:rsidR="00115F22">
        <w:rPr>
          <w:rFonts w:asciiTheme="minorHAnsi" w:hAnsiTheme="minorHAnsi" w:cstheme="minorHAnsi"/>
          <w:sz w:val="22"/>
        </w:rPr>
        <w:t>7</w:t>
      </w:r>
      <w:r w:rsidR="00F458E6">
        <w:rPr>
          <w:rFonts w:asciiTheme="minorHAnsi" w:hAnsiTheme="minorHAnsi" w:cstheme="minorHAnsi"/>
          <w:sz w:val="22"/>
        </w:rPr>
        <w:t>.6</w:t>
      </w:r>
      <w:r>
        <w:rPr>
          <w:rFonts w:asciiTheme="minorHAnsi" w:hAnsiTheme="minorHAnsi" w:cstheme="minorHAnsi"/>
          <w:sz w:val="22"/>
        </w:rPr>
        <w:t xml:space="preserve">: </w:t>
      </w:r>
      <w:r w:rsidRPr="009C76DB">
        <w:rPr>
          <w:rFonts w:asciiTheme="minorHAnsi" w:hAnsiTheme="minorHAnsi" w:cstheme="minorHAnsi"/>
          <w:sz w:val="22"/>
        </w:rPr>
        <w:t xml:space="preserve">Costos privado y social de </w:t>
      </w:r>
      <w:r>
        <w:rPr>
          <w:rFonts w:asciiTheme="minorHAnsi" w:hAnsiTheme="minorHAnsi" w:cstheme="minorHAnsi"/>
          <w:sz w:val="22"/>
        </w:rPr>
        <w:t>los servicios generales</w:t>
      </w:r>
      <w:r w:rsidRPr="009C76DB">
        <w:rPr>
          <w:rFonts w:asciiTheme="minorHAnsi" w:hAnsiTheme="minorHAnsi" w:cstheme="minorHAnsi"/>
          <w:sz w:val="22"/>
        </w:rPr>
        <w:t>, situación con proyecto</w:t>
      </w:r>
      <w:r w:rsidR="00DD1BF7">
        <w:rPr>
          <w:rFonts w:asciiTheme="minorHAnsi" w:hAnsiTheme="minorHAnsi" w:cstheme="minorHAnsi"/>
          <w:sz w:val="22"/>
        </w:rPr>
        <w:t>. (Bs)</w:t>
      </w:r>
    </w:p>
    <w:tbl>
      <w:tblPr>
        <w:tblStyle w:val="LightShading-Accent3"/>
        <w:tblW w:w="5053" w:type="dxa"/>
        <w:tblLook w:val="04A0" w:firstRow="1" w:lastRow="0" w:firstColumn="1" w:lastColumn="0" w:noHBand="0" w:noVBand="1"/>
      </w:tblPr>
      <w:tblGrid>
        <w:gridCol w:w="1280"/>
        <w:gridCol w:w="1591"/>
        <w:gridCol w:w="2182"/>
      </w:tblGrid>
      <w:tr w:rsidR="005D3EAC" w:rsidRPr="005004E7" w:rsidTr="0041278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0" w:type="dxa"/>
            <w:noWrap/>
            <w:hideMark/>
          </w:tcPr>
          <w:p w:rsidR="005D3EAC" w:rsidRPr="000A3B72" w:rsidRDefault="005D3EAC">
            <w:pPr>
              <w:rPr>
                <w:rFonts w:ascii="Calibri" w:hAnsi="Calibri"/>
                <w:color w:val="000000"/>
                <w:sz w:val="20"/>
                <w:szCs w:val="22"/>
              </w:rPr>
            </w:pPr>
          </w:p>
        </w:tc>
        <w:tc>
          <w:tcPr>
            <w:tcW w:w="1591" w:type="dxa"/>
            <w:noWrap/>
            <w:hideMark/>
          </w:tcPr>
          <w:p w:rsidR="005D3EAC" w:rsidRPr="000A3B72" w:rsidRDefault="005D3EAC" w:rsidP="005D3EAC">
            <w:pP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2"/>
              </w:rPr>
            </w:pPr>
            <w:r w:rsidRPr="000A3B72">
              <w:rPr>
                <w:rFonts w:ascii="Calibri" w:hAnsi="Calibri"/>
                <w:color w:val="000000"/>
                <w:sz w:val="20"/>
                <w:szCs w:val="22"/>
              </w:rPr>
              <w:t>Costo Privado</w:t>
            </w:r>
          </w:p>
        </w:tc>
        <w:tc>
          <w:tcPr>
            <w:tcW w:w="2182" w:type="dxa"/>
            <w:noWrap/>
            <w:hideMark/>
          </w:tcPr>
          <w:p w:rsidR="005D3EAC" w:rsidRPr="005004E7" w:rsidRDefault="005D3EAC" w:rsidP="005D3EAC">
            <w:pPr>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2"/>
                <w:lang w:val="pt-BR"/>
              </w:rPr>
            </w:pPr>
            <w:r w:rsidRPr="005004E7">
              <w:rPr>
                <w:rFonts w:ascii="Calibri" w:hAnsi="Calibri"/>
                <w:color w:val="000000"/>
                <w:sz w:val="20"/>
                <w:szCs w:val="22"/>
                <w:lang w:val="pt-BR"/>
              </w:rPr>
              <w:t>Costo Social s/iva cp</w:t>
            </w:r>
          </w:p>
        </w:tc>
      </w:tr>
      <w:tr w:rsidR="005D3EAC" w:rsidRPr="000A3B72" w:rsidTr="004127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0" w:type="dxa"/>
            <w:noWrap/>
            <w:hideMark/>
          </w:tcPr>
          <w:p w:rsidR="005D3EAC" w:rsidRPr="000A3B72" w:rsidRDefault="005D3EAC">
            <w:pPr>
              <w:rPr>
                <w:rFonts w:ascii="Calibri" w:hAnsi="Calibri"/>
                <w:color w:val="000000"/>
                <w:sz w:val="20"/>
                <w:szCs w:val="22"/>
              </w:rPr>
            </w:pPr>
            <w:r w:rsidRPr="000A3B72">
              <w:rPr>
                <w:rFonts w:ascii="Calibri" w:hAnsi="Calibri"/>
                <w:color w:val="000000"/>
                <w:sz w:val="20"/>
                <w:szCs w:val="22"/>
              </w:rPr>
              <w:t>Agua</w:t>
            </w:r>
          </w:p>
        </w:tc>
        <w:tc>
          <w:tcPr>
            <w:tcW w:w="1591" w:type="dxa"/>
            <w:noWrap/>
            <w:hideMark/>
          </w:tcPr>
          <w:p w:rsidR="005D3EAC" w:rsidRPr="000A3B72" w:rsidRDefault="005D3EA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0A3B72">
              <w:rPr>
                <w:rFonts w:ascii="Calibri" w:hAnsi="Calibri"/>
                <w:color w:val="000000"/>
                <w:sz w:val="20"/>
                <w:szCs w:val="22"/>
              </w:rPr>
              <w:t>339.688</w:t>
            </w:r>
          </w:p>
        </w:tc>
        <w:tc>
          <w:tcPr>
            <w:tcW w:w="2182" w:type="dxa"/>
            <w:noWrap/>
            <w:hideMark/>
          </w:tcPr>
          <w:p w:rsidR="005D3EAC" w:rsidRPr="000A3B72" w:rsidRDefault="005D3EA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0A3B72">
              <w:rPr>
                <w:rFonts w:ascii="Calibri" w:hAnsi="Calibri"/>
                <w:color w:val="000000"/>
                <w:sz w:val="20"/>
                <w:szCs w:val="22"/>
              </w:rPr>
              <w:t>295.535</w:t>
            </w:r>
          </w:p>
        </w:tc>
      </w:tr>
      <w:tr w:rsidR="005D3EAC" w:rsidRPr="000A3B72" w:rsidTr="00412789">
        <w:trPr>
          <w:trHeight w:val="20"/>
        </w:trPr>
        <w:tc>
          <w:tcPr>
            <w:cnfStyle w:val="001000000000" w:firstRow="0" w:lastRow="0" w:firstColumn="1" w:lastColumn="0" w:oddVBand="0" w:evenVBand="0" w:oddHBand="0" w:evenHBand="0" w:firstRowFirstColumn="0" w:firstRowLastColumn="0" w:lastRowFirstColumn="0" w:lastRowLastColumn="0"/>
            <w:tcW w:w="1280" w:type="dxa"/>
            <w:noWrap/>
            <w:hideMark/>
          </w:tcPr>
          <w:p w:rsidR="005D3EAC" w:rsidRPr="000A3B72" w:rsidRDefault="005D3EAC">
            <w:pPr>
              <w:rPr>
                <w:rFonts w:ascii="Calibri" w:hAnsi="Calibri"/>
                <w:color w:val="000000"/>
                <w:sz w:val="20"/>
                <w:szCs w:val="22"/>
              </w:rPr>
            </w:pPr>
            <w:r w:rsidRPr="000A3B72">
              <w:rPr>
                <w:rFonts w:ascii="Calibri" w:hAnsi="Calibri"/>
                <w:color w:val="000000"/>
                <w:sz w:val="20"/>
                <w:szCs w:val="22"/>
              </w:rPr>
              <w:t>Electricidad</w:t>
            </w:r>
          </w:p>
        </w:tc>
        <w:tc>
          <w:tcPr>
            <w:tcW w:w="1591" w:type="dxa"/>
            <w:noWrap/>
            <w:hideMark/>
          </w:tcPr>
          <w:p w:rsidR="005D3EAC" w:rsidRPr="000A3B72" w:rsidRDefault="005D3EA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0A3B72">
              <w:rPr>
                <w:rFonts w:ascii="Calibri" w:hAnsi="Calibri"/>
                <w:color w:val="000000"/>
                <w:sz w:val="20"/>
                <w:szCs w:val="22"/>
              </w:rPr>
              <w:t>545.887</w:t>
            </w:r>
          </w:p>
        </w:tc>
        <w:tc>
          <w:tcPr>
            <w:tcW w:w="2182" w:type="dxa"/>
            <w:noWrap/>
            <w:hideMark/>
          </w:tcPr>
          <w:p w:rsidR="005D3EAC" w:rsidRPr="000A3B72" w:rsidRDefault="005D3EA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0A3B72">
              <w:rPr>
                <w:rFonts w:ascii="Calibri" w:hAnsi="Calibri"/>
                <w:color w:val="000000"/>
                <w:sz w:val="20"/>
                <w:szCs w:val="22"/>
              </w:rPr>
              <w:t>474.933</w:t>
            </w:r>
          </w:p>
        </w:tc>
      </w:tr>
      <w:tr w:rsidR="005D3EAC" w:rsidRPr="000A3B72" w:rsidTr="004127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0" w:type="dxa"/>
            <w:noWrap/>
            <w:hideMark/>
          </w:tcPr>
          <w:p w:rsidR="005D3EAC" w:rsidRPr="000A3B72" w:rsidRDefault="005D3EAC">
            <w:pPr>
              <w:rPr>
                <w:rFonts w:ascii="Calibri" w:hAnsi="Calibri"/>
                <w:color w:val="000000"/>
                <w:sz w:val="20"/>
                <w:szCs w:val="22"/>
              </w:rPr>
            </w:pPr>
            <w:r w:rsidRPr="000A3B72">
              <w:rPr>
                <w:rFonts w:ascii="Calibri" w:hAnsi="Calibri"/>
                <w:color w:val="000000"/>
                <w:sz w:val="20"/>
                <w:szCs w:val="22"/>
              </w:rPr>
              <w:t>Gas</w:t>
            </w:r>
          </w:p>
        </w:tc>
        <w:tc>
          <w:tcPr>
            <w:tcW w:w="1591" w:type="dxa"/>
            <w:noWrap/>
            <w:hideMark/>
          </w:tcPr>
          <w:p w:rsidR="005D3EAC" w:rsidRPr="000A3B72" w:rsidRDefault="005D3EA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0A3B72">
              <w:rPr>
                <w:rFonts w:ascii="Calibri" w:hAnsi="Calibri"/>
                <w:color w:val="000000"/>
                <w:sz w:val="20"/>
                <w:szCs w:val="22"/>
              </w:rPr>
              <w:t>261.450</w:t>
            </w:r>
          </w:p>
        </w:tc>
        <w:tc>
          <w:tcPr>
            <w:tcW w:w="2182" w:type="dxa"/>
            <w:noWrap/>
            <w:hideMark/>
          </w:tcPr>
          <w:p w:rsidR="005D3EAC" w:rsidRPr="000A3B72" w:rsidRDefault="005D3EA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0A3B72">
              <w:rPr>
                <w:rFonts w:ascii="Calibri" w:hAnsi="Calibri"/>
                <w:color w:val="000000"/>
                <w:sz w:val="20"/>
                <w:szCs w:val="22"/>
              </w:rPr>
              <w:t>227.466</w:t>
            </w:r>
          </w:p>
        </w:tc>
      </w:tr>
      <w:tr w:rsidR="005D3EAC" w:rsidRPr="000A3B72" w:rsidTr="00412789">
        <w:trPr>
          <w:trHeight w:val="20"/>
        </w:trPr>
        <w:tc>
          <w:tcPr>
            <w:cnfStyle w:val="001000000000" w:firstRow="0" w:lastRow="0" w:firstColumn="1" w:lastColumn="0" w:oddVBand="0" w:evenVBand="0" w:oddHBand="0" w:evenHBand="0" w:firstRowFirstColumn="0" w:firstRowLastColumn="0" w:lastRowFirstColumn="0" w:lastRowLastColumn="0"/>
            <w:tcW w:w="1280" w:type="dxa"/>
            <w:noWrap/>
            <w:hideMark/>
          </w:tcPr>
          <w:p w:rsidR="005D3EAC" w:rsidRPr="000A3B72" w:rsidRDefault="005D3EAC">
            <w:pPr>
              <w:rPr>
                <w:rFonts w:ascii="Calibri" w:hAnsi="Calibri"/>
                <w:color w:val="000000"/>
                <w:sz w:val="20"/>
                <w:szCs w:val="22"/>
              </w:rPr>
            </w:pPr>
            <w:r w:rsidRPr="000A3B72">
              <w:rPr>
                <w:rFonts w:ascii="Calibri" w:hAnsi="Calibri"/>
                <w:color w:val="000000"/>
                <w:sz w:val="20"/>
                <w:szCs w:val="22"/>
              </w:rPr>
              <w:t>Total</w:t>
            </w:r>
          </w:p>
        </w:tc>
        <w:tc>
          <w:tcPr>
            <w:tcW w:w="1591" w:type="dxa"/>
            <w:noWrap/>
            <w:hideMark/>
          </w:tcPr>
          <w:p w:rsidR="005D3EAC" w:rsidRPr="000A3B72" w:rsidRDefault="005D3EA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0A3B72">
              <w:rPr>
                <w:rFonts w:ascii="Calibri" w:hAnsi="Calibri"/>
                <w:color w:val="000000"/>
                <w:sz w:val="20"/>
                <w:szCs w:val="22"/>
              </w:rPr>
              <w:t>1.147.026</w:t>
            </w:r>
          </w:p>
        </w:tc>
        <w:tc>
          <w:tcPr>
            <w:tcW w:w="2182" w:type="dxa"/>
            <w:noWrap/>
            <w:hideMark/>
          </w:tcPr>
          <w:p w:rsidR="005D3EAC" w:rsidRPr="000A3B72" w:rsidRDefault="005D3EA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0A3B72">
              <w:rPr>
                <w:rFonts w:ascii="Calibri" w:hAnsi="Calibri"/>
                <w:color w:val="000000"/>
                <w:sz w:val="20"/>
                <w:szCs w:val="22"/>
              </w:rPr>
              <w:t>997.934</w:t>
            </w:r>
          </w:p>
        </w:tc>
      </w:tr>
    </w:tbl>
    <w:p w:rsidR="00412789" w:rsidRPr="009C76DB" w:rsidRDefault="00412789" w:rsidP="00412789">
      <w:pPr>
        <w:rPr>
          <w:rFonts w:asciiTheme="minorHAnsi" w:hAnsiTheme="minorHAnsi" w:cstheme="minorHAnsi"/>
          <w:sz w:val="16"/>
          <w:szCs w:val="18"/>
        </w:rPr>
      </w:pPr>
      <w:r w:rsidRPr="009C76DB">
        <w:rPr>
          <w:rFonts w:asciiTheme="minorHAnsi" w:hAnsiTheme="minorHAnsi" w:cstheme="minorHAnsi"/>
          <w:sz w:val="16"/>
          <w:szCs w:val="18"/>
        </w:rPr>
        <w:t>Fuente: Elaboración propia.</w:t>
      </w:r>
    </w:p>
    <w:p w:rsidR="005D3EAC" w:rsidRDefault="005D3EAC" w:rsidP="00DF458A">
      <w:pPr>
        <w:jc w:val="both"/>
        <w:rPr>
          <w:rFonts w:asciiTheme="minorHAnsi" w:hAnsiTheme="minorHAnsi" w:cstheme="minorHAnsi"/>
          <w:sz w:val="22"/>
        </w:rPr>
      </w:pPr>
    </w:p>
    <w:p w:rsidR="00656F99" w:rsidRPr="009C76DB" w:rsidRDefault="00656F99" w:rsidP="00DF458A">
      <w:pPr>
        <w:jc w:val="both"/>
        <w:rPr>
          <w:rFonts w:asciiTheme="minorHAnsi" w:hAnsiTheme="minorHAnsi" w:cstheme="minorHAnsi"/>
          <w:sz w:val="22"/>
        </w:rPr>
      </w:pPr>
      <w:r w:rsidRPr="009C76DB">
        <w:rPr>
          <w:rFonts w:asciiTheme="minorHAnsi" w:hAnsiTheme="minorHAnsi" w:cstheme="minorHAnsi"/>
          <w:sz w:val="22"/>
        </w:rPr>
        <w:t xml:space="preserve">En la Tabla </w:t>
      </w:r>
      <w:r w:rsidR="00115F22">
        <w:rPr>
          <w:rFonts w:asciiTheme="minorHAnsi" w:hAnsiTheme="minorHAnsi" w:cstheme="minorHAnsi"/>
          <w:sz w:val="22"/>
        </w:rPr>
        <w:t>7</w:t>
      </w:r>
      <w:r w:rsidR="00F458E6">
        <w:rPr>
          <w:rFonts w:asciiTheme="minorHAnsi" w:hAnsiTheme="minorHAnsi" w:cstheme="minorHAnsi"/>
          <w:sz w:val="22"/>
        </w:rPr>
        <w:t>.7</w:t>
      </w:r>
      <w:r w:rsidRPr="009C76DB">
        <w:rPr>
          <w:rFonts w:asciiTheme="minorHAnsi" w:hAnsiTheme="minorHAnsi" w:cstheme="minorHAnsi"/>
          <w:sz w:val="22"/>
        </w:rPr>
        <w:t xml:space="preserve"> observamos el costo privado y social para la situación con proyecto de la mantención.</w:t>
      </w:r>
      <w:r w:rsidR="00DF458A">
        <w:rPr>
          <w:rFonts w:asciiTheme="minorHAnsi" w:hAnsiTheme="minorHAnsi" w:cstheme="minorHAnsi"/>
          <w:sz w:val="22"/>
        </w:rPr>
        <w:t xml:space="preserve"> El valor se calcula como el 3% de la inversión total en equipamiento</w:t>
      </w:r>
      <w:r w:rsidR="000A3B72">
        <w:rPr>
          <w:rFonts w:asciiTheme="minorHAnsi" w:hAnsiTheme="minorHAnsi" w:cstheme="minorHAnsi"/>
          <w:sz w:val="22"/>
        </w:rPr>
        <w:t xml:space="preserve"> de este proyecto</w:t>
      </w:r>
      <w:r w:rsidR="00DF458A">
        <w:rPr>
          <w:rFonts w:asciiTheme="minorHAnsi" w:hAnsiTheme="minorHAnsi" w:cstheme="minorHAnsi"/>
          <w:sz w:val="22"/>
        </w:rPr>
        <w:t>.</w:t>
      </w:r>
    </w:p>
    <w:p w:rsidR="00656F99" w:rsidRPr="009C76DB" w:rsidRDefault="00656F99" w:rsidP="00656F99">
      <w:pPr>
        <w:rPr>
          <w:rFonts w:asciiTheme="minorHAnsi" w:hAnsiTheme="minorHAnsi" w:cstheme="minorHAnsi"/>
          <w:sz w:val="22"/>
        </w:rPr>
      </w:pPr>
    </w:p>
    <w:p w:rsidR="00656F99" w:rsidRDefault="00656F99" w:rsidP="00656F99">
      <w:pPr>
        <w:rPr>
          <w:rFonts w:asciiTheme="minorHAnsi" w:hAnsiTheme="minorHAnsi" w:cstheme="minorHAnsi"/>
          <w:sz w:val="22"/>
        </w:rPr>
      </w:pPr>
      <w:r w:rsidRPr="009C76DB">
        <w:rPr>
          <w:rFonts w:asciiTheme="minorHAnsi" w:hAnsiTheme="minorHAnsi" w:cstheme="minorHAnsi"/>
          <w:sz w:val="22"/>
        </w:rPr>
        <w:t xml:space="preserve">Tabla </w:t>
      </w:r>
      <w:r w:rsidR="00115F22">
        <w:rPr>
          <w:rFonts w:asciiTheme="minorHAnsi" w:hAnsiTheme="minorHAnsi" w:cstheme="minorHAnsi"/>
          <w:sz w:val="22"/>
        </w:rPr>
        <w:t>7</w:t>
      </w:r>
      <w:r w:rsidR="00F458E6">
        <w:rPr>
          <w:rFonts w:asciiTheme="minorHAnsi" w:hAnsiTheme="minorHAnsi" w:cstheme="minorHAnsi"/>
          <w:sz w:val="22"/>
        </w:rPr>
        <w:t>.7</w:t>
      </w:r>
      <w:r w:rsidRPr="009C76DB">
        <w:rPr>
          <w:rFonts w:asciiTheme="minorHAnsi" w:hAnsiTheme="minorHAnsi" w:cstheme="minorHAnsi"/>
          <w:sz w:val="22"/>
        </w:rPr>
        <w:t>: Costos privado y social de mantenimiento, situación con proyecto</w:t>
      </w:r>
      <w:r w:rsidR="00DD1BF7">
        <w:rPr>
          <w:rFonts w:asciiTheme="minorHAnsi" w:hAnsiTheme="minorHAnsi" w:cstheme="minorHAnsi"/>
          <w:sz w:val="22"/>
        </w:rPr>
        <w:t>. (Bs)</w:t>
      </w:r>
    </w:p>
    <w:tbl>
      <w:tblPr>
        <w:tblStyle w:val="LightShading-Accent3"/>
        <w:tblW w:w="7653" w:type="dxa"/>
        <w:tblLook w:val="04A0" w:firstRow="1" w:lastRow="0" w:firstColumn="1" w:lastColumn="0" w:noHBand="0" w:noVBand="1"/>
      </w:tblPr>
      <w:tblGrid>
        <w:gridCol w:w="3652"/>
        <w:gridCol w:w="2095"/>
        <w:gridCol w:w="1906"/>
      </w:tblGrid>
      <w:tr w:rsidR="00412789" w:rsidRPr="000A3B72" w:rsidTr="000A3B72">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52" w:type="dxa"/>
            <w:noWrap/>
          </w:tcPr>
          <w:p w:rsidR="00412789" w:rsidRPr="000A3B72" w:rsidRDefault="00412789" w:rsidP="00890525">
            <w:pPr>
              <w:rPr>
                <w:rFonts w:ascii="Calibri" w:hAnsi="Calibri"/>
                <w:color w:val="000000"/>
                <w:sz w:val="20"/>
                <w:szCs w:val="22"/>
              </w:rPr>
            </w:pPr>
          </w:p>
        </w:tc>
        <w:tc>
          <w:tcPr>
            <w:tcW w:w="2095" w:type="dxa"/>
            <w:noWrap/>
          </w:tcPr>
          <w:p w:rsidR="00412789" w:rsidRPr="000A3B72" w:rsidRDefault="00412789" w:rsidP="00890525">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2"/>
              </w:rPr>
            </w:pPr>
            <w:r w:rsidRPr="000A3B72">
              <w:rPr>
                <w:rFonts w:ascii="Calibri" w:hAnsi="Calibri"/>
                <w:color w:val="000000"/>
                <w:sz w:val="20"/>
                <w:szCs w:val="22"/>
              </w:rPr>
              <w:t>Costo privado c/iva</w:t>
            </w:r>
          </w:p>
        </w:tc>
        <w:tc>
          <w:tcPr>
            <w:tcW w:w="1906" w:type="dxa"/>
            <w:noWrap/>
          </w:tcPr>
          <w:p w:rsidR="00412789" w:rsidRPr="000A3B72" w:rsidRDefault="00412789" w:rsidP="00890525">
            <w:pPr>
              <w:jc w:val="right"/>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2"/>
              </w:rPr>
            </w:pPr>
            <w:r w:rsidRPr="000A3B72">
              <w:rPr>
                <w:rFonts w:ascii="Calibri" w:hAnsi="Calibri"/>
                <w:color w:val="000000"/>
                <w:sz w:val="20"/>
                <w:szCs w:val="22"/>
              </w:rPr>
              <w:t>Costo social s/iva</w:t>
            </w:r>
          </w:p>
        </w:tc>
      </w:tr>
      <w:tr w:rsidR="00983AA1" w:rsidRPr="000A3B72" w:rsidTr="000A3B7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52" w:type="dxa"/>
            <w:noWrap/>
            <w:hideMark/>
          </w:tcPr>
          <w:p w:rsidR="00983AA1" w:rsidRPr="000A3B72" w:rsidRDefault="00983AA1" w:rsidP="00890525">
            <w:pPr>
              <w:rPr>
                <w:rFonts w:ascii="Calibri" w:hAnsi="Calibri"/>
                <w:color w:val="000000"/>
                <w:sz w:val="20"/>
                <w:szCs w:val="22"/>
              </w:rPr>
            </w:pPr>
            <w:r w:rsidRPr="000A3B72">
              <w:rPr>
                <w:rFonts w:ascii="Calibri" w:hAnsi="Calibri"/>
                <w:color w:val="000000"/>
                <w:sz w:val="20"/>
                <w:szCs w:val="22"/>
              </w:rPr>
              <w:t>Costo de mantención y reparaciones</w:t>
            </w:r>
          </w:p>
        </w:tc>
        <w:tc>
          <w:tcPr>
            <w:tcW w:w="2095" w:type="dxa"/>
            <w:noWrap/>
            <w:vAlign w:val="bottom"/>
            <w:hideMark/>
          </w:tcPr>
          <w:p w:rsidR="00983AA1" w:rsidRPr="000A3B72" w:rsidRDefault="00983AA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auto"/>
                <w:sz w:val="20"/>
                <w:szCs w:val="22"/>
              </w:rPr>
            </w:pPr>
            <w:r w:rsidRPr="000A3B72">
              <w:rPr>
                <w:rFonts w:ascii="Calibri" w:hAnsi="Calibri"/>
                <w:b/>
                <w:bCs/>
                <w:color w:val="auto"/>
                <w:sz w:val="20"/>
                <w:szCs w:val="22"/>
              </w:rPr>
              <w:t>3.670.775</w:t>
            </w:r>
          </w:p>
        </w:tc>
        <w:tc>
          <w:tcPr>
            <w:tcW w:w="1906" w:type="dxa"/>
            <w:noWrap/>
            <w:vAlign w:val="bottom"/>
            <w:hideMark/>
          </w:tcPr>
          <w:p w:rsidR="00983AA1" w:rsidRPr="000A3B72" w:rsidRDefault="00983AA1">
            <w:pPr>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auto"/>
                <w:sz w:val="20"/>
                <w:szCs w:val="22"/>
              </w:rPr>
            </w:pPr>
            <w:r w:rsidRPr="000A3B72">
              <w:rPr>
                <w:rFonts w:ascii="Calibri" w:hAnsi="Calibri"/>
                <w:b/>
                <w:bCs/>
                <w:color w:val="auto"/>
                <w:sz w:val="20"/>
                <w:szCs w:val="22"/>
              </w:rPr>
              <w:t>3.193.645</w:t>
            </w:r>
          </w:p>
        </w:tc>
      </w:tr>
    </w:tbl>
    <w:p w:rsidR="00656F99" w:rsidRPr="009C76DB" w:rsidRDefault="00656F99" w:rsidP="00656F99">
      <w:pPr>
        <w:rPr>
          <w:rFonts w:asciiTheme="minorHAnsi" w:hAnsiTheme="minorHAnsi" w:cstheme="minorHAnsi"/>
          <w:sz w:val="16"/>
          <w:szCs w:val="18"/>
        </w:rPr>
      </w:pPr>
      <w:r w:rsidRPr="009C76DB">
        <w:rPr>
          <w:rFonts w:asciiTheme="minorHAnsi" w:hAnsiTheme="minorHAnsi" w:cstheme="minorHAnsi"/>
          <w:sz w:val="16"/>
          <w:szCs w:val="18"/>
        </w:rPr>
        <w:t>Fuente: Elaboración propia.</w:t>
      </w:r>
    </w:p>
    <w:p w:rsidR="00DF458A" w:rsidRDefault="00DF458A" w:rsidP="00656F99">
      <w:pPr>
        <w:rPr>
          <w:rFonts w:asciiTheme="minorHAnsi" w:hAnsiTheme="minorHAnsi" w:cstheme="minorHAnsi"/>
          <w:sz w:val="22"/>
        </w:rPr>
      </w:pPr>
    </w:p>
    <w:p w:rsidR="00656F99" w:rsidRPr="009C76DB" w:rsidRDefault="00656F99" w:rsidP="00DF458A">
      <w:pPr>
        <w:jc w:val="both"/>
        <w:rPr>
          <w:rFonts w:asciiTheme="minorHAnsi" w:hAnsiTheme="minorHAnsi" w:cstheme="minorHAnsi"/>
          <w:sz w:val="22"/>
        </w:rPr>
      </w:pPr>
      <w:r w:rsidRPr="009C76DB">
        <w:rPr>
          <w:rFonts w:asciiTheme="minorHAnsi" w:hAnsiTheme="minorHAnsi" w:cstheme="minorHAnsi"/>
          <w:sz w:val="22"/>
        </w:rPr>
        <w:t xml:space="preserve">Por último, en la Tabla </w:t>
      </w:r>
      <w:r w:rsidR="00115F22">
        <w:rPr>
          <w:rFonts w:asciiTheme="minorHAnsi" w:hAnsiTheme="minorHAnsi" w:cstheme="minorHAnsi"/>
          <w:sz w:val="22"/>
        </w:rPr>
        <w:t>7</w:t>
      </w:r>
      <w:r w:rsidR="00F458E6">
        <w:rPr>
          <w:rFonts w:asciiTheme="minorHAnsi" w:hAnsiTheme="minorHAnsi" w:cstheme="minorHAnsi"/>
          <w:sz w:val="22"/>
        </w:rPr>
        <w:t>.8</w:t>
      </w:r>
      <w:r w:rsidRPr="009C76DB">
        <w:rPr>
          <w:rFonts w:asciiTheme="minorHAnsi" w:hAnsiTheme="minorHAnsi" w:cstheme="minorHAnsi"/>
          <w:sz w:val="22"/>
        </w:rPr>
        <w:t xml:space="preserve"> se muestra el costo total de operación privado y social del proyecto para la situación con proyecto.</w:t>
      </w:r>
    </w:p>
    <w:p w:rsidR="00656F99" w:rsidRPr="009C76DB" w:rsidRDefault="00656F99" w:rsidP="00656F99">
      <w:pPr>
        <w:rPr>
          <w:rFonts w:asciiTheme="minorHAnsi" w:hAnsiTheme="minorHAnsi" w:cstheme="minorHAnsi"/>
          <w:sz w:val="22"/>
        </w:rPr>
      </w:pPr>
    </w:p>
    <w:p w:rsidR="00656F99" w:rsidRDefault="00656F99" w:rsidP="00656F99">
      <w:pPr>
        <w:rPr>
          <w:rFonts w:asciiTheme="minorHAnsi" w:hAnsiTheme="minorHAnsi" w:cstheme="minorHAnsi"/>
          <w:sz w:val="22"/>
        </w:rPr>
      </w:pPr>
      <w:r w:rsidRPr="009C76DB">
        <w:rPr>
          <w:rFonts w:asciiTheme="minorHAnsi" w:hAnsiTheme="minorHAnsi" w:cstheme="minorHAnsi"/>
          <w:sz w:val="22"/>
        </w:rPr>
        <w:t xml:space="preserve">Tabla </w:t>
      </w:r>
      <w:r w:rsidR="00115F22">
        <w:rPr>
          <w:rFonts w:asciiTheme="minorHAnsi" w:hAnsiTheme="minorHAnsi" w:cstheme="minorHAnsi"/>
          <w:sz w:val="22"/>
        </w:rPr>
        <w:t>7</w:t>
      </w:r>
      <w:r w:rsidR="00F458E6">
        <w:rPr>
          <w:rFonts w:asciiTheme="minorHAnsi" w:hAnsiTheme="minorHAnsi" w:cstheme="minorHAnsi"/>
          <w:sz w:val="22"/>
        </w:rPr>
        <w:t>.8</w:t>
      </w:r>
      <w:r w:rsidR="00DF458A">
        <w:rPr>
          <w:rFonts w:asciiTheme="minorHAnsi" w:hAnsiTheme="minorHAnsi" w:cstheme="minorHAnsi"/>
          <w:sz w:val="22"/>
        </w:rPr>
        <w:t>:</w:t>
      </w:r>
      <w:r w:rsidRPr="009C76DB">
        <w:rPr>
          <w:rFonts w:asciiTheme="minorHAnsi" w:hAnsiTheme="minorHAnsi" w:cstheme="minorHAnsi"/>
          <w:sz w:val="22"/>
        </w:rPr>
        <w:t xml:space="preserve"> Costos de operación total privado y social, situación sin y con proyecto</w:t>
      </w:r>
      <w:r w:rsidR="008D1C81">
        <w:rPr>
          <w:rFonts w:asciiTheme="minorHAnsi" w:hAnsiTheme="minorHAnsi" w:cstheme="minorHAnsi"/>
          <w:sz w:val="22"/>
        </w:rPr>
        <w:t xml:space="preserve"> al año </w:t>
      </w:r>
      <w:r w:rsidR="00983AA1">
        <w:rPr>
          <w:rFonts w:asciiTheme="minorHAnsi" w:hAnsiTheme="minorHAnsi" w:cstheme="minorHAnsi"/>
          <w:sz w:val="22"/>
        </w:rPr>
        <w:t>2017</w:t>
      </w:r>
      <w:r w:rsidR="00CB02AD">
        <w:rPr>
          <w:rFonts w:asciiTheme="minorHAnsi" w:hAnsiTheme="minorHAnsi" w:cstheme="minorHAnsi"/>
          <w:sz w:val="22"/>
        </w:rPr>
        <w:t>.</w:t>
      </w:r>
    </w:p>
    <w:tbl>
      <w:tblPr>
        <w:tblStyle w:val="LightShading-Accent3"/>
        <w:tblW w:w="7180" w:type="dxa"/>
        <w:tblLook w:val="04A0" w:firstRow="1" w:lastRow="0" w:firstColumn="1" w:lastColumn="0" w:noHBand="0" w:noVBand="1"/>
      </w:tblPr>
      <w:tblGrid>
        <w:gridCol w:w="2220"/>
        <w:gridCol w:w="1240"/>
        <w:gridCol w:w="1240"/>
        <w:gridCol w:w="1240"/>
        <w:gridCol w:w="1240"/>
      </w:tblGrid>
      <w:tr w:rsidR="00CB02AD" w:rsidRPr="00CB02AD" w:rsidTr="00CB02A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rsidR="00CB02AD" w:rsidRPr="00CB02AD" w:rsidRDefault="00CB02AD">
            <w:pPr>
              <w:rPr>
                <w:rFonts w:ascii="Calibri" w:hAnsi="Calibri"/>
                <w:b w:val="0"/>
                <w:color w:val="000000" w:themeColor="text1"/>
                <w:sz w:val="22"/>
                <w:szCs w:val="22"/>
              </w:rPr>
            </w:pPr>
          </w:p>
        </w:tc>
        <w:tc>
          <w:tcPr>
            <w:tcW w:w="2480" w:type="dxa"/>
            <w:gridSpan w:val="2"/>
            <w:noWrap/>
            <w:hideMark/>
          </w:tcPr>
          <w:p w:rsidR="00CB02AD" w:rsidRPr="00CB02AD" w:rsidRDefault="00CB02AD" w:rsidP="00CB02AD">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themeColor="text1"/>
                <w:sz w:val="22"/>
                <w:szCs w:val="22"/>
              </w:rPr>
            </w:pPr>
            <w:r w:rsidRPr="00CB02AD">
              <w:rPr>
                <w:rFonts w:ascii="Calibri" w:hAnsi="Calibri"/>
                <w:b w:val="0"/>
                <w:bCs w:val="0"/>
                <w:color w:val="000000" w:themeColor="text1"/>
                <w:sz w:val="20"/>
                <w:szCs w:val="22"/>
              </w:rPr>
              <w:t>Valor privado</w:t>
            </w:r>
          </w:p>
        </w:tc>
        <w:tc>
          <w:tcPr>
            <w:tcW w:w="2480" w:type="dxa"/>
            <w:gridSpan w:val="2"/>
            <w:noWrap/>
            <w:hideMark/>
          </w:tcPr>
          <w:p w:rsidR="00CB02AD" w:rsidRPr="00CB02AD" w:rsidRDefault="00CB02AD">
            <w:pPr>
              <w:cnfStyle w:val="100000000000" w:firstRow="1" w:lastRow="0" w:firstColumn="0" w:lastColumn="0" w:oddVBand="0" w:evenVBand="0" w:oddHBand="0" w:evenHBand="0" w:firstRowFirstColumn="0" w:firstRowLastColumn="0" w:lastRowFirstColumn="0" w:lastRowLastColumn="0"/>
              <w:rPr>
                <w:rFonts w:ascii="Calibri" w:hAnsi="Calibri"/>
                <w:b w:val="0"/>
                <w:color w:val="000000" w:themeColor="text1"/>
                <w:sz w:val="22"/>
                <w:szCs w:val="22"/>
              </w:rPr>
            </w:pPr>
            <w:r w:rsidRPr="00CB02AD">
              <w:rPr>
                <w:rFonts w:ascii="Calibri" w:hAnsi="Calibri"/>
                <w:b w:val="0"/>
                <w:bCs w:val="0"/>
                <w:color w:val="000000" w:themeColor="text1"/>
                <w:sz w:val="20"/>
                <w:szCs w:val="22"/>
              </w:rPr>
              <w:t>Valor social</w:t>
            </w:r>
          </w:p>
        </w:tc>
      </w:tr>
      <w:tr w:rsidR="00CB02AD" w:rsidRPr="00CB02AD" w:rsidTr="00CB02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rsidR="00CB02AD" w:rsidRPr="00CB02AD" w:rsidRDefault="00CB02AD">
            <w:pPr>
              <w:rPr>
                <w:b w:val="0"/>
                <w:color w:val="000000" w:themeColor="text1"/>
                <w:sz w:val="20"/>
                <w:szCs w:val="20"/>
              </w:rPr>
            </w:pPr>
            <w:r w:rsidRPr="00CB02AD">
              <w:rPr>
                <w:b w:val="0"/>
                <w:color w:val="000000" w:themeColor="text1"/>
                <w:sz w:val="20"/>
                <w:szCs w:val="20"/>
              </w:rPr>
              <w:t> </w:t>
            </w:r>
          </w:p>
        </w:tc>
        <w:tc>
          <w:tcPr>
            <w:tcW w:w="1240" w:type="dxa"/>
            <w:noWrap/>
            <w:hideMark/>
          </w:tcPr>
          <w:p w:rsidR="00CB02AD" w:rsidRPr="00CB02AD" w:rsidRDefault="00CB02AD" w:rsidP="00CB02AD">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CB02AD">
              <w:rPr>
                <w:color w:val="000000" w:themeColor="text1"/>
                <w:sz w:val="20"/>
                <w:szCs w:val="20"/>
              </w:rPr>
              <w:t>US$</w:t>
            </w:r>
          </w:p>
        </w:tc>
        <w:tc>
          <w:tcPr>
            <w:tcW w:w="1240" w:type="dxa"/>
            <w:noWrap/>
            <w:hideMark/>
          </w:tcPr>
          <w:p w:rsidR="00CB02AD" w:rsidRPr="00CB02AD" w:rsidRDefault="00CB02AD" w:rsidP="00CB02A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CB02AD">
              <w:rPr>
                <w:rFonts w:ascii="Calibri" w:hAnsi="Calibri"/>
                <w:color w:val="000000" w:themeColor="text1"/>
                <w:sz w:val="22"/>
                <w:szCs w:val="22"/>
              </w:rPr>
              <w:t>Bs</w:t>
            </w:r>
          </w:p>
        </w:tc>
        <w:tc>
          <w:tcPr>
            <w:tcW w:w="1240" w:type="dxa"/>
            <w:noWrap/>
            <w:hideMark/>
          </w:tcPr>
          <w:p w:rsidR="00CB02AD" w:rsidRPr="00CB02AD" w:rsidRDefault="00CB02AD" w:rsidP="00CB02AD">
            <w:pPr>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themeColor="text1"/>
                <w:sz w:val="20"/>
                <w:szCs w:val="20"/>
              </w:rPr>
            </w:pPr>
            <w:r w:rsidRPr="00CB02AD">
              <w:rPr>
                <w:rFonts w:ascii="Calibri" w:hAnsi="Calibri"/>
                <w:bCs/>
                <w:color w:val="000000" w:themeColor="text1"/>
                <w:sz w:val="20"/>
                <w:szCs w:val="20"/>
              </w:rPr>
              <w:t>US$</w:t>
            </w:r>
          </w:p>
        </w:tc>
        <w:tc>
          <w:tcPr>
            <w:tcW w:w="1240" w:type="dxa"/>
            <w:noWrap/>
            <w:hideMark/>
          </w:tcPr>
          <w:p w:rsidR="00CB02AD" w:rsidRPr="00CB02AD" w:rsidRDefault="00CB02AD" w:rsidP="00CB02AD">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sz w:val="22"/>
                <w:szCs w:val="22"/>
              </w:rPr>
            </w:pPr>
            <w:r w:rsidRPr="00CB02AD">
              <w:rPr>
                <w:rFonts w:ascii="Calibri" w:hAnsi="Calibri"/>
                <w:color w:val="000000" w:themeColor="text1"/>
                <w:sz w:val="22"/>
                <w:szCs w:val="22"/>
              </w:rPr>
              <w:t>Bs</w:t>
            </w:r>
          </w:p>
        </w:tc>
      </w:tr>
      <w:tr w:rsidR="00CB02AD" w:rsidRPr="00CB02AD" w:rsidTr="00CB02A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rsidR="00CB02AD" w:rsidRPr="00CB02AD" w:rsidRDefault="00CB02AD">
            <w:pPr>
              <w:rPr>
                <w:rFonts w:ascii="Calibri" w:hAnsi="Calibri"/>
                <w:b w:val="0"/>
                <w:color w:val="000000" w:themeColor="text1"/>
                <w:sz w:val="20"/>
                <w:szCs w:val="20"/>
              </w:rPr>
            </w:pPr>
            <w:r w:rsidRPr="00CB02AD">
              <w:rPr>
                <w:rFonts w:ascii="Calibri" w:hAnsi="Calibri"/>
                <w:b w:val="0"/>
                <w:color w:val="000000" w:themeColor="text1"/>
                <w:sz w:val="20"/>
                <w:szCs w:val="22"/>
              </w:rPr>
              <w:t xml:space="preserve">Costo total de operación </w:t>
            </w:r>
          </w:p>
        </w:tc>
        <w:tc>
          <w:tcPr>
            <w:tcW w:w="1240" w:type="dxa"/>
            <w:noWrap/>
            <w:hideMark/>
          </w:tcPr>
          <w:p w:rsidR="00CB02AD" w:rsidRPr="00CB02AD" w:rsidRDefault="00CB02A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0"/>
                <w:szCs w:val="20"/>
              </w:rPr>
            </w:pPr>
            <w:r w:rsidRPr="00CB02AD">
              <w:rPr>
                <w:rFonts w:ascii="Calibri" w:hAnsi="Calibri"/>
                <w:color w:val="000000" w:themeColor="text1"/>
                <w:sz w:val="20"/>
                <w:szCs w:val="20"/>
              </w:rPr>
              <w:t>6.638.770</w:t>
            </w:r>
          </w:p>
        </w:tc>
        <w:tc>
          <w:tcPr>
            <w:tcW w:w="1240" w:type="dxa"/>
            <w:noWrap/>
            <w:hideMark/>
          </w:tcPr>
          <w:p w:rsidR="00CB02AD" w:rsidRPr="00CB02AD" w:rsidRDefault="00CB02AD">
            <w:pPr>
              <w:jc w:val="right"/>
              <w:cnfStyle w:val="000000000000" w:firstRow="0" w:lastRow="0" w:firstColumn="0" w:lastColumn="0" w:oddVBand="0" w:evenVBand="0" w:oddHBand="0" w:evenHBand="0" w:firstRowFirstColumn="0" w:firstRowLastColumn="0" w:lastRowFirstColumn="0" w:lastRowLastColumn="0"/>
              <w:rPr>
                <w:rFonts w:ascii="Calibri" w:hAnsi="Calibri"/>
                <w:bCs/>
                <w:color w:val="000000" w:themeColor="text1"/>
                <w:sz w:val="20"/>
                <w:szCs w:val="20"/>
              </w:rPr>
            </w:pPr>
            <w:r w:rsidRPr="00CB02AD">
              <w:rPr>
                <w:rFonts w:ascii="Calibri" w:hAnsi="Calibri"/>
                <w:bCs/>
                <w:color w:val="000000" w:themeColor="text1"/>
                <w:sz w:val="20"/>
                <w:szCs w:val="20"/>
              </w:rPr>
              <w:t>45.807.511</w:t>
            </w:r>
          </w:p>
        </w:tc>
        <w:tc>
          <w:tcPr>
            <w:tcW w:w="1240" w:type="dxa"/>
            <w:noWrap/>
            <w:hideMark/>
          </w:tcPr>
          <w:p w:rsidR="00CB02AD" w:rsidRPr="00CB02AD" w:rsidRDefault="00CB02AD">
            <w:pPr>
              <w:jc w:val="right"/>
              <w:cnfStyle w:val="000000000000" w:firstRow="0" w:lastRow="0" w:firstColumn="0" w:lastColumn="0" w:oddVBand="0" w:evenVBand="0" w:oddHBand="0" w:evenHBand="0" w:firstRowFirstColumn="0" w:firstRowLastColumn="0" w:lastRowFirstColumn="0" w:lastRowLastColumn="0"/>
              <w:rPr>
                <w:rFonts w:ascii="Calibri" w:hAnsi="Calibri"/>
                <w:bCs/>
                <w:color w:val="000000" w:themeColor="text1"/>
                <w:sz w:val="20"/>
                <w:szCs w:val="20"/>
              </w:rPr>
            </w:pPr>
            <w:r w:rsidRPr="00CB02AD">
              <w:rPr>
                <w:rFonts w:ascii="Calibri" w:hAnsi="Calibri"/>
                <w:bCs/>
                <w:color w:val="000000" w:themeColor="text1"/>
                <w:sz w:val="20"/>
                <w:szCs w:val="20"/>
              </w:rPr>
              <w:t>5.083.476</w:t>
            </w:r>
          </w:p>
        </w:tc>
        <w:tc>
          <w:tcPr>
            <w:tcW w:w="1240" w:type="dxa"/>
            <w:noWrap/>
            <w:hideMark/>
          </w:tcPr>
          <w:p w:rsidR="00CB02AD" w:rsidRPr="00CB02AD" w:rsidRDefault="00CB02AD">
            <w:pPr>
              <w:jc w:val="right"/>
              <w:cnfStyle w:val="000000000000" w:firstRow="0" w:lastRow="0" w:firstColumn="0" w:lastColumn="0" w:oddVBand="0" w:evenVBand="0" w:oddHBand="0" w:evenHBand="0" w:firstRowFirstColumn="0" w:firstRowLastColumn="0" w:lastRowFirstColumn="0" w:lastRowLastColumn="0"/>
              <w:rPr>
                <w:rFonts w:ascii="Calibri" w:hAnsi="Calibri"/>
                <w:bCs/>
                <w:color w:val="000000" w:themeColor="text1"/>
                <w:sz w:val="20"/>
                <w:szCs w:val="20"/>
              </w:rPr>
            </w:pPr>
            <w:r w:rsidRPr="00CB02AD">
              <w:rPr>
                <w:rFonts w:ascii="Calibri" w:hAnsi="Calibri"/>
                <w:bCs/>
                <w:color w:val="000000" w:themeColor="text1"/>
                <w:sz w:val="20"/>
                <w:szCs w:val="20"/>
              </w:rPr>
              <w:t>35.584.329</w:t>
            </w:r>
          </w:p>
        </w:tc>
      </w:tr>
    </w:tbl>
    <w:p w:rsidR="00656F99" w:rsidRDefault="00656F99" w:rsidP="00656F99">
      <w:pPr>
        <w:rPr>
          <w:rFonts w:asciiTheme="minorHAnsi" w:hAnsiTheme="minorHAnsi" w:cstheme="minorHAnsi"/>
          <w:sz w:val="16"/>
          <w:szCs w:val="18"/>
        </w:rPr>
      </w:pPr>
      <w:r w:rsidRPr="009C76DB">
        <w:rPr>
          <w:rFonts w:asciiTheme="minorHAnsi" w:hAnsiTheme="minorHAnsi" w:cstheme="minorHAnsi"/>
          <w:sz w:val="16"/>
          <w:szCs w:val="18"/>
        </w:rPr>
        <w:t>Fuente: Elaboración propia.</w:t>
      </w:r>
    </w:p>
    <w:p w:rsidR="00983AA1" w:rsidRPr="009C76DB" w:rsidRDefault="00983AA1" w:rsidP="00656F99">
      <w:pPr>
        <w:rPr>
          <w:rFonts w:asciiTheme="minorHAnsi" w:hAnsiTheme="minorHAnsi" w:cstheme="minorHAnsi"/>
          <w:sz w:val="16"/>
          <w:szCs w:val="18"/>
        </w:rPr>
      </w:pPr>
    </w:p>
    <w:p w:rsidR="00656F99" w:rsidRPr="00821065" w:rsidRDefault="00656F99" w:rsidP="008A366B">
      <w:pPr>
        <w:pStyle w:val="Heading2"/>
        <w:numPr>
          <w:ilvl w:val="1"/>
          <w:numId w:val="1"/>
        </w:numPr>
        <w:spacing w:line="276" w:lineRule="auto"/>
        <w:rPr>
          <w:rFonts w:asciiTheme="minorHAnsi" w:hAnsiTheme="minorHAnsi" w:cstheme="minorHAnsi"/>
          <w:bCs w:val="0"/>
        </w:rPr>
      </w:pPr>
      <w:bookmarkStart w:id="80" w:name="_Toc373093543"/>
      <w:r w:rsidRPr="00821065">
        <w:rPr>
          <w:rFonts w:asciiTheme="minorHAnsi" w:hAnsiTheme="minorHAnsi" w:cstheme="minorHAnsi"/>
          <w:bCs w:val="0"/>
          <w:sz w:val="20"/>
        </w:rPr>
        <w:lastRenderedPageBreak/>
        <w:t>Identificación</w:t>
      </w:r>
      <w:r w:rsidRPr="00821065">
        <w:rPr>
          <w:rFonts w:asciiTheme="minorHAnsi" w:hAnsiTheme="minorHAnsi" w:cstheme="minorHAnsi"/>
          <w:bCs w:val="0"/>
        </w:rPr>
        <w:t xml:space="preserve"> de beneficios y su valoración</w:t>
      </w:r>
      <w:bookmarkEnd w:id="80"/>
    </w:p>
    <w:p w:rsidR="00656F99" w:rsidRPr="009C76DB" w:rsidRDefault="00656F99" w:rsidP="00656F99">
      <w:pPr>
        <w:rPr>
          <w:rFonts w:asciiTheme="minorHAnsi" w:hAnsiTheme="minorHAnsi" w:cstheme="minorHAnsi"/>
          <w:sz w:val="22"/>
        </w:rPr>
      </w:pPr>
    </w:p>
    <w:p w:rsidR="00A67DE4" w:rsidRDefault="00A67DE4" w:rsidP="00A67DE4">
      <w:pPr>
        <w:jc w:val="both"/>
        <w:rPr>
          <w:rFonts w:asciiTheme="minorHAnsi" w:hAnsiTheme="minorHAnsi" w:cstheme="minorHAnsi"/>
          <w:sz w:val="22"/>
        </w:rPr>
      </w:pPr>
      <w:r>
        <w:rPr>
          <w:rFonts w:asciiTheme="minorHAnsi" w:hAnsiTheme="minorHAnsi" w:cstheme="minorHAnsi"/>
          <w:sz w:val="22"/>
        </w:rPr>
        <w:t xml:space="preserve">Antes de identificar los beneficios a evaluar parece necesario señalar que objetivos, incluso explícitos de este tipo de proyectos, como puede ser el entregar servicios sanitarios de una calidad mayor, con servicios centrados en el paciente, son </w:t>
      </w:r>
      <w:r w:rsidR="00170192">
        <w:rPr>
          <w:rFonts w:asciiTheme="minorHAnsi" w:hAnsiTheme="minorHAnsi" w:cstheme="minorHAnsi"/>
          <w:sz w:val="22"/>
        </w:rPr>
        <w:t>difíciles</w:t>
      </w:r>
      <w:r>
        <w:rPr>
          <w:rFonts w:asciiTheme="minorHAnsi" w:hAnsiTheme="minorHAnsi" w:cstheme="minorHAnsi"/>
          <w:sz w:val="22"/>
        </w:rPr>
        <w:t xml:space="preserve"> de representar en una evaluación de costo beneficio social, eventualmente se puede reflejar mediante su expresión en un mayor valor social de las prestaciones sanitarias, lo cual trae aparejado otra serie de problemas, como por ejemplo en cuanto más se puede valorar un servicio con esas características. Como fuere, todos los temas relativos a la mejor gestión de un centro hospitalario no son adecuadamente abordados por este tipo de estudio, y bien pueden explicitarse en documentos complementarios a este tipo de estudios, en los que se aborde el modelo de atención con el que operará el proyecto, o el modelo de gestión integral por el cual se regirá. </w:t>
      </w:r>
    </w:p>
    <w:p w:rsidR="00A67DE4" w:rsidRDefault="00A67DE4" w:rsidP="00656F99">
      <w:pPr>
        <w:jc w:val="both"/>
        <w:rPr>
          <w:rFonts w:asciiTheme="minorHAnsi" w:hAnsiTheme="minorHAnsi" w:cstheme="minorHAnsi"/>
          <w:sz w:val="22"/>
        </w:rPr>
      </w:pPr>
    </w:p>
    <w:p w:rsidR="00656F99" w:rsidRDefault="00656F99" w:rsidP="00656F99">
      <w:pPr>
        <w:jc w:val="both"/>
        <w:rPr>
          <w:rFonts w:asciiTheme="minorHAnsi" w:hAnsiTheme="minorHAnsi" w:cstheme="minorHAnsi"/>
          <w:sz w:val="22"/>
        </w:rPr>
      </w:pPr>
      <w:r w:rsidRPr="009C76DB">
        <w:rPr>
          <w:rFonts w:asciiTheme="minorHAnsi" w:hAnsiTheme="minorHAnsi" w:cstheme="minorHAnsi"/>
          <w:sz w:val="22"/>
        </w:rPr>
        <w:t xml:space="preserve">Los beneficios identificados en esta evaluación son </w:t>
      </w:r>
      <w:r w:rsidR="00F458E6">
        <w:rPr>
          <w:rFonts w:asciiTheme="minorHAnsi" w:hAnsiTheme="minorHAnsi" w:cstheme="minorHAnsi"/>
          <w:sz w:val="22"/>
        </w:rPr>
        <w:t>los que se derivan del aumento del consumo de prestaciones sanitarias por parte de la población</w:t>
      </w:r>
      <w:r w:rsidRPr="009C76DB">
        <w:rPr>
          <w:rFonts w:asciiTheme="minorHAnsi" w:hAnsiTheme="minorHAnsi" w:cstheme="minorHAnsi"/>
          <w:sz w:val="22"/>
        </w:rPr>
        <w:t xml:space="preserve">. </w:t>
      </w:r>
      <w:r w:rsidR="00F458E6">
        <w:rPr>
          <w:rFonts w:asciiTheme="minorHAnsi" w:hAnsiTheme="minorHAnsi" w:cstheme="minorHAnsi"/>
          <w:sz w:val="22"/>
        </w:rPr>
        <w:t xml:space="preserve">La </w:t>
      </w:r>
      <w:r w:rsidRPr="009C76DB">
        <w:rPr>
          <w:rFonts w:asciiTheme="minorHAnsi" w:hAnsiTheme="minorHAnsi" w:cstheme="minorHAnsi"/>
          <w:sz w:val="22"/>
        </w:rPr>
        <w:t>cuantificación se realizó con anterioridad cuando se desarrolla la forma de estimar y proyectar cada una de la demandas por prestaciones sanitarias para la situación sin y con proyecto y cuyo monto en cantidad neta se puede observar en l</w:t>
      </w:r>
      <w:r w:rsidR="00F458E6">
        <w:rPr>
          <w:rFonts w:asciiTheme="minorHAnsi" w:hAnsiTheme="minorHAnsi" w:cstheme="minorHAnsi"/>
          <w:sz w:val="22"/>
        </w:rPr>
        <w:t>os Anexos respectivos</w:t>
      </w:r>
      <w:r w:rsidRPr="009C76DB">
        <w:rPr>
          <w:rFonts w:asciiTheme="minorHAnsi" w:hAnsiTheme="minorHAnsi" w:cstheme="minorHAnsi"/>
          <w:sz w:val="22"/>
        </w:rPr>
        <w:t>.</w:t>
      </w:r>
      <w:r w:rsidR="00F458E6">
        <w:rPr>
          <w:rStyle w:val="FootnoteReference"/>
          <w:rFonts w:asciiTheme="minorHAnsi" w:hAnsiTheme="minorHAnsi" w:cstheme="minorHAnsi"/>
          <w:sz w:val="22"/>
        </w:rPr>
        <w:footnoteReference w:id="74"/>
      </w:r>
    </w:p>
    <w:p w:rsidR="00AD0B97" w:rsidRDefault="00AD0B97" w:rsidP="00AD0B97">
      <w:pPr>
        <w:jc w:val="both"/>
        <w:rPr>
          <w:rFonts w:asciiTheme="minorHAnsi" w:hAnsiTheme="minorHAnsi" w:cstheme="minorHAnsi"/>
          <w:sz w:val="22"/>
        </w:rPr>
      </w:pPr>
    </w:p>
    <w:p w:rsidR="00AD0B97" w:rsidRPr="00AD0B97" w:rsidRDefault="00AD0B97" w:rsidP="00AD0B97">
      <w:pPr>
        <w:jc w:val="both"/>
        <w:rPr>
          <w:rFonts w:asciiTheme="minorHAnsi" w:hAnsiTheme="minorHAnsi" w:cstheme="minorHAnsi"/>
          <w:sz w:val="22"/>
        </w:rPr>
      </w:pPr>
      <w:r w:rsidRPr="00AD0B97">
        <w:rPr>
          <w:rFonts w:asciiTheme="minorHAnsi" w:hAnsiTheme="minorHAnsi" w:cstheme="minorHAnsi"/>
          <w:sz w:val="22"/>
        </w:rPr>
        <w:t>Un segundo beneficio está dado por el ahorro de costos por viajes a consultas médicas de especialidad consideradas en el proyecto,</w:t>
      </w:r>
      <w:r>
        <w:rPr>
          <w:rFonts w:asciiTheme="minorHAnsi" w:hAnsiTheme="minorHAnsi" w:cstheme="minorHAnsi"/>
          <w:sz w:val="22"/>
        </w:rPr>
        <w:t xml:space="preserve"> que ante el escenario de no existencia del mismo se tendrían que realizar en La Paz</w:t>
      </w:r>
      <w:r w:rsidRPr="00AD0B97">
        <w:rPr>
          <w:rFonts w:asciiTheme="minorHAnsi" w:hAnsiTheme="minorHAnsi" w:cstheme="minorHAnsi"/>
          <w:sz w:val="22"/>
        </w:rPr>
        <w:t>.</w:t>
      </w:r>
    </w:p>
    <w:p w:rsidR="00AD0B97" w:rsidRPr="00AD0B97" w:rsidRDefault="00AD0B97" w:rsidP="00AD0B97">
      <w:pPr>
        <w:jc w:val="both"/>
        <w:rPr>
          <w:rFonts w:asciiTheme="minorHAnsi" w:hAnsiTheme="minorHAnsi" w:cstheme="minorHAnsi"/>
          <w:sz w:val="22"/>
        </w:rPr>
      </w:pPr>
    </w:p>
    <w:p w:rsidR="00AD0B97" w:rsidRPr="009C76DB" w:rsidRDefault="00AD0B97" w:rsidP="00AD0B97">
      <w:pPr>
        <w:jc w:val="both"/>
        <w:rPr>
          <w:rFonts w:asciiTheme="minorHAnsi" w:hAnsiTheme="minorHAnsi" w:cstheme="minorHAnsi"/>
          <w:sz w:val="22"/>
        </w:rPr>
      </w:pPr>
      <w:r w:rsidRPr="00AD0B97">
        <w:rPr>
          <w:rFonts w:asciiTheme="minorHAnsi" w:hAnsiTheme="minorHAnsi" w:cstheme="minorHAnsi"/>
          <w:sz w:val="22"/>
        </w:rPr>
        <w:t>Un tercer beneficio proviene de la mayor resolutividad del Hospital producto del proyecto, y que se expresará en ahorros por disminución en la pacientes referidos a establecimientos de salud del tercer nivel de atención</w:t>
      </w:r>
      <w:r>
        <w:rPr>
          <w:rFonts w:asciiTheme="minorHAnsi" w:hAnsiTheme="minorHAnsi" w:cstheme="minorHAnsi"/>
          <w:sz w:val="22"/>
        </w:rPr>
        <w:t xml:space="preserve"> ubicados en La Paz</w:t>
      </w:r>
      <w:r w:rsidRPr="00AD0B97">
        <w:rPr>
          <w:rFonts w:asciiTheme="minorHAnsi" w:hAnsiTheme="minorHAnsi" w:cstheme="minorHAnsi"/>
          <w:sz w:val="22"/>
        </w:rPr>
        <w:t>.</w:t>
      </w:r>
    </w:p>
    <w:p w:rsidR="00656F99" w:rsidRPr="009C76DB" w:rsidRDefault="00656F99" w:rsidP="00656F99">
      <w:pPr>
        <w:jc w:val="both"/>
        <w:rPr>
          <w:rFonts w:asciiTheme="minorHAnsi" w:hAnsiTheme="minorHAnsi" w:cstheme="minorHAnsi"/>
          <w:sz w:val="22"/>
        </w:rPr>
      </w:pPr>
    </w:p>
    <w:p w:rsidR="00656F99" w:rsidRPr="009C76DB" w:rsidRDefault="00656F99" w:rsidP="008A366B">
      <w:pPr>
        <w:pStyle w:val="ListParagraph"/>
        <w:numPr>
          <w:ilvl w:val="0"/>
          <w:numId w:val="4"/>
        </w:numPr>
        <w:jc w:val="both"/>
        <w:rPr>
          <w:rFonts w:asciiTheme="minorHAnsi" w:hAnsiTheme="minorHAnsi" w:cstheme="minorHAnsi"/>
          <w:sz w:val="22"/>
        </w:rPr>
      </w:pPr>
      <w:r w:rsidRPr="009C76DB">
        <w:rPr>
          <w:rFonts w:asciiTheme="minorHAnsi" w:hAnsiTheme="minorHAnsi" w:cstheme="minorHAnsi"/>
          <w:sz w:val="22"/>
        </w:rPr>
        <w:t>Valoración de beneficios por aumento de consumo de prestaciones sanitarios</w:t>
      </w:r>
    </w:p>
    <w:p w:rsidR="00656F99" w:rsidRPr="009C76DB" w:rsidRDefault="00656F99" w:rsidP="00656F99">
      <w:pPr>
        <w:jc w:val="both"/>
        <w:rPr>
          <w:rFonts w:asciiTheme="minorHAnsi" w:hAnsiTheme="minorHAnsi" w:cstheme="minorHAnsi"/>
          <w:sz w:val="22"/>
        </w:rPr>
      </w:pPr>
    </w:p>
    <w:p w:rsidR="00656F99" w:rsidRPr="009C76DB" w:rsidRDefault="00656F99" w:rsidP="00656F99">
      <w:pPr>
        <w:jc w:val="both"/>
        <w:rPr>
          <w:rFonts w:asciiTheme="minorHAnsi" w:hAnsiTheme="minorHAnsi" w:cstheme="minorHAnsi"/>
          <w:sz w:val="22"/>
        </w:rPr>
      </w:pPr>
    </w:p>
    <w:p w:rsidR="00656F99" w:rsidRPr="009C76DB" w:rsidRDefault="00656F99" w:rsidP="00656F99">
      <w:pPr>
        <w:jc w:val="both"/>
        <w:rPr>
          <w:rFonts w:asciiTheme="minorHAnsi" w:hAnsiTheme="minorHAnsi" w:cstheme="minorHAnsi"/>
          <w:sz w:val="22"/>
        </w:rPr>
      </w:pPr>
      <w:r w:rsidRPr="009C76DB">
        <w:rPr>
          <w:rFonts w:asciiTheme="minorHAnsi" w:hAnsiTheme="minorHAnsi" w:cstheme="minorHAnsi"/>
          <w:sz w:val="22"/>
        </w:rPr>
        <w:t>Básicamente</w:t>
      </w:r>
      <w:r w:rsidR="00461F7D">
        <w:rPr>
          <w:rFonts w:asciiTheme="minorHAnsi" w:hAnsiTheme="minorHAnsi" w:cstheme="minorHAnsi"/>
          <w:sz w:val="22"/>
        </w:rPr>
        <w:t>,</w:t>
      </w:r>
      <w:r w:rsidRPr="009C76DB">
        <w:rPr>
          <w:rFonts w:asciiTheme="minorHAnsi" w:hAnsiTheme="minorHAnsi" w:cstheme="minorHAnsi"/>
          <w:sz w:val="22"/>
        </w:rPr>
        <w:t xml:space="preserve"> de lo que se trata en este punto es de valorar el vector de prestaciones incrementales que surge de restar al total de prestaciones médicas determinadas en la situación con proyecto las prestaciones médicas determinadas en la situación sin proyecto</w:t>
      </w:r>
      <w:r w:rsidR="009C6F0E">
        <w:rPr>
          <w:rFonts w:asciiTheme="minorHAnsi" w:hAnsiTheme="minorHAnsi" w:cstheme="minorHAnsi"/>
          <w:sz w:val="22"/>
        </w:rPr>
        <w:t>.</w:t>
      </w:r>
      <w:r w:rsidRPr="009C76DB">
        <w:rPr>
          <w:rFonts w:asciiTheme="minorHAnsi" w:hAnsiTheme="minorHAnsi" w:cstheme="minorHAnsi"/>
          <w:sz w:val="22"/>
        </w:rPr>
        <w:t xml:space="preserve"> Este vector de prestaciones incrementales se valorará por un vector de precios privado (sin iva).</w:t>
      </w:r>
      <w:r w:rsidR="00F458E6">
        <w:rPr>
          <w:rStyle w:val="FootnoteReference"/>
          <w:rFonts w:asciiTheme="minorHAnsi" w:hAnsiTheme="minorHAnsi" w:cstheme="minorHAnsi"/>
          <w:sz w:val="22"/>
        </w:rPr>
        <w:footnoteReference w:id="75"/>
      </w:r>
    </w:p>
    <w:p w:rsidR="00656F99" w:rsidRPr="009C76DB" w:rsidRDefault="00656F99" w:rsidP="00656F99">
      <w:pPr>
        <w:jc w:val="both"/>
        <w:rPr>
          <w:rFonts w:asciiTheme="minorHAnsi" w:hAnsiTheme="minorHAnsi" w:cstheme="minorHAnsi"/>
          <w:sz w:val="22"/>
        </w:rPr>
      </w:pPr>
    </w:p>
    <w:p w:rsidR="008E05C3" w:rsidRDefault="00656F99" w:rsidP="008E05C3">
      <w:pPr>
        <w:jc w:val="both"/>
        <w:rPr>
          <w:rFonts w:asciiTheme="minorHAnsi" w:hAnsiTheme="minorHAnsi" w:cstheme="minorHAnsi"/>
          <w:sz w:val="22"/>
        </w:rPr>
      </w:pPr>
      <w:r w:rsidRPr="009C76DB">
        <w:rPr>
          <w:rFonts w:asciiTheme="minorHAnsi" w:hAnsiTheme="minorHAnsi" w:cstheme="minorHAnsi"/>
          <w:sz w:val="22"/>
        </w:rPr>
        <w:t xml:space="preserve">Los valores para los precios privados (sin iva) utilizados en la valoración de las prestaciones incrementales se observan en la Tabla </w:t>
      </w:r>
      <w:r w:rsidR="00115F22">
        <w:rPr>
          <w:rFonts w:asciiTheme="minorHAnsi" w:hAnsiTheme="minorHAnsi" w:cstheme="minorHAnsi"/>
          <w:sz w:val="22"/>
        </w:rPr>
        <w:t>7</w:t>
      </w:r>
      <w:r w:rsidRPr="009C76DB">
        <w:rPr>
          <w:rFonts w:asciiTheme="minorHAnsi" w:hAnsiTheme="minorHAnsi" w:cstheme="minorHAnsi"/>
          <w:sz w:val="22"/>
        </w:rPr>
        <w:t>.9.</w:t>
      </w:r>
      <w:r w:rsidR="002312A8">
        <w:rPr>
          <w:rFonts w:asciiTheme="minorHAnsi" w:hAnsiTheme="minorHAnsi" w:cstheme="minorHAnsi"/>
          <w:sz w:val="22"/>
        </w:rPr>
        <w:t xml:space="preserve"> Estos precios corresponden a valoraciones de </w:t>
      </w:r>
      <w:r w:rsidR="002312A8">
        <w:rPr>
          <w:rFonts w:asciiTheme="minorHAnsi" w:hAnsiTheme="minorHAnsi" w:cstheme="minorHAnsi"/>
          <w:sz w:val="22"/>
        </w:rPr>
        <w:lastRenderedPageBreak/>
        <w:t xml:space="preserve">prestaciones independientes, es decir, un parto o una </w:t>
      </w:r>
      <w:r w:rsidR="005352F3">
        <w:rPr>
          <w:rFonts w:asciiTheme="minorHAnsi" w:hAnsiTheme="minorHAnsi" w:cstheme="minorHAnsi"/>
          <w:sz w:val="22"/>
        </w:rPr>
        <w:t>cirugía</w:t>
      </w:r>
      <w:r w:rsidR="002312A8">
        <w:rPr>
          <w:rFonts w:asciiTheme="minorHAnsi" w:hAnsiTheme="minorHAnsi" w:cstheme="minorHAnsi"/>
          <w:sz w:val="22"/>
        </w:rPr>
        <w:t xml:space="preserve"> corresponde a una prestación independiente del día cama.</w:t>
      </w:r>
      <w:r w:rsidR="00932BFF">
        <w:rPr>
          <w:rStyle w:val="FootnoteReference"/>
          <w:rFonts w:asciiTheme="minorHAnsi" w:hAnsiTheme="minorHAnsi" w:cstheme="minorHAnsi"/>
          <w:sz w:val="22"/>
        </w:rPr>
        <w:footnoteReference w:id="76"/>
      </w:r>
    </w:p>
    <w:p w:rsidR="008E05C3" w:rsidRDefault="008E05C3" w:rsidP="008E05C3">
      <w:pPr>
        <w:jc w:val="both"/>
        <w:rPr>
          <w:rFonts w:asciiTheme="minorHAnsi" w:hAnsiTheme="minorHAnsi" w:cstheme="minorHAnsi"/>
          <w:sz w:val="22"/>
        </w:rPr>
      </w:pPr>
    </w:p>
    <w:p w:rsidR="00656F99" w:rsidRDefault="00F458E6" w:rsidP="008E05C3">
      <w:pPr>
        <w:jc w:val="both"/>
        <w:rPr>
          <w:rFonts w:asciiTheme="minorHAnsi" w:hAnsiTheme="minorHAnsi" w:cstheme="minorHAnsi"/>
          <w:sz w:val="22"/>
        </w:rPr>
      </w:pPr>
      <w:r>
        <w:rPr>
          <w:rFonts w:asciiTheme="minorHAnsi" w:hAnsiTheme="minorHAnsi" w:cstheme="minorHAnsi"/>
          <w:sz w:val="22"/>
        </w:rPr>
        <w:t xml:space="preserve">Tabla </w:t>
      </w:r>
      <w:r w:rsidR="00115F22">
        <w:rPr>
          <w:rFonts w:asciiTheme="minorHAnsi" w:hAnsiTheme="minorHAnsi" w:cstheme="minorHAnsi"/>
          <w:sz w:val="22"/>
        </w:rPr>
        <w:t>7</w:t>
      </w:r>
      <w:r w:rsidR="00656F99" w:rsidRPr="009C76DB">
        <w:rPr>
          <w:rFonts w:asciiTheme="minorHAnsi" w:hAnsiTheme="minorHAnsi" w:cstheme="minorHAnsi"/>
          <w:sz w:val="22"/>
        </w:rPr>
        <w:t>.9: Precios privados utilizados en valoración de aumento incremental de prestaciones sanitarias</w:t>
      </w:r>
    </w:p>
    <w:tbl>
      <w:tblPr>
        <w:tblStyle w:val="LightShading-Accent3"/>
        <w:tblW w:w="9001" w:type="dxa"/>
        <w:tblLook w:val="04A0" w:firstRow="1" w:lastRow="0" w:firstColumn="1" w:lastColumn="0" w:noHBand="0" w:noVBand="1"/>
      </w:tblPr>
      <w:tblGrid>
        <w:gridCol w:w="1467"/>
        <w:gridCol w:w="718"/>
        <w:gridCol w:w="683"/>
        <w:gridCol w:w="6133"/>
      </w:tblGrid>
      <w:tr w:rsidR="00A32295" w:rsidRPr="00A32295" w:rsidTr="0051254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7" w:type="dxa"/>
            <w:noWrap/>
            <w:vAlign w:val="center"/>
            <w:hideMark/>
          </w:tcPr>
          <w:p w:rsidR="00A32295" w:rsidRPr="00A32295" w:rsidRDefault="00A32295" w:rsidP="0051254F">
            <w:pPr>
              <w:jc w:val="center"/>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Prestación</w:t>
            </w:r>
          </w:p>
        </w:tc>
        <w:tc>
          <w:tcPr>
            <w:tcW w:w="718" w:type="dxa"/>
            <w:noWrap/>
            <w:vAlign w:val="center"/>
            <w:hideMark/>
          </w:tcPr>
          <w:p w:rsidR="00A32295" w:rsidRPr="00A32295" w:rsidRDefault="00A32295" w:rsidP="00A3229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Precio min</w:t>
            </w:r>
          </w:p>
        </w:tc>
        <w:tc>
          <w:tcPr>
            <w:tcW w:w="683" w:type="dxa"/>
            <w:noWrap/>
            <w:vAlign w:val="center"/>
            <w:hideMark/>
          </w:tcPr>
          <w:p w:rsidR="00A32295" w:rsidRPr="00A32295" w:rsidRDefault="00A32295" w:rsidP="00A3229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Precio max</w:t>
            </w:r>
          </w:p>
        </w:tc>
        <w:tc>
          <w:tcPr>
            <w:tcW w:w="6133" w:type="dxa"/>
            <w:noWrap/>
            <w:vAlign w:val="center"/>
            <w:hideMark/>
          </w:tcPr>
          <w:p w:rsidR="00A32295" w:rsidRPr="00A32295" w:rsidRDefault="00A32295" w:rsidP="00A3229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Fuente</w:t>
            </w:r>
          </w:p>
        </w:tc>
      </w:tr>
      <w:tr w:rsidR="00A32295" w:rsidRPr="005004E7" w:rsidTr="005125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7" w:type="dxa"/>
            <w:noWrap/>
            <w:vAlign w:val="center"/>
            <w:hideMark/>
          </w:tcPr>
          <w:p w:rsidR="00A32295" w:rsidRPr="00A32295" w:rsidRDefault="00A32295" w:rsidP="0051254F">
            <w:pPr>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Días cama</w:t>
            </w:r>
          </w:p>
        </w:tc>
        <w:tc>
          <w:tcPr>
            <w:tcW w:w="718" w:type="dxa"/>
            <w:noWrap/>
            <w:vAlign w:val="center"/>
            <w:hideMark/>
          </w:tcPr>
          <w:p w:rsidR="00A32295" w:rsidRPr="00A32295" w:rsidRDefault="00A32295" w:rsidP="00A322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104,8</w:t>
            </w:r>
          </w:p>
        </w:tc>
        <w:tc>
          <w:tcPr>
            <w:tcW w:w="683" w:type="dxa"/>
            <w:noWrap/>
            <w:vAlign w:val="center"/>
            <w:hideMark/>
          </w:tcPr>
          <w:p w:rsidR="00A32295" w:rsidRPr="00A32295" w:rsidRDefault="00A32295" w:rsidP="00A322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6133" w:type="dxa"/>
            <w:noWrap/>
            <w:vAlign w:val="center"/>
            <w:hideMark/>
          </w:tcPr>
          <w:p w:rsidR="00A32295" w:rsidRPr="005004E7" w:rsidRDefault="00A32295" w:rsidP="00A322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pt-BR" w:eastAsia="es-CL"/>
              </w:rPr>
            </w:pPr>
            <w:r w:rsidRPr="005004E7">
              <w:rPr>
                <w:rFonts w:asciiTheme="minorHAnsi" w:hAnsiTheme="minorHAnsi"/>
                <w:color w:val="000000"/>
                <w:sz w:val="18"/>
                <w:szCs w:val="18"/>
                <w:lang w:val="pt-BR" w:eastAsia="es-CL"/>
              </w:rPr>
              <w:t xml:space="preserve">Ajuste Estudio </w:t>
            </w:r>
            <w:r w:rsidR="0069361D" w:rsidRPr="005004E7">
              <w:rPr>
                <w:rFonts w:asciiTheme="minorHAnsi" w:hAnsiTheme="minorHAnsi"/>
                <w:color w:val="000000"/>
                <w:sz w:val="18"/>
                <w:szCs w:val="18"/>
                <w:lang w:val="pt-BR" w:eastAsia="es-CL"/>
              </w:rPr>
              <w:t xml:space="preserve">CB </w:t>
            </w:r>
            <w:r w:rsidRPr="005004E7">
              <w:rPr>
                <w:rFonts w:asciiTheme="minorHAnsi" w:hAnsiTheme="minorHAnsi"/>
                <w:color w:val="000000"/>
                <w:sz w:val="18"/>
                <w:szCs w:val="18"/>
                <w:lang w:val="pt-BR" w:eastAsia="es-CL"/>
              </w:rPr>
              <w:t>Hospital Daniel Bracamonte Potosí</w:t>
            </w:r>
          </w:p>
        </w:tc>
      </w:tr>
      <w:tr w:rsidR="00A32295" w:rsidRPr="005004E7" w:rsidTr="0051254F">
        <w:trPr>
          <w:trHeight w:val="20"/>
        </w:trPr>
        <w:tc>
          <w:tcPr>
            <w:cnfStyle w:val="001000000000" w:firstRow="0" w:lastRow="0" w:firstColumn="1" w:lastColumn="0" w:oddVBand="0" w:evenVBand="0" w:oddHBand="0" w:evenHBand="0" w:firstRowFirstColumn="0" w:firstRowLastColumn="0" w:lastRowFirstColumn="0" w:lastRowLastColumn="0"/>
            <w:tcW w:w="1467" w:type="dxa"/>
            <w:noWrap/>
            <w:vAlign w:val="center"/>
            <w:hideMark/>
          </w:tcPr>
          <w:p w:rsidR="00A32295" w:rsidRPr="00A32295" w:rsidRDefault="00A32295" w:rsidP="0051254F">
            <w:pPr>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Días cama maternidad</w:t>
            </w:r>
          </w:p>
        </w:tc>
        <w:tc>
          <w:tcPr>
            <w:tcW w:w="718" w:type="dxa"/>
            <w:noWrap/>
            <w:vAlign w:val="center"/>
            <w:hideMark/>
          </w:tcPr>
          <w:p w:rsidR="00A32295" w:rsidRPr="00A32295" w:rsidRDefault="00A32295" w:rsidP="00A322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104,8</w:t>
            </w:r>
          </w:p>
        </w:tc>
        <w:tc>
          <w:tcPr>
            <w:tcW w:w="683" w:type="dxa"/>
            <w:noWrap/>
            <w:vAlign w:val="center"/>
            <w:hideMark/>
          </w:tcPr>
          <w:p w:rsidR="00A32295" w:rsidRPr="00A32295" w:rsidRDefault="00A32295" w:rsidP="00A322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6133" w:type="dxa"/>
            <w:noWrap/>
            <w:vAlign w:val="center"/>
            <w:hideMark/>
          </w:tcPr>
          <w:p w:rsidR="00A32295" w:rsidRPr="005004E7" w:rsidRDefault="00A32295" w:rsidP="00A3229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pt-BR" w:eastAsia="es-CL"/>
              </w:rPr>
            </w:pPr>
            <w:r w:rsidRPr="005004E7">
              <w:rPr>
                <w:rFonts w:asciiTheme="minorHAnsi" w:hAnsiTheme="minorHAnsi"/>
                <w:color w:val="000000"/>
                <w:sz w:val="18"/>
                <w:szCs w:val="18"/>
                <w:lang w:val="pt-BR" w:eastAsia="es-CL"/>
              </w:rPr>
              <w:t xml:space="preserve">Ajuste Estudio </w:t>
            </w:r>
            <w:r w:rsidR="0069361D" w:rsidRPr="005004E7">
              <w:rPr>
                <w:rFonts w:asciiTheme="minorHAnsi" w:hAnsiTheme="minorHAnsi"/>
                <w:color w:val="000000"/>
                <w:sz w:val="18"/>
                <w:szCs w:val="18"/>
                <w:lang w:val="pt-BR" w:eastAsia="es-CL"/>
              </w:rPr>
              <w:t xml:space="preserve">CB </w:t>
            </w:r>
            <w:r w:rsidRPr="005004E7">
              <w:rPr>
                <w:rFonts w:asciiTheme="minorHAnsi" w:hAnsiTheme="minorHAnsi"/>
                <w:color w:val="000000"/>
                <w:sz w:val="18"/>
                <w:szCs w:val="18"/>
                <w:lang w:val="pt-BR" w:eastAsia="es-CL"/>
              </w:rPr>
              <w:t>Hospital Daniel Bracamonte Potosí</w:t>
            </w:r>
          </w:p>
        </w:tc>
      </w:tr>
      <w:tr w:rsidR="00A32295" w:rsidRPr="005004E7" w:rsidTr="005125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7" w:type="dxa"/>
            <w:noWrap/>
            <w:vAlign w:val="center"/>
            <w:hideMark/>
          </w:tcPr>
          <w:p w:rsidR="00A32295" w:rsidRPr="00A32295" w:rsidRDefault="00A32295" w:rsidP="0051254F">
            <w:pPr>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Parto normal</w:t>
            </w:r>
          </w:p>
        </w:tc>
        <w:tc>
          <w:tcPr>
            <w:tcW w:w="718" w:type="dxa"/>
            <w:noWrap/>
            <w:vAlign w:val="center"/>
            <w:hideMark/>
          </w:tcPr>
          <w:p w:rsidR="00A32295" w:rsidRPr="00A32295" w:rsidRDefault="00A32295" w:rsidP="00A322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733,6</w:t>
            </w:r>
          </w:p>
        </w:tc>
        <w:tc>
          <w:tcPr>
            <w:tcW w:w="683" w:type="dxa"/>
            <w:noWrap/>
            <w:vAlign w:val="center"/>
            <w:hideMark/>
          </w:tcPr>
          <w:p w:rsidR="00A32295" w:rsidRPr="00A32295" w:rsidRDefault="00A32295" w:rsidP="00A322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6133" w:type="dxa"/>
            <w:noWrap/>
            <w:vAlign w:val="center"/>
            <w:hideMark/>
          </w:tcPr>
          <w:p w:rsidR="00A32295" w:rsidRPr="005004E7" w:rsidRDefault="00A32295" w:rsidP="00A322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pt-BR" w:eastAsia="es-CL"/>
              </w:rPr>
            </w:pPr>
            <w:r w:rsidRPr="005004E7">
              <w:rPr>
                <w:rFonts w:asciiTheme="minorHAnsi" w:hAnsiTheme="minorHAnsi"/>
                <w:color w:val="000000"/>
                <w:sz w:val="18"/>
                <w:szCs w:val="18"/>
                <w:lang w:val="pt-BR" w:eastAsia="es-CL"/>
              </w:rPr>
              <w:t xml:space="preserve">Ajuste Estudio </w:t>
            </w:r>
            <w:r w:rsidR="0069361D" w:rsidRPr="005004E7">
              <w:rPr>
                <w:rFonts w:asciiTheme="minorHAnsi" w:hAnsiTheme="minorHAnsi"/>
                <w:color w:val="000000"/>
                <w:sz w:val="18"/>
                <w:szCs w:val="18"/>
                <w:lang w:val="pt-BR" w:eastAsia="es-CL"/>
              </w:rPr>
              <w:t xml:space="preserve">CB </w:t>
            </w:r>
            <w:r w:rsidRPr="005004E7">
              <w:rPr>
                <w:rFonts w:asciiTheme="minorHAnsi" w:hAnsiTheme="minorHAnsi"/>
                <w:color w:val="000000"/>
                <w:sz w:val="18"/>
                <w:szCs w:val="18"/>
                <w:lang w:val="pt-BR" w:eastAsia="es-CL"/>
              </w:rPr>
              <w:t>Hospital Daniel Bracamonte Potosí</w:t>
            </w:r>
          </w:p>
        </w:tc>
      </w:tr>
      <w:tr w:rsidR="00A32295" w:rsidRPr="005004E7" w:rsidTr="0051254F">
        <w:trPr>
          <w:trHeight w:val="20"/>
        </w:trPr>
        <w:tc>
          <w:tcPr>
            <w:cnfStyle w:val="001000000000" w:firstRow="0" w:lastRow="0" w:firstColumn="1" w:lastColumn="0" w:oddVBand="0" w:evenVBand="0" w:oddHBand="0" w:evenHBand="0" w:firstRowFirstColumn="0" w:firstRowLastColumn="0" w:lastRowFirstColumn="0" w:lastRowLastColumn="0"/>
            <w:tcW w:w="1467" w:type="dxa"/>
            <w:noWrap/>
            <w:vAlign w:val="center"/>
            <w:hideMark/>
          </w:tcPr>
          <w:p w:rsidR="00A32295" w:rsidRPr="00A32295" w:rsidRDefault="00A32295" w:rsidP="0051254F">
            <w:pPr>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 xml:space="preserve">Parto </w:t>
            </w:r>
            <w:r w:rsidR="005352F3" w:rsidRPr="00A32295">
              <w:rPr>
                <w:rFonts w:asciiTheme="minorHAnsi" w:hAnsiTheme="minorHAnsi"/>
                <w:color w:val="000000"/>
                <w:sz w:val="18"/>
                <w:szCs w:val="18"/>
                <w:lang w:val="es-CL" w:eastAsia="es-CL"/>
              </w:rPr>
              <w:t>cesárea</w:t>
            </w:r>
          </w:p>
        </w:tc>
        <w:tc>
          <w:tcPr>
            <w:tcW w:w="718" w:type="dxa"/>
            <w:noWrap/>
            <w:vAlign w:val="center"/>
            <w:hideMark/>
          </w:tcPr>
          <w:p w:rsidR="00A32295" w:rsidRPr="00A32295" w:rsidRDefault="00A32295" w:rsidP="00A322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3248,8</w:t>
            </w:r>
          </w:p>
        </w:tc>
        <w:tc>
          <w:tcPr>
            <w:tcW w:w="683" w:type="dxa"/>
            <w:noWrap/>
            <w:vAlign w:val="center"/>
            <w:hideMark/>
          </w:tcPr>
          <w:p w:rsidR="00A32295" w:rsidRPr="00A32295" w:rsidRDefault="00A32295" w:rsidP="00A322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6133" w:type="dxa"/>
            <w:noWrap/>
            <w:vAlign w:val="center"/>
            <w:hideMark/>
          </w:tcPr>
          <w:p w:rsidR="00A32295" w:rsidRPr="005004E7" w:rsidRDefault="00A32295" w:rsidP="00A3229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pt-BR" w:eastAsia="es-CL"/>
              </w:rPr>
            </w:pPr>
            <w:r w:rsidRPr="005004E7">
              <w:rPr>
                <w:rFonts w:asciiTheme="minorHAnsi" w:hAnsiTheme="minorHAnsi"/>
                <w:color w:val="000000"/>
                <w:sz w:val="18"/>
                <w:szCs w:val="18"/>
                <w:lang w:val="pt-BR" w:eastAsia="es-CL"/>
              </w:rPr>
              <w:t xml:space="preserve">Ajuste Estudio </w:t>
            </w:r>
            <w:r w:rsidR="0069361D" w:rsidRPr="005004E7">
              <w:rPr>
                <w:rFonts w:asciiTheme="minorHAnsi" w:hAnsiTheme="minorHAnsi"/>
                <w:color w:val="000000"/>
                <w:sz w:val="18"/>
                <w:szCs w:val="18"/>
                <w:lang w:val="pt-BR" w:eastAsia="es-CL"/>
              </w:rPr>
              <w:t xml:space="preserve">CB </w:t>
            </w:r>
            <w:r w:rsidRPr="005004E7">
              <w:rPr>
                <w:rFonts w:asciiTheme="minorHAnsi" w:hAnsiTheme="minorHAnsi"/>
                <w:color w:val="000000"/>
                <w:sz w:val="18"/>
                <w:szCs w:val="18"/>
                <w:lang w:val="pt-BR" w:eastAsia="es-CL"/>
              </w:rPr>
              <w:t>Hospital Daniel Bracamonte Potosí</w:t>
            </w:r>
          </w:p>
        </w:tc>
      </w:tr>
      <w:tr w:rsidR="00A32295" w:rsidRPr="005004E7" w:rsidTr="005125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7" w:type="dxa"/>
            <w:noWrap/>
            <w:vAlign w:val="center"/>
            <w:hideMark/>
          </w:tcPr>
          <w:p w:rsidR="00A32295" w:rsidRPr="00A32295" w:rsidRDefault="00A32295" w:rsidP="0051254F">
            <w:pPr>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Consulta especialidad</w:t>
            </w:r>
          </w:p>
        </w:tc>
        <w:tc>
          <w:tcPr>
            <w:tcW w:w="718" w:type="dxa"/>
            <w:noWrap/>
            <w:vAlign w:val="center"/>
            <w:hideMark/>
          </w:tcPr>
          <w:p w:rsidR="00A32295" w:rsidRPr="00A32295" w:rsidRDefault="00A32295" w:rsidP="00A322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62,9</w:t>
            </w:r>
          </w:p>
        </w:tc>
        <w:tc>
          <w:tcPr>
            <w:tcW w:w="683" w:type="dxa"/>
            <w:noWrap/>
            <w:vAlign w:val="center"/>
            <w:hideMark/>
          </w:tcPr>
          <w:p w:rsidR="00A32295" w:rsidRPr="00A32295" w:rsidRDefault="00A32295" w:rsidP="00A322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6133" w:type="dxa"/>
            <w:noWrap/>
            <w:vAlign w:val="center"/>
            <w:hideMark/>
          </w:tcPr>
          <w:p w:rsidR="00A32295" w:rsidRPr="005004E7" w:rsidRDefault="00A32295" w:rsidP="00A322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pt-BR" w:eastAsia="es-CL"/>
              </w:rPr>
            </w:pPr>
            <w:r w:rsidRPr="005004E7">
              <w:rPr>
                <w:rFonts w:asciiTheme="minorHAnsi" w:hAnsiTheme="minorHAnsi"/>
                <w:color w:val="000000"/>
                <w:sz w:val="18"/>
                <w:szCs w:val="18"/>
                <w:lang w:val="pt-BR" w:eastAsia="es-CL"/>
              </w:rPr>
              <w:t xml:space="preserve">Ajuste Estudio </w:t>
            </w:r>
            <w:r w:rsidR="0069361D" w:rsidRPr="005004E7">
              <w:rPr>
                <w:rFonts w:asciiTheme="minorHAnsi" w:hAnsiTheme="minorHAnsi"/>
                <w:color w:val="000000"/>
                <w:sz w:val="18"/>
                <w:szCs w:val="18"/>
                <w:lang w:val="pt-BR" w:eastAsia="es-CL"/>
              </w:rPr>
              <w:t xml:space="preserve">CB </w:t>
            </w:r>
            <w:r w:rsidRPr="005004E7">
              <w:rPr>
                <w:rFonts w:asciiTheme="minorHAnsi" w:hAnsiTheme="minorHAnsi"/>
                <w:color w:val="000000"/>
                <w:sz w:val="18"/>
                <w:szCs w:val="18"/>
                <w:lang w:val="pt-BR" w:eastAsia="es-CL"/>
              </w:rPr>
              <w:t>Hospital Daniel Bracamonte Potosí</w:t>
            </w:r>
          </w:p>
        </w:tc>
      </w:tr>
      <w:tr w:rsidR="00A32295" w:rsidRPr="005004E7" w:rsidTr="0051254F">
        <w:trPr>
          <w:trHeight w:val="20"/>
        </w:trPr>
        <w:tc>
          <w:tcPr>
            <w:cnfStyle w:val="001000000000" w:firstRow="0" w:lastRow="0" w:firstColumn="1" w:lastColumn="0" w:oddVBand="0" w:evenVBand="0" w:oddHBand="0" w:evenHBand="0" w:firstRowFirstColumn="0" w:firstRowLastColumn="0" w:lastRowFirstColumn="0" w:lastRowLastColumn="0"/>
            <w:tcW w:w="1467" w:type="dxa"/>
            <w:noWrap/>
            <w:vAlign w:val="center"/>
            <w:hideMark/>
          </w:tcPr>
          <w:p w:rsidR="00A32295" w:rsidRPr="00A32295" w:rsidRDefault="00A32295" w:rsidP="0051254F">
            <w:pPr>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Urgencia</w:t>
            </w:r>
          </w:p>
        </w:tc>
        <w:tc>
          <w:tcPr>
            <w:tcW w:w="718" w:type="dxa"/>
            <w:noWrap/>
            <w:vAlign w:val="center"/>
            <w:hideMark/>
          </w:tcPr>
          <w:p w:rsidR="00A32295" w:rsidRPr="00A32295" w:rsidRDefault="00A32295" w:rsidP="00A322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78,6</w:t>
            </w:r>
          </w:p>
        </w:tc>
        <w:tc>
          <w:tcPr>
            <w:tcW w:w="683" w:type="dxa"/>
            <w:noWrap/>
            <w:vAlign w:val="center"/>
            <w:hideMark/>
          </w:tcPr>
          <w:p w:rsidR="00A32295" w:rsidRPr="00A32295" w:rsidRDefault="00A32295" w:rsidP="00A322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6133" w:type="dxa"/>
            <w:noWrap/>
            <w:vAlign w:val="center"/>
            <w:hideMark/>
          </w:tcPr>
          <w:p w:rsidR="00A32295" w:rsidRPr="005004E7" w:rsidRDefault="00A32295" w:rsidP="00A3229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pt-BR" w:eastAsia="es-CL"/>
              </w:rPr>
            </w:pPr>
            <w:r w:rsidRPr="005004E7">
              <w:rPr>
                <w:rFonts w:asciiTheme="minorHAnsi" w:hAnsiTheme="minorHAnsi"/>
                <w:color w:val="000000"/>
                <w:sz w:val="18"/>
                <w:szCs w:val="18"/>
                <w:lang w:val="pt-BR" w:eastAsia="es-CL"/>
              </w:rPr>
              <w:t xml:space="preserve">Ajuste Estudio </w:t>
            </w:r>
            <w:r w:rsidR="0069361D" w:rsidRPr="005004E7">
              <w:rPr>
                <w:rFonts w:asciiTheme="minorHAnsi" w:hAnsiTheme="minorHAnsi"/>
                <w:color w:val="000000"/>
                <w:sz w:val="18"/>
                <w:szCs w:val="18"/>
                <w:lang w:val="pt-BR" w:eastAsia="es-CL"/>
              </w:rPr>
              <w:t xml:space="preserve">CB </w:t>
            </w:r>
            <w:r w:rsidRPr="005004E7">
              <w:rPr>
                <w:rFonts w:asciiTheme="minorHAnsi" w:hAnsiTheme="minorHAnsi"/>
                <w:color w:val="000000"/>
                <w:sz w:val="18"/>
                <w:szCs w:val="18"/>
                <w:lang w:val="pt-BR" w:eastAsia="es-CL"/>
              </w:rPr>
              <w:t>Hospital Daniel Bracamonte Potosí</w:t>
            </w:r>
          </w:p>
        </w:tc>
      </w:tr>
      <w:tr w:rsidR="00A32295" w:rsidRPr="005004E7" w:rsidTr="005125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7" w:type="dxa"/>
            <w:noWrap/>
            <w:vAlign w:val="center"/>
            <w:hideMark/>
          </w:tcPr>
          <w:p w:rsidR="00A32295" w:rsidRPr="00A32295" w:rsidRDefault="00A32295" w:rsidP="0051254F">
            <w:pPr>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 xml:space="preserve">Intervención </w:t>
            </w:r>
            <w:r w:rsidR="005352F3" w:rsidRPr="00A32295">
              <w:rPr>
                <w:rFonts w:asciiTheme="minorHAnsi" w:hAnsiTheme="minorHAnsi"/>
                <w:color w:val="000000"/>
                <w:sz w:val="18"/>
                <w:szCs w:val="18"/>
                <w:lang w:val="es-CL" w:eastAsia="es-CL"/>
              </w:rPr>
              <w:t>quirúrgica</w:t>
            </w:r>
          </w:p>
        </w:tc>
        <w:tc>
          <w:tcPr>
            <w:tcW w:w="718" w:type="dxa"/>
            <w:noWrap/>
            <w:vAlign w:val="center"/>
            <w:hideMark/>
          </w:tcPr>
          <w:p w:rsidR="00A32295" w:rsidRPr="00A32295" w:rsidRDefault="00A32295" w:rsidP="00A322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1572,0</w:t>
            </w:r>
          </w:p>
        </w:tc>
        <w:tc>
          <w:tcPr>
            <w:tcW w:w="683" w:type="dxa"/>
            <w:noWrap/>
            <w:vAlign w:val="center"/>
            <w:hideMark/>
          </w:tcPr>
          <w:p w:rsidR="00A32295" w:rsidRPr="00A32295" w:rsidRDefault="00A32295" w:rsidP="00A322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6133" w:type="dxa"/>
            <w:noWrap/>
            <w:vAlign w:val="center"/>
            <w:hideMark/>
          </w:tcPr>
          <w:p w:rsidR="00A32295" w:rsidRPr="005004E7" w:rsidRDefault="00A32295" w:rsidP="00A322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pt-BR" w:eastAsia="es-CL"/>
              </w:rPr>
            </w:pPr>
            <w:r w:rsidRPr="005004E7">
              <w:rPr>
                <w:rFonts w:asciiTheme="minorHAnsi" w:hAnsiTheme="minorHAnsi"/>
                <w:color w:val="000000"/>
                <w:sz w:val="18"/>
                <w:szCs w:val="18"/>
                <w:lang w:val="pt-BR" w:eastAsia="es-CL"/>
              </w:rPr>
              <w:t xml:space="preserve">Ajuste Estudio </w:t>
            </w:r>
            <w:r w:rsidR="0069361D" w:rsidRPr="005004E7">
              <w:rPr>
                <w:rFonts w:asciiTheme="minorHAnsi" w:hAnsiTheme="minorHAnsi"/>
                <w:color w:val="000000"/>
                <w:sz w:val="18"/>
                <w:szCs w:val="18"/>
                <w:lang w:val="pt-BR" w:eastAsia="es-CL"/>
              </w:rPr>
              <w:t xml:space="preserve">CB </w:t>
            </w:r>
            <w:r w:rsidRPr="005004E7">
              <w:rPr>
                <w:rFonts w:asciiTheme="minorHAnsi" w:hAnsiTheme="minorHAnsi"/>
                <w:color w:val="000000"/>
                <w:sz w:val="18"/>
                <w:szCs w:val="18"/>
                <w:lang w:val="pt-BR" w:eastAsia="es-CL"/>
              </w:rPr>
              <w:t>Hospital Daniel Bracamonte Potosí</w:t>
            </w:r>
          </w:p>
        </w:tc>
      </w:tr>
      <w:tr w:rsidR="00A32295" w:rsidRPr="005004E7" w:rsidTr="0051254F">
        <w:trPr>
          <w:trHeight w:val="20"/>
        </w:trPr>
        <w:tc>
          <w:tcPr>
            <w:cnfStyle w:val="001000000000" w:firstRow="0" w:lastRow="0" w:firstColumn="1" w:lastColumn="0" w:oddVBand="0" w:evenVBand="0" w:oddHBand="0" w:evenHBand="0" w:firstRowFirstColumn="0" w:firstRowLastColumn="0" w:lastRowFirstColumn="0" w:lastRowLastColumn="0"/>
            <w:tcW w:w="1467" w:type="dxa"/>
            <w:noWrap/>
            <w:vAlign w:val="center"/>
            <w:hideMark/>
          </w:tcPr>
          <w:p w:rsidR="00A32295" w:rsidRPr="00A32295" w:rsidRDefault="005352F3" w:rsidP="0051254F">
            <w:pPr>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Diálisis</w:t>
            </w:r>
          </w:p>
        </w:tc>
        <w:tc>
          <w:tcPr>
            <w:tcW w:w="718" w:type="dxa"/>
            <w:noWrap/>
            <w:vAlign w:val="center"/>
            <w:hideMark/>
          </w:tcPr>
          <w:p w:rsidR="00A32295" w:rsidRPr="00A32295" w:rsidRDefault="00A32295" w:rsidP="00A322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1320,5</w:t>
            </w:r>
          </w:p>
        </w:tc>
        <w:tc>
          <w:tcPr>
            <w:tcW w:w="683" w:type="dxa"/>
            <w:noWrap/>
            <w:vAlign w:val="center"/>
            <w:hideMark/>
          </w:tcPr>
          <w:p w:rsidR="00A32295" w:rsidRPr="00A32295" w:rsidRDefault="00A32295" w:rsidP="00A322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6133" w:type="dxa"/>
            <w:noWrap/>
            <w:vAlign w:val="center"/>
            <w:hideMark/>
          </w:tcPr>
          <w:p w:rsidR="00A32295" w:rsidRPr="005004E7" w:rsidRDefault="00A32295" w:rsidP="00A3229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pt-BR" w:eastAsia="es-CL"/>
              </w:rPr>
            </w:pPr>
            <w:r w:rsidRPr="005004E7">
              <w:rPr>
                <w:rFonts w:asciiTheme="minorHAnsi" w:hAnsiTheme="minorHAnsi"/>
                <w:color w:val="000000"/>
                <w:sz w:val="18"/>
                <w:szCs w:val="18"/>
                <w:lang w:val="pt-BR" w:eastAsia="es-CL"/>
              </w:rPr>
              <w:t xml:space="preserve">Ajuste Estudio </w:t>
            </w:r>
            <w:r w:rsidR="0069361D" w:rsidRPr="005004E7">
              <w:rPr>
                <w:rFonts w:asciiTheme="minorHAnsi" w:hAnsiTheme="minorHAnsi"/>
                <w:color w:val="000000"/>
                <w:sz w:val="18"/>
                <w:szCs w:val="18"/>
                <w:lang w:val="pt-BR" w:eastAsia="es-CL"/>
              </w:rPr>
              <w:t xml:space="preserve">CB </w:t>
            </w:r>
            <w:r w:rsidRPr="005004E7">
              <w:rPr>
                <w:rFonts w:asciiTheme="minorHAnsi" w:hAnsiTheme="minorHAnsi"/>
                <w:color w:val="000000"/>
                <w:sz w:val="18"/>
                <w:szCs w:val="18"/>
                <w:lang w:val="pt-BR" w:eastAsia="es-CL"/>
              </w:rPr>
              <w:t>Hospital Daniel Bracamonte Potosí</w:t>
            </w:r>
          </w:p>
        </w:tc>
      </w:tr>
      <w:tr w:rsidR="00A32295" w:rsidRPr="00A32295" w:rsidTr="005125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7" w:type="dxa"/>
            <w:noWrap/>
            <w:vAlign w:val="center"/>
            <w:hideMark/>
          </w:tcPr>
          <w:p w:rsidR="00A32295" w:rsidRPr="00A32295" w:rsidRDefault="00A32295" w:rsidP="0051254F">
            <w:pPr>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 xml:space="preserve">Resonancia </w:t>
            </w:r>
            <w:r w:rsidR="005352F3" w:rsidRPr="00A32295">
              <w:rPr>
                <w:rFonts w:asciiTheme="minorHAnsi" w:hAnsiTheme="minorHAnsi"/>
                <w:color w:val="000000"/>
                <w:sz w:val="18"/>
                <w:szCs w:val="18"/>
                <w:lang w:val="es-CL" w:eastAsia="es-CL"/>
              </w:rPr>
              <w:t>magnética</w:t>
            </w:r>
          </w:p>
        </w:tc>
        <w:tc>
          <w:tcPr>
            <w:tcW w:w="718" w:type="dxa"/>
            <w:noWrap/>
            <w:vAlign w:val="center"/>
            <w:hideMark/>
          </w:tcPr>
          <w:p w:rsidR="00A32295" w:rsidRPr="00A32295" w:rsidRDefault="00A32295" w:rsidP="00A322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900,0</w:t>
            </w:r>
          </w:p>
        </w:tc>
        <w:tc>
          <w:tcPr>
            <w:tcW w:w="683" w:type="dxa"/>
            <w:noWrap/>
            <w:vAlign w:val="center"/>
            <w:hideMark/>
          </w:tcPr>
          <w:p w:rsidR="00A32295" w:rsidRPr="00A32295" w:rsidRDefault="00A32295" w:rsidP="00A322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2500</w:t>
            </w:r>
          </w:p>
        </w:tc>
        <w:tc>
          <w:tcPr>
            <w:tcW w:w="6133" w:type="dxa"/>
            <w:noWrap/>
            <w:vAlign w:val="center"/>
            <w:hideMark/>
          </w:tcPr>
          <w:p w:rsidR="00A32295" w:rsidRPr="00A32295" w:rsidRDefault="00E52595" w:rsidP="00A322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FF"/>
                <w:sz w:val="18"/>
                <w:szCs w:val="18"/>
                <w:u w:val="single"/>
                <w:lang w:val="es-CL" w:eastAsia="es-CL"/>
              </w:rPr>
            </w:pPr>
            <w:hyperlink r:id="rId15" w:history="1">
              <w:r w:rsidR="00A32295" w:rsidRPr="00A32295">
                <w:rPr>
                  <w:rFonts w:asciiTheme="minorHAnsi" w:hAnsiTheme="minorHAnsi"/>
                  <w:color w:val="0000FF"/>
                  <w:sz w:val="18"/>
                  <w:szCs w:val="18"/>
                  <w:u w:val="single"/>
                  <w:lang w:val="es-CL" w:eastAsia="es-CL"/>
                </w:rPr>
                <w:t>http://medicinaintercultural.org/etiqueta/resonancia-magn%C3%A9tica</w:t>
              </w:r>
            </w:hyperlink>
          </w:p>
        </w:tc>
      </w:tr>
      <w:tr w:rsidR="00A32295" w:rsidRPr="00A32295" w:rsidTr="0051254F">
        <w:trPr>
          <w:trHeight w:val="20"/>
        </w:trPr>
        <w:tc>
          <w:tcPr>
            <w:cnfStyle w:val="001000000000" w:firstRow="0" w:lastRow="0" w:firstColumn="1" w:lastColumn="0" w:oddVBand="0" w:evenVBand="0" w:oddHBand="0" w:evenHBand="0" w:firstRowFirstColumn="0" w:firstRowLastColumn="0" w:lastRowFirstColumn="0" w:lastRowLastColumn="0"/>
            <w:tcW w:w="1467" w:type="dxa"/>
            <w:noWrap/>
            <w:vAlign w:val="center"/>
            <w:hideMark/>
          </w:tcPr>
          <w:p w:rsidR="00A32295" w:rsidRPr="00A32295" w:rsidRDefault="00A32295" w:rsidP="0051254F">
            <w:pPr>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Mamografía</w:t>
            </w:r>
          </w:p>
        </w:tc>
        <w:tc>
          <w:tcPr>
            <w:tcW w:w="718" w:type="dxa"/>
            <w:noWrap/>
            <w:vAlign w:val="center"/>
            <w:hideMark/>
          </w:tcPr>
          <w:p w:rsidR="00A32295" w:rsidRPr="00A32295" w:rsidRDefault="00A32295" w:rsidP="00A322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200,0</w:t>
            </w:r>
          </w:p>
        </w:tc>
        <w:tc>
          <w:tcPr>
            <w:tcW w:w="683" w:type="dxa"/>
            <w:noWrap/>
            <w:vAlign w:val="center"/>
            <w:hideMark/>
          </w:tcPr>
          <w:p w:rsidR="00A32295" w:rsidRPr="00A32295" w:rsidRDefault="00A32295" w:rsidP="00A322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6133" w:type="dxa"/>
            <w:noWrap/>
            <w:vAlign w:val="center"/>
            <w:hideMark/>
          </w:tcPr>
          <w:p w:rsidR="00A32295" w:rsidRPr="00A32295" w:rsidRDefault="00E52595" w:rsidP="00A3229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FF"/>
                <w:sz w:val="18"/>
                <w:szCs w:val="18"/>
                <w:u w:val="single"/>
                <w:lang w:val="es-CL" w:eastAsia="es-CL"/>
              </w:rPr>
            </w:pPr>
            <w:hyperlink r:id="rId16" w:history="1">
              <w:r w:rsidR="00A32295" w:rsidRPr="00A32295">
                <w:rPr>
                  <w:rFonts w:asciiTheme="minorHAnsi" w:hAnsiTheme="minorHAnsi"/>
                  <w:color w:val="0000FF"/>
                  <w:sz w:val="18"/>
                  <w:szCs w:val="18"/>
                  <w:u w:val="single"/>
                  <w:lang w:val="es-CL" w:eastAsia="es-CL"/>
                </w:rPr>
                <w:t>http://www.laprensa.com.bo/diario/actualidad/bolivia/20121020/plantean-que-la-mamografia-sea-gratuita-_36215_57943.html</w:t>
              </w:r>
            </w:hyperlink>
          </w:p>
        </w:tc>
      </w:tr>
      <w:tr w:rsidR="00A32295" w:rsidRPr="005004E7" w:rsidTr="005125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7" w:type="dxa"/>
            <w:noWrap/>
            <w:vAlign w:val="center"/>
            <w:hideMark/>
          </w:tcPr>
          <w:p w:rsidR="00A32295" w:rsidRPr="00A32295" w:rsidRDefault="00A32295" w:rsidP="0051254F">
            <w:pPr>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RX</w:t>
            </w:r>
          </w:p>
        </w:tc>
        <w:tc>
          <w:tcPr>
            <w:tcW w:w="718" w:type="dxa"/>
            <w:noWrap/>
            <w:vAlign w:val="center"/>
            <w:hideMark/>
          </w:tcPr>
          <w:p w:rsidR="00A32295" w:rsidRPr="00A32295" w:rsidRDefault="00A32295" w:rsidP="00A322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52,4</w:t>
            </w:r>
          </w:p>
        </w:tc>
        <w:tc>
          <w:tcPr>
            <w:tcW w:w="683" w:type="dxa"/>
            <w:noWrap/>
            <w:vAlign w:val="center"/>
            <w:hideMark/>
          </w:tcPr>
          <w:p w:rsidR="00A32295" w:rsidRPr="00A32295" w:rsidRDefault="00A32295" w:rsidP="00A322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6133" w:type="dxa"/>
            <w:noWrap/>
            <w:vAlign w:val="center"/>
            <w:hideMark/>
          </w:tcPr>
          <w:p w:rsidR="00A32295" w:rsidRPr="005004E7" w:rsidRDefault="00A32295" w:rsidP="00A322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pt-BR" w:eastAsia="es-CL"/>
              </w:rPr>
            </w:pPr>
            <w:r w:rsidRPr="005004E7">
              <w:rPr>
                <w:rFonts w:asciiTheme="minorHAnsi" w:hAnsiTheme="minorHAnsi"/>
                <w:color w:val="000000"/>
                <w:sz w:val="18"/>
                <w:szCs w:val="18"/>
                <w:lang w:val="pt-BR" w:eastAsia="es-CL"/>
              </w:rPr>
              <w:t xml:space="preserve">Ajuste Estudio </w:t>
            </w:r>
            <w:r w:rsidR="0069361D" w:rsidRPr="005004E7">
              <w:rPr>
                <w:rFonts w:asciiTheme="minorHAnsi" w:hAnsiTheme="minorHAnsi"/>
                <w:color w:val="000000"/>
                <w:sz w:val="18"/>
                <w:szCs w:val="18"/>
                <w:lang w:val="pt-BR" w:eastAsia="es-CL"/>
              </w:rPr>
              <w:t xml:space="preserve">CB </w:t>
            </w:r>
            <w:r w:rsidRPr="005004E7">
              <w:rPr>
                <w:rFonts w:asciiTheme="minorHAnsi" w:hAnsiTheme="minorHAnsi"/>
                <w:color w:val="000000"/>
                <w:sz w:val="18"/>
                <w:szCs w:val="18"/>
                <w:lang w:val="pt-BR" w:eastAsia="es-CL"/>
              </w:rPr>
              <w:t>Hospital Daniel Bracamonte Potosí</w:t>
            </w:r>
          </w:p>
        </w:tc>
      </w:tr>
      <w:tr w:rsidR="00A32295" w:rsidRPr="00A32295" w:rsidTr="0051254F">
        <w:trPr>
          <w:trHeight w:val="20"/>
        </w:trPr>
        <w:tc>
          <w:tcPr>
            <w:cnfStyle w:val="001000000000" w:firstRow="0" w:lastRow="0" w:firstColumn="1" w:lastColumn="0" w:oddVBand="0" w:evenVBand="0" w:oddHBand="0" w:evenHBand="0" w:firstRowFirstColumn="0" w:firstRowLastColumn="0" w:lastRowFirstColumn="0" w:lastRowLastColumn="0"/>
            <w:tcW w:w="1467" w:type="dxa"/>
            <w:noWrap/>
            <w:vAlign w:val="center"/>
            <w:hideMark/>
          </w:tcPr>
          <w:p w:rsidR="00A32295" w:rsidRPr="00A32295" w:rsidRDefault="00A32295" w:rsidP="0051254F">
            <w:pPr>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Endoscopía</w:t>
            </w:r>
          </w:p>
        </w:tc>
        <w:tc>
          <w:tcPr>
            <w:tcW w:w="718" w:type="dxa"/>
            <w:noWrap/>
            <w:vAlign w:val="center"/>
            <w:hideMark/>
          </w:tcPr>
          <w:p w:rsidR="00A32295" w:rsidRPr="00A32295" w:rsidRDefault="00A32295" w:rsidP="00A322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293,4</w:t>
            </w:r>
          </w:p>
        </w:tc>
        <w:tc>
          <w:tcPr>
            <w:tcW w:w="683" w:type="dxa"/>
            <w:noWrap/>
            <w:vAlign w:val="center"/>
            <w:hideMark/>
          </w:tcPr>
          <w:p w:rsidR="00A32295" w:rsidRPr="00A32295" w:rsidRDefault="00A32295" w:rsidP="00A322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6133" w:type="dxa"/>
            <w:vAlign w:val="center"/>
            <w:hideMark/>
          </w:tcPr>
          <w:p w:rsidR="00A32295" w:rsidRPr="00A32295" w:rsidRDefault="00A32295" w:rsidP="00A3229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5004E7">
              <w:rPr>
                <w:rFonts w:asciiTheme="minorHAnsi" w:hAnsiTheme="minorHAnsi"/>
                <w:color w:val="000000"/>
                <w:sz w:val="18"/>
                <w:szCs w:val="18"/>
                <w:lang w:val="pt-BR" w:eastAsia="es-CL"/>
              </w:rPr>
              <w:t xml:space="preserve">Ajuste Estudio </w:t>
            </w:r>
            <w:r w:rsidR="0069361D" w:rsidRPr="005004E7">
              <w:rPr>
                <w:rFonts w:asciiTheme="minorHAnsi" w:hAnsiTheme="minorHAnsi"/>
                <w:color w:val="000000"/>
                <w:sz w:val="18"/>
                <w:szCs w:val="18"/>
                <w:lang w:val="pt-BR" w:eastAsia="es-CL"/>
              </w:rPr>
              <w:t xml:space="preserve">CB </w:t>
            </w:r>
            <w:r w:rsidRPr="005004E7">
              <w:rPr>
                <w:rFonts w:asciiTheme="minorHAnsi" w:hAnsiTheme="minorHAnsi"/>
                <w:color w:val="000000"/>
                <w:sz w:val="18"/>
                <w:szCs w:val="18"/>
                <w:lang w:val="pt-BR" w:eastAsia="es-CL"/>
              </w:rPr>
              <w:t xml:space="preserve">Hospital Daniel Bracamonte Potosí. </w:t>
            </w:r>
            <w:r w:rsidRPr="00A32295">
              <w:rPr>
                <w:rFonts w:asciiTheme="minorHAnsi" w:hAnsiTheme="minorHAnsi"/>
                <w:color w:val="000000"/>
                <w:sz w:val="18"/>
                <w:szCs w:val="18"/>
                <w:lang w:val="es-CL" w:eastAsia="es-CL"/>
              </w:rPr>
              <w:t>Una Endoscopia con equipo de última generación en Hospital Arco Iris de La Paz tiene un valor de 350 Bs.</w:t>
            </w:r>
          </w:p>
        </w:tc>
      </w:tr>
      <w:tr w:rsidR="00A32295" w:rsidRPr="005004E7" w:rsidTr="005125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7" w:type="dxa"/>
            <w:noWrap/>
            <w:vAlign w:val="center"/>
            <w:hideMark/>
          </w:tcPr>
          <w:p w:rsidR="00A32295" w:rsidRPr="00A32295" w:rsidRDefault="00A32295" w:rsidP="0051254F">
            <w:pPr>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Ecógrafo</w:t>
            </w:r>
          </w:p>
        </w:tc>
        <w:tc>
          <w:tcPr>
            <w:tcW w:w="718" w:type="dxa"/>
            <w:noWrap/>
            <w:vAlign w:val="center"/>
            <w:hideMark/>
          </w:tcPr>
          <w:p w:rsidR="00A32295" w:rsidRPr="00A32295" w:rsidRDefault="00A32295" w:rsidP="00A322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52,4</w:t>
            </w:r>
          </w:p>
        </w:tc>
        <w:tc>
          <w:tcPr>
            <w:tcW w:w="683" w:type="dxa"/>
            <w:noWrap/>
            <w:vAlign w:val="center"/>
            <w:hideMark/>
          </w:tcPr>
          <w:p w:rsidR="00A32295" w:rsidRPr="00A32295" w:rsidRDefault="00A32295" w:rsidP="00A322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p>
        </w:tc>
        <w:tc>
          <w:tcPr>
            <w:tcW w:w="6133" w:type="dxa"/>
            <w:noWrap/>
            <w:vAlign w:val="center"/>
            <w:hideMark/>
          </w:tcPr>
          <w:p w:rsidR="00A32295" w:rsidRPr="005004E7" w:rsidRDefault="00A32295" w:rsidP="00A322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pt-BR" w:eastAsia="es-CL"/>
              </w:rPr>
            </w:pPr>
            <w:r w:rsidRPr="005004E7">
              <w:rPr>
                <w:rFonts w:asciiTheme="minorHAnsi" w:hAnsiTheme="minorHAnsi"/>
                <w:color w:val="000000"/>
                <w:sz w:val="18"/>
                <w:szCs w:val="18"/>
                <w:lang w:val="pt-BR" w:eastAsia="es-CL"/>
              </w:rPr>
              <w:t xml:space="preserve">Ajuste Estudio </w:t>
            </w:r>
            <w:r w:rsidR="0069361D" w:rsidRPr="005004E7">
              <w:rPr>
                <w:rFonts w:asciiTheme="minorHAnsi" w:hAnsiTheme="minorHAnsi"/>
                <w:color w:val="000000"/>
                <w:sz w:val="18"/>
                <w:szCs w:val="18"/>
                <w:lang w:val="pt-BR" w:eastAsia="es-CL"/>
              </w:rPr>
              <w:t xml:space="preserve">CB </w:t>
            </w:r>
            <w:r w:rsidRPr="005004E7">
              <w:rPr>
                <w:rFonts w:asciiTheme="minorHAnsi" w:hAnsiTheme="minorHAnsi"/>
                <w:color w:val="000000"/>
                <w:sz w:val="18"/>
                <w:szCs w:val="18"/>
                <w:lang w:val="pt-BR" w:eastAsia="es-CL"/>
              </w:rPr>
              <w:t>Hospital Daniel Bracamonte Potosí</w:t>
            </w:r>
          </w:p>
        </w:tc>
      </w:tr>
      <w:tr w:rsidR="00A32295" w:rsidRPr="00A32295" w:rsidTr="0051254F">
        <w:trPr>
          <w:trHeight w:val="20"/>
        </w:trPr>
        <w:tc>
          <w:tcPr>
            <w:cnfStyle w:val="001000000000" w:firstRow="0" w:lastRow="0" w:firstColumn="1" w:lastColumn="0" w:oddVBand="0" w:evenVBand="0" w:oddHBand="0" w:evenHBand="0" w:firstRowFirstColumn="0" w:firstRowLastColumn="0" w:lastRowFirstColumn="0" w:lastRowLastColumn="0"/>
            <w:tcW w:w="1467" w:type="dxa"/>
            <w:noWrap/>
            <w:vAlign w:val="center"/>
            <w:hideMark/>
          </w:tcPr>
          <w:p w:rsidR="00A32295" w:rsidRPr="00A32295" w:rsidRDefault="00A32295" w:rsidP="0051254F">
            <w:pPr>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Tomograf</w:t>
            </w:r>
            <w:r w:rsidR="0051254F">
              <w:rPr>
                <w:rFonts w:asciiTheme="minorHAnsi" w:hAnsiTheme="minorHAnsi"/>
                <w:color w:val="000000"/>
                <w:sz w:val="18"/>
                <w:szCs w:val="18"/>
                <w:lang w:val="es-CL" w:eastAsia="es-CL"/>
              </w:rPr>
              <w:t>ía</w:t>
            </w:r>
          </w:p>
        </w:tc>
        <w:tc>
          <w:tcPr>
            <w:tcW w:w="718" w:type="dxa"/>
            <w:noWrap/>
            <w:vAlign w:val="center"/>
            <w:hideMark/>
          </w:tcPr>
          <w:p w:rsidR="00A32295" w:rsidRPr="00A32295" w:rsidRDefault="00A32295" w:rsidP="00A322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667</w:t>
            </w:r>
          </w:p>
        </w:tc>
        <w:tc>
          <w:tcPr>
            <w:tcW w:w="683" w:type="dxa"/>
            <w:noWrap/>
            <w:vAlign w:val="center"/>
            <w:hideMark/>
          </w:tcPr>
          <w:p w:rsidR="00A32295" w:rsidRPr="00A32295" w:rsidRDefault="00A32295" w:rsidP="00A322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6133" w:type="dxa"/>
            <w:noWrap/>
            <w:vAlign w:val="center"/>
            <w:hideMark/>
          </w:tcPr>
          <w:p w:rsidR="00A32295" w:rsidRPr="00A32295" w:rsidRDefault="00A32295" w:rsidP="00A3229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 xml:space="preserve">Ajuste Estudio </w:t>
            </w:r>
            <w:r w:rsidR="0069361D">
              <w:rPr>
                <w:rFonts w:asciiTheme="minorHAnsi" w:hAnsiTheme="minorHAnsi"/>
                <w:color w:val="000000"/>
                <w:sz w:val="18"/>
                <w:szCs w:val="18"/>
                <w:lang w:val="es-CL" w:eastAsia="es-CL"/>
              </w:rPr>
              <w:t xml:space="preserve">CB </w:t>
            </w:r>
            <w:r w:rsidRPr="00A32295">
              <w:rPr>
                <w:rFonts w:asciiTheme="minorHAnsi" w:hAnsiTheme="minorHAnsi"/>
                <w:color w:val="000000"/>
                <w:sz w:val="18"/>
                <w:szCs w:val="18"/>
                <w:lang w:val="es-CL" w:eastAsia="es-CL"/>
              </w:rPr>
              <w:t>Hospital Madre Obrera de Llallagua</w:t>
            </w:r>
          </w:p>
        </w:tc>
      </w:tr>
      <w:tr w:rsidR="00A32295" w:rsidRPr="00A32295" w:rsidTr="005125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7" w:type="dxa"/>
            <w:noWrap/>
            <w:vAlign w:val="center"/>
            <w:hideMark/>
          </w:tcPr>
          <w:p w:rsidR="00A32295" w:rsidRPr="00A32295" w:rsidRDefault="00A32295" w:rsidP="0051254F">
            <w:pPr>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Quimioterapia</w:t>
            </w:r>
          </w:p>
        </w:tc>
        <w:tc>
          <w:tcPr>
            <w:tcW w:w="718" w:type="dxa"/>
            <w:noWrap/>
            <w:vAlign w:val="center"/>
            <w:hideMark/>
          </w:tcPr>
          <w:p w:rsidR="00A32295" w:rsidRPr="00A32295" w:rsidRDefault="00A32295" w:rsidP="00A322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1543</w:t>
            </w:r>
          </w:p>
        </w:tc>
        <w:tc>
          <w:tcPr>
            <w:tcW w:w="683" w:type="dxa"/>
            <w:noWrap/>
            <w:vAlign w:val="center"/>
            <w:hideMark/>
          </w:tcPr>
          <w:p w:rsidR="00A32295" w:rsidRPr="00A32295" w:rsidRDefault="00A32295" w:rsidP="00A322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4243</w:t>
            </w:r>
          </w:p>
        </w:tc>
        <w:tc>
          <w:tcPr>
            <w:tcW w:w="6133" w:type="dxa"/>
            <w:noWrap/>
            <w:vAlign w:val="center"/>
            <w:hideMark/>
          </w:tcPr>
          <w:p w:rsidR="00A32295" w:rsidRPr="00A32295" w:rsidRDefault="00A32295" w:rsidP="00A322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AIS LAC Serie Investigaciones y monografías No. 28/2009</w:t>
            </w:r>
          </w:p>
        </w:tc>
      </w:tr>
      <w:tr w:rsidR="00A32295" w:rsidRPr="00A32295" w:rsidTr="0051254F">
        <w:trPr>
          <w:trHeight w:val="20"/>
        </w:trPr>
        <w:tc>
          <w:tcPr>
            <w:cnfStyle w:val="001000000000" w:firstRow="0" w:lastRow="0" w:firstColumn="1" w:lastColumn="0" w:oddVBand="0" w:evenVBand="0" w:oddHBand="0" w:evenHBand="0" w:firstRowFirstColumn="0" w:firstRowLastColumn="0" w:lastRowFirstColumn="0" w:lastRowLastColumn="0"/>
            <w:tcW w:w="1467" w:type="dxa"/>
            <w:noWrap/>
            <w:vAlign w:val="center"/>
            <w:hideMark/>
          </w:tcPr>
          <w:p w:rsidR="00A32295" w:rsidRPr="00A32295" w:rsidRDefault="00A32295" w:rsidP="0051254F">
            <w:pPr>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Radioterapia externa</w:t>
            </w:r>
          </w:p>
        </w:tc>
        <w:tc>
          <w:tcPr>
            <w:tcW w:w="718" w:type="dxa"/>
            <w:noWrap/>
            <w:vAlign w:val="center"/>
            <w:hideMark/>
          </w:tcPr>
          <w:p w:rsidR="00A32295" w:rsidRPr="00A32295" w:rsidRDefault="00A32295" w:rsidP="00A322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1225</w:t>
            </w:r>
          </w:p>
        </w:tc>
        <w:tc>
          <w:tcPr>
            <w:tcW w:w="683" w:type="dxa"/>
            <w:noWrap/>
            <w:vAlign w:val="center"/>
            <w:hideMark/>
          </w:tcPr>
          <w:p w:rsidR="00A32295" w:rsidRPr="00A32295" w:rsidRDefault="00A32295" w:rsidP="00A322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6133" w:type="dxa"/>
            <w:noWrap/>
            <w:vAlign w:val="center"/>
            <w:hideMark/>
          </w:tcPr>
          <w:p w:rsidR="00A32295" w:rsidRPr="00A32295" w:rsidRDefault="00A32295" w:rsidP="00A3229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3500 US$ por 20 sesiones</w:t>
            </w:r>
          </w:p>
        </w:tc>
      </w:tr>
      <w:tr w:rsidR="00A32295" w:rsidRPr="00A32295" w:rsidTr="005125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67" w:type="dxa"/>
            <w:noWrap/>
            <w:vAlign w:val="center"/>
            <w:hideMark/>
          </w:tcPr>
          <w:p w:rsidR="00A32295" w:rsidRPr="00A32295" w:rsidRDefault="00A32295" w:rsidP="0051254F">
            <w:pPr>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Radioterapia interna (Braquiterapia)</w:t>
            </w:r>
          </w:p>
        </w:tc>
        <w:tc>
          <w:tcPr>
            <w:tcW w:w="718" w:type="dxa"/>
            <w:noWrap/>
            <w:vAlign w:val="center"/>
            <w:hideMark/>
          </w:tcPr>
          <w:p w:rsidR="00A32295" w:rsidRPr="00A32295" w:rsidRDefault="00A32295" w:rsidP="00A322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6000</w:t>
            </w:r>
          </w:p>
        </w:tc>
        <w:tc>
          <w:tcPr>
            <w:tcW w:w="683" w:type="dxa"/>
            <w:noWrap/>
            <w:vAlign w:val="center"/>
            <w:hideMark/>
          </w:tcPr>
          <w:p w:rsidR="00A32295" w:rsidRPr="00A32295" w:rsidRDefault="00A32295" w:rsidP="00A322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11000</w:t>
            </w:r>
          </w:p>
        </w:tc>
        <w:tc>
          <w:tcPr>
            <w:tcW w:w="6133" w:type="dxa"/>
            <w:noWrap/>
            <w:vAlign w:val="center"/>
            <w:hideMark/>
          </w:tcPr>
          <w:p w:rsidR="00A32295" w:rsidRPr="00A32295" w:rsidRDefault="00A32295" w:rsidP="00A322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Entrevista Dra. Zamuriano, Hospital de Clínicas La Paz</w:t>
            </w:r>
          </w:p>
        </w:tc>
      </w:tr>
      <w:tr w:rsidR="00A32295" w:rsidRPr="00A32295" w:rsidTr="0051254F">
        <w:trPr>
          <w:trHeight w:val="20"/>
        </w:trPr>
        <w:tc>
          <w:tcPr>
            <w:cnfStyle w:val="001000000000" w:firstRow="0" w:lastRow="0" w:firstColumn="1" w:lastColumn="0" w:oddVBand="0" w:evenVBand="0" w:oddHBand="0" w:evenHBand="0" w:firstRowFirstColumn="0" w:firstRowLastColumn="0" w:lastRowFirstColumn="0" w:lastRowLastColumn="0"/>
            <w:tcW w:w="1467" w:type="dxa"/>
            <w:noWrap/>
            <w:vAlign w:val="center"/>
            <w:hideMark/>
          </w:tcPr>
          <w:p w:rsidR="00A32295" w:rsidRPr="00A32295" w:rsidRDefault="005352F3" w:rsidP="0051254F">
            <w:pPr>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Gamma cámara</w:t>
            </w:r>
          </w:p>
        </w:tc>
        <w:tc>
          <w:tcPr>
            <w:tcW w:w="718" w:type="dxa"/>
            <w:noWrap/>
            <w:vAlign w:val="center"/>
            <w:hideMark/>
          </w:tcPr>
          <w:p w:rsidR="00A32295" w:rsidRPr="00A32295" w:rsidRDefault="00A32295" w:rsidP="00A322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1400</w:t>
            </w:r>
          </w:p>
        </w:tc>
        <w:tc>
          <w:tcPr>
            <w:tcW w:w="683" w:type="dxa"/>
            <w:noWrap/>
            <w:vAlign w:val="center"/>
            <w:hideMark/>
          </w:tcPr>
          <w:p w:rsidR="00A32295" w:rsidRPr="00A32295" w:rsidRDefault="00A32295" w:rsidP="00A322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p>
        </w:tc>
        <w:tc>
          <w:tcPr>
            <w:tcW w:w="6133" w:type="dxa"/>
            <w:noWrap/>
            <w:vAlign w:val="center"/>
            <w:hideMark/>
          </w:tcPr>
          <w:p w:rsidR="00A32295" w:rsidRPr="00A32295" w:rsidRDefault="00A32295" w:rsidP="00A3229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val="es-CL" w:eastAsia="es-CL"/>
              </w:rPr>
            </w:pPr>
            <w:r w:rsidRPr="00A32295">
              <w:rPr>
                <w:rFonts w:asciiTheme="minorHAnsi" w:hAnsiTheme="minorHAnsi"/>
                <w:color w:val="000000"/>
                <w:sz w:val="18"/>
                <w:szCs w:val="18"/>
                <w:lang w:val="es-CL" w:eastAsia="es-CL"/>
              </w:rPr>
              <w:t xml:space="preserve">Estudio </w:t>
            </w:r>
            <w:r w:rsidR="0069361D">
              <w:rPr>
                <w:rFonts w:asciiTheme="minorHAnsi" w:hAnsiTheme="minorHAnsi"/>
                <w:color w:val="000000"/>
                <w:sz w:val="18"/>
                <w:szCs w:val="18"/>
                <w:lang w:val="es-CL" w:eastAsia="es-CL"/>
              </w:rPr>
              <w:t xml:space="preserve">CB </w:t>
            </w:r>
            <w:r w:rsidRPr="00A32295">
              <w:rPr>
                <w:rFonts w:asciiTheme="minorHAnsi" w:hAnsiTheme="minorHAnsi"/>
                <w:color w:val="000000"/>
                <w:sz w:val="18"/>
                <w:szCs w:val="18"/>
                <w:lang w:val="es-CL" w:eastAsia="es-CL"/>
              </w:rPr>
              <w:t>Instituto Oncológico Nacional de Panamá</w:t>
            </w:r>
          </w:p>
        </w:tc>
      </w:tr>
    </w:tbl>
    <w:p w:rsidR="00232470" w:rsidRDefault="00232470" w:rsidP="00656F99">
      <w:pPr>
        <w:jc w:val="both"/>
        <w:rPr>
          <w:rFonts w:asciiTheme="minorHAnsi" w:hAnsiTheme="minorHAnsi" w:cstheme="minorHAnsi"/>
          <w:sz w:val="18"/>
        </w:rPr>
      </w:pPr>
      <w:r w:rsidRPr="00232470">
        <w:rPr>
          <w:rFonts w:asciiTheme="minorHAnsi" w:hAnsiTheme="minorHAnsi" w:cstheme="minorHAnsi"/>
          <w:sz w:val="18"/>
        </w:rPr>
        <w:t>Fuente: Elaboración propia.</w:t>
      </w:r>
    </w:p>
    <w:p w:rsidR="008E05C3" w:rsidRPr="00AD0B97" w:rsidRDefault="008E05C3" w:rsidP="00656F99">
      <w:pPr>
        <w:jc w:val="both"/>
        <w:rPr>
          <w:rFonts w:asciiTheme="minorHAnsi" w:hAnsiTheme="minorHAnsi" w:cstheme="minorHAnsi"/>
          <w:sz w:val="22"/>
        </w:rPr>
      </w:pPr>
    </w:p>
    <w:p w:rsidR="00AD0B97" w:rsidRPr="00AD0B97" w:rsidRDefault="00AD0B97" w:rsidP="00656F99">
      <w:pPr>
        <w:jc w:val="both"/>
        <w:rPr>
          <w:rFonts w:asciiTheme="minorHAnsi" w:hAnsiTheme="minorHAnsi" w:cstheme="minorHAnsi"/>
          <w:sz w:val="22"/>
        </w:rPr>
      </w:pPr>
    </w:p>
    <w:p w:rsidR="00AD0B97" w:rsidRPr="00AD0B97" w:rsidRDefault="00AD0B97" w:rsidP="00AD0B97">
      <w:pPr>
        <w:pStyle w:val="ListParagraph"/>
        <w:numPr>
          <w:ilvl w:val="0"/>
          <w:numId w:val="4"/>
        </w:numPr>
        <w:jc w:val="both"/>
        <w:rPr>
          <w:rFonts w:asciiTheme="minorHAnsi" w:hAnsiTheme="minorHAnsi" w:cstheme="minorHAnsi"/>
          <w:sz w:val="22"/>
        </w:rPr>
      </w:pPr>
      <w:r w:rsidRPr="00AD0B97">
        <w:rPr>
          <w:rFonts w:asciiTheme="minorHAnsi" w:hAnsiTheme="minorHAnsi" w:cstheme="minorHAnsi"/>
          <w:sz w:val="22"/>
        </w:rPr>
        <w:t>Valoración de beneficios por ahorro de costos por viajes a consultas médicas de especialidades médicas a las grandes ciudades</w:t>
      </w:r>
    </w:p>
    <w:p w:rsidR="00AD0B97" w:rsidRPr="00AD0B97" w:rsidRDefault="00AD0B97" w:rsidP="00AD0B97">
      <w:pPr>
        <w:jc w:val="both"/>
        <w:rPr>
          <w:rFonts w:asciiTheme="minorHAnsi" w:hAnsiTheme="minorHAnsi" w:cstheme="minorHAnsi"/>
          <w:sz w:val="22"/>
        </w:rPr>
      </w:pPr>
    </w:p>
    <w:p w:rsidR="00AD0B97" w:rsidRPr="00AD0B97" w:rsidRDefault="00AD0B97" w:rsidP="00AD0B97">
      <w:pPr>
        <w:jc w:val="both"/>
        <w:rPr>
          <w:rFonts w:asciiTheme="minorHAnsi" w:hAnsiTheme="minorHAnsi" w:cstheme="minorHAnsi"/>
          <w:sz w:val="22"/>
        </w:rPr>
      </w:pPr>
    </w:p>
    <w:p w:rsidR="00AD0B97" w:rsidRPr="00AD0B97" w:rsidRDefault="00AD0B97" w:rsidP="00AD0B97">
      <w:pPr>
        <w:jc w:val="both"/>
        <w:rPr>
          <w:rFonts w:asciiTheme="minorHAnsi" w:hAnsiTheme="minorHAnsi" w:cstheme="minorHAnsi"/>
          <w:sz w:val="22"/>
        </w:rPr>
      </w:pPr>
      <w:r w:rsidRPr="00AD0B97">
        <w:rPr>
          <w:rFonts w:asciiTheme="minorHAnsi" w:hAnsiTheme="minorHAnsi" w:cstheme="minorHAnsi"/>
          <w:sz w:val="22"/>
        </w:rPr>
        <w:t xml:space="preserve">Se identifican beneficios por ahorro de costos por viajes a consultas médicas de especialidad asociadas a las especialidades nuevas consideradas en el proyecto. Para la valoración de estos beneficios se asume que un 50% de la demanda potencial </w:t>
      </w:r>
      <w:r w:rsidR="00980AAA">
        <w:rPr>
          <w:rFonts w:asciiTheme="minorHAnsi" w:hAnsiTheme="minorHAnsi" w:cstheme="minorHAnsi"/>
          <w:sz w:val="22"/>
        </w:rPr>
        <w:t>atendida</w:t>
      </w:r>
      <w:r>
        <w:rPr>
          <w:rFonts w:asciiTheme="minorHAnsi" w:hAnsiTheme="minorHAnsi" w:cstheme="minorHAnsi"/>
          <w:sz w:val="22"/>
        </w:rPr>
        <w:t xml:space="preserve"> por el proyecto </w:t>
      </w:r>
      <w:r w:rsidRPr="00AD0B97">
        <w:rPr>
          <w:rFonts w:asciiTheme="minorHAnsi" w:hAnsiTheme="minorHAnsi" w:cstheme="minorHAnsi"/>
          <w:sz w:val="22"/>
        </w:rPr>
        <w:t xml:space="preserve">realiza estas consultas y para ello suponemos que viaja a </w:t>
      </w:r>
      <w:r>
        <w:rPr>
          <w:rFonts w:asciiTheme="minorHAnsi" w:hAnsiTheme="minorHAnsi" w:cstheme="minorHAnsi"/>
          <w:sz w:val="22"/>
        </w:rPr>
        <w:t>La Paz</w:t>
      </w:r>
      <w:r w:rsidRPr="00AD0B97">
        <w:rPr>
          <w:rFonts w:asciiTheme="minorHAnsi" w:hAnsiTheme="minorHAnsi" w:cstheme="minorHAnsi"/>
          <w:sz w:val="22"/>
        </w:rPr>
        <w:t>.</w:t>
      </w:r>
      <w:r w:rsidR="00350B12">
        <w:rPr>
          <w:rStyle w:val="FootnoteReference"/>
          <w:rFonts w:asciiTheme="minorHAnsi" w:hAnsiTheme="minorHAnsi" w:cstheme="minorHAnsi"/>
          <w:sz w:val="22"/>
        </w:rPr>
        <w:footnoteReference w:id="77"/>
      </w:r>
      <w:r w:rsidRPr="00AD0B97">
        <w:rPr>
          <w:rFonts w:asciiTheme="minorHAnsi" w:hAnsiTheme="minorHAnsi" w:cstheme="minorHAnsi"/>
          <w:sz w:val="22"/>
        </w:rPr>
        <w:t xml:space="preserve"> </w:t>
      </w:r>
      <w:r w:rsidR="00350B12">
        <w:rPr>
          <w:rFonts w:asciiTheme="minorHAnsi" w:hAnsiTheme="minorHAnsi" w:cstheme="minorHAnsi"/>
          <w:sz w:val="22"/>
        </w:rPr>
        <w:t xml:space="preserve">Y dado que de acuerdo a la estimación de </w:t>
      </w:r>
      <w:r w:rsidR="00350B12">
        <w:rPr>
          <w:rFonts w:asciiTheme="minorHAnsi" w:hAnsiTheme="minorHAnsi" w:cstheme="minorHAnsi"/>
          <w:sz w:val="22"/>
        </w:rPr>
        <w:lastRenderedPageBreak/>
        <w:t xml:space="preserve">demanda potencial y la oferta potencial sin y con proyecto, la demanda potencial supera a la oferta potencial para todo el periodo de evaluación, la cantidad de consultas de especialidad atendidas por el proyecto será igual al diferencial de la oferta potencial </w:t>
      </w:r>
      <w:r w:rsidR="00A37118">
        <w:rPr>
          <w:rFonts w:asciiTheme="minorHAnsi" w:hAnsiTheme="minorHAnsi" w:cstheme="minorHAnsi"/>
          <w:sz w:val="22"/>
        </w:rPr>
        <w:t>de</w:t>
      </w:r>
      <w:r w:rsidR="00350B12">
        <w:rPr>
          <w:rFonts w:asciiTheme="minorHAnsi" w:hAnsiTheme="minorHAnsi" w:cstheme="minorHAnsi"/>
          <w:sz w:val="22"/>
        </w:rPr>
        <w:t xml:space="preserve"> la situación sin y con proyecto, de este modo la demanda efectivamente atendida por el proyecto será igual a </w:t>
      </w:r>
      <w:r w:rsidR="00A37118">
        <w:rPr>
          <w:rFonts w:asciiTheme="minorHAnsi" w:hAnsiTheme="minorHAnsi" w:cstheme="minorHAnsi"/>
          <w:sz w:val="22"/>
        </w:rPr>
        <w:t>147.043 con</w:t>
      </w:r>
      <w:r w:rsidR="00350B12">
        <w:rPr>
          <w:rFonts w:asciiTheme="minorHAnsi" w:hAnsiTheme="minorHAnsi" w:cstheme="minorHAnsi"/>
          <w:sz w:val="22"/>
        </w:rPr>
        <w:t xml:space="preserve">sultas por año. </w:t>
      </w:r>
      <w:r w:rsidRPr="00AD0B97">
        <w:rPr>
          <w:rFonts w:asciiTheme="minorHAnsi" w:hAnsiTheme="minorHAnsi" w:cstheme="minorHAnsi"/>
          <w:sz w:val="22"/>
        </w:rPr>
        <w:t xml:space="preserve">Se asume que el viaje tiene un valor en </w:t>
      </w:r>
      <w:r w:rsidR="00E42B73">
        <w:rPr>
          <w:rFonts w:asciiTheme="minorHAnsi" w:hAnsiTheme="minorHAnsi" w:cstheme="minorHAnsi"/>
          <w:sz w:val="22"/>
        </w:rPr>
        <w:t>transporte público es</w:t>
      </w:r>
      <w:r w:rsidRPr="00AD0B97">
        <w:rPr>
          <w:rFonts w:asciiTheme="minorHAnsi" w:hAnsiTheme="minorHAnsi" w:cstheme="minorHAnsi"/>
          <w:sz w:val="22"/>
        </w:rPr>
        <w:t xml:space="preserve"> de </w:t>
      </w:r>
      <w:r w:rsidR="00E42B73">
        <w:rPr>
          <w:rFonts w:asciiTheme="minorHAnsi" w:hAnsiTheme="minorHAnsi" w:cstheme="minorHAnsi"/>
          <w:sz w:val="22"/>
        </w:rPr>
        <w:t>10</w:t>
      </w:r>
      <w:r w:rsidR="00394FF5">
        <w:rPr>
          <w:rFonts w:asciiTheme="minorHAnsi" w:hAnsiTheme="minorHAnsi" w:cstheme="minorHAnsi"/>
          <w:sz w:val="22"/>
        </w:rPr>
        <w:t xml:space="preserve"> bs. ida y vuelta</w:t>
      </w:r>
      <w:r w:rsidR="00394FF5">
        <w:rPr>
          <w:rStyle w:val="FootnoteReference"/>
          <w:rFonts w:asciiTheme="minorHAnsi" w:hAnsiTheme="minorHAnsi" w:cstheme="minorHAnsi"/>
          <w:sz w:val="22"/>
        </w:rPr>
        <w:footnoteReference w:id="78"/>
      </w:r>
      <w:r w:rsidRPr="00AD0B97">
        <w:rPr>
          <w:rFonts w:asciiTheme="minorHAnsi" w:hAnsiTheme="minorHAnsi" w:cstheme="minorHAnsi"/>
          <w:sz w:val="22"/>
        </w:rPr>
        <w:t xml:space="preserve">, que el viaje se realiza en un día y que el gasto en alimentación es de </w:t>
      </w:r>
      <w:r w:rsidR="00E42B73">
        <w:rPr>
          <w:rFonts w:asciiTheme="minorHAnsi" w:hAnsiTheme="minorHAnsi" w:cstheme="minorHAnsi"/>
          <w:sz w:val="22"/>
        </w:rPr>
        <w:t>10</w:t>
      </w:r>
      <w:r w:rsidRPr="00AD0B97">
        <w:rPr>
          <w:rFonts w:asciiTheme="minorHAnsi" w:hAnsiTheme="minorHAnsi" w:cstheme="minorHAnsi"/>
          <w:sz w:val="22"/>
        </w:rPr>
        <w:t>bs. De esta manera este beneficio se estima mediante la</w:t>
      </w:r>
      <w:r w:rsidR="000C3A40">
        <w:rPr>
          <w:rFonts w:asciiTheme="minorHAnsi" w:hAnsiTheme="minorHAnsi" w:cstheme="minorHAnsi"/>
          <w:sz w:val="22"/>
        </w:rPr>
        <w:t>s</w:t>
      </w:r>
      <w:r w:rsidRPr="00AD0B97">
        <w:rPr>
          <w:rFonts w:asciiTheme="minorHAnsi" w:hAnsiTheme="minorHAnsi" w:cstheme="minorHAnsi"/>
          <w:sz w:val="22"/>
        </w:rPr>
        <w:t xml:space="preserve"> siguiente</w:t>
      </w:r>
      <w:r w:rsidR="000C3A40">
        <w:rPr>
          <w:rFonts w:asciiTheme="minorHAnsi" w:hAnsiTheme="minorHAnsi" w:cstheme="minorHAnsi"/>
          <w:sz w:val="22"/>
        </w:rPr>
        <w:t>s expresiones</w:t>
      </w:r>
      <w:r w:rsidRPr="00AD0B97">
        <w:rPr>
          <w:rFonts w:asciiTheme="minorHAnsi" w:hAnsiTheme="minorHAnsi" w:cstheme="minorHAnsi"/>
          <w:sz w:val="22"/>
        </w:rPr>
        <w:t>:</w:t>
      </w:r>
    </w:p>
    <w:p w:rsidR="00AD0B97" w:rsidRDefault="00394FF5" w:rsidP="00AD0B97">
      <w:pPr>
        <w:jc w:val="both"/>
        <w:rPr>
          <w:rFonts w:asciiTheme="minorHAnsi" w:hAnsiTheme="minorHAnsi" w:cstheme="minorHAnsi"/>
          <w:sz w:val="22"/>
        </w:rPr>
      </w:pPr>
      <w:r>
        <w:rPr>
          <w:rFonts w:asciiTheme="minorHAnsi" w:hAnsiTheme="minorHAnsi" w:cstheme="minorHAnsi"/>
          <w:sz w:val="22"/>
        </w:rPr>
        <w:t xml:space="preserve"> </w:t>
      </w:r>
    </w:p>
    <w:p w:rsidR="00394FF5" w:rsidRPr="009C76DB" w:rsidRDefault="00E52595" w:rsidP="00394FF5">
      <w:pPr>
        <w:widowControl w:val="0"/>
        <w:autoSpaceDE w:val="0"/>
        <w:autoSpaceDN w:val="0"/>
        <w:adjustRightInd w:val="0"/>
        <w:ind w:right="23"/>
        <w:jc w:val="both"/>
        <w:rPr>
          <w:rFonts w:asciiTheme="minorHAnsi" w:hAnsiTheme="minorHAnsi" w:cstheme="minorHAnsi"/>
          <w:bCs/>
          <w:sz w:val="22"/>
        </w:rPr>
      </w:pPr>
      <m:oMath>
        <m:sSub>
          <m:sSubPr>
            <m:ctrlPr>
              <w:rPr>
                <w:rFonts w:ascii="Cambria Math" w:hAnsi="Cambria Math" w:cstheme="minorHAnsi"/>
                <w:bCs/>
                <w:sz w:val="22"/>
              </w:rPr>
            </m:ctrlPr>
          </m:sSubPr>
          <m:e>
            <m:r>
              <m:rPr>
                <m:sty m:val="p"/>
              </m:rPr>
              <w:rPr>
                <w:rFonts w:ascii="Cambria Math" w:hAnsi="Cambria Math" w:cstheme="minorHAnsi"/>
                <w:sz w:val="22"/>
              </w:rPr>
              <m:t>Benef ahorro en viaje CE</m:t>
            </m:r>
          </m:e>
          <m:sub>
            <m:r>
              <m:rPr>
                <m:sty m:val="p"/>
              </m:rPr>
              <w:rPr>
                <w:rFonts w:ascii="Cambria Math" w:hAnsi="Cambria Math" w:cstheme="minorHAnsi"/>
                <w:sz w:val="22"/>
              </w:rPr>
              <m:t>t</m:t>
            </m:r>
          </m:sub>
        </m:sSub>
        <m:r>
          <m:rPr>
            <m:sty m:val="p"/>
          </m:rPr>
          <w:rPr>
            <w:rFonts w:ascii="Cambria Math" w:hAnsi="Cambria Math" w:cstheme="minorHAnsi"/>
            <w:sz w:val="22"/>
          </w:rPr>
          <m:t>=(10Bs+10Bs)*0,5*(147.043)</m:t>
        </m:r>
      </m:oMath>
      <w:r w:rsidR="000C3A40">
        <w:rPr>
          <w:rFonts w:asciiTheme="minorHAnsi" w:hAnsiTheme="minorHAnsi" w:cstheme="minorHAnsi"/>
          <w:bCs/>
          <w:sz w:val="22"/>
        </w:rPr>
        <w:t xml:space="preserve">, </w:t>
      </w:r>
      <w:r w:rsidR="000C3A40">
        <w:rPr>
          <w:rFonts w:asciiTheme="minorHAnsi" w:hAnsiTheme="minorHAnsi" w:cstheme="minorHAnsi"/>
          <w:bCs/>
          <w:sz w:val="22"/>
        </w:rPr>
        <w:tab/>
      </w:r>
      <w:r w:rsidR="00394FF5" w:rsidRPr="009C76DB">
        <w:rPr>
          <w:rFonts w:asciiTheme="minorHAnsi" w:hAnsiTheme="minorHAnsi" w:cstheme="minorHAnsi"/>
          <w:bCs/>
          <w:sz w:val="22"/>
        </w:rPr>
        <w:t xml:space="preserve">para </w:t>
      </w:r>
      <w:r w:rsidR="00973E7E">
        <w:rPr>
          <w:rFonts w:asciiTheme="minorHAnsi" w:hAnsiTheme="minorHAnsi" w:cstheme="minorHAnsi"/>
          <w:bCs/>
          <w:sz w:val="22"/>
        </w:rPr>
        <w:t>3</w:t>
      </w:r>
      <w:r w:rsidR="00394FF5" w:rsidRPr="009C76DB">
        <w:rPr>
          <w:rFonts w:asciiTheme="minorHAnsi" w:hAnsiTheme="minorHAnsi" w:cstheme="minorHAnsi"/>
          <w:bCs/>
          <w:sz w:val="22"/>
        </w:rPr>
        <w:t>≤t&lt;</w:t>
      </w:r>
      <w:r w:rsidR="00973E7E">
        <w:rPr>
          <w:rFonts w:asciiTheme="minorHAnsi" w:hAnsiTheme="minorHAnsi" w:cstheme="minorHAnsi"/>
          <w:bCs/>
          <w:sz w:val="22"/>
        </w:rPr>
        <w:t>30</w:t>
      </w:r>
    </w:p>
    <w:p w:rsidR="00394FF5" w:rsidRPr="009C76DB" w:rsidRDefault="00394FF5" w:rsidP="00394FF5">
      <w:pPr>
        <w:widowControl w:val="0"/>
        <w:autoSpaceDE w:val="0"/>
        <w:autoSpaceDN w:val="0"/>
        <w:adjustRightInd w:val="0"/>
        <w:ind w:right="23"/>
        <w:jc w:val="both"/>
        <w:rPr>
          <w:rFonts w:asciiTheme="minorHAnsi" w:hAnsiTheme="minorHAnsi" w:cstheme="minorHAnsi"/>
          <w:bCs/>
          <w:sz w:val="16"/>
          <w:szCs w:val="18"/>
        </w:rPr>
      </w:pPr>
    </w:p>
    <w:p w:rsidR="000C3A40" w:rsidRDefault="000C3A40" w:rsidP="00394FF5">
      <w:pPr>
        <w:widowControl w:val="0"/>
        <w:autoSpaceDE w:val="0"/>
        <w:autoSpaceDN w:val="0"/>
        <w:adjustRightInd w:val="0"/>
        <w:ind w:right="23"/>
        <w:jc w:val="both"/>
        <w:rPr>
          <w:rFonts w:asciiTheme="minorHAnsi" w:hAnsiTheme="minorHAnsi" w:cstheme="minorHAnsi"/>
          <w:bCs/>
          <w:sz w:val="22"/>
        </w:rPr>
      </w:pPr>
      <w:r>
        <w:rPr>
          <w:rFonts w:asciiTheme="minorHAnsi" w:hAnsiTheme="minorHAnsi" w:cstheme="minorHAnsi"/>
          <w:bCs/>
          <w:sz w:val="22"/>
        </w:rPr>
        <w:t>Estas expresiones tienen tres componentes, el primero corresponde al valor de cada viaje en términos del costo del viaje por persona (</w:t>
      </w:r>
      <w:r w:rsidR="00E42B73">
        <w:rPr>
          <w:rFonts w:asciiTheme="minorHAnsi" w:hAnsiTheme="minorHAnsi" w:cstheme="minorHAnsi"/>
          <w:bCs/>
          <w:sz w:val="22"/>
        </w:rPr>
        <w:t>1</w:t>
      </w:r>
      <w:r>
        <w:rPr>
          <w:rFonts w:asciiTheme="minorHAnsi" w:hAnsiTheme="minorHAnsi" w:cstheme="minorHAnsi"/>
          <w:bCs/>
          <w:sz w:val="22"/>
        </w:rPr>
        <w:t>0Bs) y del costo de alimentación en que incurriría (</w:t>
      </w:r>
      <w:r w:rsidR="00E42B73">
        <w:rPr>
          <w:rFonts w:asciiTheme="minorHAnsi" w:hAnsiTheme="minorHAnsi" w:cstheme="minorHAnsi"/>
          <w:bCs/>
          <w:sz w:val="22"/>
        </w:rPr>
        <w:t>1</w:t>
      </w:r>
      <w:r>
        <w:rPr>
          <w:rFonts w:asciiTheme="minorHAnsi" w:hAnsiTheme="minorHAnsi" w:cstheme="minorHAnsi"/>
          <w:bCs/>
          <w:sz w:val="22"/>
        </w:rPr>
        <w:t xml:space="preserve">0Bs); en el segundo componente, el valor 0,5 expresa que el 50% de la población que </w:t>
      </w:r>
      <w:r w:rsidR="009332DE">
        <w:rPr>
          <w:rFonts w:asciiTheme="minorHAnsi" w:hAnsiTheme="minorHAnsi" w:cstheme="minorHAnsi"/>
          <w:bCs/>
          <w:sz w:val="22"/>
        </w:rPr>
        <w:t>se atendería con el</w:t>
      </w:r>
      <w:r>
        <w:rPr>
          <w:rFonts w:asciiTheme="minorHAnsi" w:hAnsiTheme="minorHAnsi" w:cstheme="minorHAnsi"/>
          <w:bCs/>
          <w:sz w:val="22"/>
        </w:rPr>
        <w:t xml:space="preserve"> proyecto, en ausencia del mismo</w:t>
      </w:r>
      <w:r w:rsidR="009332DE">
        <w:rPr>
          <w:rFonts w:asciiTheme="minorHAnsi" w:hAnsiTheme="minorHAnsi" w:cstheme="minorHAnsi"/>
          <w:bCs/>
          <w:sz w:val="22"/>
        </w:rPr>
        <w:t>,</w:t>
      </w:r>
      <w:r>
        <w:rPr>
          <w:rFonts w:asciiTheme="minorHAnsi" w:hAnsiTheme="minorHAnsi" w:cstheme="minorHAnsi"/>
          <w:bCs/>
          <w:sz w:val="22"/>
        </w:rPr>
        <w:t xml:space="preserve"> se trasladaría a La Paz para realizar la consulta de especialidad; y el tercer componente corresponde al número de consultas de especialidad </w:t>
      </w:r>
      <w:r w:rsidR="00973E7E">
        <w:rPr>
          <w:rFonts w:asciiTheme="minorHAnsi" w:hAnsiTheme="minorHAnsi" w:cstheme="minorHAnsi"/>
          <w:bCs/>
          <w:sz w:val="22"/>
        </w:rPr>
        <w:t>atendidas por el proyecto</w:t>
      </w:r>
      <w:r>
        <w:rPr>
          <w:rFonts w:asciiTheme="minorHAnsi" w:hAnsiTheme="minorHAnsi" w:cstheme="minorHAnsi"/>
          <w:bCs/>
          <w:sz w:val="22"/>
        </w:rPr>
        <w:t>.</w:t>
      </w:r>
      <w:r w:rsidR="00A43875">
        <w:rPr>
          <w:rFonts w:asciiTheme="minorHAnsi" w:hAnsiTheme="minorHAnsi" w:cstheme="minorHAnsi"/>
          <w:bCs/>
          <w:sz w:val="22"/>
        </w:rPr>
        <w:t xml:space="preserve"> </w:t>
      </w:r>
    </w:p>
    <w:p w:rsidR="00A43875" w:rsidRDefault="00A43875" w:rsidP="00394FF5">
      <w:pPr>
        <w:widowControl w:val="0"/>
        <w:autoSpaceDE w:val="0"/>
        <w:autoSpaceDN w:val="0"/>
        <w:adjustRightInd w:val="0"/>
        <w:ind w:right="23"/>
        <w:jc w:val="both"/>
        <w:rPr>
          <w:rFonts w:asciiTheme="minorHAnsi" w:hAnsiTheme="minorHAnsi" w:cstheme="minorHAnsi"/>
          <w:bCs/>
          <w:sz w:val="22"/>
        </w:rPr>
      </w:pPr>
    </w:p>
    <w:p w:rsidR="00A43875" w:rsidRDefault="00A43875" w:rsidP="00394FF5">
      <w:pPr>
        <w:widowControl w:val="0"/>
        <w:autoSpaceDE w:val="0"/>
        <w:autoSpaceDN w:val="0"/>
        <w:adjustRightInd w:val="0"/>
        <w:ind w:right="23"/>
        <w:jc w:val="both"/>
        <w:rPr>
          <w:rFonts w:asciiTheme="minorHAnsi" w:hAnsiTheme="minorHAnsi" w:cstheme="minorHAnsi"/>
          <w:bCs/>
          <w:sz w:val="22"/>
        </w:rPr>
      </w:pPr>
      <w:r>
        <w:rPr>
          <w:rFonts w:asciiTheme="minorHAnsi" w:hAnsiTheme="minorHAnsi" w:cstheme="minorHAnsi"/>
          <w:bCs/>
          <w:sz w:val="22"/>
        </w:rPr>
        <w:t xml:space="preserve">Esto nos entrega un beneficio agregado por ahorro de costos de traslado de Bs. </w:t>
      </w:r>
      <w:r w:rsidR="00E42B73" w:rsidRPr="00E42B73">
        <w:rPr>
          <w:rFonts w:asciiTheme="minorHAnsi" w:hAnsiTheme="minorHAnsi" w:cstheme="minorHAnsi"/>
          <w:bCs/>
          <w:sz w:val="22"/>
        </w:rPr>
        <w:t>1.470.430</w:t>
      </w:r>
      <w:r>
        <w:rPr>
          <w:rFonts w:asciiTheme="minorHAnsi" w:hAnsiTheme="minorHAnsi" w:cstheme="minorHAnsi"/>
          <w:bCs/>
          <w:sz w:val="22"/>
        </w:rPr>
        <w:t xml:space="preserve"> por año.</w:t>
      </w:r>
    </w:p>
    <w:p w:rsidR="000C3A40" w:rsidRDefault="000C3A40" w:rsidP="00394FF5">
      <w:pPr>
        <w:widowControl w:val="0"/>
        <w:autoSpaceDE w:val="0"/>
        <w:autoSpaceDN w:val="0"/>
        <w:adjustRightInd w:val="0"/>
        <w:ind w:right="23"/>
        <w:jc w:val="both"/>
        <w:rPr>
          <w:rFonts w:asciiTheme="minorHAnsi" w:hAnsiTheme="minorHAnsi" w:cstheme="minorHAnsi"/>
          <w:bCs/>
          <w:sz w:val="22"/>
        </w:rPr>
      </w:pPr>
    </w:p>
    <w:p w:rsidR="00394FF5" w:rsidRPr="009C76DB" w:rsidRDefault="00394FF5" w:rsidP="00394FF5">
      <w:pPr>
        <w:widowControl w:val="0"/>
        <w:autoSpaceDE w:val="0"/>
        <w:autoSpaceDN w:val="0"/>
        <w:adjustRightInd w:val="0"/>
        <w:ind w:right="23"/>
        <w:jc w:val="both"/>
        <w:rPr>
          <w:rFonts w:asciiTheme="minorHAnsi" w:hAnsiTheme="minorHAnsi" w:cstheme="minorHAnsi"/>
          <w:bCs/>
          <w:sz w:val="22"/>
        </w:rPr>
      </w:pPr>
    </w:p>
    <w:p w:rsidR="00394FF5" w:rsidRPr="00AD0B97" w:rsidRDefault="00394FF5" w:rsidP="00AD0B97">
      <w:pPr>
        <w:jc w:val="both"/>
        <w:rPr>
          <w:rFonts w:asciiTheme="minorHAnsi" w:hAnsiTheme="minorHAnsi" w:cstheme="minorHAnsi"/>
          <w:sz w:val="22"/>
        </w:rPr>
      </w:pPr>
    </w:p>
    <w:p w:rsidR="00AD0B97" w:rsidRPr="00AD0B97" w:rsidRDefault="00AD0B97" w:rsidP="00AD0B97">
      <w:pPr>
        <w:pStyle w:val="ListParagraph"/>
        <w:numPr>
          <w:ilvl w:val="0"/>
          <w:numId w:val="4"/>
        </w:numPr>
        <w:jc w:val="both"/>
        <w:rPr>
          <w:rFonts w:asciiTheme="minorHAnsi" w:hAnsiTheme="minorHAnsi" w:cstheme="minorHAnsi"/>
          <w:sz w:val="22"/>
        </w:rPr>
      </w:pPr>
      <w:r w:rsidRPr="00AD0B97">
        <w:rPr>
          <w:rFonts w:asciiTheme="minorHAnsi" w:hAnsiTheme="minorHAnsi" w:cstheme="minorHAnsi"/>
          <w:sz w:val="22"/>
        </w:rPr>
        <w:t>Valoración de beneficios por disminución de pacientes referidos hacia el tercer nivel de atención</w:t>
      </w:r>
    </w:p>
    <w:p w:rsidR="00AD0B97" w:rsidRPr="00AD0B97" w:rsidRDefault="00AD0B97" w:rsidP="00AD0B97">
      <w:pPr>
        <w:jc w:val="both"/>
        <w:rPr>
          <w:rFonts w:asciiTheme="minorHAnsi" w:hAnsiTheme="minorHAnsi" w:cstheme="minorHAnsi"/>
          <w:sz w:val="22"/>
        </w:rPr>
      </w:pPr>
    </w:p>
    <w:p w:rsidR="00AD0B97" w:rsidRDefault="00AD0B97" w:rsidP="00AD0B97">
      <w:pPr>
        <w:jc w:val="both"/>
        <w:rPr>
          <w:rFonts w:asciiTheme="minorHAnsi" w:hAnsiTheme="minorHAnsi" w:cstheme="minorHAnsi"/>
          <w:sz w:val="22"/>
        </w:rPr>
      </w:pPr>
      <w:r w:rsidRPr="00AD0B97">
        <w:rPr>
          <w:rFonts w:asciiTheme="minorHAnsi" w:hAnsiTheme="minorHAnsi" w:cstheme="minorHAnsi"/>
          <w:sz w:val="22"/>
        </w:rPr>
        <w:t xml:space="preserve">Un tercer beneficio proviene de la mayor resolutividad del Hospital producto del proyecto, por lo cual disminuirán el número de pacientes referidos a establecimientos del tercer nivel de atención ubicados en las grandes ciudades.  </w:t>
      </w:r>
    </w:p>
    <w:p w:rsidR="00AD0B97" w:rsidRPr="00AD0B97" w:rsidRDefault="00AD0B97" w:rsidP="00AD0B97">
      <w:pPr>
        <w:jc w:val="both"/>
        <w:rPr>
          <w:rFonts w:asciiTheme="minorHAnsi" w:hAnsiTheme="minorHAnsi" w:cstheme="minorHAnsi"/>
          <w:sz w:val="22"/>
        </w:rPr>
      </w:pPr>
    </w:p>
    <w:p w:rsidR="00AD0B97" w:rsidRPr="00AD0B97" w:rsidRDefault="00AD0B97" w:rsidP="00AD0B97">
      <w:pPr>
        <w:jc w:val="both"/>
        <w:rPr>
          <w:rFonts w:asciiTheme="minorHAnsi" w:hAnsiTheme="minorHAnsi" w:cstheme="minorHAnsi"/>
          <w:sz w:val="22"/>
        </w:rPr>
      </w:pPr>
      <w:r w:rsidRPr="00AD0B97">
        <w:rPr>
          <w:rFonts w:asciiTheme="minorHAnsi" w:hAnsiTheme="minorHAnsi" w:cstheme="minorHAnsi"/>
          <w:sz w:val="22"/>
        </w:rPr>
        <w:t xml:space="preserve">Para estimar este beneficio se asume que un 80% de los casos </w:t>
      </w:r>
      <w:r w:rsidR="00D5733B">
        <w:rPr>
          <w:rFonts w:asciiTheme="minorHAnsi" w:hAnsiTheme="minorHAnsi" w:cstheme="minorHAnsi"/>
          <w:sz w:val="22"/>
        </w:rPr>
        <w:t>que serían atendidos</w:t>
      </w:r>
      <w:r w:rsidRPr="00AD0B97">
        <w:rPr>
          <w:rFonts w:asciiTheme="minorHAnsi" w:hAnsiTheme="minorHAnsi" w:cstheme="minorHAnsi"/>
          <w:sz w:val="22"/>
        </w:rPr>
        <w:t xml:space="preserve"> el hospital, </w:t>
      </w:r>
      <w:r w:rsidR="00D5733B">
        <w:rPr>
          <w:rFonts w:asciiTheme="minorHAnsi" w:hAnsiTheme="minorHAnsi" w:cstheme="minorHAnsi"/>
          <w:sz w:val="22"/>
        </w:rPr>
        <w:t xml:space="preserve">en una situación </w:t>
      </w:r>
      <w:r w:rsidRPr="00AD0B97">
        <w:rPr>
          <w:rFonts w:asciiTheme="minorHAnsi" w:hAnsiTheme="minorHAnsi" w:cstheme="minorHAnsi"/>
          <w:sz w:val="22"/>
        </w:rPr>
        <w:t>sin proyecto hubieran tenido que ser trasladados en ambulancia</w:t>
      </w:r>
      <w:r w:rsidR="00D5733B">
        <w:rPr>
          <w:rFonts w:asciiTheme="minorHAnsi" w:hAnsiTheme="minorHAnsi" w:cstheme="minorHAnsi"/>
          <w:sz w:val="22"/>
        </w:rPr>
        <w:t xml:space="preserve"> a algún establecimiento de La Paz</w:t>
      </w:r>
      <w:r w:rsidRPr="00AD0B97">
        <w:rPr>
          <w:rFonts w:asciiTheme="minorHAnsi" w:hAnsiTheme="minorHAnsi" w:cstheme="minorHAnsi"/>
          <w:sz w:val="22"/>
        </w:rPr>
        <w:t xml:space="preserve">. </w:t>
      </w:r>
      <w:r w:rsidR="00E424EB">
        <w:rPr>
          <w:rFonts w:asciiTheme="minorHAnsi" w:hAnsiTheme="minorHAnsi" w:cstheme="minorHAnsi"/>
          <w:sz w:val="22"/>
        </w:rPr>
        <w:t xml:space="preserve">Debido a que la demanda por intervenciones </w:t>
      </w:r>
      <w:r w:rsidR="00980AAA">
        <w:rPr>
          <w:rFonts w:asciiTheme="minorHAnsi" w:hAnsiTheme="minorHAnsi" w:cstheme="minorHAnsi"/>
          <w:sz w:val="22"/>
        </w:rPr>
        <w:t>quirúrgicas</w:t>
      </w:r>
      <w:r w:rsidR="00E424EB">
        <w:rPr>
          <w:rFonts w:asciiTheme="minorHAnsi" w:hAnsiTheme="minorHAnsi" w:cstheme="minorHAnsi"/>
          <w:sz w:val="22"/>
        </w:rPr>
        <w:t xml:space="preserve"> no </w:t>
      </w:r>
      <w:r w:rsidR="009E0E94">
        <w:rPr>
          <w:rFonts w:asciiTheme="minorHAnsi" w:hAnsiTheme="minorHAnsi" w:cstheme="minorHAnsi"/>
          <w:sz w:val="22"/>
        </w:rPr>
        <w:t xml:space="preserve">logra ser cubierta con la realización del proyecto, los potenciales pacientes a ser referidos son aquellos que debido a la no realización de este proyecto </w:t>
      </w:r>
      <w:r w:rsidR="00980AAA">
        <w:rPr>
          <w:rFonts w:asciiTheme="minorHAnsi" w:hAnsiTheme="minorHAnsi" w:cstheme="minorHAnsi"/>
          <w:sz w:val="22"/>
        </w:rPr>
        <w:t>hubieran</w:t>
      </w:r>
      <w:r w:rsidR="009E0E94">
        <w:rPr>
          <w:rFonts w:asciiTheme="minorHAnsi" w:hAnsiTheme="minorHAnsi" w:cstheme="minorHAnsi"/>
          <w:sz w:val="22"/>
        </w:rPr>
        <w:t xml:space="preserve"> tenido que ser referidos a La Paz pa</w:t>
      </w:r>
      <w:r w:rsidR="00FF40D5">
        <w:rPr>
          <w:rFonts w:asciiTheme="minorHAnsi" w:hAnsiTheme="minorHAnsi" w:cstheme="minorHAnsi"/>
          <w:sz w:val="22"/>
        </w:rPr>
        <w:t>ra la aten</w:t>
      </w:r>
      <w:r w:rsidR="009E0E94">
        <w:rPr>
          <w:rFonts w:asciiTheme="minorHAnsi" w:hAnsiTheme="minorHAnsi" w:cstheme="minorHAnsi"/>
          <w:sz w:val="22"/>
        </w:rPr>
        <w:t>ción de las cirugías. El número de referidos potenciales se obtiene del diferencial de oferta potencial de cirugías con y sin proyecto, que alcanza a 5.831. Si asumimos que e</w:t>
      </w:r>
      <w:r w:rsidRPr="00AD0B97">
        <w:rPr>
          <w:rFonts w:asciiTheme="minorHAnsi" w:hAnsiTheme="minorHAnsi" w:cstheme="minorHAnsi"/>
          <w:sz w:val="22"/>
        </w:rPr>
        <w:t xml:space="preserve">l 80% de los </w:t>
      </w:r>
      <w:r w:rsidR="009E0E94">
        <w:rPr>
          <w:rFonts w:asciiTheme="minorHAnsi" w:hAnsiTheme="minorHAnsi" w:cstheme="minorHAnsi"/>
          <w:sz w:val="22"/>
        </w:rPr>
        <w:t xml:space="preserve">potenciales </w:t>
      </w:r>
      <w:r w:rsidRPr="00AD0B97">
        <w:rPr>
          <w:rFonts w:asciiTheme="minorHAnsi" w:hAnsiTheme="minorHAnsi" w:cstheme="minorHAnsi"/>
          <w:sz w:val="22"/>
        </w:rPr>
        <w:t>referidos</w:t>
      </w:r>
      <w:r w:rsidR="009E0E94">
        <w:rPr>
          <w:rFonts w:asciiTheme="minorHAnsi" w:hAnsiTheme="minorHAnsi" w:cstheme="minorHAnsi"/>
          <w:sz w:val="22"/>
        </w:rPr>
        <w:t xml:space="preserve"> se hubiera tenido que trasladar a La Paz para resolver el problema de salud, el número de personas alcanza a 4.665</w:t>
      </w:r>
      <w:r w:rsidRPr="00AD0B97">
        <w:rPr>
          <w:rFonts w:asciiTheme="minorHAnsi" w:hAnsiTheme="minorHAnsi" w:cstheme="minorHAnsi"/>
          <w:sz w:val="22"/>
        </w:rPr>
        <w:t>. Con este parámetro proyectamos este ahorro de costos asumiendo un costo de viaje de ambulancia de 60</w:t>
      </w:r>
      <w:r w:rsidR="00E42B73">
        <w:rPr>
          <w:rFonts w:asciiTheme="minorHAnsi" w:hAnsiTheme="minorHAnsi" w:cstheme="minorHAnsi"/>
          <w:sz w:val="22"/>
        </w:rPr>
        <w:t xml:space="preserve"> Bs. </w:t>
      </w:r>
      <w:r w:rsidR="009E0E94">
        <w:rPr>
          <w:rFonts w:asciiTheme="minorHAnsi" w:hAnsiTheme="minorHAnsi" w:cstheme="minorHAnsi"/>
          <w:sz w:val="22"/>
        </w:rPr>
        <w:t>que suponemos lo paga el 50% de los pacientes referidos</w:t>
      </w:r>
      <w:r w:rsidRPr="00AD0B97">
        <w:rPr>
          <w:rFonts w:asciiTheme="minorHAnsi" w:hAnsiTheme="minorHAnsi" w:cstheme="minorHAnsi"/>
          <w:sz w:val="22"/>
        </w:rPr>
        <w:t>.</w:t>
      </w:r>
      <w:r w:rsidR="009E0E94">
        <w:rPr>
          <w:rStyle w:val="FootnoteReference"/>
          <w:rFonts w:asciiTheme="minorHAnsi" w:hAnsiTheme="minorHAnsi" w:cstheme="minorHAnsi"/>
          <w:sz w:val="22"/>
        </w:rPr>
        <w:footnoteReference w:id="79"/>
      </w:r>
      <w:r w:rsidR="009E0E94">
        <w:rPr>
          <w:rFonts w:asciiTheme="minorHAnsi" w:hAnsiTheme="minorHAnsi" w:cstheme="minorHAnsi"/>
          <w:sz w:val="22"/>
        </w:rPr>
        <w:t xml:space="preserve"> Otros costos que habitualmente se consideran son aquellos que se generan por efecto de la visita de familiares, en este caso supondremos </w:t>
      </w:r>
      <w:r w:rsidR="00E42B73">
        <w:rPr>
          <w:rFonts w:asciiTheme="minorHAnsi" w:hAnsiTheme="minorHAnsi" w:cstheme="minorHAnsi"/>
          <w:sz w:val="22"/>
        </w:rPr>
        <w:t>dos</w:t>
      </w:r>
      <w:r w:rsidR="009E0E94">
        <w:rPr>
          <w:rFonts w:asciiTheme="minorHAnsi" w:hAnsiTheme="minorHAnsi" w:cstheme="minorHAnsi"/>
          <w:sz w:val="22"/>
        </w:rPr>
        <w:t xml:space="preserve"> visita</w:t>
      </w:r>
      <w:r w:rsidR="00E42B73">
        <w:rPr>
          <w:rFonts w:asciiTheme="minorHAnsi" w:hAnsiTheme="minorHAnsi" w:cstheme="minorHAnsi"/>
          <w:sz w:val="22"/>
        </w:rPr>
        <w:t>s</w:t>
      </w:r>
      <w:r w:rsidR="009E0E94">
        <w:rPr>
          <w:rFonts w:asciiTheme="minorHAnsi" w:hAnsiTheme="minorHAnsi" w:cstheme="minorHAnsi"/>
          <w:sz w:val="22"/>
        </w:rPr>
        <w:t xml:space="preserve"> de dos familiares</w:t>
      </w:r>
      <w:r w:rsidR="00012ED0">
        <w:rPr>
          <w:rFonts w:asciiTheme="minorHAnsi" w:hAnsiTheme="minorHAnsi" w:cstheme="minorHAnsi"/>
          <w:sz w:val="22"/>
        </w:rPr>
        <w:t xml:space="preserve"> por </w:t>
      </w:r>
      <w:r w:rsidR="00012ED0">
        <w:rPr>
          <w:rFonts w:asciiTheme="minorHAnsi" w:hAnsiTheme="minorHAnsi" w:cstheme="minorHAnsi"/>
          <w:sz w:val="22"/>
        </w:rPr>
        <w:lastRenderedPageBreak/>
        <w:t>cada evento,</w:t>
      </w:r>
      <w:r w:rsidR="00E42B73">
        <w:rPr>
          <w:rStyle w:val="FootnoteReference"/>
          <w:rFonts w:asciiTheme="minorHAnsi" w:hAnsiTheme="minorHAnsi" w:cstheme="minorHAnsi"/>
          <w:sz w:val="22"/>
        </w:rPr>
        <w:footnoteReference w:id="80"/>
      </w:r>
      <w:r w:rsidR="00012ED0">
        <w:rPr>
          <w:rFonts w:asciiTheme="minorHAnsi" w:hAnsiTheme="minorHAnsi" w:cstheme="minorHAnsi"/>
          <w:sz w:val="22"/>
        </w:rPr>
        <w:t xml:space="preserve"> con un costo de 10</w:t>
      </w:r>
      <w:r w:rsidR="00D5733B">
        <w:rPr>
          <w:rFonts w:asciiTheme="minorHAnsi" w:hAnsiTheme="minorHAnsi" w:cstheme="minorHAnsi"/>
          <w:sz w:val="22"/>
        </w:rPr>
        <w:t xml:space="preserve"> </w:t>
      </w:r>
      <w:r w:rsidR="00012ED0">
        <w:rPr>
          <w:rFonts w:asciiTheme="minorHAnsi" w:hAnsiTheme="minorHAnsi" w:cstheme="minorHAnsi"/>
          <w:sz w:val="22"/>
        </w:rPr>
        <w:t>Bs</w:t>
      </w:r>
      <w:r w:rsidR="00E42B73">
        <w:rPr>
          <w:rFonts w:asciiTheme="minorHAnsi" w:hAnsiTheme="minorHAnsi" w:cstheme="minorHAnsi"/>
          <w:sz w:val="22"/>
        </w:rPr>
        <w:t>.</w:t>
      </w:r>
      <w:r w:rsidR="00012ED0">
        <w:rPr>
          <w:rFonts w:asciiTheme="minorHAnsi" w:hAnsiTheme="minorHAnsi" w:cstheme="minorHAnsi"/>
          <w:sz w:val="22"/>
        </w:rPr>
        <w:t xml:space="preserve"> por persona.</w:t>
      </w:r>
      <w:r w:rsidR="00012ED0">
        <w:rPr>
          <w:rStyle w:val="FootnoteReference"/>
          <w:rFonts w:asciiTheme="minorHAnsi" w:hAnsiTheme="minorHAnsi" w:cstheme="minorHAnsi"/>
          <w:sz w:val="22"/>
        </w:rPr>
        <w:footnoteReference w:id="81"/>
      </w:r>
      <w:r w:rsidR="00D5733B">
        <w:rPr>
          <w:rFonts w:asciiTheme="minorHAnsi" w:hAnsiTheme="minorHAnsi" w:cstheme="minorHAnsi"/>
          <w:sz w:val="22"/>
        </w:rPr>
        <w:t xml:space="preserve"> El </w:t>
      </w:r>
      <w:r w:rsidR="00980AAA">
        <w:rPr>
          <w:rFonts w:asciiTheme="minorHAnsi" w:hAnsiTheme="minorHAnsi" w:cstheme="minorHAnsi"/>
          <w:sz w:val="22"/>
        </w:rPr>
        <w:t>beneficio</w:t>
      </w:r>
      <w:r w:rsidR="00D5733B">
        <w:rPr>
          <w:rFonts w:asciiTheme="minorHAnsi" w:hAnsiTheme="minorHAnsi" w:cstheme="minorHAnsi"/>
          <w:sz w:val="22"/>
        </w:rPr>
        <w:t xml:space="preserve"> anual por este concepto alcanza a Bs. </w:t>
      </w:r>
      <w:r w:rsidR="00D5733B" w:rsidRPr="00D5733B">
        <w:rPr>
          <w:rFonts w:asciiTheme="minorHAnsi" w:hAnsiTheme="minorHAnsi" w:cstheme="minorHAnsi"/>
          <w:sz w:val="22"/>
        </w:rPr>
        <w:t>513.150</w:t>
      </w:r>
      <w:r w:rsidR="00D5733B">
        <w:rPr>
          <w:rFonts w:asciiTheme="minorHAnsi" w:hAnsiTheme="minorHAnsi" w:cstheme="minorHAnsi"/>
          <w:sz w:val="22"/>
        </w:rPr>
        <w:t>.</w:t>
      </w:r>
    </w:p>
    <w:p w:rsidR="00AD0B97" w:rsidRDefault="00AD0B97" w:rsidP="00AD0B97">
      <w:pPr>
        <w:jc w:val="both"/>
        <w:rPr>
          <w:rFonts w:asciiTheme="minorHAnsi" w:hAnsiTheme="minorHAnsi" w:cstheme="minorHAnsi"/>
          <w:sz w:val="18"/>
        </w:rPr>
      </w:pPr>
    </w:p>
    <w:p w:rsidR="00656F99" w:rsidRPr="00821065" w:rsidRDefault="00656F99" w:rsidP="008A366B">
      <w:pPr>
        <w:pStyle w:val="Heading2"/>
        <w:numPr>
          <w:ilvl w:val="1"/>
          <w:numId w:val="1"/>
        </w:numPr>
        <w:spacing w:line="276" w:lineRule="auto"/>
        <w:rPr>
          <w:rFonts w:asciiTheme="minorHAnsi" w:hAnsiTheme="minorHAnsi" w:cstheme="minorHAnsi"/>
          <w:bCs w:val="0"/>
        </w:rPr>
      </w:pPr>
      <w:bookmarkStart w:id="81" w:name="_Toc373093544"/>
      <w:r w:rsidRPr="00821065">
        <w:rPr>
          <w:rFonts w:asciiTheme="minorHAnsi" w:hAnsiTheme="minorHAnsi" w:cstheme="minorHAnsi"/>
          <w:bCs w:val="0"/>
        </w:rPr>
        <w:t>Resultados de evaluación</w:t>
      </w:r>
      <w:bookmarkEnd w:id="81"/>
    </w:p>
    <w:p w:rsidR="00656F99" w:rsidRPr="009C76DB" w:rsidRDefault="00656F99" w:rsidP="00656F99">
      <w:pPr>
        <w:pStyle w:val="BlockText"/>
        <w:spacing w:after="0"/>
        <w:ind w:left="0"/>
        <w:rPr>
          <w:rFonts w:asciiTheme="minorHAnsi" w:hAnsiTheme="minorHAnsi" w:cstheme="minorHAnsi"/>
          <w:sz w:val="22"/>
        </w:rPr>
      </w:pPr>
    </w:p>
    <w:p w:rsidR="00A104AB" w:rsidRDefault="001405F9" w:rsidP="00656F99">
      <w:pPr>
        <w:pStyle w:val="BlockText"/>
        <w:ind w:left="0"/>
        <w:rPr>
          <w:rFonts w:asciiTheme="minorHAnsi" w:hAnsiTheme="minorHAnsi" w:cstheme="minorHAnsi"/>
          <w:sz w:val="22"/>
        </w:rPr>
      </w:pPr>
      <w:r>
        <w:rPr>
          <w:rFonts w:asciiTheme="minorHAnsi" w:hAnsiTheme="minorHAnsi" w:cstheme="minorHAnsi"/>
          <w:sz w:val="22"/>
        </w:rPr>
        <w:t>En la evaluación de referencia</w:t>
      </w:r>
      <w:r w:rsidR="00656F99" w:rsidRPr="009C76DB">
        <w:rPr>
          <w:rFonts w:asciiTheme="minorHAnsi" w:hAnsiTheme="minorHAnsi" w:cstheme="minorHAnsi"/>
          <w:sz w:val="22"/>
        </w:rPr>
        <w:t xml:space="preserve"> se comparan los beneficios sociales netos que se desprenden la situación con y sin proyecto</w:t>
      </w:r>
      <w:r w:rsidR="00A104AB">
        <w:rPr>
          <w:rFonts w:asciiTheme="minorHAnsi" w:hAnsiTheme="minorHAnsi" w:cstheme="minorHAnsi"/>
          <w:sz w:val="22"/>
        </w:rPr>
        <w:t xml:space="preserve">, este </w:t>
      </w:r>
      <w:r w:rsidR="0096165A">
        <w:rPr>
          <w:rFonts w:asciiTheme="minorHAnsi" w:hAnsiTheme="minorHAnsi" w:cstheme="minorHAnsi"/>
          <w:sz w:val="22"/>
        </w:rPr>
        <w:t>escenario</w:t>
      </w:r>
      <w:r w:rsidR="00A104AB">
        <w:rPr>
          <w:rFonts w:asciiTheme="minorHAnsi" w:hAnsiTheme="minorHAnsi" w:cstheme="minorHAnsi"/>
          <w:sz w:val="22"/>
        </w:rPr>
        <w:t xml:space="preserve"> contempla:</w:t>
      </w:r>
    </w:p>
    <w:p w:rsidR="00A104AB" w:rsidRDefault="00A104AB" w:rsidP="008A366B">
      <w:pPr>
        <w:pStyle w:val="BlockText"/>
        <w:numPr>
          <w:ilvl w:val="0"/>
          <w:numId w:val="6"/>
        </w:numPr>
        <w:rPr>
          <w:rFonts w:asciiTheme="minorHAnsi" w:hAnsiTheme="minorHAnsi" w:cstheme="minorHAnsi"/>
          <w:sz w:val="22"/>
        </w:rPr>
      </w:pPr>
      <w:r>
        <w:rPr>
          <w:rFonts w:asciiTheme="minorHAnsi" w:hAnsiTheme="minorHAnsi" w:cstheme="minorHAnsi"/>
          <w:sz w:val="22"/>
        </w:rPr>
        <w:t>B</w:t>
      </w:r>
      <w:r w:rsidR="00070FD2">
        <w:rPr>
          <w:rFonts w:asciiTheme="minorHAnsi" w:hAnsiTheme="minorHAnsi" w:cstheme="minorHAnsi"/>
          <w:sz w:val="22"/>
        </w:rPr>
        <w:t>e</w:t>
      </w:r>
      <w:r>
        <w:rPr>
          <w:rFonts w:asciiTheme="minorHAnsi" w:hAnsiTheme="minorHAnsi" w:cstheme="minorHAnsi"/>
          <w:sz w:val="22"/>
        </w:rPr>
        <w:t>neficios incrementales por mayor consumo</w:t>
      </w:r>
      <w:r w:rsidR="009211C6">
        <w:rPr>
          <w:rStyle w:val="FootnoteReference"/>
          <w:rFonts w:asciiTheme="minorHAnsi" w:hAnsiTheme="minorHAnsi" w:cstheme="minorHAnsi"/>
          <w:sz w:val="22"/>
        </w:rPr>
        <w:footnoteReference w:id="82"/>
      </w:r>
    </w:p>
    <w:p w:rsidR="00E42B73" w:rsidRDefault="00E42B73" w:rsidP="008A366B">
      <w:pPr>
        <w:pStyle w:val="BlockText"/>
        <w:numPr>
          <w:ilvl w:val="0"/>
          <w:numId w:val="6"/>
        </w:numPr>
        <w:rPr>
          <w:rFonts w:asciiTheme="minorHAnsi" w:hAnsiTheme="minorHAnsi" w:cstheme="minorHAnsi"/>
          <w:sz w:val="22"/>
        </w:rPr>
      </w:pPr>
      <w:r>
        <w:rPr>
          <w:rFonts w:asciiTheme="minorHAnsi" w:hAnsiTheme="minorHAnsi" w:cstheme="minorHAnsi"/>
          <w:sz w:val="22"/>
        </w:rPr>
        <w:t xml:space="preserve">Beneficios por ahorro de costos de viaje por </w:t>
      </w:r>
      <w:r w:rsidR="00980AAA">
        <w:rPr>
          <w:rFonts w:asciiTheme="minorHAnsi" w:hAnsiTheme="minorHAnsi" w:cstheme="minorHAnsi"/>
          <w:sz w:val="22"/>
        </w:rPr>
        <w:t>consultas</w:t>
      </w:r>
      <w:r>
        <w:rPr>
          <w:rFonts w:asciiTheme="minorHAnsi" w:hAnsiTheme="minorHAnsi" w:cstheme="minorHAnsi"/>
          <w:sz w:val="22"/>
        </w:rPr>
        <w:t xml:space="preserve"> de especialidad</w:t>
      </w:r>
    </w:p>
    <w:p w:rsidR="00E42B73" w:rsidRDefault="00E42B73" w:rsidP="008A366B">
      <w:pPr>
        <w:pStyle w:val="BlockText"/>
        <w:numPr>
          <w:ilvl w:val="0"/>
          <w:numId w:val="6"/>
        </w:numPr>
        <w:rPr>
          <w:rFonts w:asciiTheme="minorHAnsi" w:hAnsiTheme="minorHAnsi" w:cstheme="minorHAnsi"/>
          <w:sz w:val="22"/>
        </w:rPr>
      </w:pPr>
      <w:r>
        <w:rPr>
          <w:rFonts w:asciiTheme="minorHAnsi" w:hAnsiTheme="minorHAnsi" w:cstheme="minorHAnsi"/>
          <w:sz w:val="22"/>
        </w:rPr>
        <w:t>Beneficios por ahorro de costos de viaje por cirugías referidas a La Paz</w:t>
      </w:r>
    </w:p>
    <w:p w:rsidR="00A104AB" w:rsidRDefault="00A104AB" w:rsidP="008A366B">
      <w:pPr>
        <w:pStyle w:val="BlockText"/>
        <w:numPr>
          <w:ilvl w:val="0"/>
          <w:numId w:val="6"/>
        </w:numPr>
        <w:rPr>
          <w:rFonts w:asciiTheme="minorHAnsi" w:hAnsiTheme="minorHAnsi" w:cstheme="minorHAnsi"/>
          <w:sz w:val="22"/>
        </w:rPr>
      </w:pPr>
      <w:r>
        <w:rPr>
          <w:rFonts w:asciiTheme="minorHAnsi" w:hAnsiTheme="minorHAnsi" w:cstheme="minorHAnsi"/>
          <w:sz w:val="22"/>
        </w:rPr>
        <w:t>I</w:t>
      </w:r>
      <w:r w:rsidR="00656F99" w:rsidRPr="009C76DB">
        <w:rPr>
          <w:rFonts w:asciiTheme="minorHAnsi" w:hAnsiTheme="minorHAnsi" w:cstheme="minorHAnsi"/>
          <w:sz w:val="22"/>
        </w:rPr>
        <w:t xml:space="preserve">nversión en obras </w:t>
      </w:r>
    </w:p>
    <w:p w:rsidR="00A104AB" w:rsidRDefault="00A104AB" w:rsidP="008A366B">
      <w:pPr>
        <w:pStyle w:val="BlockText"/>
        <w:numPr>
          <w:ilvl w:val="0"/>
          <w:numId w:val="6"/>
        </w:numPr>
        <w:rPr>
          <w:rFonts w:asciiTheme="minorHAnsi" w:hAnsiTheme="minorHAnsi" w:cstheme="minorHAnsi"/>
          <w:sz w:val="22"/>
        </w:rPr>
      </w:pPr>
      <w:r>
        <w:rPr>
          <w:rFonts w:asciiTheme="minorHAnsi" w:hAnsiTheme="minorHAnsi" w:cstheme="minorHAnsi"/>
          <w:sz w:val="22"/>
        </w:rPr>
        <w:t>I</w:t>
      </w:r>
      <w:r w:rsidR="00656F99" w:rsidRPr="009C76DB">
        <w:rPr>
          <w:rFonts w:asciiTheme="minorHAnsi" w:hAnsiTheme="minorHAnsi" w:cstheme="minorHAnsi"/>
          <w:sz w:val="22"/>
        </w:rPr>
        <w:t>nversión en equipos</w:t>
      </w:r>
    </w:p>
    <w:p w:rsidR="00E42B73" w:rsidRDefault="00E42B73" w:rsidP="008A366B">
      <w:pPr>
        <w:pStyle w:val="BlockText"/>
        <w:numPr>
          <w:ilvl w:val="0"/>
          <w:numId w:val="6"/>
        </w:numPr>
        <w:rPr>
          <w:rFonts w:asciiTheme="minorHAnsi" w:hAnsiTheme="minorHAnsi" w:cstheme="minorHAnsi"/>
          <w:sz w:val="22"/>
        </w:rPr>
      </w:pPr>
      <w:r>
        <w:rPr>
          <w:rFonts w:asciiTheme="minorHAnsi" w:hAnsiTheme="minorHAnsi" w:cstheme="minorHAnsi"/>
          <w:sz w:val="22"/>
        </w:rPr>
        <w:t>Inversión mejoramiento en el primer nivel de atención</w:t>
      </w:r>
    </w:p>
    <w:p w:rsidR="00E42B73" w:rsidRDefault="00E42B73" w:rsidP="008A366B">
      <w:pPr>
        <w:pStyle w:val="BlockText"/>
        <w:numPr>
          <w:ilvl w:val="0"/>
          <w:numId w:val="6"/>
        </w:numPr>
        <w:rPr>
          <w:rFonts w:asciiTheme="minorHAnsi" w:hAnsiTheme="minorHAnsi" w:cstheme="minorHAnsi"/>
          <w:sz w:val="22"/>
        </w:rPr>
      </w:pPr>
      <w:r>
        <w:rPr>
          <w:rFonts w:asciiTheme="minorHAnsi" w:hAnsiTheme="minorHAnsi" w:cstheme="minorHAnsi"/>
          <w:sz w:val="22"/>
        </w:rPr>
        <w:t>Formación de recursos humanos</w:t>
      </w:r>
    </w:p>
    <w:p w:rsidR="00E42B73" w:rsidRDefault="00E42B73" w:rsidP="008A366B">
      <w:pPr>
        <w:pStyle w:val="BlockText"/>
        <w:numPr>
          <w:ilvl w:val="0"/>
          <w:numId w:val="6"/>
        </w:numPr>
        <w:rPr>
          <w:rFonts w:asciiTheme="minorHAnsi" w:hAnsiTheme="minorHAnsi" w:cstheme="minorHAnsi"/>
          <w:sz w:val="22"/>
        </w:rPr>
      </w:pPr>
      <w:r>
        <w:rPr>
          <w:rFonts w:asciiTheme="minorHAnsi" w:hAnsiTheme="minorHAnsi" w:cstheme="minorHAnsi"/>
          <w:sz w:val="22"/>
        </w:rPr>
        <w:t>Puesta en marcha y operación</w:t>
      </w:r>
    </w:p>
    <w:p w:rsidR="00A104AB" w:rsidRDefault="00A104AB" w:rsidP="008A366B">
      <w:pPr>
        <w:pStyle w:val="BlockText"/>
        <w:numPr>
          <w:ilvl w:val="0"/>
          <w:numId w:val="6"/>
        </w:numPr>
        <w:rPr>
          <w:rFonts w:asciiTheme="minorHAnsi" w:hAnsiTheme="minorHAnsi" w:cstheme="minorHAnsi"/>
          <w:sz w:val="22"/>
        </w:rPr>
      </w:pPr>
      <w:r>
        <w:rPr>
          <w:rFonts w:asciiTheme="minorHAnsi" w:hAnsiTheme="minorHAnsi" w:cstheme="minorHAnsi"/>
          <w:sz w:val="22"/>
        </w:rPr>
        <w:t>Renovación de un conjunto de equipamiento cada 10 años equivalente</w:t>
      </w:r>
      <w:r w:rsidR="00070FD2">
        <w:rPr>
          <w:rFonts w:asciiTheme="minorHAnsi" w:hAnsiTheme="minorHAnsi" w:cstheme="minorHAnsi"/>
          <w:sz w:val="22"/>
        </w:rPr>
        <w:t xml:space="preserve"> a un </w:t>
      </w:r>
      <w:r w:rsidR="00480250">
        <w:rPr>
          <w:rFonts w:asciiTheme="minorHAnsi" w:hAnsiTheme="minorHAnsi" w:cstheme="minorHAnsi"/>
          <w:sz w:val="22"/>
        </w:rPr>
        <w:t>40,6</w:t>
      </w:r>
      <w:r w:rsidR="00070FD2">
        <w:rPr>
          <w:rFonts w:asciiTheme="minorHAnsi" w:hAnsiTheme="minorHAnsi" w:cstheme="minorHAnsi"/>
          <w:sz w:val="22"/>
        </w:rPr>
        <w:t>% del valor social de la inversión total en equipamiento</w:t>
      </w:r>
      <w:r w:rsidR="00516B4C">
        <w:rPr>
          <w:rFonts w:asciiTheme="minorHAnsi" w:hAnsiTheme="minorHAnsi" w:cstheme="minorHAnsi"/>
          <w:sz w:val="22"/>
        </w:rPr>
        <w:t>.</w:t>
      </w:r>
      <w:r w:rsidR="00516B4C">
        <w:rPr>
          <w:rStyle w:val="FootnoteReference"/>
          <w:rFonts w:asciiTheme="minorHAnsi" w:hAnsiTheme="minorHAnsi" w:cstheme="minorHAnsi"/>
          <w:sz w:val="22"/>
        </w:rPr>
        <w:footnoteReference w:id="83"/>
      </w:r>
    </w:p>
    <w:p w:rsidR="00070FD2" w:rsidRDefault="00A104AB" w:rsidP="008A366B">
      <w:pPr>
        <w:pStyle w:val="BlockText"/>
        <w:numPr>
          <w:ilvl w:val="0"/>
          <w:numId w:val="6"/>
        </w:numPr>
        <w:rPr>
          <w:rFonts w:asciiTheme="minorHAnsi" w:hAnsiTheme="minorHAnsi" w:cstheme="minorHAnsi"/>
          <w:sz w:val="22"/>
        </w:rPr>
      </w:pPr>
      <w:r>
        <w:rPr>
          <w:rFonts w:asciiTheme="minorHAnsi" w:hAnsiTheme="minorHAnsi" w:cstheme="minorHAnsi"/>
          <w:sz w:val="22"/>
        </w:rPr>
        <w:t xml:space="preserve"> </w:t>
      </w:r>
      <w:r w:rsidR="00213D2E">
        <w:rPr>
          <w:rFonts w:asciiTheme="minorHAnsi" w:hAnsiTheme="minorHAnsi" w:cstheme="minorHAnsi"/>
          <w:sz w:val="22"/>
        </w:rPr>
        <w:t>Una tasa</w:t>
      </w:r>
      <w:r w:rsidR="00461F7D">
        <w:rPr>
          <w:rFonts w:asciiTheme="minorHAnsi" w:hAnsiTheme="minorHAnsi" w:cstheme="minorHAnsi"/>
          <w:sz w:val="22"/>
        </w:rPr>
        <w:t xml:space="preserve"> de </w:t>
      </w:r>
      <w:r w:rsidR="00656F99" w:rsidRPr="009C76DB">
        <w:rPr>
          <w:rFonts w:asciiTheme="minorHAnsi" w:hAnsiTheme="minorHAnsi" w:cstheme="minorHAnsi"/>
          <w:sz w:val="22"/>
        </w:rPr>
        <w:t xml:space="preserve">descuento social de </w:t>
      </w:r>
      <w:r w:rsidR="00070FD2">
        <w:rPr>
          <w:rFonts w:asciiTheme="minorHAnsi" w:hAnsiTheme="minorHAnsi" w:cstheme="minorHAnsi"/>
          <w:sz w:val="22"/>
        </w:rPr>
        <w:t>5</w:t>
      </w:r>
      <w:r w:rsidR="00656F99" w:rsidRPr="009C76DB">
        <w:rPr>
          <w:rFonts w:asciiTheme="minorHAnsi" w:hAnsiTheme="minorHAnsi" w:cstheme="minorHAnsi"/>
          <w:sz w:val="22"/>
        </w:rPr>
        <w:t>,7%</w:t>
      </w:r>
      <w:r w:rsidR="00516B4C">
        <w:rPr>
          <w:rFonts w:asciiTheme="minorHAnsi" w:hAnsiTheme="minorHAnsi" w:cstheme="minorHAnsi"/>
          <w:sz w:val="22"/>
        </w:rPr>
        <w:t>,</w:t>
      </w:r>
      <w:r w:rsidR="00070FD2">
        <w:rPr>
          <w:rFonts w:asciiTheme="minorHAnsi" w:hAnsiTheme="minorHAnsi" w:cstheme="minorHAnsi"/>
          <w:sz w:val="22"/>
        </w:rPr>
        <w:t xml:space="preserve"> 3%</w:t>
      </w:r>
      <w:r w:rsidR="00E42B73">
        <w:rPr>
          <w:rFonts w:asciiTheme="minorHAnsi" w:hAnsiTheme="minorHAnsi" w:cstheme="minorHAnsi"/>
          <w:sz w:val="22"/>
        </w:rPr>
        <w:t>, 12%</w:t>
      </w:r>
      <w:r w:rsidR="00516B4C">
        <w:rPr>
          <w:rFonts w:asciiTheme="minorHAnsi" w:hAnsiTheme="minorHAnsi" w:cstheme="minorHAnsi"/>
          <w:sz w:val="22"/>
        </w:rPr>
        <w:t xml:space="preserve"> y 12,67%.</w:t>
      </w:r>
    </w:p>
    <w:p w:rsidR="00BC2D64" w:rsidRDefault="00BC2D64" w:rsidP="008A366B">
      <w:pPr>
        <w:pStyle w:val="BlockText"/>
        <w:numPr>
          <w:ilvl w:val="0"/>
          <w:numId w:val="6"/>
        </w:numPr>
        <w:rPr>
          <w:rFonts w:asciiTheme="minorHAnsi" w:hAnsiTheme="minorHAnsi" w:cstheme="minorHAnsi"/>
          <w:sz w:val="22"/>
        </w:rPr>
      </w:pPr>
      <w:r>
        <w:rPr>
          <w:rFonts w:asciiTheme="minorHAnsi" w:hAnsiTheme="minorHAnsi" w:cstheme="minorHAnsi"/>
          <w:sz w:val="22"/>
        </w:rPr>
        <w:t>No se considera valor residual del proyecto, en el entendido que el proyecto continua en el tiempo.</w:t>
      </w:r>
    </w:p>
    <w:p w:rsidR="005F0181" w:rsidRPr="00C32FCA" w:rsidRDefault="008506FF" w:rsidP="00C32FCA">
      <w:pPr>
        <w:jc w:val="both"/>
        <w:rPr>
          <w:rFonts w:ascii="Calibri" w:hAnsi="Calibri"/>
          <w:color w:val="000000"/>
          <w:sz w:val="22"/>
          <w:szCs w:val="22"/>
        </w:rPr>
      </w:pPr>
      <w:r>
        <w:rPr>
          <w:rFonts w:asciiTheme="minorHAnsi" w:hAnsiTheme="minorHAnsi" w:cstheme="minorHAnsi"/>
          <w:sz w:val="22"/>
        </w:rPr>
        <w:t>En la Tabla 7.10 se observan distintos resultados para el</w:t>
      </w:r>
      <w:r w:rsidR="005F0181">
        <w:rPr>
          <w:rFonts w:asciiTheme="minorHAnsi" w:hAnsiTheme="minorHAnsi" w:cstheme="minorHAnsi"/>
          <w:sz w:val="22"/>
        </w:rPr>
        <w:t xml:space="preserve"> valor actual neto social </w:t>
      </w:r>
      <w:r w:rsidR="00480250">
        <w:rPr>
          <w:rFonts w:asciiTheme="minorHAnsi" w:hAnsiTheme="minorHAnsi" w:cstheme="minorHAnsi"/>
          <w:sz w:val="22"/>
        </w:rPr>
        <w:t>(VANS)</w:t>
      </w:r>
      <w:r>
        <w:rPr>
          <w:rFonts w:asciiTheme="minorHAnsi" w:hAnsiTheme="minorHAnsi" w:cstheme="minorHAnsi"/>
          <w:sz w:val="22"/>
        </w:rPr>
        <w:t xml:space="preserve">, dependi9endo de la tasas de descuento utilizada. </w:t>
      </w:r>
      <w:r w:rsidR="009E0C83">
        <w:rPr>
          <w:rFonts w:asciiTheme="minorHAnsi" w:hAnsiTheme="minorHAnsi" w:cstheme="minorHAnsi"/>
          <w:sz w:val="22"/>
        </w:rPr>
        <w:t xml:space="preserve">El VANS va disminuyendo desde un valor de </w:t>
      </w:r>
      <w:r w:rsidR="009E0C83">
        <w:rPr>
          <w:rFonts w:asciiTheme="minorHAnsi" w:hAnsiTheme="minorHAnsi" w:cstheme="minorHAnsi"/>
          <w:sz w:val="22"/>
        </w:rPr>
        <w:lastRenderedPageBreak/>
        <w:t>636,9 millones de Bs. evaluado a una tasa de descuento de 3%, a 121,9 millones de Bs. evaluado a una tasa de 12,67%</w:t>
      </w:r>
      <w:r w:rsidR="0005663C">
        <w:rPr>
          <w:rFonts w:asciiTheme="minorHAnsi" w:hAnsiTheme="minorHAnsi" w:cstheme="minorHAnsi"/>
          <w:sz w:val="22"/>
          <w:lang w:val="es-MX"/>
        </w:rPr>
        <w:t xml:space="preserve">. </w:t>
      </w:r>
      <w:r w:rsidR="000D54BF">
        <w:rPr>
          <w:rFonts w:asciiTheme="minorHAnsi" w:hAnsiTheme="minorHAnsi" w:cstheme="minorHAnsi"/>
          <w:sz w:val="22"/>
        </w:rPr>
        <w:t xml:space="preserve">La tasa interna de retorno social es de </w:t>
      </w:r>
      <w:r w:rsidR="00C32FCA">
        <w:rPr>
          <w:rFonts w:asciiTheme="minorHAnsi" w:hAnsiTheme="minorHAnsi" w:cstheme="minorHAnsi"/>
          <w:sz w:val="22"/>
        </w:rPr>
        <w:t>22</w:t>
      </w:r>
      <w:r w:rsidR="003C4805">
        <w:rPr>
          <w:rFonts w:asciiTheme="minorHAnsi" w:hAnsiTheme="minorHAnsi" w:cstheme="minorHAnsi"/>
          <w:sz w:val="22"/>
        </w:rPr>
        <w:t>,1</w:t>
      </w:r>
      <w:r w:rsidR="000D54BF">
        <w:rPr>
          <w:rFonts w:asciiTheme="minorHAnsi" w:hAnsiTheme="minorHAnsi" w:cstheme="minorHAnsi"/>
          <w:sz w:val="22"/>
        </w:rPr>
        <w:t>%</w:t>
      </w:r>
      <w:r w:rsidR="005F0181">
        <w:rPr>
          <w:rFonts w:asciiTheme="minorHAnsi" w:hAnsiTheme="minorHAnsi" w:cstheme="minorHAnsi"/>
          <w:sz w:val="22"/>
        </w:rPr>
        <w:t>.</w:t>
      </w:r>
      <w:r w:rsidR="000F1165">
        <w:rPr>
          <w:rFonts w:asciiTheme="minorHAnsi" w:hAnsiTheme="minorHAnsi" w:cstheme="minorHAnsi"/>
          <w:sz w:val="22"/>
        </w:rPr>
        <w:t xml:space="preserve"> </w:t>
      </w:r>
    </w:p>
    <w:p w:rsidR="00BC2D64" w:rsidRDefault="00BC2D64">
      <w:pPr>
        <w:rPr>
          <w:rFonts w:asciiTheme="minorHAnsi" w:hAnsiTheme="minorHAnsi" w:cstheme="minorHAnsi"/>
          <w:sz w:val="22"/>
          <w:szCs w:val="22"/>
        </w:rPr>
      </w:pPr>
    </w:p>
    <w:p w:rsidR="008506FF" w:rsidRDefault="00480250" w:rsidP="00492EC7">
      <w:pPr>
        <w:rPr>
          <w:rFonts w:asciiTheme="minorHAnsi" w:hAnsiTheme="minorHAnsi" w:cstheme="minorHAnsi"/>
          <w:sz w:val="22"/>
        </w:rPr>
      </w:pPr>
      <w:r>
        <w:rPr>
          <w:rFonts w:asciiTheme="minorHAnsi" w:hAnsiTheme="minorHAnsi" w:cstheme="minorHAnsi"/>
          <w:sz w:val="22"/>
        </w:rPr>
        <w:br w:type="page"/>
      </w:r>
    </w:p>
    <w:p w:rsidR="008506FF" w:rsidRDefault="008506FF" w:rsidP="00492EC7">
      <w:pPr>
        <w:rPr>
          <w:rFonts w:asciiTheme="minorHAnsi" w:hAnsiTheme="minorHAnsi" w:cstheme="minorHAnsi"/>
          <w:sz w:val="22"/>
        </w:rPr>
      </w:pPr>
    </w:p>
    <w:p w:rsidR="008506FF" w:rsidRDefault="008506FF" w:rsidP="00492EC7">
      <w:pPr>
        <w:rPr>
          <w:rFonts w:asciiTheme="minorHAnsi" w:hAnsiTheme="minorHAnsi" w:cstheme="minorHAnsi"/>
          <w:sz w:val="22"/>
        </w:rPr>
      </w:pPr>
      <w:r>
        <w:rPr>
          <w:rFonts w:asciiTheme="minorHAnsi" w:hAnsiTheme="minorHAnsi" w:cstheme="minorHAnsi"/>
          <w:sz w:val="22"/>
        </w:rPr>
        <w:t>Tabla7.10: Valor actual neto social según tasa de descuento considerada</w:t>
      </w:r>
    </w:p>
    <w:tbl>
      <w:tblPr>
        <w:tblStyle w:val="LightShading-Accent3"/>
        <w:tblW w:w="3278" w:type="dxa"/>
        <w:tblLook w:val="04A0" w:firstRow="1" w:lastRow="0" w:firstColumn="1" w:lastColumn="0" w:noHBand="0" w:noVBand="1"/>
      </w:tblPr>
      <w:tblGrid>
        <w:gridCol w:w="1913"/>
        <w:gridCol w:w="1365"/>
      </w:tblGrid>
      <w:tr w:rsidR="008506FF" w:rsidTr="008506F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13" w:type="dxa"/>
            <w:noWrap/>
            <w:hideMark/>
          </w:tcPr>
          <w:p w:rsidR="008506FF" w:rsidRDefault="008506FF" w:rsidP="008506FF">
            <w:pPr>
              <w:jc w:val="center"/>
              <w:rPr>
                <w:rFonts w:ascii="Calibri" w:hAnsi="Calibri"/>
                <w:color w:val="000000"/>
                <w:sz w:val="22"/>
                <w:szCs w:val="22"/>
              </w:rPr>
            </w:pPr>
            <w:r>
              <w:rPr>
                <w:rFonts w:ascii="Calibri" w:hAnsi="Calibri"/>
                <w:color w:val="000000"/>
                <w:sz w:val="22"/>
                <w:szCs w:val="22"/>
              </w:rPr>
              <w:t>Tasa de descuento</w:t>
            </w:r>
          </w:p>
        </w:tc>
        <w:tc>
          <w:tcPr>
            <w:tcW w:w="1365" w:type="dxa"/>
            <w:noWrap/>
            <w:hideMark/>
          </w:tcPr>
          <w:p w:rsidR="008506FF" w:rsidRDefault="008506FF" w:rsidP="008506FF">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VANS (Bs.)</w:t>
            </w:r>
          </w:p>
        </w:tc>
      </w:tr>
      <w:tr w:rsidR="008506FF" w:rsidTr="008506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13" w:type="dxa"/>
            <w:noWrap/>
            <w:hideMark/>
          </w:tcPr>
          <w:p w:rsidR="008506FF" w:rsidRDefault="008506FF">
            <w:pPr>
              <w:jc w:val="right"/>
              <w:rPr>
                <w:rFonts w:ascii="Calibri" w:hAnsi="Calibri"/>
                <w:color w:val="000000"/>
                <w:sz w:val="22"/>
                <w:szCs w:val="22"/>
              </w:rPr>
            </w:pPr>
            <w:r>
              <w:rPr>
                <w:rFonts w:ascii="Calibri" w:hAnsi="Calibri"/>
                <w:color w:val="000000"/>
                <w:sz w:val="22"/>
                <w:szCs w:val="22"/>
              </w:rPr>
              <w:t>3%</w:t>
            </w:r>
          </w:p>
        </w:tc>
        <w:tc>
          <w:tcPr>
            <w:tcW w:w="1365" w:type="dxa"/>
            <w:noWrap/>
            <w:hideMark/>
          </w:tcPr>
          <w:p w:rsidR="008506FF" w:rsidRDefault="008506F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636.993.514</w:t>
            </w:r>
          </w:p>
        </w:tc>
      </w:tr>
      <w:tr w:rsidR="008506FF" w:rsidTr="008506FF">
        <w:trPr>
          <w:trHeight w:val="288"/>
        </w:trPr>
        <w:tc>
          <w:tcPr>
            <w:cnfStyle w:val="001000000000" w:firstRow="0" w:lastRow="0" w:firstColumn="1" w:lastColumn="0" w:oddVBand="0" w:evenVBand="0" w:oddHBand="0" w:evenHBand="0" w:firstRowFirstColumn="0" w:firstRowLastColumn="0" w:lastRowFirstColumn="0" w:lastRowLastColumn="0"/>
            <w:tcW w:w="1913" w:type="dxa"/>
            <w:noWrap/>
            <w:hideMark/>
          </w:tcPr>
          <w:p w:rsidR="008506FF" w:rsidRDefault="008506FF">
            <w:pPr>
              <w:jc w:val="right"/>
              <w:rPr>
                <w:rFonts w:ascii="Calibri" w:hAnsi="Calibri"/>
                <w:color w:val="000000"/>
                <w:sz w:val="22"/>
                <w:szCs w:val="22"/>
              </w:rPr>
            </w:pPr>
            <w:r>
              <w:rPr>
                <w:rFonts w:ascii="Calibri" w:hAnsi="Calibri"/>
                <w:color w:val="000000"/>
                <w:sz w:val="22"/>
                <w:szCs w:val="22"/>
              </w:rPr>
              <w:t>5,7%</w:t>
            </w:r>
          </w:p>
        </w:tc>
        <w:tc>
          <w:tcPr>
            <w:tcW w:w="1365" w:type="dxa"/>
            <w:noWrap/>
            <w:hideMark/>
          </w:tcPr>
          <w:p w:rsidR="008506FF" w:rsidRDefault="008506F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401.099.086</w:t>
            </w:r>
          </w:p>
        </w:tc>
      </w:tr>
      <w:tr w:rsidR="008506FF" w:rsidTr="008506F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13" w:type="dxa"/>
            <w:noWrap/>
            <w:hideMark/>
          </w:tcPr>
          <w:p w:rsidR="008506FF" w:rsidRDefault="008506FF">
            <w:pPr>
              <w:jc w:val="right"/>
              <w:rPr>
                <w:rFonts w:ascii="Calibri" w:hAnsi="Calibri"/>
                <w:color w:val="000000"/>
                <w:sz w:val="22"/>
                <w:szCs w:val="22"/>
              </w:rPr>
            </w:pPr>
            <w:r>
              <w:rPr>
                <w:rFonts w:ascii="Calibri" w:hAnsi="Calibri"/>
                <w:color w:val="000000"/>
                <w:sz w:val="22"/>
                <w:szCs w:val="22"/>
              </w:rPr>
              <w:t>12%</w:t>
            </w:r>
          </w:p>
        </w:tc>
        <w:tc>
          <w:tcPr>
            <w:tcW w:w="1365" w:type="dxa"/>
            <w:noWrap/>
            <w:hideMark/>
          </w:tcPr>
          <w:p w:rsidR="008506FF" w:rsidRDefault="008506F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137.720.622</w:t>
            </w:r>
          </w:p>
        </w:tc>
      </w:tr>
      <w:tr w:rsidR="008506FF" w:rsidTr="008506FF">
        <w:trPr>
          <w:trHeight w:val="288"/>
        </w:trPr>
        <w:tc>
          <w:tcPr>
            <w:cnfStyle w:val="001000000000" w:firstRow="0" w:lastRow="0" w:firstColumn="1" w:lastColumn="0" w:oddVBand="0" w:evenVBand="0" w:oddHBand="0" w:evenHBand="0" w:firstRowFirstColumn="0" w:firstRowLastColumn="0" w:lastRowFirstColumn="0" w:lastRowLastColumn="0"/>
            <w:tcW w:w="1913" w:type="dxa"/>
            <w:noWrap/>
            <w:hideMark/>
          </w:tcPr>
          <w:p w:rsidR="008506FF" w:rsidRDefault="008506FF">
            <w:pPr>
              <w:jc w:val="right"/>
              <w:rPr>
                <w:rFonts w:ascii="Calibri" w:hAnsi="Calibri"/>
                <w:color w:val="000000"/>
                <w:sz w:val="22"/>
                <w:szCs w:val="22"/>
              </w:rPr>
            </w:pPr>
            <w:r>
              <w:rPr>
                <w:rFonts w:ascii="Calibri" w:hAnsi="Calibri"/>
                <w:color w:val="000000"/>
                <w:sz w:val="22"/>
                <w:szCs w:val="22"/>
              </w:rPr>
              <w:t>12,67%</w:t>
            </w:r>
          </w:p>
        </w:tc>
        <w:tc>
          <w:tcPr>
            <w:tcW w:w="1365" w:type="dxa"/>
            <w:noWrap/>
            <w:hideMark/>
          </w:tcPr>
          <w:p w:rsidR="008506FF" w:rsidRDefault="008506F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121.983.794</w:t>
            </w:r>
          </w:p>
        </w:tc>
      </w:tr>
    </w:tbl>
    <w:p w:rsidR="008506FF" w:rsidRDefault="008506FF" w:rsidP="00492EC7">
      <w:pPr>
        <w:rPr>
          <w:rFonts w:asciiTheme="minorHAnsi" w:hAnsiTheme="minorHAnsi" w:cstheme="minorHAnsi"/>
          <w:sz w:val="22"/>
        </w:rPr>
      </w:pPr>
      <w:r>
        <w:rPr>
          <w:rFonts w:asciiTheme="minorHAnsi" w:hAnsiTheme="minorHAnsi" w:cstheme="minorHAnsi"/>
          <w:sz w:val="22"/>
        </w:rPr>
        <w:t>Fuente: Elaboración propia.</w:t>
      </w:r>
    </w:p>
    <w:p w:rsidR="008506FF" w:rsidRDefault="008506FF" w:rsidP="00492EC7">
      <w:pPr>
        <w:rPr>
          <w:rFonts w:asciiTheme="minorHAnsi" w:hAnsiTheme="minorHAnsi" w:cstheme="minorHAnsi"/>
          <w:sz w:val="22"/>
        </w:rPr>
      </w:pPr>
    </w:p>
    <w:p w:rsidR="009E0C83" w:rsidRPr="00C32FCA" w:rsidRDefault="009E0C83" w:rsidP="009E0C83">
      <w:pPr>
        <w:jc w:val="both"/>
        <w:rPr>
          <w:rFonts w:ascii="Calibri" w:hAnsi="Calibri"/>
          <w:color w:val="000000"/>
          <w:sz w:val="22"/>
          <w:szCs w:val="22"/>
        </w:rPr>
      </w:pPr>
      <w:r>
        <w:rPr>
          <w:rFonts w:asciiTheme="minorHAnsi" w:hAnsiTheme="minorHAnsi" w:cstheme="minorHAnsi"/>
          <w:sz w:val="22"/>
        </w:rPr>
        <w:t>Gráficamente el primer resultado se aprecia en el Grafico 7.1.</w:t>
      </w:r>
      <w:r>
        <w:rPr>
          <w:rStyle w:val="FootnoteReference"/>
          <w:rFonts w:asciiTheme="minorHAnsi" w:hAnsiTheme="minorHAnsi" w:cstheme="minorHAnsi"/>
          <w:sz w:val="22"/>
        </w:rPr>
        <w:footnoteReference w:id="84"/>
      </w:r>
    </w:p>
    <w:p w:rsidR="008506FF" w:rsidRDefault="008506FF" w:rsidP="00492EC7">
      <w:pPr>
        <w:rPr>
          <w:rFonts w:asciiTheme="minorHAnsi" w:hAnsiTheme="minorHAnsi" w:cstheme="minorHAnsi"/>
          <w:sz w:val="22"/>
        </w:rPr>
      </w:pPr>
    </w:p>
    <w:p w:rsidR="005F0181" w:rsidRDefault="005F0181" w:rsidP="00492EC7">
      <w:pPr>
        <w:rPr>
          <w:rFonts w:asciiTheme="minorHAnsi" w:hAnsiTheme="minorHAnsi" w:cstheme="minorHAnsi"/>
          <w:sz w:val="22"/>
        </w:rPr>
      </w:pPr>
      <w:r>
        <w:rPr>
          <w:rFonts w:asciiTheme="minorHAnsi" w:hAnsiTheme="minorHAnsi" w:cstheme="minorHAnsi"/>
          <w:sz w:val="22"/>
        </w:rPr>
        <w:t xml:space="preserve">Gráfico </w:t>
      </w:r>
      <w:r w:rsidR="00FF6811">
        <w:rPr>
          <w:rFonts w:asciiTheme="minorHAnsi" w:hAnsiTheme="minorHAnsi" w:cstheme="minorHAnsi"/>
          <w:sz w:val="22"/>
        </w:rPr>
        <w:t>7</w:t>
      </w:r>
      <w:r>
        <w:rPr>
          <w:rFonts w:asciiTheme="minorHAnsi" w:hAnsiTheme="minorHAnsi" w:cstheme="minorHAnsi"/>
          <w:sz w:val="22"/>
        </w:rPr>
        <w:t>.1: Flujos de beneficios netos descontados</w:t>
      </w:r>
      <w:r w:rsidR="00C32FCA">
        <w:rPr>
          <w:rFonts w:asciiTheme="minorHAnsi" w:hAnsiTheme="minorHAnsi" w:cstheme="minorHAnsi"/>
          <w:sz w:val="22"/>
        </w:rPr>
        <w:t>, 2014 – 2043.</w:t>
      </w:r>
    </w:p>
    <w:p w:rsidR="008506FF" w:rsidRDefault="008506FF" w:rsidP="00492EC7">
      <w:pPr>
        <w:rPr>
          <w:rFonts w:asciiTheme="minorHAnsi" w:hAnsiTheme="minorHAnsi" w:cstheme="minorHAnsi"/>
          <w:sz w:val="22"/>
        </w:rPr>
      </w:pPr>
      <w:r w:rsidRPr="008506FF">
        <w:rPr>
          <w:noProof/>
          <w:lang w:val="en-US" w:eastAsia="en-US"/>
        </w:rPr>
        <w:drawing>
          <wp:inline distT="0" distB="0" distL="0" distR="0" wp14:anchorId="333ED420" wp14:editId="0C5CA75F">
            <wp:extent cx="5612130" cy="189012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2130" cy="1890125"/>
                    </a:xfrm>
                    <a:prstGeom prst="rect">
                      <a:avLst/>
                    </a:prstGeom>
                    <a:noFill/>
                    <a:ln>
                      <a:noFill/>
                    </a:ln>
                  </pic:spPr>
                </pic:pic>
              </a:graphicData>
            </a:graphic>
          </wp:inline>
        </w:drawing>
      </w:r>
    </w:p>
    <w:p w:rsidR="00656F99" w:rsidRPr="001259D1" w:rsidRDefault="001259D1" w:rsidP="00656F99">
      <w:pPr>
        <w:pStyle w:val="BlockText"/>
        <w:ind w:left="0"/>
        <w:rPr>
          <w:rFonts w:asciiTheme="minorHAnsi" w:hAnsiTheme="minorHAnsi" w:cstheme="minorHAnsi"/>
          <w:sz w:val="18"/>
        </w:rPr>
      </w:pPr>
      <w:r w:rsidRPr="001259D1">
        <w:rPr>
          <w:rFonts w:asciiTheme="minorHAnsi" w:hAnsiTheme="minorHAnsi" w:cstheme="minorHAnsi"/>
          <w:sz w:val="18"/>
        </w:rPr>
        <w:t>Fuente: Elaboración propia.</w:t>
      </w:r>
    </w:p>
    <w:p w:rsidR="00656F99" w:rsidRPr="009C76DB" w:rsidRDefault="00DE7393" w:rsidP="00F940D4">
      <w:pPr>
        <w:rPr>
          <w:rFonts w:asciiTheme="minorHAnsi" w:hAnsiTheme="minorHAnsi" w:cstheme="minorHAnsi"/>
          <w:sz w:val="22"/>
        </w:rPr>
      </w:pPr>
      <w:r>
        <w:rPr>
          <w:rFonts w:asciiTheme="minorHAnsi" w:hAnsiTheme="minorHAnsi" w:cstheme="minorHAnsi"/>
          <w:sz w:val="22"/>
        </w:rPr>
        <w:t xml:space="preserve">En la Tabla </w:t>
      </w:r>
      <w:r w:rsidR="00C32FCA">
        <w:rPr>
          <w:rFonts w:asciiTheme="minorHAnsi" w:hAnsiTheme="minorHAnsi" w:cstheme="minorHAnsi"/>
          <w:sz w:val="22"/>
        </w:rPr>
        <w:t>7</w:t>
      </w:r>
      <w:r>
        <w:rPr>
          <w:rFonts w:asciiTheme="minorHAnsi" w:hAnsiTheme="minorHAnsi" w:cstheme="minorHAnsi"/>
          <w:sz w:val="22"/>
        </w:rPr>
        <w:t xml:space="preserve">.11 presentamos los resultados de </w:t>
      </w:r>
      <w:r w:rsidR="0096165A">
        <w:rPr>
          <w:rFonts w:asciiTheme="minorHAnsi" w:hAnsiTheme="minorHAnsi" w:cstheme="minorHAnsi"/>
          <w:sz w:val="22"/>
        </w:rPr>
        <w:t>sensibilizar</w:t>
      </w:r>
      <w:r>
        <w:rPr>
          <w:rFonts w:asciiTheme="minorHAnsi" w:hAnsiTheme="minorHAnsi" w:cstheme="minorHAnsi"/>
          <w:sz w:val="22"/>
        </w:rPr>
        <w:t xml:space="preserve"> el proyecto respecto del monto de la inversión</w:t>
      </w:r>
      <w:r w:rsidR="00C32FCA">
        <w:rPr>
          <w:rFonts w:asciiTheme="minorHAnsi" w:hAnsiTheme="minorHAnsi" w:cstheme="minorHAnsi"/>
          <w:sz w:val="22"/>
        </w:rPr>
        <w:t xml:space="preserve"> y</w:t>
      </w:r>
      <w:r>
        <w:rPr>
          <w:rFonts w:asciiTheme="minorHAnsi" w:hAnsiTheme="minorHAnsi" w:cstheme="minorHAnsi"/>
          <w:sz w:val="22"/>
        </w:rPr>
        <w:t xml:space="preserve"> </w:t>
      </w:r>
      <w:r w:rsidR="0096165A">
        <w:rPr>
          <w:rFonts w:asciiTheme="minorHAnsi" w:hAnsiTheme="minorHAnsi" w:cstheme="minorHAnsi"/>
          <w:sz w:val="22"/>
        </w:rPr>
        <w:t>disminución</w:t>
      </w:r>
      <w:r>
        <w:rPr>
          <w:rFonts w:asciiTheme="minorHAnsi" w:hAnsiTheme="minorHAnsi" w:cstheme="minorHAnsi"/>
          <w:sz w:val="22"/>
        </w:rPr>
        <w:t xml:space="preserve"> de vector de precios</w:t>
      </w:r>
      <w:r w:rsidR="000F1165">
        <w:rPr>
          <w:rFonts w:asciiTheme="minorHAnsi" w:hAnsiTheme="minorHAnsi" w:cstheme="minorHAnsi"/>
          <w:sz w:val="22"/>
        </w:rPr>
        <w:t>.</w:t>
      </w:r>
    </w:p>
    <w:p w:rsidR="000F1165" w:rsidRDefault="000F1165" w:rsidP="00656F99">
      <w:pPr>
        <w:pStyle w:val="BlockText"/>
        <w:spacing w:after="0"/>
        <w:ind w:left="0"/>
        <w:rPr>
          <w:rFonts w:asciiTheme="minorHAnsi" w:hAnsiTheme="minorHAnsi" w:cstheme="minorHAnsi"/>
          <w:sz w:val="22"/>
        </w:rPr>
      </w:pPr>
    </w:p>
    <w:p w:rsidR="00656F99" w:rsidRPr="009C76DB" w:rsidRDefault="00656F99" w:rsidP="00656F99">
      <w:pPr>
        <w:pStyle w:val="BlockText"/>
        <w:spacing w:after="0"/>
        <w:ind w:left="0"/>
        <w:rPr>
          <w:rFonts w:asciiTheme="minorHAnsi" w:hAnsiTheme="minorHAnsi" w:cstheme="minorHAnsi"/>
          <w:sz w:val="22"/>
        </w:rPr>
      </w:pPr>
      <w:r w:rsidRPr="009C76DB">
        <w:rPr>
          <w:rFonts w:asciiTheme="minorHAnsi" w:hAnsiTheme="minorHAnsi" w:cstheme="minorHAnsi"/>
          <w:sz w:val="22"/>
        </w:rPr>
        <w:t xml:space="preserve">Tabla </w:t>
      </w:r>
      <w:r w:rsidR="00C32FCA">
        <w:rPr>
          <w:rFonts w:asciiTheme="minorHAnsi" w:hAnsiTheme="minorHAnsi" w:cstheme="minorHAnsi"/>
          <w:sz w:val="22"/>
        </w:rPr>
        <w:t>7</w:t>
      </w:r>
      <w:r w:rsidRPr="009C76DB">
        <w:rPr>
          <w:rFonts w:asciiTheme="minorHAnsi" w:hAnsiTheme="minorHAnsi" w:cstheme="minorHAnsi"/>
          <w:sz w:val="22"/>
        </w:rPr>
        <w:t>.1</w:t>
      </w:r>
      <w:r w:rsidR="000F1165">
        <w:rPr>
          <w:rFonts w:asciiTheme="minorHAnsi" w:hAnsiTheme="minorHAnsi" w:cstheme="minorHAnsi"/>
          <w:sz w:val="22"/>
        </w:rPr>
        <w:t>1</w:t>
      </w:r>
      <w:r w:rsidRPr="009C76DB">
        <w:rPr>
          <w:rFonts w:asciiTheme="minorHAnsi" w:hAnsiTheme="minorHAnsi" w:cstheme="minorHAnsi"/>
          <w:sz w:val="22"/>
        </w:rPr>
        <w:t>: Sensibilización del VANS</w:t>
      </w:r>
    </w:p>
    <w:tbl>
      <w:tblPr>
        <w:tblStyle w:val="LightList-Accent3"/>
        <w:tblW w:w="9054" w:type="dxa"/>
        <w:tblLook w:val="04A0" w:firstRow="1" w:lastRow="0" w:firstColumn="1" w:lastColumn="0" w:noHBand="0" w:noVBand="1"/>
      </w:tblPr>
      <w:tblGrid>
        <w:gridCol w:w="4293"/>
        <w:gridCol w:w="1587"/>
        <w:gridCol w:w="1587"/>
        <w:gridCol w:w="1587"/>
      </w:tblGrid>
      <w:tr w:rsidR="00F940D4" w:rsidRPr="00C20217" w:rsidTr="00C32FC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3" w:type="dxa"/>
            <w:noWrap/>
            <w:hideMark/>
          </w:tcPr>
          <w:p w:rsidR="00F940D4" w:rsidRPr="00C20217" w:rsidRDefault="00F940D4" w:rsidP="00656F99">
            <w:pPr>
              <w:rPr>
                <w:rFonts w:asciiTheme="minorHAnsi" w:hAnsiTheme="minorHAnsi" w:cstheme="minorHAnsi"/>
                <w:color w:val="000000"/>
                <w:sz w:val="20"/>
                <w:szCs w:val="20"/>
              </w:rPr>
            </w:pPr>
          </w:p>
        </w:tc>
        <w:tc>
          <w:tcPr>
            <w:tcW w:w="1587" w:type="dxa"/>
            <w:noWrap/>
            <w:hideMark/>
          </w:tcPr>
          <w:p w:rsidR="00F940D4" w:rsidRPr="00C20217" w:rsidRDefault="00F940D4" w:rsidP="00DE739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C20217">
              <w:rPr>
                <w:rFonts w:asciiTheme="minorHAnsi" w:hAnsiTheme="minorHAnsi" w:cstheme="minorHAnsi"/>
                <w:color w:val="000000"/>
                <w:sz w:val="20"/>
                <w:szCs w:val="20"/>
              </w:rPr>
              <w:t>VANS (5,7%)</w:t>
            </w:r>
          </w:p>
        </w:tc>
        <w:tc>
          <w:tcPr>
            <w:tcW w:w="1587" w:type="dxa"/>
          </w:tcPr>
          <w:p w:rsidR="00F940D4" w:rsidRPr="00C20217" w:rsidRDefault="00F940D4" w:rsidP="009739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C20217">
              <w:rPr>
                <w:rFonts w:asciiTheme="minorHAnsi" w:hAnsiTheme="minorHAnsi" w:cstheme="minorHAnsi"/>
                <w:color w:val="000000"/>
                <w:sz w:val="20"/>
                <w:szCs w:val="20"/>
              </w:rPr>
              <w:t>% disminución VANS de referencia</w:t>
            </w:r>
          </w:p>
        </w:tc>
        <w:tc>
          <w:tcPr>
            <w:tcW w:w="1587" w:type="dxa"/>
          </w:tcPr>
          <w:p w:rsidR="00F940D4" w:rsidRPr="00C20217" w:rsidRDefault="00F940D4" w:rsidP="00DE739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C20217">
              <w:rPr>
                <w:rFonts w:asciiTheme="minorHAnsi" w:hAnsiTheme="minorHAnsi" w:cstheme="minorHAnsi"/>
                <w:color w:val="000000"/>
                <w:sz w:val="20"/>
                <w:szCs w:val="20"/>
              </w:rPr>
              <w:t>TIRS</w:t>
            </w:r>
          </w:p>
        </w:tc>
      </w:tr>
      <w:tr w:rsidR="00F940D4" w:rsidRPr="00C20217" w:rsidTr="00C202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93" w:type="dxa"/>
            <w:noWrap/>
            <w:hideMark/>
          </w:tcPr>
          <w:p w:rsidR="00F940D4" w:rsidRPr="00C20217" w:rsidRDefault="00F940D4" w:rsidP="00DE7393">
            <w:pPr>
              <w:rPr>
                <w:rFonts w:asciiTheme="minorHAnsi" w:hAnsiTheme="minorHAnsi" w:cstheme="minorHAnsi"/>
                <w:color w:val="000000"/>
                <w:sz w:val="20"/>
                <w:szCs w:val="20"/>
              </w:rPr>
            </w:pPr>
            <w:r w:rsidRPr="00C20217">
              <w:rPr>
                <w:rFonts w:asciiTheme="minorHAnsi" w:hAnsiTheme="minorHAnsi" w:cstheme="minorHAnsi"/>
                <w:color w:val="000000"/>
                <w:sz w:val="20"/>
                <w:szCs w:val="20"/>
              </w:rPr>
              <w:t>Aumento de  50% en costo de mt2 de construcción</w:t>
            </w:r>
          </w:p>
        </w:tc>
        <w:tc>
          <w:tcPr>
            <w:tcW w:w="1587" w:type="dxa"/>
            <w:noWrap/>
            <w:vAlign w:val="center"/>
            <w:hideMark/>
          </w:tcPr>
          <w:p w:rsidR="00F940D4" w:rsidRPr="00C20217" w:rsidRDefault="009E0C83" w:rsidP="00C202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9E0C83">
              <w:rPr>
                <w:rFonts w:ascii="Calibri" w:hAnsi="Calibri"/>
                <w:color w:val="000000"/>
                <w:sz w:val="20"/>
                <w:szCs w:val="20"/>
              </w:rPr>
              <w:t>368.000.257</w:t>
            </w:r>
          </w:p>
        </w:tc>
        <w:tc>
          <w:tcPr>
            <w:tcW w:w="1587" w:type="dxa"/>
            <w:vAlign w:val="center"/>
          </w:tcPr>
          <w:p w:rsidR="00F940D4" w:rsidRPr="00C20217" w:rsidRDefault="00C32FCA" w:rsidP="009E0C8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0217">
              <w:rPr>
                <w:rFonts w:asciiTheme="minorHAnsi" w:hAnsiTheme="minorHAnsi" w:cstheme="minorHAnsi"/>
                <w:sz w:val="20"/>
                <w:szCs w:val="20"/>
              </w:rPr>
              <w:t>8</w:t>
            </w:r>
            <w:r w:rsidR="00BD40E3" w:rsidRPr="00C20217">
              <w:rPr>
                <w:rFonts w:asciiTheme="minorHAnsi" w:hAnsiTheme="minorHAnsi" w:cstheme="minorHAnsi"/>
                <w:sz w:val="20"/>
                <w:szCs w:val="20"/>
              </w:rPr>
              <w:t>,</w:t>
            </w:r>
            <w:r w:rsidR="009E0C83">
              <w:rPr>
                <w:rFonts w:asciiTheme="minorHAnsi" w:hAnsiTheme="minorHAnsi" w:cstheme="minorHAnsi"/>
                <w:sz w:val="20"/>
                <w:szCs w:val="20"/>
              </w:rPr>
              <w:t>25</w:t>
            </w:r>
            <w:r w:rsidR="00F940D4" w:rsidRPr="00C20217">
              <w:rPr>
                <w:rFonts w:asciiTheme="minorHAnsi" w:hAnsiTheme="minorHAnsi" w:cstheme="minorHAnsi"/>
                <w:sz w:val="20"/>
                <w:szCs w:val="20"/>
              </w:rPr>
              <w:t>%</w:t>
            </w:r>
          </w:p>
        </w:tc>
        <w:tc>
          <w:tcPr>
            <w:tcW w:w="1587" w:type="dxa"/>
            <w:vAlign w:val="center"/>
          </w:tcPr>
          <w:p w:rsidR="00F940D4" w:rsidRPr="00C20217" w:rsidRDefault="00DC790B" w:rsidP="00C2021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0217">
              <w:rPr>
                <w:rFonts w:asciiTheme="minorHAnsi" w:hAnsiTheme="minorHAnsi" w:cstheme="minorHAnsi"/>
                <w:sz w:val="20"/>
                <w:szCs w:val="20"/>
              </w:rPr>
              <w:t>1</w:t>
            </w:r>
            <w:r w:rsidR="00C32FCA" w:rsidRPr="00C20217">
              <w:rPr>
                <w:rFonts w:asciiTheme="minorHAnsi" w:hAnsiTheme="minorHAnsi" w:cstheme="minorHAnsi"/>
                <w:sz w:val="20"/>
                <w:szCs w:val="20"/>
              </w:rPr>
              <w:t>8</w:t>
            </w:r>
            <w:r w:rsidRPr="00C20217">
              <w:rPr>
                <w:rFonts w:asciiTheme="minorHAnsi" w:hAnsiTheme="minorHAnsi" w:cstheme="minorHAnsi"/>
                <w:sz w:val="20"/>
                <w:szCs w:val="20"/>
              </w:rPr>
              <w:t>,</w:t>
            </w:r>
            <w:r w:rsidR="009E0C83">
              <w:rPr>
                <w:rFonts w:asciiTheme="minorHAnsi" w:hAnsiTheme="minorHAnsi" w:cstheme="minorHAnsi"/>
                <w:sz w:val="20"/>
                <w:szCs w:val="20"/>
              </w:rPr>
              <w:t>6</w:t>
            </w:r>
            <w:r w:rsidRPr="00C20217">
              <w:rPr>
                <w:rFonts w:asciiTheme="minorHAnsi" w:hAnsiTheme="minorHAnsi" w:cstheme="minorHAnsi"/>
                <w:sz w:val="20"/>
                <w:szCs w:val="20"/>
              </w:rPr>
              <w:t>%</w:t>
            </w:r>
          </w:p>
        </w:tc>
      </w:tr>
      <w:tr w:rsidR="00F940D4" w:rsidRPr="00C20217" w:rsidTr="00C20217">
        <w:trPr>
          <w:trHeight w:val="20"/>
        </w:trPr>
        <w:tc>
          <w:tcPr>
            <w:cnfStyle w:val="001000000000" w:firstRow="0" w:lastRow="0" w:firstColumn="1" w:lastColumn="0" w:oddVBand="0" w:evenVBand="0" w:oddHBand="0" w:evenHBand="0" w:firstRowFirstColumn="0" w:firstRowLastColumn="0" w:lastRowFirstColumn="0" w:lastRowLastColumn="0"/>
            <w:tcW w:w="4293" w:type="dxa"/>
            <w:noWrap/>
            <w:hideMark/>
          </w:tcPr>
          <w:p w:rsidR="00F940D4" w:rsidRPr="00C20217" w:rsidRDefault="00F940D4" w:rsidP="00DE7393">
            <w:pPr>
              <w:rPr>
                <w:rFonts w:asciiTheme="minorHAnsi" w:hAnsiTheme="minorHAnsi" w:cstheme="minorHAnsi"/>
                <w:color w:val="000000"/>
                <w:sz w:val="20"/>
                <w:szCs w:val="20"/>
              </w:rPr>
            </w:pPr>
            <w:r w:rsidRPr="00C20217">
              <w:rPr>
                <w:rFonts w:asciiTheme="minorHAnsi" w:hAnsiTheme="minorHAnsi" w:cstheme="minorHAnsi"/>
                <w:color w:val="000000"/>
                <w:sz w:val="20"/>
                <w:szCs w:val="20"/>
              </w:rPr>
              <w:t>Disminución en 10% en el vector de precios</w:t>
            </w:r>
          </w:p>
        </w:tc>
        <w:tc>
          <w:tcPr>
            <w:tcW w:w="1587" w:type="dxa"/>
            <w:noWrap/>
            <w:vAlign w:val="center"/>
          </w:tcPr>
          <w:p w:rsidR="00F940D4" w:rsidRPr="00C20217" w:rsidRDefault="00D5733B" w:rsidP="00C2021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D5733B">
              <w:rPr>
                <w:rFonts w:ascii="Calibri" w:hAnsi="Calibri"/>
                <w:color w:val="000000"/>
                <w:sz w:val="20"/>
                <w:szCs w:val="20"/>
              </w:rPr>
              <w:t>308.710.402</w:t>
            </w:r>
          </w:p>
        </w:tc>
        <w:tc>
          <w:tcPr>
            <w:tcW w:w="1587" w:type="dxa"/>
            <w:vAlign w:val="center"/>
          </w:tcPr>
          <w:p w:rsidR="00F940D4" w:rsidRPr="00C20217" w:rsidRDefault="00D5733B" w:rsidP="00D573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23,3%</w:t>
            </w:r>
          </w:p>
        </w:tc>
        <w:tc>
          <w:tcPr>
            <w:tcW w:w="1587" w:type="dxa"/>
            <w:vAlign w:val="center"/>
          </w:tcPr>
          <w:p w:rsidR="00F940D4" w:rsidRPr="00C20217" w:rsidRDefault="00F940D4" w:rsidP="00D5733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20217">
              <w:rPr>
                <w:rFonts w:asciiTheme="minorHAnsi" w:hAnsiTheme="minorHAnsi" w:cstheme="minorHAnsi"/>
                <w:sz w:val="20"/>
                <w:szCs w:val="20"/>
              </w:rPr>
              <w:t>1</w:t>
            </w:r>
            <w:r w:rsidR="00C20217" w:rsidRPr="00C20217">
              <w:rPr>
                <w:rFonts w:asciiTheme="minorHAnsi" w:hAnsiTheme="minorHAnsi" w:cstheme="minorHAnsi"/>
                <w:sz w:val="20"/>
                <w:szCs w:val="20"/>
              </w:rPr>
              <w:t>8,</w:t>
            </w:r>
            <w:r w:rsidR="00D5733B">
              <w:rPr>
                <w:rFonts w:asciiTheme="minorHAnsi" w:hAnsiTheme="minorHAnsi" w:cstheme="minorHAnsi"/>
                <w:sz w:val="20"/>
                <w:szCs w:val="20"/>
              </w:rPr>
              <w:t>8</w:t>
            </w:r>
            <w:r w:rsidRPr="00C20217">
              <w:rPr>
                <w:rFonts w:asciiTheme="minorHAnsi" w:hAnsiTheme="minorHAnsi" w:cstheme="minorHAnsi"/>
                <w:sz w:val="20"/>
                <w:szCs w:val="20"/>
              </w:rPr>
              <w:t>%</w:t>
            </w:r>
          </w:p>
        </w:tc>
      </w:tr>
    </w:tbl>
    <w:p w:rsidR="00656F99" w:rsidRPr="009C76DB" w:rsidRDefault="00656F99" w:rsidP="00656F99">
      <w:pPr>
        <w:rPr>
          <w:rFonts w:asciiTheme="minorHAnsi" w:hAnsiTheme="minorHAnsi" w:cstheme="minorHAnsi"/>
          <w:sz w:val="16"/>
          <w:szCs w:val="18"/>
        </w:rPr>
      </w:pPr>
      <w:r w:rsidRPr="009C76DB">
        <w:rPr>
          <w:rFonts w:asciiTheme="minorHAnsi" w:hAnsiTheme="minorHAnsi" w:cstheme="minorHAnsi"/>
          <w:sz w:val="16"/>
          <w:szCs w:val="18"/>
        </w:rPr>
        <w:t>Fuente: Elaboración propia</w:t>
      </w:r>
    </w:p>
    <w:p w:rsidR="00DC790B" w:rsidRDefault="00DC790B" w:rsidP="00656F99">
      <w:pPr>
        <w:jc w:val="both"/>
        <w:rPr>
          <w:rFonts w:asciiTheme="minorHAnsi" w:hAnsiTheme="minorHAnsi" w:cstheme="minorHAnsi"/>
          <w:sz w:val="22"/>
        </w:rPr>
      </w:pPr>
    </w:p>
    <w:p w:rsidR="00DC3E8E" w:rsidRDefault="0096165A" w:rsidP="00656F99">
      <w:pPr>
        <w:jc w:val="both"/>
        <w:rPr>
          <w:rFonts w:asciiTheme="minorHAnsi" w:hAnsiTheme="minorHAnsi" w:cstheme="minorHAnsi"/>
          <w:sz w:val="22"/>
        </w:rPr>
      </w:pPr>
      <w:r>
        <w:rPr>
          <w:rFonts w:asciiTheme="minorHAnsi" w:hAnsiTheme="minorHAnsi" w:cstheme="minorHAnsi"/>
          <w:sz w:val="22"/>
        </w:rPr>
        <w:t xml:space="preserve">De esta sencilla sensibilización podemos desprender que las conclusiones que entrega el modelo de evaluación </w:t>
      </w:r>
      <w:r w:rsidR="00F940D4">
        <w:rPr>
          <w:rFonts w:asciiTheme="minorHAnsi" w:hAnsiTheme="minorHAnsi" w:cstheme="minorHAnsi"/>
          <w:sz w:val="22"/>
        </w:rPr>
        <w:t xml:space="preserve">son </w:t>
      </w:r>
      <w:r>
        <w:rPr>
          <w:rFonts w:asciiTheme="minorHAnsi" w:hAnsiTheme="minorHAnsi" w:cstheme="minorHAnsi"/>
          <w:sz w:val="22"/>
        </w:rPr>
        <w:t>que el proyecto es más sensible a una modificación en los precios sociales de las prestaciones sanitarias</w:t>
      </w:r>
      <w:r w:rsidR="009739C4">
        <w:rPr>
          <w:rFonts w:asciiTheme="minorHAnsi" w:hAnsiTheme="minorHAnsi" w:cstheme="minorHAnsi"/>
          <w:sz w:val="22"/>
        </w:rPr>
        <w:t>,</w:t>
      </w:r>
      <w:r>
        <w:rPr>
          <w:rFonts w:asciiTheme="minorHAnsi" w:hAnsiTheme="minorHAnsi" w:cstheme="minorHAnsi"/>
          <w:sz w:val="22"/>
        </w:rPr>
        <w:t xml:space="preserve"> que al valor del metro de construcción</w:t>
      </w:r>
      <w:r w:rsidR="00F940D4">
        <w:rPr>
          <w:rFonts w:asciiTheme="minorHAnsi" w:hAnsiTheme="minorHAnsi" w:cstheme="minorHAnsi"/>
          <w:sz w:val="22"/>
        </w:rPr>
        <w:t xml:space="preserve">. </w:t>
      </w:r>
      <w:r w:rsidR="009739C4">
        <w:rPr>
          <w:rFonts w:asciiTheme="minorHAnsi" w:hAnsiTheme="minorHAnsi" w:cstheme="minorHAnsi"/>
          <w:sz w:val="22"/>
        </w:rPr>
        <w:t>La mayor dism</w:t>
      </w:r>
      <w:r w:rsidR="00BD40E3">
        <w:rPr>
          <w:rFonts w:asciiTheme="minorHAnsi" w:hAnsiTheme="minorHAnsi" w:cstheme="minorHAnsi"/>
          <w:sz w:val="22"/>
        </w:rPr>
        <w:t xml:space="preserve">inución en el VANS alcanza un </w:t>
      </w:r>
      <w:r w:rsidR="00D5733B">
        <w:rPr>
          <w:rFonts w:asciiTheme="minorHAnsi" w:hAnsiTheme="minorHAnsi" w:cstheme="minorHAnsi"/>
          <w:sz w:val="22"/>
        </w:rPr>
        <w:t>23,3</w:t>
      </w:r>
      <w:r w:rsidR="009739C4">
        <w:rPr>
          <w:rFonts w:asciiTheme="minorHAnsi" w:hAnsiTheme="minorHAnsi" w:cstheme="minorHAnsi"/>
          <w:sz w:val="22"/>
        </w:rPr>
        <w:t xml:space="preserve">% y se corresponde con una disminución de 10% en los precios de todas las </w:t>
      </w:r>
      <w:r w:rsidR="009739C4">
        <w:rPr>
          <w:rFonts w:asciiTheme="minorHAnsi" w:hAnsiTheme="minorHAnsi" w:cstheme="minorHAnsi"/>
          <w:sz w:val="22"/>
        </w:rPr>
        <w:lastRenderedPageBreak/>
        <w:t xml:space="preserve">prestaciones consideradas, </w:t>
      </w:r>
      <w:r w:rsidR="00DC3E8E">
        <w:rPr>
          <w:rFonts w:asciiTheme="minorHAnsi" w:hAnsiTheme="minorHAnsi" w:cstheme="minorHAnsi"/>
          <w:sz w:val="22"/>
        </w:rPr>
        <w:t xml:space="preserve">lo que </w:t>
      </w:r>
      <w:r w:rsidR="009739C4">
        <w:rPr>
          <w:rFonts w:asciiTheme="minorHAnsi" w:hAnsiTheme="minorHAnsi" w:cstheme="minorHAnsi"/>
          <w:sz w:val="22"/>
        </w:rPr>
        <w:t xml:space="preserve">expresado en términos de elasticidad, </w:t>
      </w:r>
      <w:r w:rsidR="00DC3E8E">
        <w:rPr>
          <w:rFonts w:asciiTheme="minorHAnsi" w:hAnsiTheme="minorHAnsi" w:cstheme="minorHAnsi"/>
          <w:sz w:val="22"/>
        </w:rPr>
        <w:t>nos indica que ante una disminución de 1%</w:t>
      </w:r>
      <w:r w:rsidR="009739C4">
        <w:rPr>
          <w:rFonts w:asciiTheme="minorHAnsi" w:hAnsiTheme="minorHAnsi" w:cstheme="minorHAnsi"/>
          <w:sz w:val="22"/>
        </w:rPr>
        <w:t xml:space="preserve"> en los precios</w:t>
      </w:r>
      <w:r w:rsidR="00DC3E8E">
        <w:rPr>
          <w:rFonts w:asciiTheme="minorHAnsi" w:hAnsiTheme="minorHAnsi" w:cstheme="minorHAnsi"/>
          <w:sz w:val="22"/>
        </w:rPr>
        <w:t>,</w:t>
      </w:r>
      <w:r w:rsidR="009739C4">
        <w:rPr>
          <w:rFonts w:asciiTheme="minorHAnsi" w:hAnsiTheme="minorHAnsi" w:cstheme="minorHAnsi"/>
          <w:sz w:val="22"/>
        </w:rPr>
        <w:t xml:space="preserve"> el VANS disminuye </w:t>
      </w:r>
      <w:r w:rsidR="00D5733B">
        <w:rPr>
          <w:rFonts w:asciiTheme="minorHAnsi" w:hAnsiTheme="minorHAnsi" w:cstheme="minorHAnsi"/>
          <w:sz w:val="22"/>
        </w:rPr>
        <w:t>2,3</w:t>
      </w:r>
      <w:r w:rsidR="00DC3E8E">
        <w:rPr>
          <w:rFonts w:asciiTheme="minorHAnsi" w:hAnsiTheme="minorHAnsi" w:cstheme="minorHAnsi"/>
          <w:sz w:val="22"/>
        </w:rPr>
        <w:t>%</w:t>
      </w:r>
      <w:r w:rsidR="009739C4">
        <w:rPr>
          <w:rFonts w:asciiTheme="minorHAnsi" w:hAnsiTheme="minorHAnsi" w:cstheme="minorHAnsi"/>
          <w:sz w:val="22"/>
        </w:rPr>
        <w:t>.</w:t>
      </w:r>
      <w:r w:rsidR="00DC3E8E">
        <w:rPr>
          <w:rFonts w:asciiTheme="minorHAnsi" w:hAnsiTheme="minorHAnsi" w:cstheme="minorHAnsi"/>
          <w:sz w:val="22"/>
        </w:rPr>
        <w:t xml:space="preserve"> En el caso de un aumento de 50% en el precio del metro cuadrado de construcción, el VANS disminuye en </w:t>
      </w:r>
      <w:r w:rsidR="00C20217">
        <w:rPr>
          <w:rFonts w:asciiTheme="minorHAnsi" w:hAnsiTheme="minorHAnsi" w:cstheme="minorHAnsi"/>
          <w:sz w:val="22"/>
        </w:rPr>
        <w:t>8</w:t>
      </w:r>
      <w:r w:rsidR="00DC790B">
        <w:rPr>
          <w:rFonts w:asciiTheme="minorHAnsi" w:hAnsiTheme="minorHAnsi" w:cstheme="minorHAnsi"/>
          <w:sz w:val="22"/>
        </w:rPr>
        <w:t>,</w:t>
      </w:r>
      <w:r w:rsidR="009E0C83">
        <w:rPr>
          <w:rFonts w:asciiTheme="minorHAnsi" w:hAnsiTheme="minorHAnsi" w:cstheme="minorHAnsi"/>
          <w:sz w:val="22"/>
        </w:rPr>
        <w:t>25</w:t>
      </w:r>
      <w:r w:rsidR="00DC3E8E">
        <w:rPr>
          <w:rFonts w:asciiTheme="minorHAnsi" w:hAnsiTheme="minorHAnsi" w:cstheme="minorHAnsi"/>
          <w:sz w:val="22"/>
        </w:rPr>
        <w:t>%, lo que en términos de elasticidad nos dice que ante un aumento de un 1% en el precio del metro cuadrado de construcción, el VANS disminuirá en 0,</w:t>
      </w:r>
      <w:r w:rsidR="00C20217">
        <w:rPr>
          <w:rFonts w:asciiTheme="minorHAnsi" w:hAnsiTheme="minorHAnsi" w:cstheme="minorHAnsi"/>
          <w:sz w:val="22"/>
        </w:rPr>
        <w:t>17</w:t>
      </w:r>
      <w:r w:rsidR="00DC3E8E">
        <w:rPr>
          <w:rFonts w:asciiTheme="minorHAnsi" w:hAnsiTheme="minorHAnsi" w:cstheme="minorHAnsi"/>
          <w:sz w:val="22"/>
        </w:rPr>
        <w:t>%</w:t>
      </w:r>
      <w:r w:rsidR="00D5733B">
        <w:rPr>
          <w:rFonts w:asciiTheme="minorHAnsi" w:hAnsiTheme="minorHAnsi" w:cstheme="minorHAnsi"/>
          <w:sz w:val="22"/>
        </w:rPr>
        <w:t>, y la TIRS en este caso baja a 18,6%</w:t>
      </w:r>
      <w:r w:rsidR="00DC3E8E">
        <w:rPr>
          <w:rFonts w:asciiTheme="minorHAnsi" w:hAnsiTheme="minorHAnsi" w:cstheme="minorHAnsi"/>
          <w:sz w:val="22"/>
        </w:rPr>
        <w:t xml:space="preserve">.  </w:t>
      </w:r>
    </w:p>
    <w:p w:rsidR="00DC3E8E" w:rsidRDefault="00DC3E8E" w:rsidP="00656F99">
      <w:pPr>
        <w:jc w:val="both"/>
        <w:rPr>
          <w:rFonts w:asciiTheme="minorHAnsi" w:hAnsiTheme="minorHAnsi" w:cstheme="minorHAnsi"/>
          <w:sz w:val="22"/>
        </w:rPr>
      </w:pPr>
    </w:p>
    <w:p w:rsidR="00656F99" w:rsidRDefault="00656F99" w:rsidP="00656F99">
      <w:pPr>
        <w:pStyle w:val="Heading1"/>
        <w:numPr>
          <w:ilvl w:val="0"/>
          <w:numId w:val="0"/>
        </w:numPr>
        <w:rPr>
          <w:rFonts w:asciiTheme="minorHAnsi" w:hAnsiTheme="minorHAnsi" w:cstheme="minorHAnsi"/>
          <w:sz w:val="22"/>
        </w:rPr>
      </w:pPr>
      <w:r w:rsidRPr="009C76DB">
        <w:rPr>
          <w:rFonts w:asciiTheme="minorHAnsi" w:hAnsiTheme="minorHAnsi" w:cstheme="minorHAnsi"/>
          <w:sz w:val="22"/>
        </w:rPr>
        <w:br w:type="page"/>
      </w:r>
    </w:p>
    <w:p w:rsidR="00DE29F7" w:rsidRPr="00B06660" w:rsidRDefault="00DE29F7" w:rsidP="00DE29F7">
      <w:pPr>
        <w:jc w:val="both"/>
        <w:rPr>
          <w:rFonts w:asciiTheme="minorHAnsi" w:hAnsiTheme="minorHAnsi" w:cstheme="minorHAnsi"/>
          <w:sz w:val="22"/>
          <w:szCs w:val="22"/>
        </w:rPr>
      </w:pPr>
    </w:p>
    <w:p w:rsidR="00DE29F7" w:rsidRPr="00DE29F7" w:rsidRDefault="00DE29F7" w:rsidP="00DE29F7">
      <w:pPr>
        <w:pStyle w:val="Heading1"/>
      </w:pPr>
      <w:bookmarkStart w:id="82" w:name="_Toc373093545"/>
      <w:r w:rsidRPr="00DE29F7">
        <w:t>Bibliografía</w:t>
      </w:r>
      <w:bookmarkEnd w:id="82"/>
    </w:p>
    <w:p w:rsidR="001F3F4B" w:rsidRDefault="001F3F4B" w:rsidP="008D1CC5">
      <w:pPr>
        <w:keepNext/>
        <w:widowControl w:val="0"/>
        <w:autoSpaceDE w:val="0"/>
        <w:autoSpaceDN w:val="0"/>
        <w:adjustRightInd w:val="0"/>
        <w:ind w:right="23"/>
        <w:jc w:val="both"/>
        <w:rPr>
          <w:rFonts w:asciiTheme="minorHAnsi" w:hAnsiTheme="minorHAnsi" w:cstheme="minorHAnsi"/>
          <w:bCs/>
          <w:sz w:val="22"/>
          <w:szCs w:val="22"/>
        </w:rPr>
      </w:pPr>
      <w:r>
        <w:rPr>
          <w:rFonts w:asciiTheme="minorHAnsi" w:hAnsiTheme="minorHAnsi" w:cstheme="minorHAnsi"/>
          <w:bCs/>
          <w:sz w:val="22"/>
          <w:szCs w:val="22"/>
        </w:rPr>
        <w:t xml:space="preserve">Aparicio, A. (2012): </w:t>
      </w:r>
      <w:r w:rsidRPr="001F3F4B">
        <w:rPr>
          <w:rFonts w:asciiTheme="minorHAnsi" w:hAnsiTheme="minorHAnsi" w:cstheme="minorHAnsi"/>
          <w:bCs/>
          <w:sz w:val="22"/>
          <w:szCs w:val="22"/>
        </w:rPr>
        <w:t>Perfil Epidemiológico para Enfermedades Oncológicas en Panamá</w:t>
      </w:r>
      <w:r>
        <w:rPr>
          <w:rFonts w:asciiTheme="minorHAnsi" w:hAnsiTheme="minorHAnsi" w:cstheme="minorHAnsi"/>
          <w:bCs/>
          <w:sz w:val="22"/>
          <w:szCs w:val="22"/>
        </w:rPr>
        <w:t>. Informe de Consultoría, BID-PN-L1078.</w:t>
      </w:r>
    </w:p>
    <w:p w:rsidR="001F3F4B" w:rsidRDefault="001F3F4B" w:rsidP="008D1CC5">
      <w:pPr>
        <w:keepNext/>
        <w:widowControl w:val="0"/>
        <w:autoSpaceDE w:val="0"/>
        <w:autoSpaceDN w:val="0"/>
        <w:adjustRightInd w:val="0"/>
        <w:ind w:right="23"/>
        <w:jc w:val="both"/>
        <w:rPr>
          <w:rFonts w:asciiTheme="minorHAnsi" w:hAnsiTheme="minorHAnsi" w:cstheme="minorHAnsi"/>
          <w:bCs/>
          <w:sz w:val="22"/>
          <w:szCs w:val="22"/>
        </w:rPr>
      </w:pPr>
    </w:p>
    <w:p w:rsidR="008D1CC5" w:rsidRPr="009C76DB" w:rsidRDefault="008D1CC5" w:rsidP="008D1CC5">
      <w:pPr>
        <w:keepNext/>
        <w:widowControl w:val="0"/>
        <w:autoSpaceDE w:val="0"/>
        <w:autoSpaceDN w:val="0"/>
        <w:adjustRightInd w:val="0"/>
        <w:ind w:right="23"/>
        <w:jc w:val="both"/>
        <w:rPr>
          <w:rFonts w:asciiTheme="minorHAnsi" w:hAnsiTheme="minorHAnsi" w:cstheme="minorHAnsi"/>
          <w:bCs/>
          <w:sz w:val="22"/>
          <w:szCs w:val="22"/>
        </w:rPr>
      </w:pPr>
      <w:r w:rsidRPr="009C76DB">
        <w:rPr>
          <w:rFonts w:asciiTheme="minorHAnsi" w:hAnsiTheme="minorHAnsi" w:cstheme="minorHAnsi"/>
          <w:bCs/>
          <w:sz w:val="22"/>
          <w:szCs w:val="22"/>
        </w:rPr>
        <w:t>Aedo, L.; Aqueveque, M.; Cuevas, S.; Gala, E.; Omonte, M.; Poblete, R.; Rickenberg, H. y Rodríguez, A. (1994): Evaluación social del programa de servicio de atención primaria de urgencia (S.A.P.U.). Instituto de Economía, Universidad Católica de Chile – Curso Interamericano en Preparación y Evaluación de Proyectos.</w:t>
      </w:r>
    </w:p>
    <w:p w:rsidR="008D1CC5" w:rsidRDefault="008D1CC5" w:rsidP="008D1CC5">
      <w:pPr>
        <w:keepNext/>
        <w:widowControl w:val="0"/>
        <w:autoSpaceDE w:val="0"/>
        <w:autoSpaceDN w:val="0"/>
        <w:adjustRightInd w:val="0"/>
        <w:ind w:right="23"/>
        <w:jc w:val="both"/>
        <w:rPr>
          <w:rFonts w:asciiTheme="minorHAnsi" w:hAnsiTheme="minorHAnsi" w:cstheme="minorHAnsi"/>
          <w:bCs/>
          <w:sz w:val="22"/>
          <w:szCs w:val="22"/>
        </w:rPr>
      </w:pPr>
    </w:p>
    <w:p w:rsidR="008D1CC5" w:rsidRPr="009C76DB" w:rsidRDefault="008D1CC5" w:rsidP="008D1CC5">
      <w:pPr>
        <w:widowControl w:val="0"/>
        <w:autoSpaceDE w:val="0"/>
        <w:autoSpaceDN w:val="0"/>
        <w:adjustRightInd w:val="0"/>
        <w:ind w:right="23"/>
        <w:jc w:val="both"/>
        <w:rPr>
          <w:rFonts w:asciiTheme="minorHAnsi" w:hAnsiTheme="minorHAnsi" w:cstheme="minorHAnsi"/>
          <w:bCs/>
          <w:sz w:val="22"/>
          <w:szCs w:val="22"/>
        </w:rPr>
      </w:pPr>
      <w:r w:rsidRPr="009C76DB">
        <w:rPr>
          <w:rFonts w:asciiTheme="minorHAnsi" w:hAnsiTheme="minorHAnsi" w:cstheme="minorHAnsi"/>
          <w:bCs/>
          <w:sz w:val="22"/>
          <w:szCs w:val="22"/>
        </w:rPr>
        <w:t>Arreola, H. Soto, H. y Garduño, J. (2003): Los determinantes de la no demanda de atención a la salud en México. En Caleidoscopio de la salud, Libro editado por la Fundación Mexicana para la Salud.</w:t>
      </w:r>
    </w:p>
    <w:p w:rsidR="00BD13BC" w:rsidRDefault="00BD13BC" w:rsidP="00DE29F7">
      <w:pPr>
        <w:rPr>
          <w:rFonts w:asciiTheme="minorHAnsi" w:hAnsiTheme="minorHAnsi" w:cstheme="minorHAnsi"/>
          <w:sz w:val="22"/>
          <w:szCs w:val="22"/>
        </w:rPr>
      </w:pPr>
    </w:p>
    <w:p w:rsidR="00DE29F7" w:rsidRDefault="00BD13BC" w:rsidP="00DE29F7">
      <w:pPr>
        <w:rPr>
          <w:rFonts w:asciiTheme="minorHAnsi" w:hAnsiTheme="minorHAnsi" w:cstheme="minorHAnsi"/>
          <w:sz w:val="22"/>
          <w:szCs w:val="22"/>
        </w:rPr>
      </w:pPr>
      <w:r>
        <w:rPr>
          <w:rFonts w:asciiTheme="minorHAnsi" w:hAnsiTheme="minorHAnsi" w:cstheme="minorHAnsi"/>
          <w:sz w:val="22"/>
          <w:szCs w:val="22"/>
        </w:rPr>
        <w:t xml:space="preserve">Campos, R.; Citarella, L. y Zangari, A. Editores. (2010): Yachay Tinkuy. Salud e Interculturalidad en Bolivia y </w:t>
      </w:r>
      <w:r w:rsidR="00213D2E">
        <w:rPr>
          <w:rFonts w:asciiTheme="minorHAnsi" w:hAnsiTheme="minorHAnsi" w:cstheme="minorHAnsi"/>
          <w:sz w:val="22"/>
          <w:szCs w:val="22"/>
        </w:rPr>
        <w:t>América</w:t>
      </w:r>
      <w:r>
        <w:rPr>
          <w:rFonts w:asciiTheme="minorHAnsi" w:hAnsiTheme="minorHAnsi" w:cstheme="minorHAnsi"/>
          <w:sz w:val="22"/>
          <w:szCs w:val="22"/>
        </w:rPr>
        <w:t xml:space="preserve"> Latina. </w:t>
      </w:r>
      <w:r w:rsidR="00213D2E">
        <w:rPr>
          <w:rFonts w:asciiTheme="minorHAnsi" w:hAnsiTheme="minorHAnsi" w:cstheme="minorHAnsi"/>
          <w:sz w:val="22"/>
          <w:szCs w:val="22"/>
        </w:rPr>
        <w:t>Cooperación</w:t>
      </w:r>
      <w:r>
        <w:rPr>
          <w:rFonts w:asciiTheme="minorHAnsi" w:hAnsiTheme="minorHAnsi" w:cstheme="minorHAnsi"/>
          <w:sz w:val="22"/>
          <w:szCs w:val="22"/>
        </w:rPr>
        <w:t xml:space="preserve"> Italiana, Bolivia.</w:t>
      </w:r>
    </w:p>
    <w:p w:rsidR="00766F55" w:rsidRDefault="00766F55" w:rsidP="00766F55">
      <w:pPr>
        <w:keepNext/>
        <w:widowControl w:val="0"/>
        <w:autoSpaceDE w:val="0"/>
        <w:autoSpaceDN w:val="0"/>
        <w:adjustRightInd w:val="0"/>
        <w:ind w:right="23"/>
        <w:jc w:val="both"/>
        <w:rPr>
          <w:rFonts w:asciiTheme="minorHAnsi" w:hAnsiTheme="minorHAnsi" w:cstheme="minorHAnsi"/>
          <w:bCs/>
          <w:color w:val="000000"/>
          <w:sz w:val="22"/>
          <w:szCs w:val="22"/>
        </w:rPr>
      </w:pPr>
    </w:p>
    <w:p w:rsidR="00766F55" w:rsidRDefault="00766F55" w:rsidP="00766F55">
      <w:pPr>
        <w:keepNext/>
        <w:widowControl w:val="0"/>
        <w:autoSpaceDE w:val="0"/>
        <w:autoSpaceDN w:val="0"/>
        <w:adjustRightInd w:val="0"/>
        <w:spacing w:after="240"/>
        <w:ind w:right="23"/>
        <w:jc w:val="both"/>
        <w:rPr>
          <w:rFonts w:asciiTheme="minorHAnsi" w:hAnsiTheme="minorHAnsi" w:cstheme="minorHAnsi"/>
          <w:bCs/>
          <w:color w:val="000000"/>
          <w:sz w:val="22"/>
          <w:szCs w:val="22"/>
        </w:rPr>
      </w:pPr>
      <w:r w:rsidRPr="0067659A">
        <w:rPr>
          <w:rFonts w:asciiTheme="minorHAnsi" w:hAnsiTheme="minorHAnsi" w:cstheme="minorHAnsi"/>
          <w:bCs/>
          <w:color w:val="000000"/>
          <w:sz w:val="22"/>
          <w:szCs w:val="22"/>
        </w:rPr>
        <w:t>Cantero</w:t>
      </w:r>
      <w:r>
        <w:rPr>
          <w:rFonts w:asciiTheme="minorHAnsi" w:hAnsiTheme="minorHAnsi" w:cstheme="minorHAnsi"/>
          <w:bCs/>
          <w:color w:val="000000"/>
          <w:sz w:val="22"/>
          <w:szCs w:val="22"/>
        </w:rPr>
        <w:t xml:space="preserve">, P. y </w:t>
      </w:r>
      <w:r w:rsidRPr="0067659A">
        <w:rPr>
          <w:rFonts w:asciiTheme="minorHAnsi" w:hAnsiTheme="minorHAnsi" w:cstheme="minorHAnsi"/>
          <w:bCs/>
          <w:color w:val="000000"/>
          <w:sz w:val="22"/>
          <w:szCs w:val="22"/>
        </w:rPr>
        <w:t xml:space="preserve"> Ruano</w:t>
      </w:r>
      <w:r>
        <w:rPr>
          <w:rFonts w:asciiTheme="minorHAnsi" w:hAnsiTheme="minorHAnsi" w:cstheme="minorHAnsi"/>
          <w:bCs/>
          <w:color w:val="000000"/>
          <w:sz w:val="22"/>
          <w:szCs w:val="22"/>
        </w:rPr>
        <w:t>, A. (2009):</w:t>
      </w:r>
      <w:r w:rsidRPr="0067659A">
        <w:t xml:space="preserve"> </w:t>
      </w:r>
      <w:r w:rsidRPr="0067659A">
        <w:rPr>
          <w:rFonts w:asciiTheme="minorHAnsi" w:hAnsiTheme="minorHAnsi" w:cstheme="minorHAnsi"/>
          <w:bCs/>
          <w:color w:val="000000"/>
          <w:sz w:val="22"/>
          <w:szCs w:val="22"/>
        </w:rPr>
        <w:t>“Eficacia y efectividad del inicio precoz del</w:t>
      </w:r>
      <w:r>
        <w:rPr>
          <w:rFonts w:asciiTheme="minorHAnsi" w:hAnsiTheme="minorHAnsi" w:cstheme="minorHAnsi"/>
          <w:bCs/>
          <w:color w:val="000000"/>
          <w:sz w:val="22"/>
          <w:szCs w:val="22"/>
        </w:rPr>
        <w:t xml:space="preserve"> </w:t>
      </w:r>
      <w:r w:rsidRPr="0067659A">
        <w:rPr>
          <w:rFonts w:asciiTheme="minorHAnsi" w:hAnsiTheme="minorHAnsi" w:cstheme="minorHAnsi"/>
          <w:bCs/>
          <w:color w:val="000000"/>
          <w:sz w:val="22"/>
          <w:szCs w:val="22"/>
        </w:rPr>
        <w:t>tratamiento renal sustitutivo en la insuficiencia</w:t>
      </w:r>
      <w:r>
        <w:rPr>
          <w:rFonts w:asciiTheme="minorHAnsi" w:hAnsiTheme="minorHAnsi" w:cstheme="minorHAnsi"/>
          <w:bCs/>
          <w:color w:val="000000"/>
          <w:sz w:val="22"/>
          <w:szCs w:val="22"/>
        </w:rPr>
        <w:t xml:space="preserve"> </w:t>
      </w:r>
      <w:r w:rsidRPr="0067659A">
        <w:rPr>
          <w:rFonts w:asciiTheme="minorHAnsi" w:hAnsiTheme="minorHAnsi" w:cstheme="minorHAnsi"/>
          <w:bCs/>
          <w:color w:val="000000"/>
          <w:sz w:val="22"/>
          <w:szCs w:val="22"/>
        </w:rPr>
        <w:t>renal crónica avanzada</w:t>
      </w:r>
      <w:r>
        <w:rPr>
          <w:rFonts w:asciiTheme="minorHAnsi" w:hAnsiTheme="minorHAnsi" w:cstheme="minorHAnsi"/>
          <w:bCs/>
          <w:color w:val="000000"/>
          <w:sz w:val="22"/>
          <w:szCs w:val="22"/>
        </w:rPr>
        <w:t>.</w:t>
      </w:r>
      <w:r w:rsidRPr="0067659A">
        <w:t xml:space="preserve"> </w:t>
      </w:r>
      <w:r>
        <w:rPr>
          <w:rFonts w:asciiTheme="minorHAnsi" w:hAnsiTheme="minorHAnsi" w:cstheme="minorHAnsi"/>
          <w:bCs/>
          <w:color w:val="000000"/>
          <w:sz w:val="22"/>
          <w:szCs w:val="22"/>
        </w:rPr>
        <w:t xml:space="preserve">Santiago de Compostela, </w:t>
      </w:r>
      <w:r w:rsidRPr="0067659A">
        <w:rPr>
          <w:rFonts w:asciiTheme="minorHAnsi" w:hAnsiTheme="minorHAnsi" w:cstheme="minorHAnsi"/>
          <w:bCs/>
          <w:color w:val="000000"/>
          <w:sz w:val="22"/>
          <w:szCs w:val="22"/>
        </w:rPr>
        <w:t>Consellería de Sanidade. Axencia de Avaliación de Tecnoloxías Sanitarias de Galicia,</w:t>
      </w:r>
      <w:r>
        <w:rPr>
          <w:rFonts w:asciiTheme="minorHAnsi" w:hAnsiTheme="minorHAnsi" w:cstheme="minorHAnsi"/>
          <w:bCs/>
          <w:color w:val="000000"/>
          <w:sz w:val="22"/>
          <w:szCs w:val="22"/>
        </w:rPr>
        <w:t xml:space="preserve"> </w:t>
      </w:r>
      <w:r w:rsidRPr="0067659A">
        <w:rPr>
          <w:rFonts w:asciiTheme="minorHAnsi" w:hAnsiTheme="minorHAnsi" w:cstheme="minorHAnsi"/>
          <w:bCs/>
          <w:color w:val="000000"/>
          <w:sz w:val="22"/>
          <w:szCs w:val="22"/>
        </w:rPr>
        <w:t>avalia-t; 2009. Serie Avaliación de Tecnoloxías. Investigación avaliativa: IA2009/01</w:t>
      </w:r>
      <w:r>
        <w:rPr>
          <w:rFonts w:asciiTheme="minorHAnsi" w:hAnsiTheme="minorHAnsi" w:cstheme="minorHAnsi"/>
          <w:bCs/>
          <w:color w:val="000000"/>
          <w:sz w:val="22"/>
          <w:szCs w:val="22"/>
        </w:rPr>
        <w:t>.</w:t>
      </w:r>
    </w:p>
    <w:p w:rsidR="00DE29F7" w:rsidRPr="00DE29F7" w:rsidRDefault="00DE29F7" w:rsidP="00DE29F7">
      <w:pPr>
        <w:jc w:val="both"/>
        <w:rPr>
          <w:rFonts w:asciiTheme="minorHAnsi" w:hAnsiTheme="minorHAnsi"/>
          <w:color w:val="000000" w:themeColor="text1"/>
          <w:sz w:val="22"/>
        </w:rPr>
      </w:pPr>
      <w:r w:rsidRPr="00DE29F7">
        <w:rPr>
          <w:rFonts w:asciiTheme="minorHAnsi" w:hAnsiTheme="minorHAnsi"/>
          <w:color w:val="000000" w:themeColor="text1"/>
          <w:sz w:val="22"/>
        </w:rPr>
        <w:t>CENETEC Salud (2005): Guía de Equipamiento Unidad de Radioterapia y Quimioterapia. Secretaría de Salud, Subsecretaría de Innovación y Calidad Centro Nacional de Excelencia Tecnológica en Salud, CENETEC.</w:t>
      </w:r>
    </w:p>
    <w:p w:rsidR="00DE29F7" w:rsidRPr="00DE29F7" w:rsidRDefault="00DE29F7" w:rsidP="00DE29F7">
      <w:pPr>
        <w:jc w:val="both"/>
        <w:rPr>
          <w:rFonts w:asciiTheme="minorHAnsi" w:hAnsiTheme="minorHAnsi"/>
          <w:color w:val="000000" w:themeColor="text1"/>
          <w:sz w:val="22"/>
        </w:rPr>
      </w:pPr>
    </w:p>
    <w:p w:rsidR="00DE29F7" w:rsidRPr="00DE29F7" w:rsidRDefault="00DE29F7" w:rsidP="00DE29F7">
      <w:pPr>
        <w:jc w:val="both"/>
        <w:rPr>
          <w:rFonts w:asciiTheme="minorHAnsi" w:hAnsiTheme="minorHAnsi"/>
          <w:color w:val="000000" w:themeColor="text1"/>
          <w:sz w:val="22"/>
        </w:rPr>
      </w:pPr>
      <w:r w:rsidRPr="00DE29F7">
        <w:rPr>
          <w:rFonts w:asciiTheme="minorHAnsi" w:hAnsiTheme="minorHAnsi"/>
          <w:color w:val="000000" w:themeColor="text1"/>
          <w:sz w:val="22"/>
        </w:rPr>
        <w:t>CENETEC Salud (s/fecha): Ejemplo de un estudio de preinversión para proyectos de equipamiento de unidades de radioterapia. Calidad Centro Nacional de Excelencia Tecnológica en Salud.</w:t>
      </w:r>
    </w:p>
    <w:p w:rsidR="00DE29F7" w:rsidRPr="00DE29F7" w:rsidRDefault="00DE29F7" w:rsidP="00DE29F7">
      <w:pPr>
        <w:jc w:val="both"/>
        <w:rPr>
          <w:rFonts w:asciiTheme="minorHAnsi" w:hAnsiTheme="minorHAnsi"/>
          <w:color w:val="000000" w:themeColor="text1"/>
          <w:sz w:val="22"/>
        </w:rPr>
      </w:pPr>
    </w:p>
    <w:p w:rsidR="00DE29F7" w:rsidRPr="00DE29F7" w:rsidRDefault="00DE29F7" w:rsidP="00DE29F7">
      <w:pPr>
        <w:jc w:val="both"/>
        <w:rPr>
          <w:rFonts w:asciiTheme="minorHAnsi" w:hAnsiTheme="minorHAnsi"/>
          <w:color w:val="000000" w:themeColor="text1"/>
          <w:sz w:val="22"/>
        </w:rPr>
      </w:pPr>
      <w:r w:rsidRPr="00DE29F7">
        <w:rPr>
          <w:rFonts w:asciiTheme="minorHAnsi" w:hAnsiTheme="minorHAnsi"/>
          <w:color w:val="000000" w:themeColor="text1"/>
          <w:sz w:val="22"/>
        </w:rPr>
        <w:t>CEPEP (2007): Apuntes sobre Evaluación Social de Proyecto. http://www.cepep.gob.mx/libro.html</w:t>
      </w:r>
    </w:p>
    <w:p w:rsidR="0016105D" w:rsidRDefault="0016105D" w:rsidP="0016105D">
      <w:pPr>
        <w:jc w:val="both"/>
        <w:rPr>
          <w:rFonts w:asciiTheme="minorHAnsi" w:hAnsiTheme="minorHAnsi" w:cstheme="minorHAnsi"/>
          <w:sz w:val="22"/>
          <w:szCs w:val="22"/>
        </w:rPr>
      </w:pPr>
    </w:p>
    <w:p w:rsidR="0016105D" w:rsidRPr="0016105D" w:rsidRDefault="0016105D" w:rsidP="0016105D">
      <w:pPr>
        <w:jc w:val="both"/>
        <w:rPr>
          <w:rFonts w:asciiTheme="minorHAnsi" w:hAnsiTheme="minorHAnsi" w:cstheme="minorHAnsi"/>
          <w:sz w:val="22"/>
          <w:szCs w:val="22"/>
        </w:rPr>
      </w:pPr>
      <w:r>
        <w:rPr>
          <w:rFonts w:asciiTheme="minorHAnsi" w:hAnsiTheme="minorHAnsi" w:cstheme="minorHAnsi"/>
          <w:sz w:val="22"/>
          <w:szCs w:val="22"/>
        </w:rPr>
        <w:t xml:space="preserve">Clavero, A. y González, M. (2005): </w:t>
      </w:r>
      <w:r w:rsidRPr="0016105D">
        <w:rPr>
          <w:rFonts w:asciiTheme="minorHAnsi" w:hAnsiTheme="minorHAnsi" w:cstheme="minorHAnsi"/>
          <w:sz w:val="22"/>
          <w:szCs w:val="22"/>
        </w:rPr>
        <w:t xml:space="preserve">Una revisión de modelos econométricos aplicados al análisis </w:t>
      </w:r>
    </w:p>
    <w:p w:rsidR="00DE29F7" w:rsidRDefault="0016105D" w:rsidP="0016105D">
      <w:pPr>
        <w:jc w:val="both"/>
        <w:rPr>
          <w:rFonts w:asciiTheme="minorHAnsi" w:hAnsiTheme="minorHAnsi" w:cstheme="minorHAnsi"/>
          <w:sz w:val="22"/>
          <w:szCs w:val="22"/>
        </w:rPr>
      </w:pPr>
      <w:r w:rsidRPr="0016105D">
        <w:rPr>
          <w:rFonts w:asciiTheme="minorHAnsi" w:hAnsiTheme="minorHAnsi" w:cstheme="minorHAnsi"/>
          <w:sz w:val="22"/>
          <w:szCs w:val="22"/>
        </w:rPr>
        <w:t>de demanda y utilización de servicios sanitarios</w:t>
      </w:r>
      <w:r>
        <w:rPr>
          <w:rFonts w:asciiTheme="minorHAnsi" w:hAnsiTheme="minorHAnsi" w:cstheme="minorHAnsi"/>
          <w:sz w:val="22"/>
          <w:szCs w:val="22"/>
        </w:rPr>
        <w:t>.</w:t>
      </w:r>
      <w:r w:rsidRPr="0016105D">
        <w:t xml:space="preserve"> </w:t>
      </w:r>
      <w:r w:rsidRPr="0016105D">
        <w:rPr>
          <w:rFonts w:asciiTheme="minorHAnsi" w:hAnsiTheme="minorHAnsi" w:cstheme="minorHAnsi"/>
          <w:sz w:val="22"/>
          <w:szCs w:val="22"/>
        </w:rPr>
        <w:t>Hacienda Pública Española</w:t>
      </w:r>
      <w:r>
        <w:rPr>
          <w:rFonts w:asciiTheme="minorHAnsi" w:hAnsiTheme="minorHAnsi" w:cstheme="minorHAnsi"/>
          <w:sz w:val="22"/>
          <w:szCs w:val="22"/>
        </w:rPr>
        <w:t>,</w:t>
      </w:r>
      <w:r w:rsidRPr="0016105D">
        <w:rPr>
          <w:rFonts w:asciiTheme="minorHAnsi" w:hAnsiTheme="minorHAnsi" w:cstheme="minorHAnsi"/>
          <w:sz w:val="22"/>
          <w:szCs w:val="22"/>
        </w:rPr>
        <w:t xml:space="preserve"> Revista de Economía Pública, 173-(2/2005): 129-162</w:t>
      </w:r>
      <w:r>
        <w:rPr>
          <w:rFonts w:asciiTheme="minorHAnsi" w:hAnsiTheme="minorHAnsi" w:cstheme="minorHAnsi"/>
          <w:sz w:val="22"/>
          <w:szCs w:val="22"/>
        </w:rPr>
        <w:t>.</w:t>
      </w:r>
    </w:p>
    <w:p w:rsidR="0016105D" w:rsidRPr="00B06660" w:rsidRDefault="0016105D" w:rsidP="0016105D">
      <w:pPr>
        <w:jc w:val="both"/>
        <w:rPr>
          <w:rFonts w:asciiTheme="minorHAnsi" w:hAnsiTheme="minorHAnsi" w:cstheme="minorHAnsi"/>
          <w:sz w:val="22"/>
          <w:szCs w:val="22"/>
        </w:rPr>
      </w:pPr>
    </w:p>
    <w:p w:rsidR="00DE29F7" w:rsidRDefault="00DE29F7" w:rsidP="00DE29F7">
      <w:pPr>
        <w:jc w:val="both"/>
        <w:rPr>
          <w:rFonts w:asciiTheme="minorHAnsi" w:hAnsiTheme="minorHAnsi" w:cstheme="minorHAnsi"/>
          <w:sz w:val="22"/>
          <w:szCs w:val="22"/>
        </w:rPr>
      </w:pPr>
      <w:r w:rsidRPr="00B06660">
        <w:rPr>
          <w:rFonts w:asciiTheme="minorHAnsi" w:hAnsiTheme="minorHAnsi" w:cstheme="minorHAnsi"/>
          <w:sz w:val="22"/>
          <w:szCs w:val="22"/>
        </w:rPr>
        <w:t>Drummond, M.; O`Brien, B.; Stoddart, G. y Torrance, G. (2001): Métodos para la evaluación económica de los programas de asistencia sanitaria. Ediciones Díaz de Santos.</w:t>
      </w:r>
    </w:p>
    <w:p w:rsidR="00766F55" w:rsidRDefault="00766F55" w:rsidP="00766F55">
      <w:pPr>
        <w:pStyle w:val="BodyText2"/>
        <w:spacing w:after="0"/>
        <w:rPr>
          <w:rFonts w:asciiTheme="minorHAnsi" w:hAnsiTheme="minorHAnsi" w:cstheme="minorHAnsi"/>
          <w:bCs/>
          <w:color w:val="000000"/>
          <w:sz w:val="22"/>
          <w:szCs w:val="22"/>
        </w:rPr>
      </w:pPr>
    </w:p>
    <w:p w:rsidR="00766F55" w:rsidRDefault="00766F55" w:rsidP="00766F55">
      <w:pPr>
        <w:pStyle w:val="BodyText2"/>
        <w:spacing w:after="0"/>
        <w:rPr>
          <w:rFonts w:asciiTheme="minorHAnsi" w:hAnsiTheme="minorHAnsi" w:cstheme="minorHAnsi"/>
          <w:bCs/>
          <w:color w:val="000000"/>
          <w:sz w:val="22"/>
          <w:szCs w:val="22"/>
        </w:rPr>
      </w:pPr>
      <w:r w:rsidRPr="002724C2">
        <w:rPr>
          <w:rFonts w:asciiTheme="minorHAnsi" w:hAnsiTheme="minorHAnsi" w:cstheme="minorHAnsi"/>
          <w:bCs/>
          <w:color w:val="000000"/>
          <w:sz w:val="22"/>
          <w:szCs w:val="22"/>
        </w:rPr>
        <w:t>Francisco Franco-Marina, Laura Leticia Tirado-Gómez, Aída Venado Estrada, José Andrés Moreno-López, Reyna Lizette Pacheco-Domínguez, Luis Durán-ArenasMalaquías</w:t>
      </w:r>
      <w:r>
        <w:rPr>
          <w:rFonts w:asciiTheme="minorHAnsi" w:hAnsiTheme="minorHAnsi" w:cstheme="minorHAnsi"/>
          <w:bCs/>
          <w:color w:val="000000"/>
          <w:sz w:val="22"/>
          <w:szCs w:val="22"/>
        </w:rPr>
        <w:t xml:space="preserve"> López-Cervantes (2011): </w:t>
      </w:r>
      <w:r w:rsidRPr="002724C2">
        <w:rPr>
          <w:rFonts w:asciiTheme="minorHAnsi" w:hAnsiTheme="minorHAnsi" w:cstheme="minorHAnsi"/>
          <w:bCs/>
          <w:color w:val="000000"/>
          <w:sz w:val="22"/>
          <w:szCs w:val="22"/>
        </w:rPr>
        <w:t>Una estimación indirecta de las desigualdades</w:t>
      </w:r>
      <w:r>
        <w:rPr>
          <w:rFonts w:asciiTheme="minorHAnsi" w:hAnsiTheme="minorHAnsi" w:cstheme="minorHAnsi"/>
          <w:bCs/>
          <w:color w:val="000000"/>
          <w:sz w:val="22"/>
          <w:szCs w:val="22"/>
        </w:rPr>
        <w:t xml:space="preserve"> </w:t>
      </w:r>
      <w:r w:rsidRPr="002724C2">
        <w:rPr>
          <w:rFonts w:asciiTheme="minorHAnsi" w:hAnsiTheme="minorHAnsi" w:cstheme="minorHAnsi"/>
          <w:bCs/>
          <w:color w:val="000000"/>
          <w:sz w:val="22"/>
          <w:szCs w:val="22"/>
        </w:rPr>
        <w:t>actuales y futuras en la frecuencia de la</w:t>
      </w:r>
      <w:r>
        <w:rPr>
          <w:rFonts w:asciiTheme="minorHAnsi" w:hAnsiTheme="minorHAnsi" w:cstheme="minorHAnsi"/>
          <w:bCs/>
          <w:color w:val="000000"/>
          <w:sz w:val="22"/>
          <w:szCs w:val="22"/>
        </w:rPr>
        <w:t xml:space="preserve"> </w:t>
      </w:r>
      <w:r w:rsidRPr="002724C2">
        <w:rPr>
          <w:rFonts w:asciiTheme="minorHAnsi" w:hAnsiTheme="minorHAnsi" w:cstheme="minorHAnsi"/>
          <w:bCs/>
          <w:color w:val="000000"/>
          <w:sz w:val="22"/>
          <w:szCs w:val="22"/>
        </w:rPr>
        <w:t>enfermedad renal crónica terminal en México</w:t>
      </w:r>
      <w:r>
        <w:rPr>
          <w:rFonts w:asciiTheme="minorHAnsi" w:hAnsiTheme="minorHAnsi" w:cstheme="minorHAnsi"/>
          <w:bCs/>
          <w:color w:val="000000"/>
          <w:sz w:val="22"/>
          <w:szCs w:val="22"/>
        </w:rPr>
        <w:t>.</w:t>
      </w:r>
      <w:r w:rsidRPr="002724C2">
        <w:t xml:space="preserve"> </w:t>
      </w:r>
      <w:r w:rsidRPr="002724C2">
        <w:rPr>
          <w:rFonts w:asciiTheme="minorHAnsi" w:hAnsiTheme="minorHAnsi" w:cstheme="minorHAnsi"/>
          <w:bCs/>
          <w:color w:val="000000"/>
          <w:sz w:val="22"/>
          <w:szCs w:val="22"/>
        </w:rPr>
        <w:t>salud pública de méxico / vol. 53, suplemento 4 de 2011</w:t>
      </w:r>
      <w:r>
        <w:rPr>
          <w:rFonts w:asciiTheme="minorHAnsi" w:hAnsiTheme="minorHAnsi" w:cstheme="minorHAnsi"/>
          <w:bCs/>
          <w:color w:val="000000"/>
          <w:sz w:val="22"/>
          <w:szCs w:val="22"/>
        </w:rPr>
        <w:t>.</w:t>
      </w:r>
    </w:p>
    <w:p w:rsidR="009C3D9E" w:rsidRDefault="009C3D9E" w:rsidP="009C3D9E">
      <w:pPr>
        <w:pStyle w:val="BodyText2"/>
        <w:spacing w:after="0"/>
        <w:rPr>
          <w:rFonts w:asciiTheme="minorHAnsi" w:hAnsiTheme="minorHAnsi" w:cstheme="minorHAnsi"/>
          <w:bCs/>
          <w:sz w:val="22"/>
          <w:szCs w:val="22"/>
        </w:rPr>
      </w:pPr>
    </w:p>
    <w:p w:rsidR="009C3D9E" w:rsidRDefault="009C3D9E" w:rsidP="009C3D9E">
      <w:pPr>
        <w:pStyle w:val="BodyText2"/>
        <w:spacing w:after="0"/>
        <w:rPr>
          <w:rFonts w:asciiTheme="minorHAnsi" w:hAnsiTheme="minorHAnsi" w:cstheme="minorHAnsi"/>
          <w:bCs/>
          <w:sz w:val="22"/>
          <w:szCs w:val="22"/>
        </w:rPr>
      </w:pPr>
      <w:r w:rsidRPr="009C76DB">
        <w:rPr>
          <w:rFonts w:asciiTheme="minorHAnsi" w:hAnsiTheme="minorHAnsi" w:cstheme="minorHAnsi"/>
          <w:bCs/>
          <w:sz w:val="22"/>
          <w:szCs w:val="22"/>
        </w:rPr>
        <w:t>Fontaine, E. (1997): Evaluación social de proyectos. Ediciones Universidad Católica de Chile, undécima edición.</w:t>
      </w:r>
    </w:p>
    <w:p w:rsidR="00766F55" w:rsidRDefault="00766F55" w:rsidP="009C3D9E">
      <w:pPr>
        <w:pStyle w:val="BodyText2"/>
        <w:spacing w:after="0"/>
        <w:rPr>
          <w:rFonts w:asciiTheme="minorHAnsi" w:hAnsiTheme="minorHAnsi"/>
        </w:rPr>
      </w:pPr>
    </w:p>
    <w:p w:rsidR="009C3D9E" w:rsidRPr="00766F55" w:rsidRDefault="00766F55" w:rsidP="009C3D9E">
      <w:pPr>
        <w:pStyle w:val="BodyText2"/>
        <w:spacing w:after="0"/>
        <w:rPr>
          <w:rFonts w:asciiTheme="minorHAnsi" w:hAnsiTheme="minorHAnsi" w:cstheme="minorHAnsi"/>
          <w:sz w:val="20"/>
          <w:lang w:val="en-US"/>
        </w:rPr>
      </w:pPr>
      <w:r w:rsidRPr="00766F55">
        <w:rPr>
          <w:rFonts w:asciiTheme="minorHAnsi" w:hAnsiTheme="minorHAnsi"/>
          <w:sz w:val="22"/>
        </w:rPr>
        <w:t xml:space="preserve">Gobierno Federal (2010): Manual para la evaluación de proyectos de hospitales de tercer nivel: Unidad de Hemato-Oncología e Investigación Pediátrica de México, Proyecto de Infraestructura Social. </w:t>
      </w:r>
      <w:r w:rsidRPr="005004E7">
        <w:rPr>
          <w:rFonts w:asciiTheme="minorHAnsi" w:hAnsiTheme="minorHAnsi"/>
          <w:sz w:val="22"/>
          <w:lang w:val="en-US"/>
        </w:rPr>
        <w:t>Análisis Costo-Beneficio. Gobierno Federal, 2010.</w:t>
      </w:r>
    </w:p>
    <w:p w:rsidR="00766F55" w:rsidRDefault="00766F55" w:rsidP="009C3D9E">
      <w:pPr>
        <w:pStyle w:val="BodyText2"/>
        <w:spacing w:after="0"/>
        <w:rPr>
          <w:rFonts w:asciiTheme="minorHAnsi" w:hAnsiTheme="minorHAnsi" w:cstheme="minorHAnsi"/>
          <w:sz w:val="22"/>
          <w:lang w:val="en-US"/>
        </w:rPr>
      </w:pPr>
    </w:p>
    <w:p w:rsidR="009C3D9E" w:rsidRPr="009C76DB" w:rsidRDefault="009C3D9E" w:rsidP="009C3D9E">
      <w:pPr>
        <w:pStyle w:val="BodyText2"/>
        <w:spacing w:after="0"/>
        <w:rPr>
          <w:rFonts w:asciiTheme="minorHAnsi" w:hAnsiTheme="minorHAnsi" w:cstheme="minorHAnsi"/>
          <w:sz w:val="22"/>
        </w:rPr>
      </w:pPr>
      <w:r w:rsidRPr="009C76DB">
        <w:rPr>
          <w:rFonts w:asciiTheme="minorHAnsi" w:hAnsiTheme="minorHAnsi" w:cstheme="minorHAnsi"/>
          <w:sz w:val="22"/>
          <w:lang w:val="en-US"/>
        </w:rPr>
        <w:t xml:space="preserve">Grossman, M. (1999): The human capital of the demand for health. </w:t>
      </w:r>
      <w:r w:rsidRPr="009C76DB">
        <w:rPr>
          <w:rFonts w:asciiTheme="minorHAnsi" w:hAnsiTheme="minorHAnsi" w:cstheme="minorHAnsi"/>
          <w:sz w:val="22"/>
        </w:rPr>
        <w:t>Massachusetts, USA, NBER, Working Paper 7078.</w:t>
      </w:r>
    </w:p>
    <w:p w:rsidR="00DE29F7" w:rsidRPr="00B06660" w:rsidRDefault="00DE29F7" w:rsidP="00DE29F7">
      <w:pPr>
        <w:jc w:val="both"/>
        <w:rPr>
          <w:rFonts w:asciiTheme="minorHAnsi" w:hAnsiTheme="minorHAnsi" w:cstheme="minorHAnsi"/>
          <w:sz w:val="22"/>
          <w:szCs w:val="22"/>
        </w:rPr>
      </w:pPr>
    </w:p>
    <w:p w:rsidR="00DE29F7" w:rsidRPr="005004E7" w:rsidRDefault="007A006F" w:rsidP="007A006F">
      <w:pPr>
        <w:jc w:val="both"/>
        <w:rPr>
          <w:rFonts w:asciiTheme="minorHAnsi" w:hAnsiTheme="minorHAnsi" w:cstheme="minorHAnsi"/>
          <w:sz w:val="22"/>
          <w:szCs w:val="22"/>
          <w:lang w:val="es-ES_tradnl"/>
        </w:rPr>
      </w:pPr>
      <w:r w:rsidRPr="005004E7">
        <w:rPr>
          <w:rFonts w:asciiTheme="minorHAnsi" w:hAnsiTheme="minorHAnsi" w:cstheme="minorHAnsi"/>
          <w:sz w:val="22"/>
          <w:szCs w:val="22"/>
          <w:lang w:val="es-ES_tradnl"/>
        </w:rPr>
        <w:t>Gutiérrez, S. (2009):</w:t>
      </w:r>
      <w:r w:rsidRPr="00213D2E">
        <w:rPr>
          <w:rFonts w:asciiTheme="minorHAnsi" w:hAnsiTheme="minorHAnsi" w:cstheme="minorHAnsi"/>
          <w:sz w:val="22"/>
          <w:szCs w:val="22"/>
        </w:rPr>
        <w:t xml:space="preserve"> Cáncer</w:t>
      </w:r>
      <w:r w:rsidRPr="005004E7">
        <w:rPr>
          <w:rFonts w:asciiTheme="minorHAnsi" w:hAnsiTheme="minorHAnsi" w:cstheme="minorHAnsi"/>
          <w:sz w:val="22"/>
          <w:szCs w:val="22"/>
          <w:lang w:val="es-ES_tradnl"/>
        </w:rPr>
        <w:t>:</w:t>
      </w:r>
      <w:r w:rsidRPr="00213D2E">
        <w:rPr>
          <w:rFonts w:asciiTheme="minorHAnsi" w:hAnsiTheme="minorHAnsi" w:cstheme="minorHAnsi"/>
          <w:sz w:val="22"/>
          <w:szCs w:val="22"/>
        </w:rPr>
        <w:t xml:space="preserve"> costos</w:t>
      </w:r>
      <w:r w:rsidRPr="005004E7">
        <w:rPr>
          <w:rFonts w:asciiTheme="minorHAnsi" w:hAnsiTheme="minorHAnsi" w:cstheme="minorHAnsi"/>
          <w:sz w:val="22"/>
          <w:szCs w:val="22"/>
          <w:lang w:val="es-ES_tradnl"/>
        </w:rPr>
        <w:t xml:space="preserve"> de tratamiento en Perú. </w:t>
      </w:r>
      <w:r w:rsidRPr="00213D2E">
        <w:rPr>
          <w:rFonts w:asciiTheme="minorHAnsi" w:hAnsiTheme="minorHAnsi" w:cstheme="minorHAnsi"/>
          <w:sz w:val="22"/>
          <w:szCs w:val="22"/>
        </w:rPr>
        <w:t xml:space="preserve">Acción Internacional para la Salud Oficina de Coordinación América Latina y el Caribe. </w:t>
      </w:r>
      <w:r w:rsidRPr="005004E7">
        <w:rPr>
          <w:rFonts w:asciiTheme="minorHAnsi" w:hAnsiTheme="minorHAnsi" w:cstheme="minorHAnsi"/>
          <w:sz w:val="22"/>
          <w:szCs w:val="22"/>
          <w:lang w:val="es-ES_tradnl"/>
        </w:rPr>
        <w:t>AIS LAC Serie Investigaciones y monografías No. 28/2009.</w:t>
      </w:r>
    </w:p>
    <w:p w:rsidR="00256EDF" w:rsidRDefault="00256EDF" w:rsidP="00DE29F7">
      <w:pPr>
        <w:jc w:val="both"/>
        <w:rPr>
          <w:rFonts w:asciiTheme="minorHAnsi" w:hAnsiTheme="minorHAnsi" w:cstheme="minorHAnsi"/>
          <w:sz w:val="22"/>
          <w:szCs w:val="22"/>
        </w:rPr>
      </w:pPr>
    </w:p>
    <w:p w:rsidR="00DE29F7" w:rsidRDefault="00DE29F7" w:rsidP="00DE29F7">
      <w:pPr>
        <w:jc w:val="both"/>
        <w:rPr>
          <w:rFonts w:asciiTheme="minorHAnsi" w:hAnsiTheme="minorHAnsi" w:cstheme="minorHAnsi"/>
          <w:sz w:val="22"/>
          <w:szCs w:val="22"/>
        </w:rPr>
      </w:pPr>
      <w:r w:rsidRPr="00B06660">
        <w:rPr>
          <w:rFonts w:asciiTheme="minorHAnsi" w:hAnsiTheme="minorHAnsi" w:cstheme="minorHAnsi"/>
          <w:sz w:val="22"/>
          <w:szCs w:val="22"/>
        </w:rPr>
        <w:t xml:space="preserve">Ibáñez, C. (2011): Evaluación socioeconómica del proyecto de remodelación y ampliación del Hospital Madre Obrera de Llallagua. Informe de Consultoría BID, BO-L1067. </w:t>
      </w:r>
    </w:p>
    <w:p w:rsidR="00DE29F7" w:rsidRPr="00B06660" w:rsidRDefault="00DE29F7" w:rsidP="00DE29F7">
      <w:pPr>
        <w:jc w:val="both"/>
        <w:rPr>
          <w:rFonts w:asciiTheme="minorHAnsi" w:hAnsiTheme="minorHAnsi" w:cstheme="minorHAnsi"/>
          <w:sz w:val="22"/>
          <w:szCs w:val="22"/>
        </w:rPr>
      </w:pPr>
    </w:p>
    <w:p w:rsidR="00DE29F7" w:rsidRPr="005004E7" w:rsidRDefault="00DE29F7" w:rsidP="00DE29F7">
      <w:pPr>
        <w:jc w:val="both"/>
        <w:rPr>
          <w:rFonts w:asciiTheme="minorHAnsi" w:hAnsiTheme="minorHAnsi" w:cstheme="minorHAnsi"/>
          <w:sz w:val="22"/>
          <w:szCs w:val="22"/>
          <w:lang w:val="es-ES_tradnl"/>
        </w:rPr>
      </w:pPr>
      <w:r w:rsidRPr="00B06660">
        <w:rPr>
          <w:rFonts w:asciiTheme="minorHAnsi" w:hAnsiTheme="minorHAnsi" w:cstheme="minorHAnsi"/>
          <w:sz w:val="22"/>
          <w:szCs w:val="22"/>
        </w:rPr>
        <w:t xml:space="preserve">Ibáñez, C. (2011a): Elementos básicos para la evaluación socioeconómica de proyectos de salud: Recomendaciones para Bolivia. </w:t>
      </w:r>
      <w:r w:rsidRPr="005004E7">
        <w:rPr>
          <w:rFonts w:asciiTheme="minorHAnsi" w:hAnsiTheme="minorHAnsi" w:cstheme="minorHAnsi"/>
          <w:sz w:val="22"/>
          <w:szCs w:val="22"/>
          <w:lang w:val="es-ES_tradnl"/>
        </w:rPr>
        <w:t>Informe de</w:t>
      </w:r>
      <w:r w:rsidRPr="00213D2E">
        <w:rPr>
          <w:rFonts w:asciiTheme="minorHAnsi" w:hAnsiTheme="minorHAnsi" w:cstheme="minorHAnsi"/>
          <w:sz w:val="22"/>
          <w:szCs w:val="22"/>
        </w:rPr>
        <w:t xml:space="preserve"> Consultoría</w:t>
      </w:r>
      <w:r w:rsidRPr="005004E7">
        <w:rPr>
          <w:rFonts w:asciiTheme="minorHAnsi" w:hAnsiTheme="minorHAnsi" w:cstheme="minorHAnsi"/>
          <w:sz w:val="22"/>
          <w:szCs w:val="22"/>
          <w:lang w:val="es-ES_tradnl"/>
        </w:rPr>
        <w:t xml:space="preserve"> BID, BO-L1067.</w:t>
      </w:r>
    </w:p>
    <w:p w:rsidR="00DE29F7" w:rsidRPr="00213D2E" w:rsidRDefault="00DE29F7" w:rsidP="00DE29F7">
      <w:pPr>
        <w:jc w:val="both"/>
        <w:rPr>
          <w:rFonts w:asciiTheme="minorHAnsi" w:hAnsiTheme="minorHAnsi" w:cstheme="minorHAnsi"/>
          <w:sz w:val="22"/>
          <w:szCs w:val="22"/>
        </w:rPr>
      </w:pPr>
    </w:p>
    <w:p w:rsidR="00DE29F7" w:rsidRPr="005004E7" w:rsidRDefault="00213D2E" w:rsidP="00DE29F7">
      <w:pPr>
        <w:jc w:val="both"/>
        <w:rPr>
          <w:rFonts w:asciiTheme="minorHAnsi" w:hAnsiTheme="minorHAnsi" w:cstheme="minorHAnsi"/>
          <w:sz w:val="22"/>
          <w:szCs w:val="22"/>
          <w:lang w:val="es-ES_tradnl"/>
        </w:rPr>
      </w:pPr>
      <w:r w:rsidRPr="00213D2E">
        <w:rPr>
          <w:rFonts w:asciiTheme="minorHAnsi" w:hAnsiTheme="minorHAnsi" w:cstheme="minorHAnsi"/>
          <w:sz w:val="22"/>
          <w:szCs w:val="22"/>
        </w:rPr>
        <w:t>Ibáñez</w:t>
      </w:r>
      <w:r w:rsidRPr="005004E7">
        <w:rPr>
          <w:rFonts w:asciiTheme="minorHAnsi" w:hAnsiTheme="minorHAnsi" w:cstheme="minorHAnsi"/>
          <w:sz w:val="22"/>
          <w:szCs w:val="22"/>
          <w:lang w:val="es-ES_tradnl"/>
        </w:rPr>
        <w:t>, C. (2012):</w:t>
      </w:r>
      <w:r w:rsidRPr="005352F3">
        <w:rPr>
          <w:rFonts w:asciiTheme="minorHAnsi" w:hAnsiTheme="minorHAnsi" w:cstheme="minorHAnsi"/>
          <w:sz w:val="22"/>
          <w:szCs w:val="22"/>
        </w:rPr>
        <w:t xml:space="preserve"> Evaluación socioeconómica</w:t>
      </w:r>
      <w:r w:rsidRPr="005004E7">
        <w:rPr>
          <w:rFonts w:asciiTheme="minorHAnsi" w:hAnsiTheme="minorHAnsi" w:cstheme="minorHAnsi"/>
          <w:sz w:val="22"/>
          <w:szCs w:val="22"/>
          <w:lang w:val="es-ES_tradnl"/>
        </w:rPr>
        <w:t xml:space="preserve"> del proyecto de construcción del nuevo</w:t>
      </w:r>
      <w:r w:rsidRPr="00213D2E">
        <w:rPr>
          <w:rFonts w:asciiTheme="minorHAnsi" w:hAnsiTheme="minorHAnsi" w:cstheme="minorHAnsi"/>
          <w:sz w:val="22"/>
          <w:szCs w:val="22"/>
        </w:rPr>
        <w:t xml:space="preserve"> hospital</w:t>
      </w:r>
      <w:r w:rsidRPr="005004E7">
        <w:rPr>
          <w:rFonts w:asciiTheme="minorHAnsi" w:hAnsiTheme="minorHAnsi" w:cstheme="minorHAnsi"/>
          <w:sz w:val="22"/>
          <w:szCs w:val="22"/>
          <w:lang w:val="es-ES_tradnl"/>
        </w:rPr>
        <w:t xml:space="preserve"> Daniel</w:t>
      </w:r>
      <w:r w:rsidRPr="00213D2E">
        <w:rPr>
          <w:rFonts w:asciiTheme="minorHAnsi" w:hAnsiTheme="minorHAnsi" w:cstheme="minorHAnsi"/>
          <w:sz w:val="22"/>
          <w:szCs w:val="22"/>
        </w:rPr>
        <w:t xml:space="preserve"> Bracamonte</w:t>
      </w:r>
      <w:r w:rsidRPr="005004E7">
        <w:rPr>
          <w:rFonts w:asciiTheme="minorHAnsi" w:hAnsiTheme="minorHAnsi" w:cstheme="minorHAnsi"/>
          <w:sz w:val="22"/>
          <w:szCs w:val="22"/>
          <w:lang w:val="es-ES_tradnl"/>
        </w:rPr>
        <w:t xml:space="preserve"> de Potosí – Bolivia.</w:t>
      </w:r>
      <w:r w:rsidRPr="00213D2E">
        <w:rPr>
          <w:rFonts w:asciiTheme="minorHAnsi" w:hAnsiTheme="minorHAnsi" w:cstheme="minorHAnsi"/>
          <w:sz w:val="22"/>
          <w:szCs w:val="22"/>
        </w:rPr>
        <w:t xml:space="preserve"> </w:t>
      </w:r>
      <w:r w:rsidR="00DE29F7" w:rsidRPr="00213D2E">
        <w:rPr>
          <w:rFonts w:asciiTheme="minorHAnsi" w:hAnsiTheme="minorHAnsi" w:cstheme="minorHAnsi"/>
          <w:sz w:val="22"/>
          <w:szCs w:val="22"/>
        </w:rPr>
        <w:t>Programa</w:t>
      </w:r>
      <w:r w:rsidR="00DE29F7" w:rsidRPr="005004E7">
        <w:rPr>
          <w:rFonts w:asciiTheme="minorHAnsi" w:hAnsiTheme="minorHAnsi" w:cstheme="minorHAnsi"/>
          <w:sz w:val="22"/>
          <w:szCs w:val="22"/>
          <w:lang w:val="es-ES_tradnl"/>
        </w:rPr>
        <w:t xml:space="preserve"> BO – L1078. Estudio realizado para el Banco Interamericano de Desarrollo.</w:t>
      </w:r>
    </w:p>
    <w:p w:rsidR="00DE29F7" w:rsidRPr="005352F3" w:rsidRDefault="00DE29F7" w:rsidP="00DE29F7">
      <w:pPr>
        <w:jc w:val="both"/>
        <w:rPr>
          <w:rFonts w:asciiTheme="minorHAnsi" w:hAnsiTheme="minorHAnsi" w:cstheme="minorHAnsi"/>
          <w:sz w:val="22"/>
          <w:szCs w:val="22"/>
        </w:rPr>
      </w:pPr>
    </w:p>
    <w:p w:rsidR="00DE29F7" w:rsidRPr="005004E7" w:rsidRDefault="00213D2E" w:rsidP="00DE29F7">
      <w:pPr>
        <w:jc w:val="both"/>
        <w:rPr>
          <w:rFonts w:asciiTheme="minorHAnsi" w:hAnsiTheme="minorHAnsi" w:cstheme="minorHAnsi"/>
          <w:sz w:val="22"/>
          <w:szCs w:val="22"/>
          <w:lang w:val="es-ES_tradnl"/>
        </w:rPr>
      </w:pPr>
      <w:r w:rsidRPr="005352F3">
        <w:rPr>
          <w:rFonts w:asciiTheme="minorHAnsi" w:hAnsiTheme="minorHAnsi" w:cstheme="minorHAnsi"/>
          <w:sz w:val="22"/>
          <w:szCs w:val="22"/>
        </w:rPr>
        <w:t>Ibáñez</w:t>
      </w:r>
      <w:r w:rsidRPr="005004E7">
        <w:rPr>
          <w:rFonts w:asciiTheme="minorHAnsi" w:hAnsiTheme="minorHAnsi" w:cstheme="minorHAnsi"/>
          <w:sz w:val="22"/>
          <w:szCs w:val="22"/>
          <w:lang w:val="es-ES_tradnl"/>
        </w:rPr>
        <w:t>, C. (2012a):</w:t>
      </w:r>
      <w:r w:rsidRPr="005352F3">
        <w:rPr>
          <w:rFonts w:asciiTheme="minorHAnsi" w:hAnsiTheme="minorHAnsi" w:cstheme="minorHAnsi"/>
          <w:sz w:val="22"/>
          <w:szCs w:val="22"/>
        </w:rPr>
        <w:t xml:space="preserve"> Evaluación socioeconómica</w:t>
      </w:r>
      <w:r w:rsidRPr="005004E7">
        <w:rPr>
          <w:rFonts w:asciiTheme="minorHAnsi" w:hAnsiTheme="minorHAnsi" w:cstheme="minorHAnsi"/>
          <w:sz w:val="22"/>
          <w:szCs w:val="22"/>
          <w:lang w:val="es-ES_tradnl"/>
        </w:rPr>
        <w:t xml:space="preserve"> del proyecto de construcción y ampliación del Instituto</w:t>
      </w:r>
      <w:r w:rsidRPr="00213D2E">
        <w:rPr>
          <w:rFonts w:asciiTheme="minorHAnsi" w:hAnsiTheme="minorHAnsi" w:cstheme="minorHAnsi"/>
          <w:sz w:val="22"/>
          <w:szCs w:val="22"/>
        </w:rPr>
        <w:t xml:space="preserve"> Oncológico</w:t>
      </w:r>
      <w:r w:rsidRPr="005004E7">
        <w:rPr>
          <w:rFonts w:asciiTheme="minorHAnsi" w:hAnsiTheme="minorHAnsi" w:cstheme="minorHAnsi"/>
          <w:sz w:val="22"/>
          <w:szCs w:val="22"/>
          <w:lang w:val="es-ES_tradnl"/>
        </w:rPr>
        <w:t xml:space="preserve"> Nacional de Panamá. </w:t>
      </w:r>
      <w:r w:rsidR="00DE29F7" w:rsidRPr="005004E7">
        <w:rPr>
          <w:rFonts w:asciiTheme="minorHAnsi" w:hAnsiTheme="minorHAnsi" w:cstheme="minorHAnsi"/>
          <w:sz w:val="22"/>
          <w:szCs w:val="22"/>
          <w:lang w:val="es-ES_tradnl"/>
        </w:rPr>
        <w:t>PN-L1078, Estudio realizado para el Banco Interamericano de Desarrollo.</w:t>
      </w:r>
    </w:p>
    <w:p w:rsidR="00DE29F7" w:rsidRPr="005004E7" w:rsidRDefault="00DE29F7" w:rsidP="00DE29F7">
      <w:pPr>
        <w:jc w:val="both"/>
        <w:rPr>
          <w:rFonts w:asciiTheme="minorHAnsi" w:hAnsiTheme="minorHAnsi" w:cstheme="minorHAnsi"/>
          <w:sz w:val="22"/>
          <w:szCs w:val="22"/>
          <w:lang w:val="es-ES_tradnl"/>
        </w:rPr>
      </w:pPr>
    </w:p>
    <w:p w:rsidR="00DE29F7" w:rsidRDefault="00DE29F7" w:rsidP="00DE29F7">
      <w:pPr>
        <w:jc w:val="both"/>
        <w:rPr>
          <w:rFonts w:asciiTheme="minorHAnsi" w:hAnsiTheme="minorHAnsi" w:cstheme="minorHAnsi"/>
          <w:sz w:val="22"/>
          <w:szCs w:val="22"/>
          <w:lang w:val="en-US"/>
        </w:rPr>
      </w:pPr>
      <w:r w:rsidRPr="00B06660">
        <w:rPr>
          <w:rFonts w:asciiTheme="minorHAnsi" w:hAnsiTheme="minorHAnsi" w:cstheme="minorHAnsi"/>
          <w:sz w:val="22"/>
          <w:szCs w:val="22"/>
          <w:lang w:val="en-US"/>
        </w:rPr>
        <w:t>López, H. (2008): The Social Discount Rate: Estimates for Nine Latin American Countries. Policy Research Working Paper 4639. The World Bank Latin America and the Caribbean Region Office of the Chief Economist June 2008.</w:t>
      </w:r>
    </w:p>
    <w:p w:rsidR="005714AA" w:rsidRDefault="005714AA" w:rsidP="00DE29F7">
      <w:pPr>
        <w:jc w:val="both"/>
        <w:rPr>
          <w:rFonts w:asciiTheme="minorHAnsi" w:hAnsiTheme="minorHAnsi" w:cstheme="minorHAnsi"/>
          <w:sz w:val="22"/>
          <w:szCs w:val="22"/>
          <w:lang w:val="en-US"/>
        </w:rPr>
      </w:pPr>
    </w:p>
    <w:p w:rsidR="005714AA" w:rsidRPr="009C76DB" w:rsidRDefault="005714AA" w:rsidP="005714AA">
      <w:pPr>
        <w:widowControl w:val="0"/>
        <w:autoSpaceDE w:val="0"/>
        <w:autoSpaceDN w:val="0"/>
        <w:adjustRightInd w:val="0"/>
        <w:ind w:right="23"/>
        <w:jc w:val="both"/>
        <w:rPr>
          <w:rFonts w:asciiTheme="minorHAnsi" w:hAnsiTheme="minorHAnsi" w:cstheme="minorHAnsi"/>
          <w:bCs/>
          <w:sz w:val="22"/>
          <w:szCs w:val="22"/>
        </w:rPr>
      </w:pPr>
      <w:r w:rsidRPr="009C76DB">
        <w:rPr>
          <w:rFonts w:asciiTheme="minorHAnsi" w:hAnsiTheme="minorHAnsi" w:cstheme="minorHAnsi"/>
          <w:bCs/>
          <w:sz w:val="22"/>
          <w:szCs w:val="22"/>
        </w:rPr>
        <w:t>Mendoza-Sassi, R. y Umberto, J. (2001): Utilización de los servicios de salud: una revisión sistemática sobre los factores relacionados.</w:t>
      </w:r>
      <w:r w:rsidRPr="009C76DB">
        <w:rPr>
          <w:rFonts w:asciiTheme="minorHAnsi" w:hAnsiTheme="minorHAnsi" w:cstheme="minorHAnsi"/>
          <w:sz w:val="22"/>
        </w:rPr>
        <w:t xml:space="preserve"> </w:t>
      </w:r>
      <w:r w:rsidRPr="009C76DB">
        <w:rPr>
          <w:rFonts w:asciiTheme="minorHAnsi" w:hAnsiTheme="minorHAnsi" w:cstheme="minorHAnsi"/>
          <w:bCs/>
          <w:sz w:val="22"/>
          <w:szCs w:val="22"/>
        </w:rPr>
        <w:t>Cad. Saúde Pública, Rio de Janeiro, 17(4):819-832, jul-ago, 2001.</w:t>
      </w:r>
    </w:p>
    <w:p w:rsidR="00DE29F7" w:rsidRPr="005004E7" w:rsidRDefault="00DE29F7" w:rsidP="00DE29F7">
      <w:pPr>
        <w:jc w:val="both"/>
        <w:rPr>
          <w:rFonts w:asciiTheme="minorHAnsi" w:hAnsiTheme="minorHAnsi" w:cstheme="minorHAnsi"/>
          <w:sz w:val="22"/>
          <w:szCs w:val="22"/>
        </w:rPr>
      </w:pPr>
    </w:p>
    <w:p w:rsidR="00DE29F7" w:rsidRPr="00B06660" w:rsidRDefault="00DE29F7" w:rsidP="00DE29F7">
      <w:pPr>
        <w:jc w:val="both"/>
        <w:rPr>
          <w:rFonts w:asciiTheme="minorHAnsi" w:hAnsiTheme="minorHAnsi" w:cstheme="minorHAnsi"/>
          <w:sz w:val="22"/>
          <w:szCs w:val="22"/>
        </w:rPr>
      </w:pPr>
      <w:r w:rsidRPr="00B06660">
        <w:rPr>
          <w:rFonts w:asciiTheme="minorHAnsi" w:hAnsiTheme="minorHAnsi" w:cstheme="minorHAnsi"/>
          <w:sz w:val="22"/>
          <w:szCs w:val="22"/>
        </w:rPr>
        <w:t xml:space="preserve">Mideplan (s/fecha): Precios sociales para la evaluación social de proyectos. </w:t>
      </w:r>
      <w:hyperlink r:id="rId18" w:history="1">
        <w:r w:rsidRPr="00B06660">
          <w:rPr>
            <w:rStyle w:val="Hyperlink"/>
            <w:rFonts w:asciiTheme="minorHAnsi" w:hAnsiTheme="minorHAnsi" w:cstheme="minorHAnsi"/>
            <w:sz w:val="22"/>
            <w:szCs w:val="22"/>
          </w:rPr>
          <w:t>http://sni.ministeriodesarrollosocial.gob.cl/postulacion_links/77_precios_sociales_nip_2012.pdf</w:t>
        </w:r>
      </w:hyperlink>
    </w:p>
    <w:p w:rsidR="00DE29F7" w:rsidRDefault="00DE29F7" w:rsidP="00DE29F7">
      <w:pPr>
        <w:jc w:val="both"/>
        <w:rPr>
          <w:rFonts w:asciiTheme="minorHAnsi" w:hAnsiTheme="minorHAnsi" w:cstheme="minorHAnsi"/>
          <w:sz w:val="22"/>
          <w:szCs w:val="22"/>
        </w:rPr>
      </w:pPr>
    </w:p>
    <w:p w:rsidR="00766F55" w:rsidRPr="009C76DB" w:rsidRDefault="00766F55" w:rsidP="00766F55">
      <w:pPr>
        <w:keepNext/>
        <w:widowControl w:val="0"/>
        <w:autoSpaceDE w:val="0"/>
        <w:autoSpaceDN w:val="0"/>
        <w:adjustRightInd w:val="0"/>
        <w:ind w:right="23"/>
        <w:jc w:val="both"/>
        <w:rPr>
          <w:rFonts w:asciiTheme="minorHAnsi" w:hAnsiTheme="minorHAnsi" w:cstheme="minorHAnsi"/>
          <w:bCs/>
          <w:sz w:val="22"/>
          <w:szCs w:val="22"/>
        </w:rPr>
      </w:pPr>
      <w:r w:rsidRPr="009C76DB">
        <w:rPr>
          <w:rFonts w:asciiTheme="minorHAnsi" w:hAnsiTheme="minorHAnsi" w:cstheme="minorHAnsi"/>
          <w:bCs/>
          <w:sz w:val="22"/>
          <w:szCs w:val="22"/>
        </w:rPr>
        <w:t xml:space="preserve">Meixueiro, J.; Pérez, M. y Mascle, A. (2009): Metodología para la evaluación de proyectos de salud (Ampliación y construcción de centros, hospitales o institutos de salud). Centro de Estudios para la Preparación y Evaluación Socioeconómica de Proyectos, México. </w:t>
      </w:r>
      <w:hyperlink r:id="rId19" w:history="1">
        <w:r w:rsidRPr="009C76DB">
          <w:rPr>
            <w:rStyle w:val="Hyperlink"/>
            <w:rFonts w:asciiTheme="minorHAnsi" w:hAnsiTheme="minorHAnsi" w:cstheme="minorHAnsi"/>
            <w:bCs/>
            <w:sz w:val="22"/>
            <w:szCs w:val="22"/>
          </w:rPr>
          <w:t>www.cepep.gob.mx</w:t>
        </w:r>
      </w:hyperlink>
    </w:p>
    <w:p w:rsidR="00766F55" w:rsidRDefault="00766F55" w:rsidP="00DE29F7">
      <w:pPr>
        <w:jc w:val="both"/>
        <w:rPr>
          <w:rFonts w:asciiTheme="minorHAnsi" w:hAnsiTheme="minorHAnsi" w:cstheme="minorHAnsi"/>
          <w:sz w:val="22"/>
          <w:szCs w:val="22"/>
        </w:rPr>
      </w:pPr>
    </w:p>
    <w:p w:rsidR="00DE29F7" w:rsidRDefault="00DE29F7" w:rsidP="00DE29F7">
      <w:pPr>
        <w:jc w:val="both"/>
        <w:rPr>
          <w:rFonts w:asciiTheme="minorHAnsi" w:hAnsiTheme="minorHAnsi" w:cstheme="minorHAnsi"/>
          <w:sz w:val="22"/>
          <w:szCs w:val="22"/>
        </w:rPr>
      </w:pPr>
      <w:r w:rsidRPr="00B06660">
        <w:rPr>
          <w:rFonts w:asciiTheme="minorHAnsi" w:hAnsiTheme="minorHAnsi" w:cstheme="minorHAnsi"/>
          <w:sz w:val="22"/>
          <w:szCs w:val="22"/>
        </w:rPr>
        <w:t xml:space="preserve">Moreno, J.; Angarita, I.;  Peñuela, M. y </w:t>
      </w:r>
      <w:r w:rsidR="005352F3" w:rsidRPr="00B06660">
        <w:rPr>
          <w:rFonts w:asciiTheme="minorHAnsi" w:hAnsiTheme="minorHAnsi" w:cstheme="minorHAnsi"/>
          <w:sz w:val="22"/>
          <w:szCs w:val="22"/>
        </w:rPr>
        <w:t>Ramírez</w:t>
      </w:r>
      <w:r w:rsidRPr="00B06660">
        <w:rPr>
          <w:rFonts w:asciiTheme="minorHAnsi" w:hAnsiTheme="minorHAnsi" w:cstheme="minorHAnsi"/>
          <w:sz w:val="22"/>
          <w:szCs w:val="22"/>
        </w:rPr>
        <w:t>, K. (2005): Aplicación del método Delphi para determinar el costo máximo admisible en mantenimiento de los equipos médicos. Umbral Científico, junio, Nº 006. Fundación Universitaria Manuela Beltrán, Bogotá, Colombia.</w:t>
      </w:r>
    </w:p>
    <w:p w:rsidR="00FD3FF0" w:rsidRDefault="00FD3FF0" w:rsidP="00DE29F7">
      <w:pPr>
        <w:jc w:val="both"/>
        <w:rPr>
          <w:rFonts w:asciiTheme="minorHAnsi" w:hAnsiTheme="minorHAnsi" w:cstheme="minorHAnsi"/>
          <w:sz w:val="22"/>
          <w:szCs w:val="22"/>
        </w:rPr>
      </w:pPr>
    </w:p>
    <w:p w:rsidR="00DE29F7" w:rsidRPr="005004E7" w:rsidRDefault="00FD3FF0" w:rsidP="00DE29F7">
      <w:pPr>
        <w:jc w:val="both"/>
        <w:rPr>
          <w:rFonts w:asciiTheme="minorHAnsi" w:hAnsiTheme="minorHAnsi" w:cstheme="minorHAnsi"/>
          <w:sz w:val="22"/>
          <w:szCs w:val="22"/>
          <w:lang w:val="en-US"/>
        </w:rPr>
      </w:pPr>
      <w:r w:rsidRPr="005004E7">
        <w:rPr>
          <w:rFonts w:asciiTheme="minorHAnsi" w:hAnsiTheme="minorHAnsi" w:cstheme="minorHAnsi"/>
          <w:sz w:val="22"/>
          <w:szCs w:val="22"/>
          <w:lang w:val="en-US"/>
        </w:rPr>
        <w:lastRenderedPageBreak/>
        <w:t>Sutton, M; Gravelle, H.; Morris, S.; Leyland, A.; Windmeijer, F.; Dibben, C. and Muirhead, M. (2002): Allocation of Resources to English Areas; Individual and small area determinants of morbidity and use of healthcare resources. Report to the Department of Health. Edinburgh: Information and Statistics Division, 2002.</w:t>
      </w:r>
    </w:p>
    <w:p w:rsidR="00FD3FF0" w:rsidRPr="005004E7" w:rsidRDefault="00FD3FF0" w:rsidP="0016105D">
      <w:pPr>
        <w:widowControl w:val="0"/>
        <w:autoSpaceDE w:val="0"/>
        <w:autoSpaceDN w:val="0"/>
        <w:adjustRightInd w:val="0"/>
        <w:ind w:right="23"/>
        <w:jc w:val="both"/>
        <w:rPr>
          <w:rFonts w:asciiTheme="minorHAnsi" w:hAnsiTheme="minorHAnsi" w:cs="Arial"/>
          <w:bCs/>
          <w:sz w:val="22"/>
          <w:szCs w:val="22"/>
          <w:lang w:val="en-US"/>
        </w:rPr>
      </w:pPr>
    </w:p>
    <w:p w:rsidR="0016105D" w:rsidRPr="0016105D" w:rsidRDefault="0016105D" w:rsidP="0016105D">
      <w:pPr>
        <w:widowControl w:val="0"/>
        <w:autoSpaceDE w:val="0"/>
        <w:autoSpaceDN w:val="0"/>
        <w:adjustRightInd w:val="0"/>
        <w:ind w:right="23"/>
        <w:jc w:val="both"/>
        <w:rPr>
          <w:rFonts w:asciiTheme="minorHAnsi" w:hAnsiTheme="minorHAnsi" w:cs="Arial"/>
          <w:bCs/>
          <w:sz w:val="22"/>
          <w:szCs w:val="22"/>
        </w:rPr>
      </w:pPr>
      <w:r w:rsidRPr="0016105D">
        <w:rPr>
          <w:rFonts w:asciiTheme="minorHAnsi" w:hAnsiTheme="minorHAnsi" w:cs="Arial"/>
          <w:bCs/>
          <w:sz w:val="22"/>
          <w:szCs w:val="22"/>
        </w:rPr>
        <w:t>Wouters, A. V. (1993): Patrones de utilización de la atención de salud en países en desarrollo: Función del medio tecnológico en la derivación de la demanda de atención de salud. Bol Of Sanit Panam 115(2), 1993.</w:t>
      </w:r>
    </w:p>
    <w:p w:rsidR="00DE29F7" w:rsidRPr="00B06660" w:rsidRDefault="00DE29F7" w:rsidP="00DE29F7">
      <w:pPr>
        <w:jc w:val="both"/>
        <w:rPr>
          <w:rFonts w:asciiTheme="minorHAnsi" w:hAnsiTheme="minorHAnsi" w:cstheme="minorHAnsi"/>
          <w:sz w:val="22"/>
          <w:szCs w:val="22"/>
          <w:lang w:val="en-US"/>
        </w:rPr>
      </w:pPr>
    </w:p>
    <w:p w:rsidR="00DE29F7" w:rsidRPr="00B06660" w:rsidRDefault="00DE29F7" w:rsidP="00DE29F7">
      <w:pPr>
        <w:rPr>
          <w:rFonts w:asciiTheme="minorHAnsi" w:hAnsiTheme="minorHAnsi" w:cstheme="minorHAnsi"/>
          <w:sz w:val="22"/>
          <w:szCs w:val="22"/>
        </w:rPr>
      </w:pPr>
    </w:p>
    <w:p w:rsidR="00E50B21" w:rsidRDefault="00E50B21">
      <w:r>
        <w:br w:type="page"/>
      </w:r>
    </w:p>
    <w:p w:rsidR="00DE29F7" w:rsidRDefault="00DE29F7" w:rsidP="00DE29F7"/>
    <w:p w:rsidR="00E50B21" w:rsidRDefault="00E50B21" w:rsidP="00E50B21">
      <w:pPr>
        <w:pStyle w:val="Heading1"/>
      </w:pPr>
      <w:bookmarkStart w:id="83" w:name="_Toc373093546"/>
      <w:r>
        <w:t>ANEXOS</w:t>
      </w:r>
      <w:bookmarkEnd w:id="83"/>
    </w:p>
    <w:p w:rsidR="00E50B21" w:rsidRDefault="00E50B21" w:rsidP="00DE29F7"/>
    <w:p w:rsidR="00E50B21" w:rsidRPr="00BB4D0B" w:rsidRDefault="00213D2E" w:rsidP="00E50B21">
      <w:pPr>
        <w:pStyle w:val="Heading2"/>
        <w:numPr>
          <w:ilvl w:val="0"/>
          <w:numId w:val="9"/>
        </w:numPr>
        <w:rPr>
          <w:rFonts w:asciiTheme="minorHAnsi" w:hAnsiTheme="minorHAnsi"/>
        </w:rPr>
      </w:pPr>
      <w:bookmarkStart w:id="84" w:name="_Toc373093547"/>
      <w:r w:rsidRPr="00BB4D0B">
        <w:rPr>
          <w:rFonts w:asciiTheme="minorHAnsi" w:hAnsiTheme="minorHAnsi"/>
        </w:rPr>
        <w:t>Valoración</w:t>
      </w:r>
      <w:r w:rsidR="00E50B21" w:rsidRPr="00BB4D0B">
        <w:rPr>
          <w:rFonts w:asciiTheme="minorHAnsi" w:hAnsiTheme="minorHAnsi"/>
        </w:rPr>
        <w:t xml:space="preserve"> de recursos humanos: Tipo de RR.HH, Número, Salario medio, Costo total anual y cualificación.</w:t>
      </w:r>
      <w:bookmarkEnd w:id="84"/>
    </w:p>
    <w:tbl>
      <w:tblPr>
        <w:tblStyle w:val="LightList-Accent3"/>
        <w:tblW w:w="7380" w:type="dxa"/>
        <w:tblLook w:val="04A0" w:firstRow="1" w:lastRow="0" w:firstColumn="1" w:lastColumn="0" w:noHBand="0" w:noVBand="1"/>
      </w:tblPr>
      <w:tblGrid>
        <w:gridCol w:w="2016"/>
        <w:gridCol w:w="1616"/>
        <w:gridCol w:w="1236"/>
        <w:gridCol w:w="1256"/>
        <w:gridCol w:w="1374"/>
      </w:tblGrid>
      <w:tr w:rsidR="00E50B21" w:rsidTr="00E50B2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16" w:type="dxa"/>
            <w:noWrap/>
            <w:vAlign w:val="center"/>
            <w:hideMark/>
          </w:tcPr>
          <w:p w:rsidR="00E50B21" w:rsidRDefault="00E50B21" w:rsidP="00E50B21">
            <w:pPr>
              <w:jc w:val="center"/>
              <w:rPr>
                <w:rFonts w:ascii="Calibri" w:hAnsi="Calibri"/>
                <w:color w:val="000000"/>
                <w:sz w:val="22"/>
                <w:szCs w:val="22"/>
              </w:rPr>
            </w:pPr>
            <w:r>
              <w:rPr>
                <w:rFonts w:ascii="Calibri" w:hAnsi="Calibri"/>
                <w:color w:val="000000"/>
                <w:sz w:val="22"/>
                <w:szCs w:val="22"/>
              </w:rPr>
              <w:t>Tipo de RR.HH</w:t>
            </w:r>
          </w:p>
        </w:tc>
        <w:tc>
          <w:tcPr>
            <w:tcW w:w="1616" w:type="dxa"/>
            <w:noWrap/>
            <w:vAlign w:val="center"/>
            <w:hideMark/>
          </w:tcPr>
          <w:p w:rsidR="00E50B21" w:rsidRDefault="00E50B21" w:rsidP="00E50B2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w:t>
            </w:r>
          </w:p>
        </w:tc>
        <w:tc>
          <w:tcPr>
            <w:tcW w:w="1236" w:type="dxa"/>
            <w:noWrap/>
            <w:vAlign w:val="center"/>
            <w:hideMark/>
          </w:tcPr>
          <w:p w:rsidR="00E50B21" w:rsidRDefault="00E50B21" w:rsidP="00E50B2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Salario medio</w:t>
            </w:r>
          </w:p>
        </w:tc>
        <w:tc>
          <w:tcPr>
            <w:tcW w:w="1256" w:type="dxa"/>
            <w:noWrap/>
            <w:vAlign w:val="center"/>
            <w:hideMark/>
          </w:tcPr>
          <w:p w:rsidR="00E50B21" w:rsidRDefault="00E50B21" w:rsidP="00E50B2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Costo Total anual</w:t>
            </w:r>
          </w:p>
        </w:tc>
        <w:tc>
          <w:tcPr>
            <w:tcW w:w="1256" w:type="dxa"/>
            <w:noWrap/>
            <w:vAlign w:val="center"/>
            <w:hideMark/>
          </w:tcPr>
          <w:p w:rsidR="00E50B21" w:rsidRDefault="00E50B21" w:rsidP="00E50B2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Cualificación RRHH</w:t>
            </w:r>
          </w:p>
        </w:tc>
      </w:tr>
      <w:tr w:rsidR="00E50B21" w:rsidTr="00E50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16" w:type="dxa"/>
            <w:noWrap/>
            <w:hideMark/>
          </w:tcPr>
          <w:p w:rsidR="00E50B21" w:rsidRDefault="00E50B21">
            <w:pPr>
              <w:rPr>
                <w:rFonts w:ascii="Calibri" w:hAnsi="Calibri"/>
                <w:color w:val="000000"/>
                <w:sz w:val="22"/>
                <w:szCs w:val="22"/>
              </w:rPr>
            </w:pPr>
            <w:r>
              <w:rPr>
                <w:rFonts w:ascii="Calibri" w:hAnsi="Calibri"/>
                <w:color w:val="000000"/>
                <w:sz w:val="22"/>
                <w:szCs w:val="22"/>
              </w:rPr>
              <w:t>Bioquímico</w:t>
            </w:r>
          </w:p>
        </w:tc>
        <w:tc>
          <w:tcPr>
            <w:tcW w:w="1616" w:type="dxa"/>
            <w:noWrap/>
            <w:vAlign w:val="center"/>
            <w:hideMark/>
          </w:tcPr>
          <w:p w:rsidR="00E50B21" w:rsidRDefault="00E50B21" w:rsidP="00E50B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11</w:t>
            </w:r>
          </w:p>
        </w:tc>
        <w:tc>
          <w:tcPr>
            <w:tcW w:w="1236" w:type="dxa"/>
            <w:noWrap/>
            <w:vAlign w:val="center"/>
            <w:hideMark/>
          </w:tcPr>
          <w:p w:rsidR="00E50B21" w:rsidRDefault="00E50B21" w:rsidP="00E50B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6.000</w:t>
            </w:r>
          </w:p>
        </w:tc>
        <w:tc>
          <w:tcPr>
            <w:tcW w:w="1256" w:type="dxa"/>
            <w:noWrap/>
            <w:hideMark/>
          </w:tcPr>
          <w:p w:rsidR="00E50B21" w:rsidRDefault="00E50B2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858.000</w:t>
            </w:r>
          </w:p>
        </w:tc>
        <w:tc>
          <w:tcPr>
            <w:tcW w:w="1256" w:type="dxa"/>
            <w:noWrap/>
            <w:vAlign w:val="center"/>
            <w:hideMark/>
          </w:tcPr>
          <w:p w:rsidR="00E50B21" w:rsidRDefault="00E50B21" w:rsidP="00E50B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C</w:t>
            </w:r>
          </w:p>
        </w:tc>
      </w:tr>
      <w:tr w:rsidR="00E50B21" w:rsidTr="00E50B21">
        <w:trPr>
          <w:trHeight w:val="20"/>
        </w:trPr>
        <w:tc>
          <w:tcPr>
            <w:cnfStyle w:val="001000000000" w:firstRow="0" w:lastRow="0" w:firstColumn="1" w:lastColumn="0" w:oddVBand="0" w:evenVBand="0" w:oddHBand="0" w:evenHBand="0" w:firstRowFirstColumn="0" w:firstRowLastColumn="0" w:lastRowFirstColumn="0" w:lastRowLastColumn="0"/>
            <w:tcW w:w="2016" w:type="dxa"/>
            <w:noWrap/>
            <w:hideMark/>
          </w:tcPr>
          <w:p w:rsidR="00E50B21" w:rsidRDefault="00E50B21">
            <w:pPr>
              <w:rPr>
                <w:rFonts w:ascii="Calibri" w:hAnsi="Calibri"/>
                <w:color w:val="000000"/>
                <w:sz w:val="22"/>
                <w:szCs w:val="22"/>
              </w:rPr>
            </w:pPr>
            <w:r>
              <w:rPr>
                <w:rFonts w:ascii="Calibri" w:hAnsi="Calibri"/>
                <w:color w:val="000000"/>
                <w:sz w:val="22"/>
                <w:szCs w:val="22"/>
              </w:rPr>
              <w:t>Lic. Administración</w:t>
            </w:r>
          </w:p>
        </w:tc>
        <w:tc>
          <w:tcPr>
            <w:tcW w:w="1616" w:type="dxa"/>
            <w:noWrap/>
            <w:vAlign w:val="center"/>
            <w:hideMark/>
          </w:tcPr>
          <w:p w:rsidR="00E50B21" w:rsidRDefault="00E50B21" w:rsidP="00E50B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1236" w:type="dxa"/>
            <w:noWrap/>
            <w:vAlign w:val="center"/>
            <w:hideMark/>
          </w:tcPr>
          <w:p w:rsidR="00E50B21" w:rsidRDefault="00E50B21" w:rsidP="00E50B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4.500</w:t>
            </w:r>
          </w:p>
        </w:tc>
        <w:tc>
          <w:tcPr>
            <w:tcW w:w="1256" w:type="dxa"/>
            <w:noWrap/>
            <w:hideMark/>
          </w:tcPr>
          <w:p w:rsidR="00E50B21" w:rsidRDefault="00E50B2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175.500</w:t>
            </w:r>
          </w:p>
        </w:tc>
        <w:tc>
          <w:tcPr>
            <w:tcW w:w="1256" w:type="dxa"/>
            <w:noWrap/>
            <w:vAlign w:val="center"/>
            <w:hideMark/>
          </w:tcPr>
          <w:p w:rsidR="00E50B21" w:rsidRDefault="00E50B21" w:rsidP="00E50B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C</w:t>
            </w:r>
          </w:p>
        </w:tc>
      </w:tr>
      <w:tr w:rsidR="00E50B21" w:rsidTr="00E50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16" w:type="dxa"/>
            <w:noWrap/>
            <w:hideMark/>
          </w:tcPr>
          <w:p w:rsidR="00E50B21" w:rsidRDefault="00E50B21">
            <w:pPr>
              <w:rPr>
                <w:rFonts w:ascii="Calibri" w:hAnsi="Calibri"/>
                <w:color w:val="000000"/>
                <w:sz w:val="22"/>
                <w:szCs w:val="22"/>
              </w:rPr>
            </w:pPr>
            <w:r>
              <w:rPr>
                <w:rFonts w:ascii="Calibri" w:hAnsi="Calibri"/>
                <w:color w:val="000000"/>
                <w:sz w:val="22"/>
                <w:szCs w:val="22"/>
              </w:rPr>
              <w:t>Otros profesionales</w:t>
            </w:r>
          </w:p>
        </w:tc>
        <w:tc>
          <w:tcPr>
            <w:tcW w:w="1616" w:type="dxa"/>
            <w:noWrap/>
            <w:vAlign w:val="center"/>
            <w:hideMark/>
          </w:tcPr>
          <w:p w:rsidR="00E50B21" w:rsidRDefault="00E50B21" w:rsidP="00E50B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17</w:t>
            </w:r>
          </w:p>
        </w:tc>
        <w:tc>
          <w:tcPr>
            <w:tcW w:w="1236" w:type="dxa"/>
            <w:noWrap/>
            <w:vAlign w:val="center"/>
            <w:hideMark/>
          </w:tcPr>
          <w:p w:rsidR="00E50B21" w:rsidRDefault="00E50B21" w:rsidP="00E50B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3.500</w:t>
            </w:r>
          </w:p>
        </w:tc>
        <w:tc>
          <w:tcPr>
            <w:tcW w:w="1256" w:type="dxa"/>
            <w:noWrap/>
            <w:hideMark/>
          </w:tcPr>
          <w:p w:rsidR="00E50B21" w:rsidRDefault="00E50B2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773.500</w:t>
            </w:r>
          </w:p>
        </w:tc>
        <w:tc>
          <w:tcPr>
            <w:tcW w:w="1256" w:type="dxa"/>
            <w:noWrap/>
            <w:vAlign w:val="center"/>
            <w:hideMark/>
          </w:tcPr>
          <w:p w:rsidR="00E50B21" w:rsidRDefault="00E50B21" w:rsidP="00E50B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C</w:t>
            </w:r>
          </w:p>
        </w:tc>
      </w:tr>
      <w:tr w:rsidR="00E50B21" w:rsidTr="00E50B21">
        <w:trPr>
          <w:trHeight w:val="20"/>
        </w:trPr>
        <w:tc>
          <w:tcPr>
            <w:cnfStyle w:val="001000000000" w:firstRow="0" w:lastRow="0" w:firstColumn="1" w:lastColumn="0" w:oddVBand="0" w:evenVBand="0" w:oddHBand="0" w:evenHBand="0" w:firstRowFirstColumn="0" w:firstRowLastColumn="0" w:lastRowFirstColumn="0" w:lastRowLastColumn="0"/>
            <w:tcW w:w="2016" w:type="dxa"/>
            <w:noWrap/>
            <w:hideMark/>
          </w:tcPr>
          <w:p w:rsidR="00E50B21" w:rsidRDefault="00E50B21">
            <w:pPr>
              <w:rPr>
                <w:rFonts w:ascii="Calibri" w:hAnsi="Calibri"/>
                <w:color w:val="000000"/>
                <w:sz w:val="22"/>
                <w:szCs w:val="22"/>
              </w:rPr>
            </w:pPr>
            <w:r>
              <w:rPr>
                <w:rFonts w:ascii="Calibri" w:hAnsi="Calibri"/>
                <w:color w:val="000000"/>
                <w:sz w:val="22"/>
                <w:szCs w:val="22"/>
              </w:rPr>
              <w:t>Enfermera</w:t>
            </w:r>
          </w:p>
        </w:tc>
        <w:tc>
          <w:tcPr>
            <w:tcW w:w="1616" w:type="dxa"/>
            <w:noWrap/>
            <w:vAlign w:val="center"/>
            <w:hideMark/>
          </w:tcPr>
          <w:p w:rsidR="00E50B21" w:rsidRDefault="00E50B21" w:rsidP="00E50B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87</w:t>
            </w:r>
          </w:p>
        </w:tc>
        <w:tc>
          <w:tcPr>
            <w:tcW w:w="1236" w:type="dxa"/>
            <w:noWrap/>
            <w:vAlign w:val="center"/>
            <w:hideMark/>
          </w:tcPr>
          <w:p w:rsidR="00E50B21" w:rsidRDefault="00E50B21" w:rsidP="00E50B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4.500</w:t>
            </w:r>
          </w:p>
        </w:tc>
        <w:tc>
          <w:tcPr>
            <w:tcW w:w="1256" w:type="dxa"/>
            <w:noWrap/>
            <w:hideMark/>
          </w:tcPr>
          <w:p w:rsidR="00E50B21" w:rsidRDefault="00E50B2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5.089.500</w:t>
            </w:r>
          </w:p>
        </w:tc>
        <w:tc>
          <w:tcPr>
            <w:tcW w:w="1256" w:type="dxa"/>
            <w:noWrap/>
            <w:vAlign w:val="center"/>
            <w:hideMark/>
          </w:tcPr>
          <w:p w:rsidR="00E50B21" w:rsidRDefault="00E50B21" w:rsidP="00E50B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C</w:t>
            </w:r>
          </w:p>
        </w:tc>
      </w:tr>
      <w:tr w:rsidR="00E50B21" w:rsidTr="00E50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16" w:type="dxa"/>
            <w:noWrap/>
            <w:hideMark/>
          </w:tcPr>
          <w:p w:rsidR="00E50B21" w:rsidRDefault="00213D2E">
            <w:pPr>
              <w:rPr>
                <w:rFonts w:ascii="Calibri" w:hAnsi="Calibri"/>
                <w:color w:val="000000"/>
                <w:sz w:val="22"/>
                <w:szCs w:val="22"/>
              </w:rPr>
            </w:pPr>
            <w:r>
              <w:rPr>
                <w:rFonts w:ascii="Calibri" w:hAnsi="Calibri"/>
                <w:color w:val="000000"/>
                <w:sz w:val="22"/>
                <w:szCs w:val="22"/>
              </w:rPr>
              <w:t>Técnico</w:t>
            </w:r>
            <w:r w:rsidR="00E50B21">
              <w:rPr>
                <w:rFonts w:ascii="Calibri" w:hAnsi="Calibri"/>
                <w:color w:val="000000"/>
                <w:sz w:val="22"/>
                <w:szCs w:val="22"/>
              </w:rPr>
              <w:t xml:space="preserve"> enfermería</w:t>
            </w:r>
          </w:p>
        </w:tc>
        <w:tc>
          <w:tcPr>
            <w:tcW w:w="1616" w:type="dxa"/>
            <w:noWrap/>
            <w:vAlign w:val="center"/>
            <w:hideMark/>
          </w:tcPr>
          <w:p w:rsidR="00E50B21" w:rsidRDefault="00E50B21" w:rsidP="00E50B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178</w:t>
            </w:r>
          </w:p>
        </w:tc>
        <w:tc>
          <w:tcPr>
            <w:tcW w:w="1236" w:type="dxa"/>
            <w:noWrap/>
            <w:vAlign w:val="center"/>
            <w:hideMark/>
          </w:tcPr>
          <w:p w:rsidR="00E50B21" w:rsidRDefault="00E50B21" w:rsidP="00E50B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3.500</w:t>
            </w:r>
          </w:p>
        </w:tc>
        <w:tc>
          <w:tcPr>
            <w:tcW w:w="1256" w:type="dxa"/>
            <w:noWrap/>
            <w:hideMark/>
          </w:tcPr>
          <w:p w:rsidR="00E50B21" w:rsidRDefault="00E50B2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8.099.000</w:t>
            </w:r>
          </w:p>
        </w:tc>
        <w:tc>
          <w:tcPr>
            <w:tcW w:w="1256" w:type="dxa"/>
            <w:noWrap/>
            <w:vAlign w:val="center"/>
            <w:hideMark/>
          </w:tcPr>
          <w:p w:rsidR="00E50B21" w:rsidRDefault="00E50B21" w:rsidP="00E50B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SC</w:t>
            </w:r>
          </w:p>
        </w:tc>
      </w:tr>
      <w:tr w:rsidR="00E50B21" w:rsidTr="00E50B21">
        <w:trPr>
          <w:trHeight w:val="20"/>
        </w:trPr>
        <w:tc>
          <w:tcPr>
            <w:cnfStyle w:val="001000000000" w:firstRow="0" w:lastRow="0" w:firstColumn="1" w:lastColumn="0" w:oddVBand="0" w:evenVBand="0" w:oddHBand="0" w:evenHBand="0" w:firstRowFirstColumn="0" w:firstRowLastColumn="0" w:lastRowFirstColumn="0" w:lastRowLastColumn="0"/>
            <w:tcW w:w="2016" w:type="dxa"/>
            <w:noWrap/>
            <w:hideMark/>
          </w:tcPr>
          <w:p w:rsidR="00E50B21" w:rsidRDefault="00E50B21">
            <w:pPr>
              <w:rPr>
                <w:rFonts w:ascii="Calibri" w:hAnsi="Calibri"/>
                <w:color w:val="000000"/>
                <w:sz w:val="22"/>
                <w:szCs w:val="22"/>
              </w:rPr>
            </w:pPr>
            <w:r>
              <w:rPr>
                <w:rFonts w:ascii="Calibri" w:hAnsi="Calibri"/>
                <w:color w:val="000000"/>
                <w:sz w:val="22"/>
                <w:szCs w:val="22"/>
              </w:rPr>
              <w:t>Médico</w:t>
            </w:r>
          </w:p>
        </w:tc>
        <w:tc>
          <w:tcPr>
            <w:tcW w:w="1616" w:type="dxa"/>
            <w:noWrap/>
            <w:vAlign w:val="center"/>
            <w:hideMark/>
          </w:tcPr>
          <w:p w:rsidR="00E50B21" w:rsidRDefault="00E50B21" w:rsidP="00E50B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86</w:t>
            </w:r>
          </w:p>
        </w:tc>
        <w:tc>
          <w:tcPr>
            <w:tcW w:w="1236" w:type="dxa"/>
            <w:noWrap/>
            <w:vAlign w:val="center"/>
            <w:hideMark/>
          </w:tcPr>
          <w:p w:rsidR="00E50B21" w:rsidRDefault="00E50B21" w:rsidP="00E50B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7.700</w:t>
            </w:r>
          </w:p>
        </w:tc>
        <w:tc>
          <w:tcPr>
            <w:tcW w:w="1256" w:type="dxa"/>
            <w:noWrap/>
            <w:hideMark/>
          </w:tcPr>
          <w:p w:rsidR="00E50B21" w:rsidRDefault="00E50B2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8.608.600</w:t>
            </w:r>
          </w:p>
        </w:tc>
        <w:tc>
          <w:tcPr>
            <w:tcW w:w="1256" w:type="dxa"/>
            <w:noWrap/>
            <w:vAlign w:val="center"/>
            <w:hideMark/>
          </w:tcPr>
          <w:p w:rsidR="00E50B21" w:rsidRDefault="00E50B21" w:rsidP="00E50B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C</w:t>
            </w:r>
          </w:p>
        </w:tc>
      </w:tr>
      <w:tr w:rsidR="00E50B21" w:rsidTr="00E50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16" w:type="dxa"/>
            <w:noWrap/>
            <w:hideMark/>
          </w:tcPr>
          <w:p w:rsidR="00E50B21" w:rsidRDefault="00E50B21">
            <w:pPr>
              <w:rPr>
                <w:rFonts w:ascii="Calibri" w:hAnsi="Calibri"/>
                <w:color w:val="000000"/>
                <w:sz w:val="22"/>
                <w:szCs w:val="22"/>
              </w:rPr>
            </w:pPr>
            <w:r>
              <w:rPr>
                <w:rFonts w:ascii="Calibri" w:hAnsi="Calibri"/>
                <w:color w:val="000000"/>
                <w:sz w:val="22"/>
                <w:szCs w:val="22"/>
              </w:rPr>
              <w:t>Administrativos</w:t>
            </w:r>
          </w:p>
        </w:tc>
        <w:tc>
          <w:tcPr>
            <w:tcW w:w="1616" w:type="dxa"/>
            <w:noWrap/>
            <w:vAlign w:val="center"/>
            <w:hideMark/>
          </w:tcPr>
          <w:p w:rsidR="00E50B21" w:rsidRDefault="00E50B21" w:rsidP="00E50B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38</w:t>
            </w:r>
          </w:p>
        </w:tc>
        <w:tc>
          <w:tcPr>
            <w:tcW w:w="1236" w:type="dxa"/>
            <w:noWrap/>
            <w:vAlign w:val="center"/>
            <w:hideMark/>
          </w:tcPr>
          <w:p w:rsidR="00E50B21" w:rsidRDefault="00E50B21" w:rsidP="00E50B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2.700</w:t>
            </w:r>
          </w:p>
        </w:tc>
        <w:tc>
          <w:tcPr>
            <w:tcW w:w="1256" w:type="dxa"/>
            <w:noWrap/>
            <w:hideMark/>
          </w:tcPr>
          <w:p w:rsidR="00E50B21" w:rsidRDefault="00E50B2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1.333.800</w:t>
            </w:r>
          </w:p>
        </w:tc>
        <w:tc>
          <w:tcPr>
            <w:tcW w:w="1256" w:type="dxa"/>
            <w:noWrap/>
            <w:vAlign w:val="center"/>
            <w:hideMark/>
          </w:tcPr>
          <w:p w:rsidR="00E50B21" w:rsidRDefault="00E50B21" w:rsidP="00E50B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SC</w:t>
            </w:r>
          </w:p>
        </w:tc>
      </w:tr>
      <w:tr w:rsidR="00E50B21" w:rsidTr="00E50B21">
        <w:trPr>
          <w:trHeight w:val="20"/>
        </w:trPr>
        <w:tc>
          <w:tcPr>
            <w:cnfStyle w:val="001000000000" w:firstRow="0" w:lastRow="0" w:firstColumn="1" w:lastColumn="0" w:oddVBand="0" w:evenVBand="0" w:oddHBand="0" w:evenHBand="0" w:firstRowFirstColumn="0" w:firstRowLastColumn="0" w:lastRowFirstColumn="0" w:lastRowLastColumn="0"/>
            <w:tcW w:w="2016" w:type="dxa"/>
            <w:noWrap/>
            <w:hideMark/>
          </w:tcPr>
          <w:p w:rsidR="00E50B21" w:rsidRDefault="00E50B21">
            <w:pPr>
              <w:rPr>
                <w:rFonts w:ascii="Calibri" w:hAnsi="Calibri"/>
                <w:color w:val="000000"/>
                <w:sz w:val="22"/>
                <w:szCs w:val="22"/>
              </w:rPr>
            </w:pPr>
            <w:r>
              <w:rPr>
                <w:rFonts w:ascii="Calibri" w:hAnsi="Calibri"/>
                <w:color w:val="000000"/>
                <w:sz w:val="22"/>
                <w:szCs w:val="22"/>
              </w:rPr>
              <w:t>Manuales</w:t>
            </w:r>
          </w:p>
        </w:tc>
        <w:tc>
          <w:tcPr>
            <w:tcW w:w="1616" w:type="dxa"/>
            <w:noWrap/>
            <w:vAlign w:val="center"/>
            <w:hideMark/>
          </w:tcPr>
          <w:p w:rsidR="00E50B21" w:rsidRDefault="00E50B21" w:rsidP="00E50B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82</w:t>
            </w:r>
          </w:p>
        </w:tc>
        <w:tc>
          <w:tcPr>
            <w:tcW w:w="1236" w:type="dxa"/>
            <w:noWrap/>
            <w:vAlign w:val="center"/>
            <w:hideMark/>
          </w:tcPr>
          <w:p w:rsidR="00E50B21" w:rsidRDefault="00E50B21" w:rsidP="00E50B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2.700</w:t>
            </w:r>
          </w:p>
        </w:tc>
        <w:tc>
          <w:tcPr>
            <w:tcW w:w="1256" w:type="dxa"/>
            <w:noWrap/>
            <w:hideMark/>
          </w:tcPr>
          <w:p w:rsidR="00E50B21" w:rsidRDefault="00E50B2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2.878.200</w:t>
            </w:r>
          </w:p>
        </w:tc>
        <w:tc>
          <w:tcPr>
            <w:tcW w:w="1256" w:type="dxa"/>
            <w:noWrap/>
            <w:vAlign w:val="center"/>
            <w:hideMark/>
          </w:tcPr>
          <w:p w:rsidR="00E50B21" w:rsidRDefault="00E50B21" w:rsidP="00E50B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NC</w:t>
            </w:r>
          </w:p>
        </w:tc>
      </w:tr>
      <w:tr w:rsidR="00E50B21" w:rsidTr="00E50B2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16" w:type="dxa"/>
            <w:noWrap/>
            <w:hideMark/>
          </w:tcPr>
          <w:p w:rsidR="00E50B21" w:rsidRDefault="00E50B21">
            <w:pPr>
              <w:rPr>
                <w:rFonts w:ascii="Calibri" w:hAnsi="Calibri"/>
                <w:color w:val="000000"/>
                <w:sz w:val="22"/>
                <w:szCs w:val="22"/>
              </w:rPr>
            </w:pPr>
            <w:r>
              <w:rPr>
                <w:rFonts w:ascii="Calibri" w:hAnsi="Calibri"/>
                <w:color w:val="000000"/>
                <w:sz w:val="22"/>
                <w:szCs w:val="22"/>
              </w:rPr>
              <w:t>Otros técnicos</w:t>
            </w:r>
          </w:p>
        </w:tc>
        <w:tc>
          <w:tcPr>
            <w:tcW w:w="1616" w:type="dxa"/>
            <w:noWrap/>
            <w:vAlign w:val="center"/>
            <w:hideMark/>
          </w:tcPr>
          <w:p w:rsidR="00E50B21" w:rsidRDefault="00E50B21" w:rsidP="00E50B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17</w:t>
            </w:r>
          </w:p>
        </w:tc>
        <w:tc>
          <w:tcPr>
            <w:tcW w:w="1236" w:type="dxa"/>
            <w:noWrap/>
            <w:vAlign w:val="center"/>
            <w:hideMark/>
          </w:tcPr>
          <w:p w:rsidR="00E50B21" w:rsidRDefault="00E50B21" w:rsidP="00E50B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3.000</w:t>
            </w:r>
          </w:p>
        </w:tc>
        <w:tc>
          <w:tcPr>
            <w:tcW w:w="1256" w:type="dxa"/>
            <w:noWrap/>
            <w:hideMark/>
          </w:tcPr>
          <w:p w:rsidR="00E50B21" w:rsidRDefault="00E50B2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663.000</w:t>
            </w:r>
          </w:p>
        </w:tc>
        <w:tc>
          <w:tcPr>
            <w:tcW w:w="1256" w:type="dxa"/>
            <w:noWrap/>
            <w:vAlign w:val="center"/>
            <w:hideMark/>
          </w:tcPr>
          <w:p w:rsidR="00E50B21" w:rsidRDefault="00E50B21" w:rsidP="00E50B2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SC</w:t>
            </w:r>
          </w:p>
        </w:tc>
      </w:tr>
      <w:tr w:rsidR="00E50B21" w:rsidTr="00E50B21">
        <w:trPr>
          <w:trHeight w:val="20"/>
        </w:trPr>
        <w:tc>
          <w:tcPr>
            <w:cnfStyle w:val="001000000000" w:firstRow="0" w:lastRow="0" w:firstColumn="1" w:lastColumn="0" w:oddVBand="0" w:evenVBand="0" w:oddHBand="0" w:evenHBand="0" w:firstRowFirstColumn="0" w:firstRowLastColumn="0" w:lastRowFirstColumn="0" w:lastRowLastColumn="0"/>
            <w:tcW w:w="2016" w:type="dxa"/>
            <w:noWrap/>
            <w:hideMark/>
          </w:tcPr>
          <w:p w:rsidR="00E50B21" w:rsidRDefault="00E50B21">
            <w:pPr>
              <w:rPr>
                <w:rFonts w:ascii="Calibri" w:hAnsi="Calibri"/>
                <w:color w:val="000000"/>
                <w:sz w:val="22"/>
                <w:szCs w:val="22"/>
              </w:rPr>
            </w:pPr>
            <w:r>
              <w:rPr>
                <w:rFonts w:ascii="Calibri" w:hAnsi="Calibri"/>
                <w:color w:val="000000"/>
                <w:sz w:val="22"/>
                <w:szCs w:val="22"/>
              </w:rPr>
              <w:t>Total</w:t>
            </w:r>
          </w:p>
        </w:tc>
        <w:tc>
          <w:tcPr>
            <w:tcW w:w="1616" w:type="dxa"/>
            <w:noWrap/>
            <w:vAlign w:val="center"/>
            <w:hideMark/>
          </w:tcPr>
          <w:p w:rsidR="00E50B21" w:rsidRDefault="00E50B21" w:rsidP="00E50B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519</w:t>
            </w:r>
          </w:p>
        </w:tc>
        <w:tc>
          <w:tcPr>
            <w:tcW w:w="1236" w:type="dxa"/>
            <w:noWrap/>
            <w:vAlign w:val="center"/>
            <w:hideMark/>
          </w:tcPr>
          <w:p w:rsidR="00E50B21" w:rsidRDefault="00E50B21" w:rsidP="00E50B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c>
          <w:tcPr>
            <w:tcW w:w="1256" w:type="dxa"/>
            <w:noWrap/>
            <w:hideMark/>
          </w:tcPr>
          <w:p w:rsidR="00E50B21" w:rsidRDefault="00E50B2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28.479.100</w:t>
            </w:r>
          </w:p>
        </w:tc>
        <w:tc>
          <w:tcPr>
            <w:tcW w:w="1256" w:type="dxa"/>
            <w:noWrap/>
            <w:vAlign w:val="center"/>
            <w:hideMark/>
          </w:tcPr>
          <w:p w:rsidR="00E50B21" w:rsidRDefault="00E50B21" w:rsidP="00E50B2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p>
        </w:tc>
      </w:tr>
    </w:tbl>
    <w:p w:rsidR="00E50B21" w:rsidRPr="00E50B21" w:rsidRDefault="00E50B21" w:rsidP="00DE29F7">
      <w:pPr>
        <w:rPr>
          <w:rFonts w:asciiTheme="minorHAnsi" w:hAnsiTheme="minorHAnsi"/>
          <w:sz w:val="18"/>
        </w:rPr>
      </w:pPr>
      <w:r w:rsidRPr="00E50B21">
        <w:rPr>
          <w:rFonts w:asciiTheme="minorHAnsi" w:hAnsiTheme="minorHAnsi"/>
          <w:sz w:val="18"/>
        </w:rPr>
        <w:t>Fuente: Elaboración propia.</w:t>
      </w:r>
    </w:p>
    <w:p w:rsidR="00E50B21" w:rsidRPr="00E50B21" w:rsidRDefault="00E50B21" w:rsidP="00DE29F7">
      <w:pPr>
        <w:rPr>
          <w:rFonts w:asciiTheme="minorHAnsi" w:hAnsiTheme="minorHAnsi"/>
          <w:sz w:val="18"/>
        </w:rPr>
      </w:pPr>
      <w:r w:rsidRPr="00E50B21">
        <w:rPr>
          <w:rFonts w:asciiTheme="minorHAnsi" w:hAnsiTheme="minorHAnsi"/>
          <w:sz w:val="18"/>
        </w:rPr>
        <w:t>N°: Misión BID, Dra. Soledad Barría.</w:t>
      </w:r>
    </w:p>
    <w:p w:rsidR="00E50B21" w:rsidRDefault="00E50B21" w:rsidP="00DE29F7">
      <w:pPr>
        <w:rPr>
          <w:rFonts w:asciiTheme="minorHAnsi" w:hAnsiTheme="minorHAnsi"/>
          <w:sz w:val="18"/>
        </w:rPr>
      </w:pPr>
      <w:r w:rsidRPr="00E50B21">
        <w:rPr>
          <w:rFonts w:asciiTheme="minorHAnsi" w:hAnsiTheme="minorHAnsi"/>
          <w:sz w:val="18"/>
        </w:rPr>
        <w:t>Salario Medio: Estimado sobre la base de planilla de sueldo 2011 de Hospital Daniel Bracamonte de Potosí. Reajustado por inflación  2012-2013, cifras cerradas.</w:t>
      </w:r>
    </w:p>
    <w:p w:rsidR="00CB589B" w:rsidRDefault="00CB589B" w:rsidP="00DE29F7">
      <w:pPr>
        <w:rPr>
          <w:rFonts w:asciiTheme="minorHAnsi" w:hAnsiTheme="minorHAnsi"/>
          <w:sz w:val="18"/>
        </w:rPr>
      </w:pPr>
    </w:p>
    <w:p w:rsidR="00CB589B" w:rsidRDefault="00CB589B" w:rsidP="00DE29F7">
      <w:pPr>
        <w:rPr>
          <w:rFonts w:asciiTheme="minorHAnsi" w:hAnsiTheme="minorHAnsi"/>
          <w:sz w:val="18"/>
        </w:rPr>
      </w:pPr>
    </w:p>
    <w:p w:rsidR="00CB589B" w:rsidRPr="00CB589B" w:rsidRDefault="00CB589B" w:rsidP="00CB589B">
      <w:pPr>
        <w:pStyle w:val="Heading2"/>
        <w:numPr>
          <w:ilvl w:val="0"/>
          <w:numId w:val="9"/>
        </w:numPr>
        <w:rPr>
          <w:rFonts w:asciiTheme="minorHAnsi" w:hAnsiTheme="minorHAnsi"/>
        </w:rPr>
      </w:pPr>
      <w:bookmarkStart w:id="85" w:name="_Toc333342534"/>
      <w:r w:rsidRPr="00CB589B">
        <w:rPr>
          <w:rFonts w:asciiTheme="minorHAnsi" w:hAnsiTheme="minorHAnsi"/>
        </w:rPr>
        <w:t xml:space="preserve"> </w:t>
      </w:r>
      <w:bookmarkStart w:id="86" w:name="_Toc373093548"/>
      <w:r w:rsidRPr="00CB589B">
        <w:rPr>
          <w:rFonts w:asciiTheme="minorHAnsi" w:hAnsiTheme="minorHAnsi"/>
        </w:rPr>
        <w:t>Tasas arancelarias, impuestos servicios de importación en Bolivia 2010</w:t>
      </w:r>
      <w:bookmarkEnd w:id="85"/>
      <w:bookmarkEnd w:id="86"/>
    </w:p>
    <w:tbl>
      <w:tblPr>
        <w:tblStyle w:val="LightList-Accent3"/>
        <w:tblW w:w="9053" w:type="dxa"/>
        <w:tblLook w:val="04A0" w:firstRow="1" w:lastRow="0" w:firstColumn="1" w:lastColumn="0" w:noHBand="0" w:noVBand="1"/>
      </w:tblPr>
      <w:tblGrid>
        <w:gridCol w:w="2143"/>
        <w:gridCol w:w="1449"/>
        <w:gridCol w:w="1402"/>
        <w:gridCol w:w="4059"/>
      </w:tblGrid>
      <w:tr w:rsidR="00CB589B" w:rsidRPr="00CB589B" w:rsidTr="00CB589B">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143" w:type="dxa"/>
            <w:hideMark/>
          </w:tcPr>
          <w:p w:rsidR="00CB589B" w:rsidRPr="00CB589B" w:rsidRDefault="00CB589B" w:rsidP="00107B14">
            <w:pPr>
              <w:spacing w:line="285" w:lineRule="atLeast"/>
              <w:rPr>
                <w:rFonts w:asciiTheme="minorHAnsi" w:hAnsiTheme="minorHAnsi" w:cstheme="minorHAnsi"/>
                <w:color w:val="000000"/>
                <w:sz w:val="20"/>
                <w:szCs w:val="19"/>
              </w:rPr>
            </w:pPr>
            <w:bookmarkStart w:id="87" w:name="0.1_table02"/>
            <w:bookmarkEnd w:id="87"/>
            <w:r w:rsidRPr="00CB589B">
              <w:rPr>
                <w:rFonts w:asciiTheme="minorHAnsi" w:hAnsiTheme="minorHAnsi" w:cstheme="minorHAnsi"/>
                <w:color w:val="000000"/>
                <w:sz w:val="20"/>
              </w:rPr>
              <w:t>ARANCELES/ IMPUESTOS</w:t>
            </w:r>
          </w:p>
        </w:tc>
        <w:tc>
          <w:tcPr>
            <w:tcW w:w="1449" w:type="dxa"/>
            <w:hideMark/>
          </w:tcPr>
          <w:p w:rsidR="00CB589B" w:rsidRPr="00CB589B" w:rsidRDefault="00CB589B" w:rsidP="00107B14">
            <w:pPr>
              <w:spacing w:line="285"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TASAS</w:t>
            </w:r>
          </w:p>
        </w:tc>
        <w:tc>
          <w:tcPr>
            <w:tcW w:w="1402" w:type="dxa"/>
            <w:hideMark/>
          </w:tcPr>
          <w:p w:rsidR="00CB589B" w:rsidRPr="00CB589B" w:rsidRDefault="00CB589B" w:rsidP="00107B14">
            <w:pPr>
              <w:spacing w:line="285"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BASE IMPONIBLE</w:t>
            </w:r>
          </w:p>
        </w:tc>
        <w:tc>
          <w:tcPr>
            <w:tcW w:w="4059" w:type="dxa"/>
            <w:hideMark/>
          </w:tcPr>
          <w:p w:rsidR="00CB589B" w:rsidRPr="00CB589B" w:rsidRDefault="00CB589B" w:rsidP="00107B14">
            <w:pPr>
              <w:spacing w:line="285"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OBSERVACIONES</w:t>
            </w:r>
          </w:p>
        </w:tc>
      </w:tr>
      <w:tr w:rsidR="00CB589B" w:rsidRPr="00CB589B" w:rsidTr="00CB589B">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143" w:type="dxa"/>
            <w:hideMark/>
          </w:tcPr>
          <w:p w:rsidR="00CB589B" w:rsidRPr="00CB589B" w:rsidRDefault="00CB589B" w:rsidP="00107B14">
            <w:pPr>
              <w:spacing w:line="285" w:lineRule="atLeast"/>
              <w:rPr>
                <w:rFonts w:asciiTheme="minorHAnsi" w:hAnsiTheme="minorHAnsi" w:cstheme="minorHAnsi"/>
                <w:color w:val="000000"/>
                <w:sz w:val="20"/>
                <w:szCs w:val="19"/>
              </w:rPr>
            </w:pPr>
            <w:r w:rsidRPr="00CB589B">
              <w:rPr>
                <w:rFonts w:asciiTheme="minorHAnsi" w:hAnsiTheme="minorHAnsi" w:cstheme="minorHAnsi"/>
                <w:color w:val="000000"/>
                <w:sz w:val="20"/>
              </w:rPr>
              <w:t>Arancel de Importación</w:t>
            </w:r>
          </w:p>
        </w:tc>
        <w:tc>
          <w:tcPr>
            <w:tcW w:w="1449" w:type="dxa"/>
            <w:hideMark/>
          </w:tcPr>
          <w:p w:rsidR="00CB589B" w:rsidRPr="00CB589B" w:rsidRDefault="00CB589B" w:rsidP="00107B14">
            <w:pPr>
              <w:spacing w:line="28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0 %, 5%, 10%, 15%, 20% y 35%.</w:t>
            </w:r>
          </w:p>
        </w:tc>
        <w:tc>
          <w:tcPr>
            <w:tcW w:w="1402" w:type="dxa"/>
            <w:hideMark/>
          </w:tcPr>
          <w:p w:rsidR="00CB589B" w:rsidRPr="00CB589B" w:rsidRDefault="00CB589B" w:rsidP="00107B14">
            <w:pPr>
              <w:spacing w:line="28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CIF – Frontera</w:t>
            </w:r>
          </w:p>
        </w:tc>
        <w:tc>
          <w:tcPr>
            <w:tcW w:w="4059" w:type="dxa"/>
            <w:hideMark/>
          </w:tcPr>
          <w:p w:rsidR="00CB589B" w:rsidRPr="00CB589B" w:rsidRDefault="00CB589B" w:rsidP="00107B14">
            <w:pPr>
              <w:spacing w:line="28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Algunos bienes de capital (maquinarias y equipos) tienen una rebaja del 50%. del arancel de importación.</w:t>
            </w:r>
          </w:p>
        </w:tc>
      </w:tr>
      <w:tr w:rsidR="00CB589B" w:rsidRPr="00CB589B" w:rsidTr="00CB589B">
        <w:tc>
          <w:tcPr>
            <w:cnfStyle w:val="001000000000" w:firstRow="0" w:lastRow="0" w:firstColumn="1" w:lastColumn="0" w:oddVBand="0" w:evenVBand="0" w:oddHBand="0" w:evenHBand="0" w:firstRowFirstColumn="0" w:firstRowLastColumn="0" w:lastRowFirstColumn="0" w:lastRowLastColumn="0"/>
            <w:tcW w:w="2143" w:type="dxa"/>
            <w:hideMark/>
          </w:tcPr>
          <w:p w:rsidR="00CB589B" w:rsidRPr="00CB589B" w:rsidRDefault="00CB589B" w:rsidP="00107B14">
            <w:pPr>
              <w:spacing w:line="285" w:lineRule="atLeast"/>
              <w:rPr>
                <w:rFonts w:asciiTheme="minorHAnsi" w:hAnsiTheme="minorHAnsi" w:cstheme="minorHAnsi"/>
                <w:color w:val="000000"/>
                <w:sz w:val="20"/>
                <w:szCs w:val="19"/>
              </w:rPr>
            </w:pPr>
            <w:r w:rsidRPr="00CB589B">
              <w:rPr>
                <w:rFonts w:asciiTheme="minorHAnsi" w:hAnsiTheme="minorHAnsi" w:cstheme="minorHAnsi"/>
                <w:color w:val="000000"/>
                <w:sz w:val="20"/>
              </w:rPr>
              <w:t>Tasa de Almacén aduanero</w:t>
            </w:r>
          </w:p>
        </w:tc>
        <w:tc>
          <w:tcPr>
            <w:tcW w:w="1449" w:type="dxa"/>
            <w:hideMark/>
          </w:tcPr>
          <w:p w:rsidR="00CB589B" w:rsidRPr="00CB589B" w:rsidRDefault="00CB589B" w:rsidP="00107B14">
            <w:pPr>
              <w:spacing w:line="28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0.5 %</w:t>
            </w:r>
          </w:p>
        </w:tc>
        <w:tc>
          <w:tcPr>
            <w:tcW w:w="1402" w:type="dxa"/>
            <w:hideMark/>
          </w:tcPr>
          <w:p w:rsidR="00CB589B" w:rsidRPr="00CB589B" w:rsidRDefault="00CB589B" w:rsidP="00107B14">
            <w:pPr>
              <w:spacing w:line="28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CIF – Frontera</w:t>
            </w:r>
          </w:p>
        </w:tc>
        <w:tc>
          <w:tcPr>
            <w:tcW w:w="4059" w:type="dxa"/>
            <w:hideMark/>
          </w:tcPr>
          <w:p w:rsidR="00CB589B" w:rsidRPr="00CB589B" w:rsidRDefault="00CB589B" w:rsidP="00107B14">
            <w:pPr>
              <w:spacing w:line="28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Valor según el servicio prestado y tiempo de permanencia. La tasa es un valor referencial.</w:t>
            </w:r>
          </w:p>
        </w:tc>
      </w:tr>
      <w:tr w:rsidR="00CB589B" w:rsidRPr="00CB589B" w:rsidTr="00CB5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hideMark/>
          </w:tcPr>
          <w:p w:rsidR="00CB589B" w:rsidRPr="00CB589B" w:rsidRDefault="00CB589B" w:rsidP="00107B14">
            <w:pPr>
              <w:spacing w:line="285" w:lineRule="atLeast"/>
              <w:rPr>
                <w:rFonts w:asciiTheme="minorHAnsi" w:hAnsiTheme="minorHAnsi" w:cstheme="minorHAnsi"/>
                <w:color w:val="000000"/>
                <w:sz w:val="20"/>
                <w:szCs w:val="19"/>
              </w:rPr>
            </w:pPr>
            <w:r w:rsidRPr="00CB589B">
              <w:rPr>
                <w:rFonts w:asciiTheme="minorHAnsi" w:hAnsiTheme="minorHAnsi" w:cstheme="minorHAnsi"/>
                <w:color w:val="000000"/>
                <w:sz w:val="20"/>
              </w:rPr>
              <w:t>Aporte Gremial</w:t>
            </w:r>
          </w:p>
        </w:tc>
        <w:tc>
          <w:tcPr>
            <w:tcW w:w="1449" w:type="dxa"/>
            <w:hideMark/>
          </w:tcPr>
          <w:p w:rsidR="00CB589B" w:rsidRPr="00CB589B" w:rsidRDefault="00CB589B" w:rsidP="00107B14">
            <w:pPr>
              <w:spacing w:line="28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0.3 %</w:t>
            </w:r>
          </w:p>
        </w:tc>
        <w:tc>
          <w:tcPr>
            <w:tcW w:w="1402" w:type="dxa"/>
            <w:hideMark/>
          </w:tcPr>
          <w:p w:rsidR="00CB589B" w:rsidRPr="00CB589B" w:rsidRDefault="00CB589B" w:rsidP="00107B14">
            <w:pPr>
              <w:spacing w:line="28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CIF – Frontera</w:t>
            </w:r>
          </w:p>
        </w:tc>
        <w:tc>
          <w:tcPr>
            <w:tcW w:w="4059" w:type="dxa"/>
            <w:hideMark/>
          </w:tcPr>
          <w:p w:rsidR="00CB589B" w:rsidRPr="00CB589B" w:rsidRDefault="00CB589B" w:rsidP="00107B14">
            <w:pPr>
              <w:spacing w:line="28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Aporte gremial según la Cámara a la que se esta asociado.</w:t>
            </w:r>
          </w:p>
        </w:tc>
      </w:tr>
      <w:tr w:rsidR="00CB589B" w:rsidRPr="00CB589B" w:rsidTr="00CB589B">
        <w:tc>
          <w:tcPr>
            <w:cnfStyle w:val="001000000000" w:firstRow="0" w:lastRow="0" w:firstColumn="1" w:lastColumn="0" w:oddVBand="0" w:evenVBand="0" w:oddHBand="0" w:evenHBand="0" w:firstRowFirstColumn="0" w:firstRowLastColumn="0" w:lastRowFirstColumn="0" w:lastRowLastColumn="0"/>
            <w:tcW w:w="2143" w:type="dxa"/>
            <w:hideMark/>
          </w:tcPr>
          <w:p w:rsidR="00CB589B" w:rsidRPr="00CB589B" w:rsidRDefault="00CB589B" w:rsidP="00107B14">
            <w:pPr>
              <w:spacing w:line="285" w:lineRule="atLeast"/>
              <w:rPr>
                <w:rFonts w:asciiTheme="minorHAnsi" w:hAnsiTheme="minorHAnsi" w:cstheme="minorHAnsi"/>
                <w:color w:val="000000"/>
                <w:sz w:val="20"/>
                <w:szCs w:val="19"/>
              </w:rPr>
            </w:pPr>
            <w:r w:rsidRPr="00CB589B">
              <w:rPr>
                <w:rFonts w:asciiTheme="minorHAnsi" w:hAnsiTheme="minorHAnsi" w:cstheme="minorHAnsi"/>
                <w:color w:val="000000"/>
                <w:sz w:val="20"/>
              </w:rPr>
              <w:t>Despacho Aduanero</w:t>
            </w:r>
          </w:p>
        </w:tc>
        <w:tc>
          <w:tcPr>
            <w:tcW w:w="1449" w:type="dxa"/>
            <w:hideMark/>
          </w:tcPr>
          <w:p w:rsidR="00CB589B" w:rsidRPr="00CB589B" w:rsidRDefault="00CB589B" w:rsidP="00107B14">
            <w:pPr>
              <w:spacing w:line="28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0.1 % al 2,5%</w:t>
            </w:r>
          </w:p>
        </w:tc>
        <w:tc>
          <w:tcPr>
            <w:tcW w:w="1402" w:type="dxa"/>
            <w:hideMark/>
          </w:tcPr>
          <w:p w:rsidR="00CB589B" w:rsidRPr="00CB589B" w:rsidRDefault="00CB589B" w:rsidP="00107B14">
            <w:pPr>
              <w:spacing w:line="28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CIF – Frontera</w:t>
            </w:r>
          </w:p>
        </w:tc>
        <w:tc>
          <w:tcPr>
            <w:tcW w:w="4059" w:type="dxa"/>
            <w:hideMark/>
          </w:tcPr>
          <w:p w:rsidR="00CB589B" w:rsidRPr="00CB589B" w:rsidRDefault="00CB589B" w:rsidP="00107B14">
            <w:pPr>
              <w:spacing w:line="28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Comisión variable que se paga a la agencia despachante de aduana.</w:t>
            </w:r>
          </w:p>
        </w:tc>
      </w:tr>
      <w:tr w:rsidR="00CB589B" w:rsidRPr="00CB589B" w:rsidTr="00CB5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hideMark/>
          </w:tcPr>
          <w:p w:rsidR="00CB589B" w:rsidRPr="00CB589B" w:rsidRDefault="00CB589B" w:rsidP="00107B14">
            <w:pPr>
              <w:spacing w:line="285" w:lineRule="atLeast"/>
              <w:rPr>
                <w:rFonts w:asciiTheme="minorHAnsi" w:hAnsiTheme="minorHAnsi" w:cstheme="minorHAnsi"/>
                <w:color w:val="000000"/>
                <w:sz w:val="20"/>
                <w:szCs w:val="19"/>
              </w:rPr>
            </w:pPr>
            <w:r w:rsidRPr="00CB589B">
              <w:rPr>
                <w:rFonts w:asciiTheme="minorHAnsi" w:hAnsiTheme="minorHAnsi" w:cstheme="minorHAnsi"/>
                <w:color w:val="000000"/>
                <w:sz w:val="20"/>
              </w:rPr>
              <w:t>Impuesto al Valor Agregado (IVA).</w:t>
            </w:r>
          </w:p>
        </w:tc>
        <w:tc>
          <w:tcPr>
            <w:tcW w:w="1449" w:type="dxa"/>
            <w:hideMark/>
          </w:tcPr>
          <w:p w:rsidR="00CB589B" w:rsidRPr="00CB589B" w:rsidRDefault="00CB589B" w:rsidP="00107B14">
            <w:pPr>
              <w:spacing w:line="28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14,94 %</w:t>
            </w:r>
          </w:p>
        </w:tc>
        <w:tc>
          <w:tcPr>
            <w:tcW w:w="1402" w:type="dxa"/>
            <w:hideMark/>
          </w:tcPr>
          <w:p w:rsidR="00CB589B" w:rsidRPr="00CB589B" w:rsidRDefault="00CB589B" w:rsidP="00107B14">
            <w:pPr>
              <w:spacing w:line="28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CIF – Aduana</w:t>
            </w:r>
          </w:p>
        </w:tc>
        <w:tc>
          <w:tcPr>
            <w:tcW w:w="4059" w:type="dxa"/>
            <w:hideMark/>
          </w:tcPr>
          <w:p w:rsidR="00CB589B" w:rsidRPr="00CB589B" w:rsidRDefault="00CB589B" w:rsidP="00107B14">
            <w:pPr>
              <w:spacing w:line="28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 xml:space="preserve">IVA importaciones, grava sobre el valor de mercadería más el arancel. </w:t>
            </w:r>
          </w:p>
        </w:tc>
      </w:tr>
      <w:tr w:rsidR="00CB589B" w:rsidRPr="00CB589B" w:rsidTr="00CB589B">
        <w:tc>
          <w:tcPr>
            <w:cnfStyle w:val="001000000000" w:firstRow="0" w:lastRow="0" w:firstColumn="1" w:lastColumn="0" w:oddVBand="0" w:evenVBand="0" w:oddHBand="0" w:evenHBand="0" w:firstRowFirstColumn="0" w:firstRowLastColumn="0" w:lastRowFirstColumn="0" w:lastRowLastColumn="0"/>
            <w:tcW w:w="2143" w:type="dxa"/>
            <w:hideMark/>
          </w:tcPr>
          <w:p w:rsidR="00CB589B" w:rsidRPr="00CB589B" w:rsidRDefault="00CB589B" w:rsidP="00107B14">
            <w:pPr>
              <w:spacing w:line="285" w:lineRule="atLeast"/>
              <w:rPr>
                <w:rFonts w:asciiTheme="minorHAnsi" w:hAnsiTheme="minorHAnsi" w:cstheme="minorHAnsi"/>
                <w:color w:val="000000"/>
                <w:sz w:val="20"/>
                <w:szCs w:val="19"/>
              </w:rPr>
            </w:pPr>
            <w:r w:rsidRPr="00CB589B">
              <w:rPr>
                <w:rFonts w:asciiTheme="minorHAnsi" w:hAnsiTheme="minorHAnsi" w:cstheme="minorHAnsi"/>
                <w:color w:val="000000"/>
                <w:sz w:val="20"/>
              </w:rPr>
              <w:t xml:space="preserve">Impuesto al Consumo Específico (ICE). </w:t>
            </w:r>
          </w:p>
        </w:tc>
        <w:tc>
          <w:tcPr>
            <w:tcW w:w="1449" w:type="dxa"/>
            <w:hideMark/>
          </w:tcPr>
          <w:p w:rsidR="00CB589B" w:rsidRPr="00CB589B" w:rsidRDefault="00CB589B" w:rsidP="00107B14">
            <w:pPr>
              <w:spacing w:line="28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 - -</w:t>
            </w:r>
          </w:p>
        </w:tc>
        <w:tc>
          <w:tcPr>
            <w:tcW w:w="1402" w:type="dxa"/>
            <w:hideMark/>
          </w:tcPr>
          <w:p w:rsidR="00CB589B" w:rsidRPr="00CB589B" w:rsidRDefault="00CB589B" w:rsidP="00107B14">
            <w:pPr>
              <w:spacing w:line="28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CIF – Aduana</w:t>
            </w:r>
          </w:p>
        </w:tc>
        <w:tc>
          <w:tcPr>
            <w:tcW w:w="4059" w:type="dxa"/>
            <w:hideMark/>
          </w:tcPr>
          <w:p w:rsidR="00CB589B" w:rsidRPr="00CB589B" w:rsidRDefault="00CB589B" w:rsidP="00107B14">
            <w:pPr>
              <w:spacing w:line="285"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Impuesto variable, grava a licores, tabaco y bienes suntuarios.</w:t>
            </w:r>
          </w:p>
        </w:tc>
      </w:tr>
      <w:tr w:rsidR="00CB589B" w:rsidRPr="00CB589B" w:rsidTr="00CB5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3" w:type="dxa"/>
            <w:hideMark/>
          </w:tcPr>
          <w:p w:rsidR="00CB589B" w:rsidRPr="00CB589B" w:rsidRDefault="00CB589B" w:rsidP="00107B14">
            <w:pPr>
              <w:spacing w:line="285" w:lineRule="atLeast"/>
              <w:rPr>
                <w:rFonts w:asciiTheme="minorHAnsi" w:hAnsiTheme="minorHAnsi" w:cstheme="minorHAnsi"/>
                <w:color w:val="000000"/>
                <w:sz w:val="20"/>
                <w:szCs w:val="19"/>
              </w:rPr>
            </w:pPr>
            <w:r w:rsidRPr="00CB589B">
              <w:rPr>
                <w:rFonts w:asciiTheme="minorHAnsi" w:hAnsiTheme="minorHAnsi" w:cstheme="minorHAnsi"/>
                <w:color w:val="000000"/>
                <w:sz w:val="20"/>
              </w:rPr>
              <w:t xml:space="preserve">Impuesto a los Hidrocarburos IEDH). </w:t>
            </w:r>
          </w:p>
        </w:tc>
        <w:tc>
          <w:tcPr>
            <w:tcW w:w="1449" w:type="dxa"/>
            <w:hideMark/>
          </w:tcPr>
          <w:p w:rsidR="00CB589B" w:rsidRPr="00CB589B" w:rsidRDefault="00CB589B" w:rsidP="00107B14">
            <w:pPr>
              <w:spacing w:line="28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 - -</w:t>
            </w:r>
          </w:p>
        </w:tc>
        <w:tc>
          <w:tcPr>
            <w:tcW w:w="1402" w:type="dxa"/>
            <w:hideMark/>
          </w:tcPr>
          <w:p w:rsidR="00CB589B" w:rsidRPr="00CB589B" w:rsidRDefault="00CB589B" w:rsidP="00107B14">
            <w:pPr>
              <w:spacing w:line="28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CIF – Aduana</w:t>
            </w:r>
          </w:p>
        </w:tc>
        <w:tc>
          <w:tcPr>
            <w:tcW w:w="4059" w:type="dxa"/>
            <w:hideMark/>
          </w:tcPr>
          <w:p w:rsidR="00CB589B" w:rsidRPr="00CB589B" w:rsidRDefault="00CB589B" w:rsidP="00107B14">
            <w:pPr>
              <w:spacing w:line="28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19"/>
              </w:rPr>
            </w:pPr>
            <w:r w:rsidRPr="00CB589B">
              <w:rPr>
                <w:rFonts w:asciiTheme="minorHAnsi" w:hAnsiTheme="minorHAnsi" w:cstheme="minorHAnsi"/>
                <w:color w:val="000000"/>
                <w:sz w:val="20"/>
              </w:rPr>
              <w:t>Según el producto a ser importado.</w:t>
            </w:r>
          </w:p>
        </w:tc>
      </w:tr>
    </w:tbl>
    <w:p w:rsidR="00CB589B" w:rsidRPr="009C76DB" w:rsidRDefault="00CB589B" w:rsidP="00CB589B">
      <w:pPr>
        <w:rPr>
          <w:rFonts w:asciiTheme="minorHAnsi" w:hAnsiTheme="minorHAnsi" w:cstheme="minorHAnsi"/>
          <w:bCs/>
          <w:sz w:val="22"/>
        </w:rPr>
      </w:pPr>
      <w:r w:rsidRPr="009C76DB">
        <w:rPr>
          <w:rFonts w:asciiTheme="minorHAnsi" w:hAnsiTheme="minorHAnsi" w:cstheme="minorHAnsi"/>
          <w:sz w:val="16"/>
          <w:szCs w:val="18"/>
        </w:rPr>
        <w:t>Fuente: http://www.embolivia.org.br/bolivia/economia-y-comercio/comercio-exterior/regimen-de-importa</w:t>
      </w:r>
      <w:r w:rsidRPr="009C76DB">
        <w:rPr>
          <w:rFonts w:asciiTheme="minorHAnsi" w:hAnsiTheme="minorHAnsi" w:cstheme="minorHAnsi"/>
          <w:bCs/>
          <w:sz w:val="22"/>
        </w:rPr>
        <w:br w:type="page"/>
      </w:r>
    </w:p>
    <w:p w:rsidR="00CB589B" w:rsidRDefault="00CB589B" w:rsidP="00DE29F7">
      <w:pPr>
        <w:rPr>
          <w:rFonts w:asciiTheme="minorHAnsi" w:hAnsiTheme="minorHAnsi"/>
          <w:sz w:val="18"/>
        </w:rPr>
      </w:pPr>
    </w:p>
    <w:p w:rsidR="009F695F" w:rsidRPr="009F695F" w:rsidRDefault="009F695F" w:rsidP="009F695F">
      <w:pPr>
        <w:pStyle w:val="Heading2"/>
        <w:numPr>
          <w:ilvl w:val="0"/>
          <w:numId w:val="9"/>
        </w:numPr>
        <w:rPr>
          <w:rFonts w:asciiTheme="minorHAnsi" w:hAnsiTheme="minorHAnsi"/>
        </w:rPr>
      </w:pPr>
      <w:bookmarkStart w:id="88" w:name="_Toc333342535"/>
      <w:bookmarkStart w:id="89" w:name="_Toc373093549"/>
      <w:r w:rsidRPr="009F695F">
        <w:rPr>
          <w:rFonts w:asciiTheme="minorHAnsi" w:hAnsiTheme="minorHAnsi"/>
        </w:rPr>
        <w:t>Precios sociales Bolivia</w:t>
      </w:r>
      <w:bookmarkEnd w:id="88"/>
      <w:bookmarkEnd w:id="89"/>
    </w:p>
    <w:p w:rsidR="009F695F" w:rsidRPr="00070FD2" w:rsidRDefault="009F695F" w:rsidP="009F695F">
      <w:pPr>
        <w:rPr>
          <w:rFonts w:asciiTheme="minorHAnsi" w:hAnsiTheme="minorHAnsi" w:cstheme="minorHAnsi"/>
          <w:b/>
          <w:sz w:val="22"/>
          <w:szCs w:val="20"/>
        </w:rPr>
      </w:pPr>
    </w:p>
    <w:tbl>
      <w:tblPr>
        <w:tblStyle w:val="LightList-Accent3"/>
        <w:tblW w:w="8320" w:type="dxa"/>
        <w:tblLook w:val="04A0" w:firstRow="1" w:lastRow="0" w:firstColumn="1" w:lastColumn="0" w:noHBand="0" w:noVBand="1"/>
      </w:tblPr>
      <w:tblGrid>
        <w:gridCol w:w="6676"/>
        <w:gridCol w:w="1644"/>
      </w:tblGrid>
      <w:tr w:rsidR="009F695F" w:rsidRPr="009C76DB" w:rsidTr="009F695F">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6676" w:type="dxa"/>
            <w:noWrap/>
            <w:hideMark/>
          </w:tcPr>
          <w:p w:rsidR="009F695F" w:rsidRPr="009C76DB" w:rsidRDefault="009F695F" w:rsidP="00107B14">
            <w:pPr>
              <w:rPr>
                <w:rFonts w:asciiTheme="minorHAnsi" w:hAnsiTheme="minorHAnsi" w:cstheme="minorHAnsi"/>
                <w:bCs w:val="0"/>
                <w:color w:val="000000"/>
                <w:sz w:val="20"/>
                <w:szCs w:val="22"/>
              </w:rPr>
            </w:pPr>
            <w:r w:rsidRPr="009C76DB">
              <w:rPr>
                <w:rFonts w:asciiTheme="minorHAnsi" w:hAnsiTheme="minorHAnsi" w:cstheme="minorHAnsi"/>
                <w:color w:val="000000"/>
                <w:sz w:val="20"/>
                <w:szCs w:val="22"/>
              </w:rPr>
              <w:t>PRECIOS SOCIALES</w:t>
            </w:r>
          </w:p>
        </w:tc>
        <w:tc>
          <w:tcPr>
            <w:tcW w:w="1644" w:type="dxa"/>
            <w:noWrap/>
            <w:hideMark/>
          </w:tcPr>
          <w:p w:rsidR="009F695F" w:rsidRPr="009C76DB" w:rsidRDefault="009F695F" w:rsidP="00107B1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Pr>
                <w:rFonts w:asciiTheme="minorHAnsi" w:hAnsiTheme="minorHAnsi" w:cstheme="minorHAnsi"/>
                <w:color w:val="000000"/>
                <w:sz w:val="20"/>
                <w:szCs w:val="22"/>
              </w:rPr>
              <w:t>Factor de ajuste</w:t>
            </w:r>
          </w:p>
        </w:tc>
      </w:tr>
      <w:tr w:rsidR="009F695F" w:rsidRPr="009C76DB" w:rsidTr="009F695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6676" w:type="dxa"/>
            <w:noWrap/>
            <w:hideMark/>
          </w:tcPr>
          <w:p w:rsidR="009F695F" w:rsidRPr="009C76DB" w:rsidRDefault="009F695F" w:rsidP="00107B14">
            <w:pPr>
              <w:rPr>
                <w:rFonts w:asciiTheme="minorHAnsi" w:hAnsiTheme="minorHAnsi" w:cstheme="minorHAnsi"/>
                <w:color w:val="000000"/>
                <w:sz w:val="20"/>
                <w:szCs w:val="22"/>
              </w:rPr>
            </w:pPr>
            <w:r w:rsidRPr="009C76DB">
              <w:rPr>
                <w:rFonts w:asciiTheme="minorHAnsi" w:hAnsiTheme="minorHAnsi" w:cstheme="minorHAnsi"/>
                <w:color w:val="000000"/>
                <w:sz w:val="20"/>
                <w:szCs w:val="22"/>
              </w:rPr>
              <w:t>Razón Precio Cuenta de Eficiencia de la Divisa (RPCD):</w:t>
            </w:r>
          </w:p>
        </w:tc>
        <w:tc>
          <w:tcPr>
            <w:tcW w:w="1644" w:type="dxa"/>
            <w:noWrap/>
            <w:hideMark/>
          </w:tcPr>
          <w:p w:rsidR="009F695F" w:rsidRPr="009C76DB" w:rsidRDefault="009F695F"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9C76DB">
              <w:rPr>
                <w:rFonts w:asciiTheme="minorHAnsi" w:hAnsiTheme="minorHAnsi" w:cstheme="minorHAnsi"/>
                <w:color w:val="000000"/>
                <w:sz w:val="20"/>
                <w:szCs w:val="22"/>
              </w:rPr>
              <w:t>1,24</w:t>
            </w:r>
          </w:p>
        </w:tc>
      </w:tr>
      <w:tr w:rsidR="009F695F" w:rsidRPr="009C76DB" w:rsidTr="009F695F">
        <w:trPr>
          <w:trHeight w:val="113"/>
        </w:trPr>
        <w:tc>
          <w:tcPr>
            <w:cnfStyle w:val="001000000000" w:firstRow="0" w:lastRow="0" w:firstColumn="1" w:lastColumn="0" w:oddVBand="0" w:evenVBand="0" w:oddHBand="0" w:evenHBand="0" w:firstRowFirstColumn="0" w:firstRowLastColumn="0" w:lastRowFirstColumn="0" w:lastRowLastColumn="0"/>
            <w:tcW w:w="6676" w:type="dxa"/>
            <w:noWrap/>
            <w:hideMark/>
          </w:tcPr>
          <w:p w:rsidR="009F695F" w:rsidRPr="009C76DB" w:rsidRDefault="009F695F" w:rsidP="00107B14">
            <w:pPr>
              <w:rPr>
                <w:rFonts w:asciiTheme="minorHAnsi" w:hAnsiTheme="minorHAnsi" w:cstheme="minorHAnsi"/>
                <w:color w:val="000000"/>
                <w:sz w:val="20"/>
                <w:szCs w:val="22"/>
              </w:rPr>
            </w:pPr>
            <w:r w:rsidRPr="009C76DB">
              <w:rPr>
                <w:rFonts w:asciiTheme="minorHAnsi" w:hAnsiTheme="minorHAnsi" w:cstheme="minorHAnsi"/>
                <w:color w:val="000000"/>
                <w:sz w:val="20"/>
                <w:szCs w:val="22"/>
              </w:rPr>
              <w:t>Razón Precio Cuenta de la Mano de Obra No Calificada Rural (RPCMONCR)</w:t>
            </w:r>
          </w:p>
        </w:tc>
        <w:tc>
          <w:tcPr>
            <w:tcW w:w="1644" w:type="dxa"/>
            <w:noWrap/>
            <w:hideMark/>
          </w:tcPr>
          <w:p w:rsidR="009F695F" w:rsidRPr="009C76DB" w:rsidRDefault="009F695F"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9C76DB">
              <w:rPr>
                <w:rFonts w:asciiTheme="minorHAnsi" w:hAnsiTheme="minorHAnsi" w:cstheme="minorHAnsi"/>
                <w:color w:val="000000"/>
                <w:sz w:val="20"/>
                <w:szCs w:val="22"/>
              </w:rPr>
              <w:t>0,47</w:t>
            </w:r>
          </w:p>
        </w:tc>
      </w:tr>
      <w:tr w:rsidR="009F695F" w:rsidRPr="009C76DB" w:rsidTr="009F695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6676" w:type="dxa"/>
            <w:noWrap/>
            <w:hideMark/>
          </w:tcPr>
          <w:p w:rsidR="009F695F" w:rsidRPr="009C76DB" w:rsidRDefault="009F695F" w:rsidP="00107B14">
            <w:pPr>
              <w:rPr>
                <w:rFonts w:asciiTheme="minorHAnsi" w:hAnsiTheme="minorHAnsi" w:cstheme="minorHAnsi"/>
                <w:color w:val="000000"/>
                <w:sz w:val="20"/>
                <w:szCs w:val="22"/>
              </w:rPr>
            </w:pPr>
            <w:r w:rsidRPr="009C76DB">
              <w:rPr>
                <w:rFonts w:asciiTheme="minorHAnsi" w:hAnsiTheme="minorHAnsi" w:cstheme="minorHAnsi"/>
                <w:color w:val="000000"/>
                <w:sz w:val="20"/>
                <w:szCs w:val="22"/>
              </w:rPr>
              <w:t>Razón Precio Cuenta de la Mano de Obra No Calificada Urbana (RPCMONCU)</w:t>
            </w:r>
          </w:p>
        </w:tc>
        <w:tc>
          <w:tcPr>
            <w:tcW w:w="1644" w:type="dxa"/>
            <w:noWrap/>
            <w:hideMark/>
          </w:tcPr>
          <w:p w:rsidR="009F695F" w:rsidRPr="009C76DB" w:rsidRDefault="009F695F"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9C76DB">
              <w:rPr>
                <w:rFonts w:asciiTheme="minorHAnsi" w:hAnsiTheme="minorHAnsi" w:cstheme="minorHAnsi"/>
                <w:color w:val="000000"/>
                <w:sz w:val="20"/>
                <w:szCs w:val="22"/>
              </w:rPr>
              <w:t>0,23</w:t>
            </w:r>
          </w:p>
        </w:tc>
      </w:tr>
      <w:tr w:rsidR="009F695F" w:rsidRPr="009C76DB" w:rsidTr="009F695F">
        <w:trPr>
          <w:trHeight w:val="113"/>
        </w:trPr>
        <w:tc>
          <w:tcPr>
            <w:cnfStyle w:val="001000000000" w:firstRow="0" w:lastRow="0" w:firstColumn="1" w:lastColumn="0" w:oddVBand="0" w:evenVBand="0" w:oddHBand="0" w:evenHBand="0" w:firstRowFirstColumn="0" w:firstRowLastColumn="0" w:lastRowFirstColumn="0" w:lastRowLastColumn="0"/>
            <w:tcW w:w="6676" w:type="dxa"/>
            <w:noWrap/>
            <w:hideMark/>
          </w:tcPr>
          <w:p w:rsidR="009F695F" w:rsidRPr="009C76DB" w:rsidRDefault="009F695F" w:rsidP="00107B14">
            <w:pPr>
              <w:rPr>
                <w:rFonts w:asciiTheme="minorHAnsi" w:hAnsiTheme="minorHAnsi" w:cstheme="minorHAnsi"/>
                <w:color w:val="000000"/>
                <w:sz w:val="20"/>
                <w:szCs w:val="22"/>
              </w:rPr>
            </w:pPr>
            <w:r w:rsidRPr="009C76DB">
              <w:rPr>
                <w:rFonts w:asciiTheme="minorHAnsi" w:hAnsiTheme="minorHAnsi" w:cstheme="minorHAnsi"/>
                <w:color w:val="000000"/>
                <w:sz w:val="20"/>
                <w:szCs w:val="22"/>
              </w:rPr>
              <w:t>Razón Precio Cuenta de la Mano de Obra Calificada (RPCMOC)</w:t>
            </w:r>
          </w:p>
        </w:tc>
        <w:tc>
          <w:tcPr>
            <w:tcW w:w="1644" w:type="dxa"/>
            <w:noWrap/>
            <w:hideMark/>
          </w:tcPr>
          <w:p w:rsidR="009F695F" w:rsidRPr="009C76DB" w:rsidRDefault="009F695F"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9C76DB">
              <w:rPr>
                <w:rFonts w:asciiTheme="minorHAnsi" w:hAnsiTheme="minorHAnsi" w:cstheme="minorHAnsi"/>
                <w:color w:val="000000"/>
                <w:sz w:val="20"/>
                <w:szCs w:val="22"/>
              </w:rPr>
              <w:t>1,00</w:t>
            </w:r>
          </w:p>
        </w:tc>
      </w:tr>
      <w:tr w:rsidR="009F695F" w:rsidRPr="009C76DB" w:rsidTr="009F695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6676" w:type="dxa"/>
            <w:noWrap/>
            <w:hideMark/>
          </w:tcPr>
          <w:p w:rsidR="009F695F" w:rsidRPr="009C76DB" w:rsidRDefault="009F695F" w:rsidP="00107B14">
            <w:pPr>
              <w:rPr>
                <w:rFonts w:asciiTheme="minorHAnsi" w:hAnsiTheme="minorHAnsi" w:cstheme="minorHAnsi"/>
                <w:color w:val="000000"/>
                <w:sz w:val="20"/>
                <w:szCs w:val="22"/>
              </w:rPr>
            </w:pPr>
            <w:r w:rsidRPr="009C76DB">
              <w:rPr>
                <w:rFonts w:asciiTheme="minorHAnsi" w:hAnsiTheme="minorHAnsi" w:cstheme="minorHAnsi"/>
                <w:color w:val="000000"/>
                <w:sz w:val="20"/>
                <w:szCs w:val="22"/>
              </w:rPr>
              <w:t>Razón Precio Cuenta de la Mano de Obra Semicalificada (RPCMOSC)</w:t>
            </w:r>
          </w:p>
        </w:tc>
        <w:tc>
          <w:tcPr>
            <w:tcW w:w="1644" w:type="dxa"/>
            <w:noWrap/>
            <w:hideMark/>
          </w:tcPr>
          <w:p w:rsidR="009F695F" w:rsidRPr="009C76DB" w:rsidRDefault="009F695F"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2"/>
              </w:rPr>
            </w:pPr>
            <w:r w:rsidRPr="009C76DB">
              <w:rPr>
                <w:rFonts w:asciiTheme="minorHAnsi" w:hAnsiTheme="minorHAnsi" w:cstheme="minorHAnsi"/>
                <w:color w:val="000000"/>
                <w:sz w:val="20"/>
                <w:szCs w:val="22"/>
              </w:rPr>
              <w:t>0,43</w:t>
            </w:r>
          </w:p>
        </w:tc>
      </w:tr>
      <w:tr w:rsidR="009F695F" w:rsidRPr="009C76DB" w:rsidTr="009F695F">
        <w:trPr>
          <w:trHeight w:val="113"/>
        </w:trPr>
        <w:tc>
          <w:tcPr>
            <w:cnfStyle w:val="001000000000" w:firstRow="0" w:lastRow="0" w:firstColumn="1" w:lastColumn="0" w:oddVBand="0" w:evenVBand="0" w:oddHBand="0" w:evenHBand="0" w:firstRowFirstColumn="0" w:firstRowLastColumn="0" w:lastRowFirstColumn="0" w:lastRowLastColumn="0"/>
            <w:tcW w:w="6676" w:type="dxa"/>
            <w:noWrap/>
            <w:hideMark/>
          </w:tcPr>
          <w:p w:rsidR="009F695F" w:rsidRPr="009C76DB" w:rsidRDefault="009F695F" w:rsidP="00107B14">
            <w:pPr>
              <w:rPr>
                <w:rFonts w:asciiTheme="minorHAnsi" w:hAnsiTheme="minorHAnsi" w:cstheme="minorHAnsi"/>
                <w:color w:val="000000"/>
                <w:sz w:val="20"/>
                <w:szCs w:val="22"/>
              </w:rPr>
            </w:pPr>
            <w:r w:rsidRPr="009C76DB">
              <w:rPr>
                <w:rFonts w:asciiTheme="minorHAnsi" w:hAnsiTheme="minorHAnsi" w:cstheme="minorHAnsi"/>
                <w:color w:val="000000"/>
                <w:sz w:val="20"/>
                <w:szCs w:val="22"/>
              </w:rPr>
              <w:t>Tasa Social de Descuento (TSD):</w:t>
            </w:r>
          </w:p>
        </w:tc>
        <w:tc>
          <w:tcPr>
            <w:tcW w:w="1644" w:type="dxa"/>
            <w:noWrap/>
            <w:hideMark/>
          </w:tcPr>
          <w:p w:rsidR="009F695F" w:rsidRPr="009C76DB" w:rsidRDefault="009F695F"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2"/>
              </w:rPr>
            </w:pPr>
            <w:r w:rsidRPr="009C76DB">
              <w:rPr>
                <w:rFonts w:asciiTheme="minorHAnsi" w:hAnsiTheme="minorHAnsi" w:cstheme="minorHAnsi"/>
                <w:color w:val="000000"/>
                <w:sz w:val="20"/>
                <w:szCs w:val="22"/>
              </w:rPr>
              <w:t>12,67%</w:t>
            </w:r>
          </w:p>
        </w:tc>
      </w:tr>
    </w:tbl>
    <w:p w:rsidR="009F695F" w:rsidRPr="009C76DB" w:rsidRDefault="009F695F" w:rsidP="009F695F">
      <w:pPr>
        <w:rPr>
          <w:rFonts w:asciiTheme="minorHAnsi" w:hAnsiTheme="minorHAnsi" w:cstheme="minorHAnsi"/>
          <w:sz w:val="18"/>
          <w:szCs w:val="20"/>
        </w:rPr>
      </w:pPr>
      <w:r w:rsidRPr="009C76DB">
        <w:rPr>
          <w:rFonts w:asciiTheme="minorHAnsi" w:hAnsiTheme="minorHAnsi" w:cstheme="minorHAnsi"/>
          <w:sz w:val="18"/>
          <w:szCs w:val="20"/>
        </w:rPr>
        <w:t>Fuente:</w:t>
      </w:r>
      <w:r w:rsidRPr="009C76DB">
        <w:rPr>
          <w:rFonts w:asciiTheme="minorHAnsi" w:hAnsiTheme="minorHAnsi" w:cstheme="minorHAnsi"/>
          <w:sz w:val="22"/>
        </w:rPr>
        <w:t xml:space="preserve"> </w:t>
      </w:r>
      <w:r w:rsidRPr="009C76DB">
        <w:rPr>
          <w:rFonts w:asciiTheme="minorHAnsi" w:hAnsiTheme="minorHAnsi" w:cstheme="minorHAnsi"/>
          <w:sz w:val="18"/>
          <w:szCs w:val="20"/>
        </w:rPr>
        <w:t>Resolución nº 159, La Paz 22 de Septiembre 2006. Ministerio de Planificación del Desarrollo.</w:t>
      </w:r>
    </w:p>
    <w:p w:rsidR="009F695F" w:rsidRDefault="009F695F" w:rsidP="00DE29F7">
      <w:pPr>
        <w:rPr>
          <w:rFonts w:asciiTheme="minorHAnsi" w:hAnsiTheme="minorHAnsi"/>
          <w:sz w:val="18"/>
        </w:rPr>
      </w:pPr>
    </w:p>
    <w:p w:rsidR="00995DBD" w:rsidRDefault="00995DBD" w:rsidP="00DE29F7">
      <w:pPr>
        <w:rPr>
          <w:rFonts w:asciiTheme="minorHAnsi" w:hAnsiTheme="minorHAnsi"/>
          <w:sz w:val="18"/>
        </w:rPr>
      </w:pPr>
    </w:p>
    <w:p w:rsidR="00995DBD" w:rsidRPr="00995DBD" w:rsidRDefault="00995DBD" w:rsidP="00995DBD">
      <w:pPr>
        <w:pStyle w:val="Heading2"/>
        <w:numPr>
          <w:ilvl w:val="0"/>
          <w:numId w:val="9"/>
        </w:numPr>
        <w:rPr>
          <w:rFonts w:asciiTheme="minorHAnsi" w:hAnsiTheme="minorHAnsi"/>
        </w:rPr>
      </w:pPr>
      <w:bookmarkStart w:id="90" w:name="_Toc333342536"/>
      <w:bookmarkStart w:id="91" w:name="_Toc373093550"/>
      <w:r w:rsidRPr="00995DBD">
        <w:rPr>
          <w:rFonts w:asciiTheme="minorHAnsi" w:hAnsiTheme="minorHAnsi"/>
        </w:rPr>
        <w:t>Equipamiento seleccionado para su renovación cada diez años</w:t>
      </w:r>
      <w:bookmarkEnd w:id="90"/>
      <w:r w:rsidR="0029096E">
        <w:rPr>
          <w:rFonts w:asciiTheme="minorHAnsi" w:hAnsiTheme="minorHAnsi"/>
        </w:rPr>
        <w:t xml:space="preserve"> (US$)</w:t>
      </w:r>
      <w:bookmarkEnd w:id="91"/>
    </w:p>
    <w:p w:rsidR="00995DBD" w:rsidRDefault="00995DBD" w:rsidP="00DE29F7">
      <w:pPr>
        <w:rPr>
          <w:rFonts w:asciiTheme="minorHAnsi" w:hAnsiTheme="minorHAnsi"/>
          <w:sz w:val="18"/>
        </w:rPr>
      </w:pPr>
    </w:p>
    <w:tbl>
      <w:tblPr>
        <w:tblStyle w:val="LightList-Accent3"/>
        <w:tblW w:w="5168" w:type="dxa"/>
        <w:tblLook w:val="04A0" w:firstRow="1" w:lastRow="0" w:firstColumn="1" w:lastColumn="0" w:noHBand="0" w:noVBand="1"/>
      </w:tblPr>
      <w:tblGrid>
        <w:gridCol w:w="2239"/>
        <w:gridCol w:w="486"/>
        <w:gridCol w:w="1407"/>
        <w:gridCol w:w="1036"/>
      </w:tblGrid>
      <w:tr w:rsidR="0029096E" w:rsidTr="0029096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39" w:type="dxa"/>
            <w:noWrap/>
          </w:tcPr>
          <w:p w:rsidR="0029096E" w:rsidRDefault="0029096E" w:rsidP="0029096E">
            <w:pPr>
              <w:jc w:val="center"/>
              <w:rPr>
                <w:rFonts w:ascii="Calibri" w:hAnsi="Calibri"/>
                <w:color w:val="000000"/>
                <w:sz w:val="18"/>
                <w:szCs w:val="18"/>
              </w:rPr>
            </w:pPr>
            <w:r>
              <w:rPr>
                <w:rFonts w:ascii="Calibri" w:hAnsi="Calibri"/>
                <w:color w:val="000000"/>
                <w:sz w:val="18"/>
                <w:szCs w:val="18"/>
              </w:rPr>
              <w:t>Equipo</w:t>
            </w:r>
          </w:p>
        </w:tc>
        <w:tc>
          <w:tcPr>
            <w:tcW w:w="486" w:type="dxa"/>
            <w:noWrap/>
          </w:tcPr>
          <w:p w:rsidR="0029096E" w:rsidRDefault="0029096E" w:rsidP="0029096E">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w:t>
            </w:r>
          </w:p>
        </w:tc>
        <w:tc>
          <w:tcPr>
            <w:tcW w:w="1407" w:type="dxa"/>
            <w:noWrap/>
          </w:tcPr>
          <w:p w:rsidR="0029096E" w:rsidRDefault="0029096E" w:rsidP="0029096E">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Precio unitario</w:t>
            </w:r>
          </w:p>
        </w:tc>
        <w:tc>
          <w:tcPr>
            <w:tcW w:w="1036" w:type="dxa"/>
            <w:noWrap/>
          </w:tcPr>
          <w:p w:rsidR="0029096E" w:rsidRDefault="0029096E" w:rsidP="0029096E">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Total</w:t>
            </w:r>
          </w:p>
        </w:tc>
      </w:tr>
      <w:tr w:rsidR="0029096E" w:rsidTr="0029096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39" w:type="dxa"/>
            <w:noWrap/>
            <w:hideMark/>
          </w:tcPr>
          <w:p w:rsidR="00995DBD" w:rsidRDefault="00995DBD">
            <w:pPr>
              <w:rPr>
                <w:rFonts w:ascii="Calibri" w:hAnsi="Calibri"/>
                <w:color w:val="000000"/>
                <w:sz w:val="18"/>
                <w:szCs w:val="18"/>
              </w:rPr>
            </w:pPr>
            <w:r>
              <w:rPr>
                <w:rFonts w:ascii="Calibri" w:hAnsi="Calibri"/>
                <w:color w:val="000000"/>
                <w:sz w:val="18"/>
                <w:szCs w:val="18"/>
              </w:rPr>
              <w:t>Mamógrafo digital</w:t>
            </w:r>
          </w:p>
        </w:tc>
        <w:tc>
          <w:tcPr>
            <w:tcW w:w="486" w:type="dxa"/>
            <w:noWrap/>
            <w:hideMark/>
          </w:tcPr>
          <w:p w:rsidR="00995DBD" w:rsidRDefault="00995DB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w:t>
            </w:r>
          </w:p>
        </w:tc>
        <w:tc>
          <w:tcPr>
            <w:tcW w:w="1407" w:type="dxa"/>
            <w:noWrap/>
            <w:hideMark/>
          </w:tcPr>
          <w:p w:rsidR="00995DBD" w:rsidRDefault="00995DB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375.000</w:t>
            </w:r>
          </w:p>
        </w:tc>
        <w:tc>
          <w:tcPr>
            <w:tcW w:w="1036" w:type="dxa"/>
            <w:noWrap/>
            <w:hideMark/>
          </w:tcPr>
          <w:p w:rsidR="00995DBD" w:rsidRDefault="00995DB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375.000</w:t>
            </w:r>
          </w:p>
        </w:tc>
      </w:tr>
      <w:tr w:rsidR="00995DBD" w:rsidTr="0029096E">
        <w:trPr>
          <w:trHeight w:val="57"/>
        </w:trPr>
        <w:tc>
          <w:tcPr>
            <w:cnfStyle w:val="001000000000" w:firstRow="0" w:lastRow="0" w:firstColumn="1" w:lastColumn="0" w:oddVBand="0" w:evenVBand="0" w:oddHBand="0" w:evenHBand="0" w:firstRowFirstColumn="0" w:firstRowLastColumn="0" w:lastRowFirstColumn="0" w:lastRowLastColumn="0"/>
            <w:tcW w:w="2239" w:type="dxa"/>
            <w:noWrap/>
            <w:hideMark/>
          </w:tcPr>
          <w:p w:rsidR="00995DBD" w:rsidRDefault="00995DBD">
            <w:pPr>
              <w:rPr>
                <w:rFonts w:ascii="Calibri" w:hAnsi="Calibri"/>
                <w:color w:val="000000"/>
                <w:sz w:val="18"/>
                <w:szCs w:val="18"/>
              </w:rPr>
            </w:pPr>
            <w:r>
              <w:rPr>
                <w:rFonts w:ascii="Calibri" w:hAnsi="Calibri"/>
                <w:color w:val="000000"/>
                <w:sz w:val="18"/>
                <w:szCs w:val="18"/>
              </w:rPr>
              <w:t>Equipo Rx osteopulmonar</w:t>
            </w:r>
          </w:p>
        </w:tc>
        <w:tc>
          <w:tcPr>
            <w:tcW w:w="486" w:type="dxa"/>
            <w:noWrap/>
            <w:hideMark/>
          </w:tcPr>
          <w:p w:rsidR="00995DBD" w:rsidRDefault="00995DB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w:t>
            </w:r>
          </w:p>
        </w:tc>
        <w:tc>
          <w:tcPr>
            <w:tcW w:w="1407" w:type="dxa"/>
            <w:noWrap/>
            <w:hideMark/>
          </w:tcPr>
          <w:p w:rsidR="00995DBD" w:rsidRDefault="00995DB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100.000</w:t>
            </w:r>
          </w:p>
        </w:tc>
        <w:tc>
          <w:tcPr>
            <w:tcW w:w="1036" w:type="dxa"/>
            <w:noWrap/>
            <w:hideMark/>
          </w:tcPr>
          <w:p w:rsidR="00995DBD" w:rsidRDefault="00995DB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200.000</w:t>
            </w:r>
          </w:p>
        </w:tc>
      </w:tr>
      <w:tr w:rsidR="00995DBD" w:rsidTr="0029096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39" w:type="dxa"/>
            <w:noWrap/>
            <w:hideMark/>
          </w:tcPr>
          <w:p w:rsidR="00995DBD" w:rsidRDefault="00995DBD">
            <w:pPr>
              <w:rPr>
                <w:rFonts w:ascii="Calibri" w:hAnsi="Calibri"/>
                <w:color w:val="000000"/>
                <w:sz w:val="18"/>
                <w:szCs w:val="18"/>
              </w:rPr>
            </w:pPr>
            <w:r>
              <w:rPr>
                <w:rFonts w:ascii="Calibri" w:hAnsi="Calibri"/>
                <w:color w:val="000000"/>
                <w:sz w:val="18"/>
                <w:szCs w:val="18"/>
              </w:rPr>
              <w:t xml:space="preserve">Ecotomógrafo </w:t>
            </w:r>
          </w:p>
        </w:tc>
        <w:tc>
          <w:tcPr>
            <w:tcW w:w="486" w:type="dxa"/>
            <w:noWrap/>
            <w:hideMark/>
          </w:tcPr>
          <w:p w:rsidR="00995DBD" w:rsidRDefault="00995DB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w:t>
            </w:r>
          </w:p>
        </w:tc>
        <w:tc>
          <w:tcPr>
            <w:tcW w:w="1407" w:type="dxa"/>
            <w:noWrap/>
            <w:hideMark/>
          </w:tcPr>
          <w:p w:rsidR="00995DBD" w:rsidRDefault="00995DB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48.000</w:t>
            </w:r>
          </w:p>
        </w:tc>
        <w:tc>
          <w:tcPr>
            <w:tcW w:w="1036" w:type="dxa"/>
            <w:noWrap/>
            <w:hideMark/>
          </w:tcPr>
          <w:p w:rsidR="00995DBD" w:rsidRDefault="00995DB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48.000</w:t>
            </w:r>
          </w:p>
        </w:tc>
      </w:tr>
      <w:tr w:rsidR="00995DBD" w:rsidTr="0029096E">
        <w:trPr>
          <w:trHeight w:val="57"/>
        </w:trPr>
        <w:tc>
          <w:tcPr>
            <w:cnfStyle w:val="001000000000" w:firstRow="0" w:lastRow="0" w:firstColumn="1" w:lastColumn="0" w:oddVBand="0" w:evenVBand="0" w:oddHBand="0" w:evenHBand="0" w:firstRowFirstColumn="0" w:firstRowLastColumn="0" w:lastRowFirstColumn="0" w:lastRowLastColumn="0"/>
            <w:tcW w:w="2239" w:type="dxa"/>
            <w:noWrap/>
            <w:hideMark/>
          </w:tcPr>
          <w:p w:rsidR="00995DBD" w:rsidRDefault="00995DBD">
            <w:pPr>
              <w:rPr>
                <w:rFonts w:ascii="Calibri" w:hAnsi="Calibri"/>
                <w:color w:val="000000"/>
                <w:sz w:val="18"/>
                <w:szCs w:val="18"/>
              </w:rPr>
            </w:pPr>
            <w:r>
              <w:rPr>
                <w:rFonts w:ascii="Calibri" w:hAnsi="Calibri"/>
                <w:color w:val="000000"/>
                <w:sz w:val="18"/>
                <w:szCs w:val="18"/>
              </w:rPr>
              <w:t>TAC 16 cortes</w:t>
            </w:r>
          </w:p>
        </w:tc>
        <w:tc>
          <w:tcPr>
            <w:tcW w:w="486" w:type="dxa"/>
            <w:noWrap/>
            <w:hideMark/>
          </w:tcPr>
          <w:p w:rsidR="00995DBD" w:rsidRDefault="00995DB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w:t>
            </w:r>
          </w:p>
        </w:tc>
        <w:tc>
          <w:tcPr>
            <w:tcW w:w="1407" w:type="dxa"/>
            <w:noWrap/>
            <w:hideMark/>
          </w:tcPr>
          <w:p w:rsidR="00995DBD" w:rsidRDefault="00995DB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580.000</w:t>
            </w:r>
          </w:p>
        </w:tc>
        <w:tc>
          <w:tcPr>
            <w:tcW w:w="1036" w:type="dxa"/>
            <w:noWrap/>
            <w:hideMark/>
          </w:tcPr>
          <w:p w:rsidR="00995DBD" w:rsidRDefault="00995DB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1.160.000</w:t>
            </w:r>
          </w:p>
        </w:tc>
      </w:tr>
      <w:tr w:rsidR="00995DBD" w:rsidTr="0029096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39" w:type="dxa"/>
            <w:noWrap/>
            <w:hideMark/>
          </w:tcPr>
          <w:p w:rsidR="00995DBD" w:rsidRDefault="00995DBD">
            <w:pPr>
              <w:rPr>
                <w:rFonts w:ascii="Calibri" w:hAnsi="Calibri"/>
                <w:color w:val="000000"/>
                <w:sz w:val="18"/>
                <w:szCs w:val="18"/>
              </w:rPr>
            </w:pPr>
            <w:r>
              <w:rPr>
                <w:rFonts w:ascii="Calibri" w:hAnsi="Calibri"/>
                <w:color w:val="000000"/>
                <w:sz w:val="18"/>
                <w:szCs w:val="18"/>
              </w:rPr>
              <w:t>Resonador</w:t>
            </w:r>
          </w:p>
        </w:tc>
        <w:tc>
          <w:tcPr>
            <w:tcW w:w="486" w:type="dxa"/>
            <w:noWrap/>
            <w:hideMark/>
          </w:tcPr>
          <w:p w:rsidR="00995DBD" w:rsidRDefault="00995DB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w:t>
            </w:r>
          </w:p>
        </w:tc>
        <w:tc>
          <w:tcPr>
            <w:tcW w:w="1407" w:type="dxa"/>
            <w:noWrap/>
            <w:hideMark/>
          </w:tcPr>
          <w:p w:rsidR="00995DBD" w:rsidRDefault="00995DB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1.100.000</w:t>
            </w:r>
          </w:p>
        </w:tc>
        <w:tc>
          <w:tcPr>
            <w:tcW w:w="1036" w:type="dxa"/>
            <w:noWrap/>
            <w:hideMark/>
          </w:tcPr>
          <w:p w:rsidR="00995DBD" w:rsidRDefault="00995DB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1.100.000</w:t>
            </w:r>
          </w:p>
        </w:tc>
      </w:tr>
      <w:tr w:rsidR="00995DBD" w:rsidTr="0029096E">
        <w:trPr>
          <w:trHeight w:val="57"/>
        </w:trPr>
        <w:tc>
          <w:tcPr>
            <w:cnfStyle w:val="001000000000" w:firstRow="0" w:lastRow="0" w:firstColumn="1" w:lastColumn="0" w:oddVBand="0" w:evenVBand="0" w:oddHBand="0" w:evenHBand="0" w:firstRowFirstColumn="0" w:firstRowLastColumn="0" w:lastRowFirstColumn="0" w:lastRowLastColumn="0"/>
            <w:tcW w:w="2239" w:type="dxa"/>
            <w:noWrap/>
            <w:hideMark/>
          </w:tcPr>
          <w:p w:rsidR="00995DBD" w:rsidRDefault="00995DBD">
            <w:pPr>
              <w:rPr>
                <w:rFonts w:ascii="Calibri" w:hAnsi="Calibri"/>
                <w:color w:val="000000"/>
                <w:sz w:val="18"/>
                <w:szCs w:val="18"/>
              </w:rPr>
            </w:pPr>
            <w:r>
              <w:rPr>
                <w:rFonts w:ascii="Calibri" w:hAnsi="Calibri"/>
                <w:color w:val="000000"/>
                <w:sz w:val="18"/>
                <w:szCs w:val="18"/>
              </w:rPr>
              <w:t>Equipo completo</w:t>
            </w:r>
          </w:p>
        </w:tc>
        <w:tc>
          <w:tcPr>
            <w:tcW w:w="486" w:type="dxa"/>
            <w:noWrap/>
            <w:hideMark/>
          </w:tcPr>
          <w:p w:rsidR="00995DBD" w:rsidRDefault="00995DB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w:t>
            </w:r>
          </w:p>
        </w:tc>
        <w:tc>
          <w:tcPr>
            <w:tcW w:w="1407" w:type="dxa"/>
            <w:noWrap/>
            <w:hideMark/>
          </w:tcPr>
          <w:p w:rsidR="00995DBD" w:rsidRDefault="00995DB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3.500.000</w:t>
            </w:r>
          </w:p>
        </w:tc>
        <w:tc>
          <w:tcPr>
            <w:tcW w:w="1036" w:type="dxa"/>
            <w:noWrap/>
            <w:hideMark/>
          </w:tcPr>
          <w:p w:rsidR="00995DBD" w:rsidRDefault="00995DB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3.500.000</w:t>
            </w:r>
          </w:p>
        </w:tc>
      </w:tr>
      <w:tr w:rsidR="00995DBD" w:rsidTr="0029096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39" w:type="dxa"/>
            <w:noWrap/>
            <w:hideMark/>
          </w:tcPr>
          <w:p w:rsidR="00995DBD" w:rsidRDefault="00995DBD">
            <w:pPr>
              <w:rPr>
                <w:rFonts w:ascii="Calibri" w:hAnsi="Calibri"/>
                <w:color w:val="000000"/>
                <w:sz w:val="18"/>
                <w:szCs w:val="18"/>
              </w:rPr>
            </w:pPr>
            <w:r>
              <w:rPr>
                <w:rFonts w:ascii="Calibri" w:hAnsi="Calibri"/>
                <w:color w:val="000000"/>
                <w:sz w:val="18"/>
                <w:szCs w:val="18"/>
              </w:rPr>
              <w:t>Equipo completo</w:t>
            </w:r>
          </w:p>
        </w:tc>
        <w:tc>
          <w:tcPr>
            <w:tcW w:w="486" w:type="dxa"/>
            <w:noWrap/>
            <w:hideMark/>
          </w:tcPr>
          <w:p w:rsidR="00995DBD" w:rsidRDefault="00995DB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w:t>
            </w:r>
          </w:p>
        </w:tc>
        <w:tc>
          <w:tcPr>
            <w:tcW w:w="1407" w:type="dxa"/>
            <w:noWrap/>
            <w:hideMark/>
          </w:tcPr>
          <w:p w:rsidR="00995DBD" w:rsidRDefault="00995DB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320.000</w:t>
            </w:r>
          </w:p>
        </w:tc>
        <w:tc>
          <w:tcPr>
            <w:tcW w:w="1036" w:type="dxa"/>
            <w:noWrap/>
            <w:hideMark/>
          </w:tcPr>
          <w:p w:rsidR="00995DBD" w:rsidRDefault="00995DBD">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320.000</w:t>
            </w:r>
          </w:p>
        </w:tc>
      </w:tr>
      <w:tr w:rsidR="00995DBD" w:rsidTr="0029096E">
        <w:trPr>
          <w:trHeight w:val="57"/>
        </w:trPr>
        <w:tc>
          <w:tcPr>
            <w:cnfStyle w:val="001000000000" w:firstRow="0" w:lastRow="0" w:firstColumn="1" w:lastColumn="0" w:oddVBand="0" w:evenVBand="0" w:oddHBand="0" w:evenHBand="0" w:firstRowFirstColumn="0" w:firstRowLastColumn="0" w:lastRowFirstColumn="0" w:lastRowLastColumn="0"/>
            <w:tcW w:w="2239" w:type="dxa"/>
            <w:noWrap/>
            <w:hideMark/>
          </w:tcPr>
          <w:p w:rsidR="00995DBD" w:rsidRDefault="00213D2E">
            <w:pPr>
              <w:rPr>
                <w:rFonts w:ascii="Calibri" w:hAnsi="Calibri"/>
                <w:color w:val="000000"/>
                <w:sz w:val="18"/>
                <w:szCs w:val="18"/>
              </w:rPr>
            </w:pPr>
            <w:r>
              <w:rPr>
                <w:rFonts w:ascii="Calibri" w:hAnsi="Calibri"/>
                <w:color w:val="000000"/>
                <w:sz w:val="18"/>
                <w:szCs w:val="18"/>
              </w:rPr>
              <w:t>Gamma cámara</w:t>
            </w:r>
          </w:p>
        </w:tc>
        <w:tc>
          <w:tcPr>
            <w:tcW w:w="486" w:type="dxa"/>
            <w:noWrap/>
            <w:hideMark/>
          </w:tcPr>
          <w:p w:rsidR="00995DBD" w:rsidRDefault="00995DB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w:t>
            </w:r>
          </w:p>
        </w:tc>
        <w:tc>
          <w:tcPr>
            <w:tcW w:w="1407" w:type="dxa"/>
            <w:noWrap/>
            <w:hideMark/>
          </w:tcPr>
          <w:p w:rsidR="00995DBD" w:rsidRDefault="00995DB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400.000</w:t>
            </w:r>
          </w:p>
        </w:tc>
        <w:tc>
          <w:tcPr>
            <w:tcW w:w="1036" w:type="dxa"/>
            <w:noWrap/>
            <w:hideMark/>
          </w:tcPr>
          <w:p w:rsidR="00995DBD" w:rsidRDefault="00995DBD">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400.000</w:t>
            </w:r>
          </w:p>
        </w:tc>
      </w:tr>
      <w:tr w:rsidR="0029096E" w:rsidTr="0029096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39" w:type="dxa"/>
            <w:noWrap/>
          </w:tcPr>
          <w:p w:rsidR="0029096E" w:rsidRDefault="0029096E">
            <w:pPr>
              <w:rPr>
                <w:rFonts w:ascii="Calibri" w:hAnsi="Calibri"/>
                <w:color w:val="000000"/>
                <w:sz w:val="18"/>
                <w:szCs w:val="18"/>
              </w:rPr>
            </w:pPr>
            <w:r>
              <w:rPr>
                <w:rFonts w:ascii="Calibri" w:hAnsi="Calibri"/>
                <w:color w:val="000000"/>
                <w:sz w:val="18"/>
                <w:szCs w:val="18"/>
              </w:rPr>
              <w:t>Total</w:t>
            </w:r>
          </w:p>
        </w:tc>
        <w:tc>
          <w:tcPr>
            <w:tcW w:w="486" w:type="dxa"/>
            <w:noWrap/>
          </w:tcPr>
          <w:p w:rsidR="0029096E" w:rsidRDefault="0029096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407" w:type="dxa"/>
            <w:noWrap/>
          </w:tcPr>
          <w:p w:rsidR="0029096E" w:rsidRDefault="0029096E">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036" w:type="dxa"/>
            <w:noWrap/>
          </w:tcPr>
          <w:p w:rsidR="0029096E" w:rsidRPr="0029096E" w:rsidRDefault="0029096E" w:rsidP="0029096E">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sz w:val="18"/>
                <w:szCs w:val="18"/>
              </w:rPr>
            </w:pPr>
            <w:r w:rsidRPr="0029096E">
              <w:rPr>
                <w:rFonts w:ascii="Calibri" w:hAnsi="Calibri"/>
                <w:b/>
                <w:color w:val="000000"/>
                <w:sz w:val="18"/>
                <w:szCs w:val="18"/>
              </w:rPr>
              <w:t>7.103.000</w:t>
            </w:r>
          </w:p>
        </w:tc>
      </w:tr>
    </w:tbl>
    <w:p w:rsidR="00995DBD" w:rsidRDefault="00995DBD" w:rsidP="00DE29F7">
      <w:pPr>
        <w:rPr>
          <w:rFonts w:asciiTheme="minorHAnsi" w:hAnsiTheme="minorHAnsi"/>
          <w:sz w:val="18"/>
        </w:rPr>
      </w:pPr>
      <w:r>
        <w:rPr>
          <w:rFonts w:asciiTheme="minorHAnsi" w:hAnsiTheme="minorHAnsi"/>
          <w:sz w:val="18"/>
        </w:rPr>
        <w:t>Fuente: Misión BID. Ing. Nydia Contardo.</w:t>
      </w:r>
    </w:p>
    <w:p w:rsidR="00201F5D" w:rsidRDefault="00201F5D">
      <w:pPr>
        <w:rPr>
          <w:rFonts w:asciiTheme="minorHAnsi" w:hAnsiTheme="minorHAnsi"/>
          <w:sz w:val="18"/>
        </w:rPr>
      </w:pPr>
      <w:r>
        <w:rPr>
          <w:rFonts w:asciiTheme="minorHAnsi" w:hAnsiTheme="minorHAnsi"/>
          <w:sz w:val="18"/>
        </w:rPr>
        <w:br w:type="page"/>
      </w:r>
    </w:p>
    <w:p w:rsidR="00107B14" w:rsidRDefault="00107B14" w:rsidP="00107B14">
      <w:pPr>
        <w:pStyle w:val="Heading2"/>
        <w:numPr>
          <w:ilvl w:val="0"/>
          <w:numId w:val="9"/>
        </w:numPr>
        <w:rPr>
          <w:rFonts w:asciiTheme="minorHAnsi" w:hAnsiTheme="minorHAnsi"/>
        </w:rPr>
      </w:pPr>
      <w:bookmarkStart w:id="92" w:name="_Toc373093551"/>
      <w:r w:rsidRPr="00107B14">
        <w:rPr>
          <w:rFonts w:asciiTheme="minorHAnsi" w:hAnsiTheme="minorHAnsi"/>
        </w:rPr>
        <w:lastRenderedPageBreak/>
        <w:t>Beneficio Incrementales del proyecto por prestación sanitaria</w:t>
      </w:r>
      <w:r w:rsidR="000D5657">
        <w:rPr>
          <w:rFonts w:asciiTheme="minorHAnsi" w:hAnsiTheme="minorHAnsi"/>
        </w:rPr>
        <w:t xml:space="preserve"> (B$)</w:t>
      </w:r>
      <w:bookmarkEnd w:id="92"/>
    </w:p>
    <w:p w:rsidR="000D5657" w:rsidRDefault="000D5657" w:rsidP="00107B14"/>
    <w:p w:rsidR="00107B14" w:rsidRPr="000D5657" w:rsidRDefault="000D5657" w:rsidP="00107B14">
      <w:pPr>
        <w:rPr>
          <w:rFonts w:asciiTheme="minorHAnsi" w:hAnsiTheme="minorHAnsi"/>
          <w:sz w:val="20"/>
        </w:rPr>
      </w:pPr>
      <w:r w:rsidRPr="000D5657">
        <w:rPr>
          <w:rFonts w:asciiTheme="minorHAnsi" w:hAnsiTheme="minorHAnsi"/>
          <w:sz w:val="20"/>
        </w:rPr>
        <w:t>B SP: Beneficios sin proyecto</w:t>
      </w:r>
    </w:p>
    <w:p w:rsidR="000D5657" w:rsidRPr="000D5657" w:rsidRDefault="000D5657" w:rsidP="00107B14">
      <w:pPr>
        <w:rPr>
          <w:rFonts w:asciiTheme="minorHAnsi" w:hAnsiTheme="minorHAnsi"/>
          <w:sz w:val="20"/>
        </w:rPr>
      </w:pPr>
      <w:r w:rsidRPr="000D5657">
        <w:rPr>
          <w:rFonts w:asciiTheme="minorHAnsi" w:hAnsiTheme="minorHAnsi"/>
          <w:sz w:val="20"/>
        </w:rPr>
        <w:t>B CP: Beneficio con proyecto</w:t>
      </w:r>
    </w:p>
    <w:p w:rsidR="000D5657" w:rsidRPr="000D5657" w:rsidRDefault="000D5657" w:rsidP="00107B14">
      <w:pPr>
        <w:rPr>
          <w:rFonts w:asciiTheme="minorHAnsi" w:hAnsiTheme="minorHAnsi"/>
          <w:sz w:val="20"/>
        </w:rPr>
      </w:pPr>
      <w:r w:rsidRPr="000D5657">
        <w:rPr>
          <w:rFonts w:asciiTheme="minorHAnsi" w:hAnsiTheme="minorHAnsi"/>
          <w:sz w:val="20"/>
        </w:rPr>
        <w:t>B Incr: Beneficios incrementales</w:t>
      </w:r>
    </w:p>
    <w:p w:rsidR="000D5657" w:rsidRDefault="000D5657" w:rsidP="00107B14"/>
    <w:tbl>
      <w:tblPr>
        <w:tblStyle w:val="LightList-Accent3"/>
        <w:tblW w:w="8659" w:type="dxa"/>
        <w:tblLook w:val="04A0" w:firstRow="1" w:lastRow="0" w:firstColumn="1" w:lastColumn="0" w:noHBand="0" w:noVBand="1"/>
      </w:tblPr>
      <w:tblGrid>
        <w:gridCol w:w="520"/>
        <w:gridCol w:w="478"/>
        <w:gridCol w:w="823"/>
        <w:gridCol w:w="823"/>
        <w:gridCol w:w="763"/>
        <w:gridCol w:w="1089"/>
        <w:gridCol w:w="763"/>
        <w:gridCol w:w="763"/>
        <w:gridCol w:w="1051"/>
        <w:gridCol w:w="823"/>
        <w:gridCol w:w="763"/>
      </w:tblGrid>
      <w:tr w:rsidR="00107B14" w:rsidRPr="00107B14" w:rsidTr="00107B1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8" w:type="dxa"/>
            <w:gridSpan w:val="2"/>
            <w:noWrap/>
          </w:tcPr>
          <w:p w:rsidR="00107B14" w:rsidRPr="00107B14" w:rsidRDefault="00107B14" w:rsidP="00107B14">
            <w:pPr>
              <w:jc w:val="center"/>
              <w:rPr>
                <w:rFonts w:asciiTheme="minorHAnsi" w:hAnsiTheme="minorHAnsi"/>
                <w:color w:val="000000"/>
                <w:sz w:val="12"/>
                <w:szCs w:val="22"/>
              </w:rPr>
            </w:pPr>
            <w:r w:rsidRPr="00107B14">
              <w:rPr>
                <w:rFonts w:asciiTheme="minorHAnsi" w:hAnsiTheme="minorHAnsi"/>
                <w:color w:val="000000"/>
                <w:sz w:val="12"/>
                <w:szCs w:val="22"/>
              </w:rPr>
              <w:t>Año</w:t>
            </w:r>
            <w:r>
              <w:rPr>
                <w:rFonts w:asciiTheme="minorHAnsi" w:hAnsiTheme="minorHAnsi"/>
                <w:color w:val="000000"/>
                <w:sz w:val="12"/>
                <w:szCs w:val="22"/>
              </w:rPr>
              <w:t>/periodo</w:t>
            </w:r>
          </w:p>
        </w:tc>
        <w:tc>
          <w:tcPr>
            <w:tcW w:w="2409" w:type="dxa"/>
            <w:gridSpan w:val="3"/>
            <w:noWrap/>
          </w:tcPr>
          <w:p w:rsidR="00107B14" w:rsidRPr="00107B14" w:rsidRDefault="00107B14" w:rsidP="00107B1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12"/>
                <w:szCs w:val="22"/>
              </w:rPr>
            </w:pPr>
            <w:r w:rsidRPr="00107B14">
              <w:rPr>
                <w:rFonts w:asciiTheme="minorHAnsi" w:hAnsiTheme="minorHAnsi"/>
                <w:bCs w:val="0"/>
                <w:color w:val="000000"/>
                <w:sz w:val="12"/>
                <w:szCs w:val="22"/>
              </w:rPr>
              <w:t>Días cama</w:t>
            </w:r>
          </w:p>
        </w:tc>
        <w:tc>
          <w:tcPr>
            <w:tcW w:w="2615" w:type="dxa"/>
            <w:gridSpan w:val="3"/>
            <w:noWrap/>
          </w:tcPr>
          <w:p w:rsidR="00107B14" w:rsidRPr="00107B14" w:rsidRDefault="00107B14" w:rsidP="00107B1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12"/>
                <w:szCs w:val="22"/>
              </w:rPr>
            </w:pPr>
            <w:r w:rsidRPr="00107B14">
              <w:rPr>
                <w:rFonts w:asciiTheme="minorHAnsi" w:hAnsiTheme="minorHAnsi"/>
                <w:color w:val="000000"/>
                <w:sz w:val="12"/>
                <w:szCs w:val="22"/>
              </w:rPr>
              <w:t>Partos normales</w:t>
            </w:r>
          </w:p>
        </w:tc>
        <w:tc>
          <w:tcPr>
            <w:tcW w:w="2637" w:type="dxa"/>
            <w:gridSpan w:val="3"/>
            <w:noWrap/>
          </w:tcPr>
          <w:p w:rsidR="00107B14" w:rsidRPr="00107B14" w:rsidRDefault="00107B14" w:rsidP="00107B1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12"/>
                <w:szCs w:val="22"/>
              </w:rPr>
            </w:pPr>
            <w:r w:rsidRPr="00107B14">
              <w:rPr>
                <w:rFonts w:asciiTheme="minorHAnsi" w:hAnsiTheme="minorHAnsi"/>
                <w:color w:val="000000"/>
                <w:sz w:val="12"/>
                <w:szCs w:val="22"/>
              </w:rPr>
              <w:t xml:space="preserve">Partos </w:t>
            </w:r>
            <w:r w:rsidR="00213D2E" w:rsidRPr="00107B14">
              <w:rPr>
                <w:rFonts w:asciiTheme="minorHAnsi" w:hAnsiTheme="minorHAnsi"/>
                <w:color w:val="000000"/>
                <w:sz w:val="12"/>
                <w:szCs w:val="22"/>
              </w:rPr>
              <w:t>cesáreas</w:t>
            </w:r>
          </w:p>
        </w:tc>
      </w:tr>
      <w:tr w:rsidR="00107B14" w:rsidRPr="00107B14" w:rsidTr="00107B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rPr>
                <w:rFonts w:asciiTheme="minorHAnsi" w:hAnsiTheme="minorHAnsi"/>
                <w:b w:val="0"/>
                <w:color w:val="000000"/>
                <w:sz w:val="12"/>
                <w:szCs w:val="22"/>
              </w:rPr>
            </w:pPr>
          </w:p>
        </w:tc>
        <w:tc>
          <w:tcPr>
            <w:tcW w:w="478" w:type="dxa"/>
            <w:noWrap/>
            <w:hideMark/>
          </w:tcPr>
          <w:p w:rsidR="00107B14" w:rsidRPr="00107B14" w:rsidRDefault="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2"/>
                <w:szCs w:val="22"/>
              </w:rPr>
            </w:pPr>
            <w:r w:rsidRPr="00107B14">
              <w:rPr>
                <w:rFonts w:asciiTheme="minorHAnsi" w:hAnsiTheme="minorHAnsi"/>
                <w:bCs/>
                <w:color w:val="000000"/>
                <w:sz w:val="12"/>
                <w:szCs w:val="22"/>
              </w:rPr>
              <w:t>B SP</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2"/>
                <w:szCs w:val="22"/>
              </w:rPr>
            </w:pPr>
            <w:r w:rsidRPr="00107B14">
              <w:rPr>
                <w:rFonts w:asciiTheme="minorHAnsi" w:hAnsiTheme="minorHAnsi"/>
                <w:bCs/>
                <w:color w:val="000000"/>
                <w:sz w:val="12"/>
                <w:szCs w:val="22"/>
              </w:rPr>
              <w:t>B CP</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2"/>
                <w:szCs w:val="22"/>
              </w:rPr>
            </w:pPr>
            <w:r w:rsidRPr="00107B14">
              <w:rPr>
                <w:rFonts w:asciiTheme="minorHAnsi" w:hAnsiTheme="minorHAnsi"/>
                <w:bCs/>
                <w:color w:val="000000"/>
                <w:sz w:val="12"/>
                <w:szCs w:val="22"/>
              </w:rPr>
              <w:t>B Incr</w:t>
            </w:r>
          </w:p>
        </w:tc>
        <w:tc>
          <w:tcPr>
            <w:tcW w:w="1089"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2"/>
                <w:szCs w:val="22"/>
              </w:rPr>
            </w:pPr>
            <w:r w:rsidRPr="00107B14">
              <w:rPr>
                <w:rFonts w:asciiTheme="minorHAnsi" w:hAnsiTheme="minorHAnsi"/>
                <w:bCs/>
                <w:color w:val="000000"/>
                <w:sz w:val="12"/>
                <w:szCs w:val="22"/>
              </w:rPr>
              <w:t>B SP</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2"/>
                <w:szCs w:val="22"/>
              </w:rPr>
            </w:pPr>
            <w:r w:rsidRPr="00107B14">
              <w:rPr>
                <w:rFonts w:asciiTheme="minorHAnsi" w:hAnsiTheme="minorHAnsi"/>
                <w:bCs/>
                <w:color w:val="000000"/>
                <w:sz w:val="12"/>
                <w:szCs w:val="22"/>
              </w:rPr>
              <w:t>B CP</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2"/>
                <w:szCs w:val="22"/>
              </w:rPr>
            </w:pPr>
            <w:r w:rsidRPr="00107B14">
              <w:rPr>
                <w:rFonts w:asciiTheme="minorHAnsi" w:hAnsiTheme="minorHAnsi"/>
                <w:bCs/>
                <w:color w:val="000000"/>
                <w:sz w:val="12"/>
                <w:szCs w:val="22"/>
              </w:rPr>
              <w:t>B Incr</w:t>
            </w:r>
          </w:p>
        </w:tc>
        <w:tc>
          <w:tcPr>
            <w:tcW w:w="1051"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2"/>
                <w:szCs w:val="22"/>
              </w:rPr>
            </w:pPr>
            <w:r w:rsidRPr="00107B14">
              <w:rPr>
                <w:rFonts w:asciiTheme="minorHAnsi" w:hAnsiTheme="minorHAnsi"/>
                <w:bCs/>
                <w:color w:val="000000"/>
                <w:sz w:val="12"/>
                <w:szCs w:val="22"/>
              </w:rPr>
              <w:t>B SP</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2"/>
                <w:szCs w:val="22"/>
              </w:rPr>
            </w:pPr>
            <w:r w:rsidRPr="00107B14">
              <w:rPr>
                <w:rFonts w:asciiTheme="minorHAnsi" w:hAnsiTheme="minorHAnsi"/>
                <w:bCs/>
                <w:color w:val="000000"/>
                <w:sz w:val="12"/>
                <w:szCs w:val="22"/>
              </w:rPr>
              <w:t>B CP</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2"/>
                <w:szCs w:val="22"/>
              </w:rPr>
            </w:pPr>
            <w:r w:rsidRPr="00107B14">
              <w:rPr>
                <w:rFonts w:asciiTheme="minorHAnsi" w:hAnsiTheme="minorHAnsi"/>
                <w:bCs/>
                <w:color w:val="000000"/>
                <w:sz w:val="12"/>
                <w:szCs w:val="22"/>
              </w:rPr>
              <w:t>B Incr</w:t>
            </w:r>
          </w:p>
        </w:tc>
      </w:tr>
      <w:tr w:rsidR="00107B14" w:rsidRPr="00107B14" w:rsidTr="00107B14">
        <w:trPr>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2017</w:t>
            </w:r>
          </w:p>
        </w:tc>
        <w:tc>
          <w:tcPr>
            <w:tcW w:w="478" w:type="dxa"/>
            <w:noWrap/>
            <w:hideMark/>
          </w:tcPr>
          <w:p w:rsidR="00107B14" w:rsidRPr="00107B14" w:rsidRDefault="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2018</w:t>
            </w:r>
          </w:p>
        </w:tc>
        <w:tc>
          <w:tcPr>
            <w:tcW w:w="478" w:type="dxa"/>
            <w:noWrap/>
            <w:hideMark/>
          </w:tcPr>
          <w:p w:rsidR="00107B14" w:rsidRPr="00107B14" w:rsidRDefault="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2019</w:t>
            </w:r>
          </w:p>
        </w:tc>
        <w:tc>
          <w:tcPr>
            <w:tcW w:w="478" w:type="dxa"/>
            <w:noWrap/>
            <w:hideMark/>
          </w:tcPr>
          <w:p w:rsidR="00107B14" w:rsidRPr="00107B14" w:rsidRDefault="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12"/>
                <w:szCs w:val="22"/>
              </w:rPr>
            </w:pPr>
            <w:r w:rsidRPr="00107B14">
              <w:rPr>
                <w:rFonts w:asciiTheme="minorHAnsi" w:hAnsiTheme="minorHAnsi"/>
                <w:bCs/>
                <w:color w:val="000000"/>
                <w:sz w:val="12"/>
                <w:szCs w:val="22"/>
              </w:rPr>
              <w:t>5</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2020</w:t>
            </w:r>
          </w:p>
        </w:tc>
        <w:tc>
          <w:tcPr>
            <w:tcW w:w="478" w:type="dxa"/>
            <w:noWrap/>
            <w:hideMark/>
          </w:tcPr>
          <w:p w:rsidR="00107B14" w:rsidRPr="00107B14" w:rsidRDefault="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6</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2021</w:t>
            </w:r>
          </w:p>
        </w:tc>
        <w:tc>
          <w:tcPr>
            <w:tcW w:w="478" w:type="dxa"/>
            <w:noWrap/>
            <w:hideMark/>
          </w:tcPr>
          <w:p w:rsidR="00107B14" w:rsidRPr="00107B14" w:rsidRDefault="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7</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2022</w:t>
            </w:r>
          </w:p>
        </w:tc>
        <w:tc>
          <w:tcPr>
            <w:tcW w:w="478" w:type="dxa"/>
            <w:noWrap/>
            <w:hideMark/>
          </w:tcPr>
          <w:p w:rsidR="00107B14" w:rsidRPr="00107B14" w:rsidRDefault="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2"/>
                <w:szCs w:val="22"/>
              </w:rPr>
            </w:pPr>
            <w:r w:rsidRPr="00107B14">
              <w:rPr>
                <w:rFonts w:asciiTheme="minorHAnsi" w:hAnsiTheme="minorHAnsi"/>
                <w:bCs/>
                <w:color w:val="000000"/>
                <w:sz w:val="12"/>
                <w:szCs w:val="22"/>
              </w:rPr>
              <w:t>8</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2023</w:t>
            </w:r>
          </w:p>
        </w:tc>
        <w:tc>
          <w:tcPr>
            <w:tcW w:w="478" w:type="dxa"/>
            <w:noWrap/>
            <w:hideMark/>
          </w:tcPr>
          <w:p w:rsidR="00107B14" w:rsidRPr="00107B14" w:rsidRDefault="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9</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2024</w:t>
            </w:r>
          </w:p>
        </w:tc>
        <w:tc>
          <w:tcPr>
            <w:tcW w:w="478" w:type="dxa"/>
            <w:noWrap/>
            <w:hideMark/>
          </w:tcPr>
          <w:p w:rsidR="00107B14" w:rsidRPr="00107B14" w:rsidRDefault="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10</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2025</w:t>
            </w:r>
          </w:p>
        </w:tc>
        <w:tc>
          <w:tcPr>
            <w:tcW w:w="478" w:type="dxa"/>
            <w:noWrap/>
            <w:hideMark/>
          </w:tcPr>
          <w:p w:rsidR="00107B14" w:rsidRPr="00107B14" w:rsidRDefault="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12"/>
                <w:szCs w:val="22"/>
              </w:rPr>
            </w:pPr>
            <w:r w:rsidRPr="00107B14">
              <w:rPr>
                <w:rFonts w:asciiTheme="minorHAnsi" w:hAnsiTheme="minorHAnsi"/>
                <w:bCs/>
                <w:color w:val="000000"/>
                <w:sz w:val="12"/>
                <w:szCs w:val="22"/>
              </w:rPr>
              <w:t>11</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2026</w:t>
            </w:r>
          </w:p>
        </w:tc>
        <w:tc>
          <w:tcPr>
            <w:tcW w:w="478" w:type="dxa"/>
            <w:noWrap/>
            <w:hideMark/>
          </w:tcPr>
          <w:p w:rsidR="00107B14" w:rsidRPr="00107B14" w:rsidRDefault="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2027</w:t>
            </w:r>
          </w:p>
        </w:tc>
        <w:tc>
          <w:tcPr>
            <w:tcW w:w="478" w:type="dxa"/>
            <w:noWrap/>
            <w:hideMark/>
          </w:tcPr>
          <w:p w:rsidR="00107B14" w:rsidRPr="00107B14" w:rsidRDefault="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13</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2028</w:t>
            </w:r>
          </w:p>
        </w:tc>
        <w:tc>
          <w:tcPr>
            <w:tcW w:w="478" w:type="dxa"/>
            <w:noWrap/>
            <w:hideMark/>
          </w:tcPr>
          <w:p w:rsidR="00107B14" w:rsidRPr="00107B14" w:rsidRDefault="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2"/>
                <w:szCs w:val="22"/>
              </w:rPr>
            </w:pPr>
            <w:r w:rsidRPr="00107B14">
              <w:rPr>
                <w:rFonts w:asciiTheme="minorHAnsi" w:hAnsiTheme="minorHAnsi"/>
                <w:bCs/>
                <w:color w:val="000000"/>
                <w:sz w:val="12"/>
                <w:szCs w:val="22"/>
              </w:rPr>
              <w:t>14</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2029</w:t>
            </w:r>
          </w:p>
        </w:tc>
        <w:tc>
          <w:tcPr>
            <w:tcW w:w="478" w:type="dxa"/>
            <w:noWrap/>
            <w:hideMark/>
          </w:tcPr>
          <w:p w:rsidR="00107B14" w:rsidRPr="00107B14" w:rsidRDefault="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15</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2030</w:t>
            </w:r>
          </w:p>
        </w:tc>
        <w:tc>
          <w:tcPr>
            <w:tcW w:w="478" w:type="dxa"/>
            <w:noWrap/>
            <w:hideMark/>
          </w:tcPr>
          <w:p w:rsidR="00107B14" w:rsidRPr="00107B14" w:rsidRDefault="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16</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2031</w:t>
            </w:r>
          </w:p>
        </w:tc>
        <w:tc>
          <w:tcPr>
            <w:tcW w:w="478" w:type="dxa"/>
            <w:noWrap/>
            <w:hideMark/>
          </w:tcPr>
          <w:p w:rsidR="00107B14" w:rsidRPr="00107B14" w:rsidRDefault="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12"/>
                <w:szCs w:val="22"/>
              </w:rPr>
            </w:pPr>
            <w:r w:rsidRPr="00107B14">
              <w:rPr>
                <w:rFonts w:asciiTheme="minorHAnsi" w:hAnsiTheme="minorHAnsi"/>
                <w:bCs/>
                <w:color w:val="000000"/>
                <w:sz w:val="12"/>
                <w:szCs w:val="22"/>
              </w:rPr>
              <w:t>17</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2032</w:t>
            </w:r>
          </w:p>
        </w:tc>
        <w:tc>
          <w:tcPr>
            <w:tcW w:w="478" w:type="dxa"/>
            <w:noWrap/>
            <w:hideMark/>
          </w:tcPr>
          <w:p w:rsidR="00107B14" w:rsidRPr="00107B14" w:rsidRDefault="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18</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2033</w:t>
            </w:r>
          </w:p>
        </w:tc>
        <w:tc>
          <w:tcPr>
            <w:tcW w:w="478" w:type="dxa"/>
            <w:noWrap/>
            <w:hideMark/>
          </w:tcPr>
          <w:p w:rsidR="00107B14" w:rsidRPr="00107B14" w:rsidRDefault="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19</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2034</w:t>
            </w:r>
          </w:p>
        </w:tc>
        <w:tc>
          <w:tcPr>
            <w:tcW w:w="478" w:type="dxa"/>
            <w:noWrap/>
            <w:hideMark/>
          </w:tcPr>
          <w:p w:rsidR="00107B14" w:rsidRPr="00107B14" w:rsidRDefault="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2"/>
                <w:szCs w:val="22"/>
              </w:rPr>
            </w:pPr>
            <w:r w:rsidRPr="00107B14">
              <w:rPr>
                <w:rFonts w:asciiTheme="minorHAnsi" w:hAnsiTheme="minorHAnsi"/>
                <w:bCs/>
                <w:color w:val="000000"/>
                <w:sz w:val="12"/>
                <w:szCs w:val="22"/>
              </w:rPr>
              <w:t>20</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2035</w:t>
            </w:r>
          </w:p>
        </w:tc>
        <w:tc>
          <w:tcPr>
            <w:tcW w:w="478" w:type="dxa"/>
            <w:noWrap/>
            <w:hideMark/>
          </w:tcPr>
          <w:p w:rsidR="00107B14" w:rsidRPr="00107B14" w:rsidRDefault="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21</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2036</w:t>
            </w:r>
          </w:p>
        </w:tc>
        <w:tc>
          <w:tcPr>
            <w:tcW w:w="478" w:type="dxa"/>
            <w:noWrap/>
            <w:hideMark/>
          </w:tcPr>
          <w:p w:rsidR="00107B14" w:rsidRPr="00107B14" w:rsidRDefault="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22</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2037</w:t>
            </w:r>
          </w:p>
        </w:tc>
        <w:tc>
          <w:tcPr>
            <w:tcW w:w="478" w:type="dxa"/>
            <w:noWrap/>
            <w:hideMark/>
          </w:tcPr>
          <w:p w:rsidR="00107B14" w:rsidRPr="00107B14" w:rsidRDefault="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12"/>
                <w:szCs w:val="22"/>
              </w:rPr>
            </w:pPr>
            <w:r w:rsidRPr="00107B14">
              <w:rPr>
                <w:rFonts w:asciiTheme="minorHAnsi" w:hAnsiTheme="minorHAnsi"/>
                <w:bCs/>
                <w:color w:val="000000"/>
                <w:sz w:val="12"/>
                <w:szCs w:val="22"/>
              </w:rPr>
              <w:t>23</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2038</w:t>
            </w:r>
          </w:p>
        </w:tc>
        <w:tc>
          <w:tcPr>
            <w:tcW w:w="478" w:type="dxa"/>
            <w:noWrap/>
            <w:hideMark/>
          </w:tcPr>
          <w:p w:rsidR="00107B14" w:rsidRPr="00107B14" w:rsidRDefault="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24</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2039</w:t>
            </w:r>
          </w:p>
        </w:tc>
        <w:tc>
          <w:tcPr>
            <w:tcW w:w="478" w:type="dxa"/>
            <w:noWrap/>
            <w:hideMark/>
          </w:tcPr>
          <w:p w:rsidR="00107B14" w:rsidRPr="00107B14" w:rsidRDefault="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25</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2040</w:t>
            </w:r>
          </w:p>
        </w:tc>
        <w:tc>
          <w:tcPr>
            <w:tcW w:w="478" w:type="dxa"/>
            <w:noWrap/>
            <w:hideMark/>
          </w:tcPr>
          <w:p w:rsidR="00107B14" w:rsidRPr="00107B14" w:rsidRDefault="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2"/>
                <w:szCs w:val="22"/>
              </w:rPr>
            </w:pPr>
            <w:r w:rsidRPr="00107B14">
              <w:rPr>
                <w:rFonts w:asciiTheme="minorHAnsi" w:hAnsiTheme="minorHAnsi"/>
                <w:bCs/>
                <w:color w:val="000000"/>
                <w:sz w:val="12"/>
                <w:szCs w:val="22"/>
              </w:rPr>
              <w:t>26</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2041</w:t>
            </w:r>
          </w:p>
        </w:tc>
        <w:tc>
          <w:tcPr>
            <w:tcW w:w="478" w:type="dxa"/>
            <w:noWrap/>
            <w:hideMark/>
          </w:tcPr>
          <w:p w:rsidR="00107B14" w:rsidRPr="00107B14" w:rsidRDefault="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27</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2042</w:t>
            </w:r>
          </w:p>
        </w:tc>
        <w:tc>
          <w:tcPr>
            <w:tcW w:w="478" w:type="dxa"/>
            <w:noWrap/>
            <w:hideMark/>
          </w:tcPr>
          <w:p w:rsidR="00107B14" w:rsidRPr="00107B14" w:rsidRDefault="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r w:rsidR="00107B14" w:rsidRPr="00107B14" w:rsidTr="00107B14">
        <w:trPr>
          <w:trHeight w:val="20"/>
        </w:trPr>
        <w:tc>
          <w:tcPr>
            <w:cnfStyle w:val="001000000000" w:firstRow="0" w:lastRow="0" w:firstColumn="1" w:lastColumn="0" w:oddVBand="0" w:evenVBand="0" w:oddHBand="0" w:evenHBand="0" w:firstRowFirstColumn="0" w:firstRowLastColumn="0" w:lastRowFirstColumn="0" w:lastRowLastColumn="0"/>
            <w:tcW w:w="520" w:type="dxa"/>
            <w:noWrap/>
            <w:hideMark/>
          </w:tcPr>
          <w:p w:rsidR="00107B14" w:rsidRPr="00107B14" w:rsidRDefault="00107B14">
            <w:pPr>
              <w:jc w:val="right"/>
              <w:rPr>
                <w:rFonts w:asciiTheme="minorHAnsi" w:hAnsiTheme="minorHAnsi"/>
                <w:b w:val="0"/>
                <w:color w:val="000000"/>
                <w:sz w:val="12"/>
                <w:szCs w:val="22"/>
              </w:rPr>
            </w:pPr>
            <w:r w:rsidRPr="00107B14">
              <w:rPr>
                <w:rFonts w:asciiTheme="minorHAnsi" w:hAnsiTheme="minorHAnsi"/>
                <w:b w:val="0"/>
                <w:color w:val="000000"/>
                <w:sz w:val="12"/>
                <w:szCs w:val="22"/>
              </w:rPr>
              <w:t>2043</w:t>
            </w:r>
          </w:p>
        </w:tc>
        <w:tc>
          <w:tcPr>
            <w:tcW w:w="478" w:type="dxa"/>
            <w:noWrap/>
            <w:hideMark/>
          </w:tcPr>
          <w:p w:rsidR="00107B14" w:rsidRPr="00107B14" w:rsidRDefault="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sz w:val="12"/>
                <w:szCs w:val="22"/>
              </w:rPr>
            </w:pPr>
            <w:r w:rsidRPr="00107B14">
              <w:rPr>
                <w:rFonts w:asciiTheme="minorHAnsi" w:hAnsiTheme="minorHAnsi"/>
                <w:bCs/>
                <w:color w:val="000000"/>
                <w:sz w:val="12"/>
                <w:szCs w:val="22"/>
              </w:rPr>
              <w:t>29</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14.241.220</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17.882.810</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3.641.590</w:t>
            </w:r>
          </w:p>
        </w:tc>
        <w:tc>
          <w:tcPr>
            <w:tcW w:w="1089"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5.614.581</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8.492.643</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2.878.063</w:t>
            </w:r>
          </w:p>
        </w:tc>
        <w:tc>
          <w:tcPr>
            <w:tcW w:w="1051"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8.061.474</w:t>
            </w:r>
          </w:p>
        </w:tc>
        <w:tc>
          <w:tcPr>
            <w:tcW w:w="82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12.193.826</w:t>
            </w:r>
          </w:p>
        </w:tc>
        <w:tc>
          <w:tcPr>
            <w:tcW w:w="763" w:type="dxa"/>
            <w:noWrap/>
            <w:hideMark/>
          </w:tcPr>
          <w:p w:rsidR="00107B14" w:rsidRPr="00107B14" w:rsidRDefault="00107B14" w:rsidP="00107B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rPr>
            </w:pPr>
            <w:r w:rsidRPr="00107B14">
              <w:rPr>
                <w:rFonts w:asciiTheme="minorHAnsi" w:hAnsiTheme="minorHAnsi"/>
                <w:color w:val="000000"/>
                <w:sz w:val="12"/>
                <w:szCs w:val="22"/>
              </w:rPr>
              <w:t>4.132.352</w:t>
            </w:r>
          </w:p>
        </w:tc>
      </w:tr>
    </w:tbl>
    <w:p w:rsidR="00107B14" w:rsidRPr="000D5657" w:rsidRDefault="000D5657" w:rsidP="00107B14">
      <w:pPr>
        <w:rPr>
          <w:rFonts w:asciiTheme="minorHAnsi" w:hAnsiTheme="minorHAnsi"/>
          <w:sz w:val="18"/>
          <w:szCs w:val="18"/>
        </w:rPr>
      </w:pPr>
      <w:r w:rsidRPr="000D5657">
        <w:rPr>
          <w:rFonts w:asciiTheme="minorHAnsi" w:hAnsiTheme="minorHAnsi"/>
          <w:sz w:val="18"/>
          <w:szCs w:val="18"/>
        </w:rPr>
        <w:t>Fuente: Elaboración propia.</w:t>
      </w:r>
    </w:p>
    <w:p w:rsidR="00107B14" w:rsidRDefault="00107B14" w:rsidP="00107B14"/>
    <w:tbl>
      <w:tblPr>
        <w:tblStyle w:val="LightList-Accent3"/>
        <w:tblW w:w="8278" w:type="dxa"/>
        <w:tblLook w:val="04A0" w:firstRow="1" w:lastRow="0" w:firstColumn="1" w:lastColumn="0" w:noHBand="0" w:noVBand="1"/>
      </w:tblPr>
      <w:tblGrid>
        <w:gridCol w:w="460"/>
        <w:gridCol w:w="418"/>
        <w:gridCol w:w="764"/>
        <w:gridCol w:w="764"/>
        <w:gridCol w:w="703"/>
        <w:gridCol w:w="222"/>
        <w:gridCol w:w="855"/>
        <w:gridCol w:w="764"/>
        <w:gridCol w:w="764"/>
        <w:gridCol w:w="222"/>
        <w:gridCol w:w="814"/>
        <w:gridCol w:w="764"/>
        <w:gridCol w:w="764"/>
      </w:tblGrid>
      <w:tr w:rsidR="00D40D44" w:rsidRPr="00107B14" w:rsidTr="00D40D44">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878" w:type="dxa"/>
            <w:gridSpan w:val="2"/>
            <w:noWrap/>
            <w:hideMark/>
          </w:tcPr>
          <w:p w:rsidR="00D40D44" w:rsidRPr="00107B14" w:rsidRDefault="00D40D44" w:rsidP="00D40D44">
            <w:pPr>
              <w:jc w:val="center"/>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Año</w:t>
            </w:r>
            <w:r>
              <w:rPr>
                <w:rFonts w:asciiTheme="minorHAnsi" w:hAnsiTheme="minorHAnsi"/>
                <w:color w:val="000000"/>
                <w:sz w:val="12"/>
                <w:szCs w:val="22"/>
                <w:lang w:val="es-CL" w:eastAsia="es-CL"/>
              </w:rPr>
              <w:t>/periodo</w:t>
            </w:r>
          </w:p>
        </w:tc>
        <w:tc>
          <w:tcPr>
            <w:tcW w:w="2231" w:type="dxa"/>
            <w:gridSpan w:val="3"/>
            <w:noWrap/>
            <w:hideMark/>
          </w:tcPr>
          <w:p w:rsidR="00D40D44" w:rsidRPr="00107B14" w:rsidRDefault="00D40D44" w:rsidP="00D40D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C</w:t>
            </w:r>
            <w:r>
              <w:rPr>
                <w:rFonts w:asciiTheme="minorHAnsi" w:hAnsiTheme="minorHAnsi"/>
                <w:color w:val="000000"/>
                <w:sz w:val="12"/>
                <w:szCs w:val="22"/>
                <w:lang w:val="es-CL" w:eastAsia="es-CL"/>
              </w:rPr>
              <w:t>onsulta especialidad</w:t>
            </w:r>
          </w:p>
        </w:tc>
        <w:tc>
          <w:tcPr>
            <w:tcW w:w="222" w:type="dxa"/>
            <w:noWrap/>
            <w:hideMark/>
          </w:tcPr>
          <w:p w:rsidR="00D40D44" w:rsidRPr="00107B14" w:rsidRDefault="00D40D44" w:rsidP="00D40D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2383" w:type="dxa"/>
            <w:gridSpan w:val="3"/>
            <w:noWrap/>
            <w:hideMark/>
          </w:tcPr>
          <w:p w:rsidR="00D40D44" w:rsidRPr="00107B14" w:rsidRDefault="00D40D44" w:rsidP="00D40D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Quimio</w:t>
            </w:r>
            <w:r>
              <w:rPr>
                <w:rFonts w:asciiTheme="minorHAnsi" w:hAnsiTheme="minorHAnsi"/>
                <w:color w:val="000000"/>
                <w:sz w:val="12"/>
                <w:szCs w:val="22"/>
                <w:lang w:val="es-CL" w:eastAsia="es-CL"/>
              </w:rPr>
              <w:t>terapia</w:t>
            </w:r>
          </w:p>
        </w:tc>
        <w:tc>
          <w:tcPr>
            <w:tcW w:w="222" w:type="dxa"/>
            <w:noWrap/>
            <w:hideMark/>
          </w:tcPr>
          <w:p w:rsidR="00D40D44" w:rsidRPr="00107B14" w:rsidRDefault="00D40D44" w:rsidP="00D40D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2342" w:type="dxa"/>
            <w:gridSpan w:val="3"/>
            <w:noWrap/>
            <w:hideMark/>
          </w:tcPr>
          <w:p w:rsidR="00D40D44" w:rsidRPr="00107B14" w:rsidRDefault="00D40D44" w:rsidP="00D40D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Radio</w:t>
            </w:r>
            <w:r>
              <w:rPr>
                <w:rFonts w:asciiTheme="minorHAnsi" w:hAnsiTheme="minorHAnsi"/>
                <w:color w:val="000000"/>
                <w:sz w:val="12"/>
                <w:szCs w:val="22"/>
                <w:lang w:val="es-CL" w:eastAsia="es-CL"/>
              </w:rPr>
              <w:t>terapia externa</w:t>
            </w:r>
          </w:p>
        </w:tc>
      </w:tr>
      <w:tr w:rsidR="00D40D44" w:rsidRPr="00107B14" w:rsidTr="00D40D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rPr>
                <w:rFonts w:asciiTheme="minorHAnsi" w:hAnsiTheme="minorHAnsi"/>
                <w:color w:val="000000"/>
                <w:sz w:val="12"/>
                <w:szCs w:val="22"/>
                <w:lang w:val="es-CL" w:eastAsia="es-CL"/>
              </w:rPr>
            </w:pPr>
          </w:p>
        </w:tc>
        <w:tc>
          <w:tcPr>
            <w:tcW w:w="418"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764"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22"/>
                <w:lang w:val="es-CL" w:eastAsia="es-CL"/>
              </w:rPr>
            </w:pPr>
            <w:r w:rsidRPr="00107B14">
              <w:rPr>
                <w:rFonts w:asciiTheme="minorHAnsi" w:hAnsiTheme="minorHAnsi"/>
                <w:b/>
                <w:bCs/>
                <w:color w:val="000000"/>
                <w:sz w:val="12"/>
                <w:szCs w:val="22"/>
                <w:lang w:val="es-CL" w:eastAsia="es-CL"/>
              </w:rPr>
              <w:t>B SP</w:t>
            </w:r>
          </w:p>
        </w:tc>
        <w:tc>
          <w:tcPr>
            <w:tcW w:w="764"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22"/>
                <w:lang w:val="es-CL" w:eastAsia="es-CL"/>
              </w:rPr>
            </w:pPr>
            <w:r w:rsidRPr="00107B14">
              <w:rPr>
                <w:rFonts w:asciiTheme="minorHAnsi" w:hAnsiTheme="minorHAnsi"/>
                <w:b/>
                <w:bCs/>
                <w:color w:val="000000"/>
                <w:sz w:val="12"/>
                <w:szCs w:val="22"/>
                <w:lang w:val="es-CL" w:eastAsia="es-CL"/>
              </w:rPr>
              <w:t>B CP</w:t>
            </w:r>
          </w:p>
        </w:tc>
        <w:tc>
          <w:tcPr>
            <w:tcW w:w="703"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22"/>
                <w:lang w:val="es-CL" w:eastAsia="es-CL"/>
              </w:rPr>
            </w:pPr>
            <w:r w:rsidRPr="00107B14">
              <w:rPr>
                <w:rFonts w:asciiTheme="minorHAnsi" w:hAnsiTheme="minorHAnsi"/>
                <w:b/>
                <w:bCs/>
                <w:color w:val="000000"/>
                <w:sz w:val="12"/>
                <w:szCs w:val="22"/>
                <w:lang w:val="es-CL" w:eastAsia="es-CL"/>
              </w:rPr>
              <w:t>B Incr</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22"/>
                <w:lang w:val="es-CL" w:eastAsia="es-CL"/>
              </w:rPr>
            </w:pPr>
            <w:r w:rsidRPr="00107B14">
              <w:rPr>
                <w:rFonts w:asciiTheme="minorHAnsi" w:hAnsiTheme="minorHAnsi"/>
                <w:b/>
                <w:bCs/>
                <w:color w:val="000000"/>
                <w:sz w:val="12"/>
                <w:szCs w:val="22"/>
                <w:lang w:val="es-CL" w:eastAsia="es-CL"/>
              </w:rPr>
              <w:t>B SP</w:t>
            </w:r>
          </w:p>
        </w:tc>
        <w:tc>
          <w:tcPr>
            <w:tcW w:w="764"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22"/>
                <w:lang w:val="es-CL" w:eastAsia="es-CL"/>
              </w:rPr>
            </w:pPr>
            <w:r w:rsidRPr="00107B14">
              <w:rPr>
                <w:rFonts w:asciiTheme="minorHAnsi" w:hAnsiTheme="minorHAnsi"/>
                <w:b/>
                <w:bCs/>
                <w:color w:val="000000"/>
                <w:sz w:val="12"/>
                <w:szCs w:val="22"/>
                <w:lang w:val="es-CL" w:eastAsia="es-CL"/>
              </w:rPr>
              <w:t>B CP</w:t>
            </w:r>
          </w:p>
        </w:tc>
        <w:tc>
          <w:tcPr>
            <w:tcW w:w="764"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22"/>
                <w:lang w:val="es-CL" w:eastAsia="es-CL"/>
              </w:rPr>
            </w:pPr>
            <w:r w:rsidRPr="00107B14">
              <w:rPr>
                <w:rFonts w:asciiTheme="minorHAnsi" w:hAnsiTheme="minorHAnsi"/>
                <w:b/>
                <w:bCs/>
                <w:color w:val="000000"/>
                <w:sz w:val="12"/>
                <w:szCs w:val="22"/>
                <w:lang w:val="es-CL" w:eastAsia="es-CL"/>
              </w:rPr>
              <w:t>B Incr</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22"/>
                <w:lang w:val="es-CL" w:eastAsia="es-CL"/>
              </w:rPr>
            </w:pPr>
          </w:p>
        </w:tc>
        <w:tc>
          <w:tcPr>
            <w:tcW w:w="814"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22"/>
                <w:lang w:val="es-CL" w:eastAsia="es-CL"/>
              </w:rPr>
            </w:pPr>
            <w:r w:rsidRPr="00107B14">
              <w:rPr>
                <w:rFonts w:asciiTheme="minorHAnsi" w:hAnsiTheme="minorHAnsi"/>
                <w:b/>
                <w:bCs/>
                <w:color w:val="000000"/>
                <w:sz w:val="12"/>
                <w:szCs w:val="22"/>
                <w:lang w:val="es-CL" w:eastAsia="es-CL"/>
              </w:rPr>
              <w:t>B SP</w:t>
            </w:r>
          </w:p>
        </w:tc>
        <w:tc>
          <w:tcPr>
            <w:tcW w:w="764"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22"/>
                <w:lang w:val="es-CL" w:eastAsia="es-CL"/>
              </w:rPr>
            </w:pPr>
            <w:r w:rsidRPr="00107B14">
              <w:rPr>
                <w:rFonts w:asciiTheme="minorHAnsi" w:hAnsiTheme="minorHAnsi"/>
                <w:b/>
                <w:bCs/>
                <w:color w:val="000000"/>
                <w:sz w:val="12"/>
                <w:szCs w:val="22"/>
                <w:lang w:val="es-CL" w:eastAsia="es-CL"/>
              </w:rPr>
              <w:t>B CP</w:t>
            </w:r>
          </w:p>
        </w:tc>
        <w:tc>
          <w:tcPr>
            <w:tcW w:w="764"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22"/>
                <w:lang w:val="es-CL" w:eastAsia="es-CL"/>
              </w:rPr>
            </w:pPr>
            <w:r w:rsidRPr="00107B14">
              <w:rPr>
                <w:rFonts w:asciiTheme="minorHAnsi" w:hAnsiTheme="minorHAnsi"/>
                <w:b/>
                <w:bCs/>
                <w:color w:val="000000"/>
                <w:sz w:val="12"/>
                <w:szCs w:val="22"/>
                <w:lang w:val="es-CL" w:eastAsia="es-CL"/>
              </w:rPr>
              <w:t>B Incr</w:t>
            </w:r>
          </w:p>
        </w:tc>
      </w:tr>
      <w:tr w:rsidR="00D40D44" w:rsidRPr="00107B14" w:rsidTr="00D40D44">
        <w:trPr>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2017</w:t>
            </w:r>
          </w:p>
        </w:tc>
        <w:tc>
          <w:tcPr>
            <w:tcW w:w="418"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3</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2018</w:t>
            </w:r>
          </w:p>
        </w:tc>
        <w:tc>
          <w:tcPr>
            <w:tcW w:w="418"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2019</w:t>
            </w:r>
          </w:p>
        </w:tc>
        <w:tc>
          <w:tcPr>
            <w:tcW w:w="418"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22"/>
                <w:lang w:val="es-CL" w:eastAsia="es-CL"/>
              </w:rPr>
            </w:pPr>
            <w:r w:rsidRPr="00107B14">
              <w:rPr>
                <w:rFonts w:asciiTheme="minorHAnsi" w:hAnsiTheme="minorHAnsi"/>
                <w:b/>
                <w:bCs/>
                <w:color w:val="000000"/>
                <w:sz w:val="12"/>
                <w:szCs w:val="22"/>
                <w:lang w:val="es-CL" w:eastAsia="es-CL"/>
              </w:rPr>
              <w:t>5</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2020</w:t>
            </w:r>
          </w:p>
        </w:tc>
        <w:tc>
          <w:tcPr>
            <w:tcW w:w="418"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6</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2021</w:t>
            </w:r>
          </w:p>
        </w:tc>
        <w:tc>
          <w:tcPr>
            <w:tcW w:w="418"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7</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2022</w:t>
            </w:r>
          </w:p>
        </w:tc>
        <w:tc>
          <w:tcPr>
            <w:tcW w:w="418"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22"/>
                <w:lang w:val="es-CL" w:eastAsia="es-CL"/>
              </w:rPr>
            </w:pPr>
            <w:r w:rsidRPr="00107B14">
              <w:rPr>
                <w:rFonts w:asciiTheme="minorHAnsi" w:hAnsiTheme="minorHAnsi"/>
                <w:b/>
                <w:bCs/>
                <w:color w:val="000000"/>
                <w:sz w:val="12"/>
                <w:szCs w:val="22"/>
                <w:lang w:val="es-CL" w:eastAsia="es-CL"/>
              </w:rPr>
              <w:t>8</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2023</w:t>
            </w:r>
          </w:p>
        </w:tc>
        <w:tc>
          <w:tcPr>
            <w:tcW w:w="418"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2024</w:t>
            </w:r>
          </w:p>
        </w:tc>
        <w:tc>
          <w:tcPr>
            <w:tcW w:w="418"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2025</w:t>
            </w:r>
          </w:p>
        </w:tc>
        <w:tc>
          <w:tcPr>
            <w:tcW w:w="418"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22"/>
                <w:lang w:val="es-CL" w:eastAsia="es-CL"/>
              </w:rPr>
            </w:pPr>
            <w:r w:rsidRPr="00107B14">
              <w:rPr>
                <w:rFonts w:asciiTheme="minorHAnsi" w:hAnsiTheme="minorHAnsi"/>
                <w:b/>
                <w:bCs/>
                <w:color w:val="000000"/>
                <w:sz w:val="12"/>
                <w:szCs w:val="22"/>
                <w:lang w:val="es-CL" w:eastAsia="es-CL"/>
              </w:rPr>
              <w:t>11</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2026</w:t>
            </w:r>
          </w:p>
        </w:tc>
        <w:tc>
          <w:tcPr>
            <w:tcW w:w="418"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2027</w:t>
            </w:r>
          </w:p>
        </w:tc>
        <w:tc>
          <w:tcPr>
            <w:tcW w:w="418"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2028</w:t>
            </w:r>
          </w:p>
        </w:tc>
        <w:tc>
          <w:tcPr>
            <w:tcW w:w="418"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22"/>
                <w:lang w:val="es-CL" w:eastAsia="es-CL"/>
              </w:rPr>
            </w:pPr>
            <w:r w:rsidRPr="00107B14">
              <w:rPr>
                <w:rFonts w:asciiTheme="minorHAnsi" w:hAnsiTheme="minorHAnsi"/>
                <w:b/>
                <w:bCs/>
                <w:color w:val="000000"/>
                <w:sz w:val="12"/>
                <w:szCs w:val="22"/>
                <w:lang w:val="es-CL" w:eastAsia="es-CL"/>
              </w:rPr>
              <w:t>14</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2029</w:t>
            </w:r>
          </w:p>
        </w:tc>
        <w:tc>
          <w:tcPr>
            <w:tcW w:w="418"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2030</w:t>
            </w:r>
          </w:p>
        </w:tc>
        <w:tc>
          <w:tcPr>
            <w:tcW w:w="418"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16</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2031</w:t>
            </w:r>
          </w:p>
        </w:tc>
        <w:tc>
          <w:tcPr>
            <w:tcW w:w="418"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22"/>
                <w:lang w:val="es-CL" w:eastAsia="es-CL"/>
              </w:rPr>
            </w:pPr>
            <w:r w:rsidRPr="00107B14">
              <w:rPr>
                <w:rFonts w:asciiTheme="minorHAnsi" w:hAnsiTheme="minorHAnsi"/>
                <w:b/>
                <w:bCs/>
                <w:color w:val="000000"/>
                <w:sz w:val="12"/>
                <w:szCs w:val="22"/>
                <w:lang w:val="es-CL" w:eastAsia="es-CL"/>
              </w:rPr>
              <w:t>17</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2032</w:t>
            </w:r>
          </w:p>
        </w:tc>
        <w:tc>
          <w:tcPr>
            <w:tcW w:w="418"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18</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2033</w:t>
            </w:r>
          </w:p>
        </w:tc>
        <w:tc>
          <w:tcPr>
            <w:tcW w:w="418"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19</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2034</w:t>
            </w:r>
          </w:p>
        </w:tc>
        <w:tc>
          <w:tcPr>
            <w:tcW w:w="418"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22"/>
                <w:lang w:val="es-CL" w:eastAsia="es-CL"/>
              </w:rPr>
            </w:pPr>
            <w:r w:rsidRPr="00107B14">
              <w:rPr>
                <w:rFonts w:asciiTheme="minorHAnsi" w:hAnsiTheme="minorHAnsi"/>
                <w:b/>
                <w:bCs/>
                <w:color w:val="000000"/>
                <w:sz w:val="12"/>
                <w:szCs w:val="22"/>
                <w:lang w:val="es-CL" w:eastAsia="es-CL"/>
              </w:rPr>
              <w:t>20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2035</w:t>
            </w:r>
          </w:p>
        </w:tc>
        <w:tc>
          <w:tcPr>
            <w:tcW w:w="418"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21</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2036</w:t>
            </w:r>
          </w:p>
        </w:tc>
        <w:tc>
          <w:tcPr>
            <w:tcW w:w="418"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22</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2037</w:t>
            </w:r>
          </w:p>
        </w:tc>
        <w:tc>
          <w:tcPr>
            <w:tcW w:w="418"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22"/>
                <w:lang w:val="es-CL" w:eastAsia="es-CL"/>
              </w:rPr>
            </w:pPr>
            <w:r w:rsidRPr="00107B14">
              <w:rPr>
                <w:rFonts w:asciiTheme="minorHAnsi" w:hAnsiTheme="minorHAnsi"/>
                <w:b/>
                <w:bCs/>
                <w:color w:val="000000"/>
                <w:sz w:val="12"/>
                <w:szCs w:val="22"/>
                <w:lang w:val="es-CL" w:eastAsia="es-CL"/>
              </w:rPr>
              <w:t>23</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2038</w:t>
            </w:r>
          </w:p>
        </w:tc>
        <w:tc>
          <w:tcPr>
            <w:tcW w:w="418"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2039</w:t>
            </w:r>
          </w:p>
        </w:tc>
        <w:tc>
          <w:tcPr>
            <w:tcW w:w="418"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25</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2040</w:t>
            </w:r>
          </w:p>
        </w:tc>
        <w:tc>
          <w:tcPr>
            <w:tcW w:w="418"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22"/>
                <w:lang w:val="es-CL" w:eastAsia="es-CL"/>
              </w:rPr>
            </w:pPr>
            <w:r w:rsidRPr="00107B14">
              <w:rPr>
                <w:rFonts w:asciiTheme="minorHAnsi" w:hAnsiTheme="minorHAnsi"/>
                <w:b/>
                <w:bCs/>
                <w:color w:val="000000"/>
                <w:sz w:val="12"/>
                <w:szCs w:val="22"/>
                <w:lang w:val="es-CL" w:eastAsia="es-CL"/>
              </w:rPr>
              <w:t>26</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2041</w:t>
            </w:r>
          </w:p>
        </w:tc>
        <w:tc>
          <w:tcPr>
            <w:tcW w:w="418"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2042</w:t>
            </w:r>
          </w:p>
        </w:tc>
        <w:tc>
          <w:tcPr>
            <w:tcW w:w="418"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28</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r w:rsidR="00D40D44" w:rsidRPr="00107B14" w:rsidTr="00D40D44">
        <w:trPr>
          <w:trHeight w:val="57"/>
        </w:trPr>
        <w:tc>
          <w:tcPr>
            <w:cnfStyle w:val="001000000000" w:firstRow="0" w:lastRow="0" w:firstColumn="1" w:lastColumn="0" w:oddVBand="0" w:evenVBand="0" w:oddHBand="0" w:evenHBand="0" w:firstRowFirstColumn="0" w:firstRowLastColumn="0" w:lastRowFirstColumn="0" w:lastRowLastColumn="0"/>
            <w:tcW w:w="460" w:type="dxa"/>
            <w:noWrap/>
            <w:hideMark/>
          </w:tcPr>
          <w:p w:rsidR="00D40D44" w:rsidRPr="00107B14" w:rsidRDefault="00D40D44" w:rsidP="00107B14">
            <w:pPr>
              <w:jc w:val="right"/>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2043</w:t>
            </w:r>
          </w:p>
        </w:tc>
        <w:tc>
          <w:tcPr>
            <w:tcW w:w="418"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22"/>
                <w:lang w:val="es-CL" w:eastAsia="es-CL"/>
              </w:rPr>
            </w:pPr>
            <w:r w:rsidRPr="00107B14">
              <w:rPr>
                <w:rFonts w:asciiTheme="minorHAnsi" w:hAnsiTheme="minorHAnsi"/>
                <w:b/>
                <w:bCs/>
                <w:color w:val="000000"/>
                <w:sz w:val="12"/>
                <w:szCs w:val="22"/>
                <w:lang w:val="es-CL" w:eastAsia="es-CL"/>
              </w:rPr>
              <w:t>29</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15.718.710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24.967.727</w:t>
            </w:r>
          </w:p>
        </w:tc>
        <w:tc>
          <w:tcPr>
            <w:tcW w:w="703"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9.249.017</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55"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5.246.200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17.487.333</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12.241.133</w:t>
            </w:r>
          </w:p>
        </w:tc>
        <w:tc>
          <w:tcPr>
            <w:tcW w:w="222" w:type="dxa"/>
            <w:noWrap/>
            <w:hideMark/>
          </w:tcPr>
          <w:p w:rsidR="00D40D44" w:rsidRPr="00107B14" w:rsidRDefault="00D40D44" w:rsidP="00107B1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p>
        </w:tc>
        <w:tc>
          <w:tcPr>
            <w:tcW w:w="81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27.364.050</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41.046.075</w:t>
            </w:r>
          </w:p>
        </w:tc>
        <w:tc>
          <w:tcPr>
            <w:tcW w:w="764" w:type="dxa"/>
            <w:noWrap/>
            <w:hideMark/>
          </w:tcPr>
          <w:p w:rsidR="00D40D44" w:rsidRPr="00107B14" w:rsidRDefault="00D40D44" w:rsidP="00107B1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22"/>
                <w:lang w:val="es-CL" w:eastAsia="es-CL"/>
              </w:rPr>
            </w:pPr>
            <w:r w:rsidRPr="00107B14">
              <w:rPr>
                <w:rFonts w:asciiTheme="minorHAnsi" w:hAnsiTheme="minorHAnsi"/>
                <w:color w:val="000000"/>
                <w:sz w:val="12"/>
                <w:szCs w:val="22"/>
                <w:lang w:val="es-CL" w:eastAsia="es-CL"/>
              </w:rPr>
              <w:t>13.682.025</w:t>
            </w:r>
          </w:p>
        </w:tc>
      </w:tr>
    </w:tbl>
    <w:p w:rsidR="000D5657" w:rsidRPr="000D5657" w:rsidRDefault="000D5657" w:rsidP="000D5657">
      <w:pPr>
        <w:rPr>
          <w:rFonts w:asciiTheme="minorHAnsi" w:hAnsiTheme="minorHAnsi"/>
          <w:sz w:val="18"/>
          <w:szCs w:val="18"/>
        </w:rPr>
      </w:pPr>
      <w:r w:rsidRPr="000D5657">
        <w:rPr>
          <w:rFonts w:asciiTheme="minorHAnsi" w:hAnsiTheme="minorHAnsi"/>
          <w:sz w:val="18"/>
          <w:szCs w:val="18"/>
        </w:rPr>
        <w:t>Fuente: Elaboración propia.</w:t>
      </w:r>
    </w:p>
    <w:p w:rsidR="00107B14" w:rsidRDefault="00107B14" w:rsidP="00107B14"/>
    <w:p w:rsidR="00D40D44" w:rsidRDefault="00D40D44" w:rsidP="00107B14"/>
    <w:tbl>
      <w:tblPr>
        <w:tblStyle w:val="LightList-Accent3"/>
        <w:tblW w:w="8148" w:type="dxa"/>
        <w:tblLook w:val="04A0" w:firstRow="1" w:lastRow="0" w:firstColumn="1" w:lastColumn="0" w:noHBand="0" w:noVBand="1"/>
      </w:tblPr>
      <w:tblGrid>
        <w:gridCol w:w="860"/>
        <w:gridCol w:w="379"/>
        <w:gridCol w:w="956"/>
        <w:gridCol w:w="764"/>
        <w:gridCol w:w="703"/>
        <w:gridCol w:w="764"/>
        <w:gridCol w:w="764"/>
        <w:gridCol w:w="703"/>
        <w:gridCol w:w="788"/>
        <w:gridCol w:w="764"/>
        <w:gridCol w:w="703"/>
      </w:tblGrid>
      <w:tr w:rsidR="00D40D44" w:rsidRPr="00D40D44" w:rsidTr="00D40D4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39" w:type="dxa"/>
            <w:gridSpan w:val="2"/>
            <w:noWrap/>
          </w:tcPr>
          <w:p w:rsidR="00D40D44" w:rsidRPr="00D40D44" w:rsidRDefault="00D40D44" w:rsidP="00D40D44">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Año</w:t>
            </w:r>
            <w:r>
              <w:rPr>
                <w:rFonts w:asciiTheme="minorHAnsi" w:hAnsiTheme="minorHAnsi"/>
                <w:color w:val="000000"/>
                <w:sz w:val="12"/>
                <w:szCs w:val="12"/>
                <w:lang w:val="es-CL" w:eastAsia="es-CL"/>
              </w:rPr>
              <w:t>/periodo</w:t>
            </w:r>
          </w:p>
        </w:tc>
        <w:tc>
          <w:tcPr>
            <w:tcW w:w="2423" w:type="dxa"/>
            <w:gridSpan w:val="3"/>
            <w:noWrap/>
          </w:tcPr>
          <w:p w:rsidR="00D40D44" w:rsidRPr="00D40D44" w:rsidRDefault="00D40D44" w:rsidP="00D40D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2"/>
                <w:szCs w:val="12"/>
                <w:lang w:val="es-CL" w:eastAsia="es-CL"/>
              </w:rPr>
            </w:pPr>
            <w:r w:rsidRPr="00D40D44">
              <w:rPr>
                <w:rFonts w:asciiTheme="minorHAnsi" w:hAnsiTheme="minorHAnsi"/>
                <w:color w:val="000000"/>
                <w:sz w:val="12"/>
                <w:szCs w:val="12"/>
                <w:lang w:val="es-CL" w:eastAsia="es-CL"/>
              </w:rPr>
              <w:t>Int</w:t>
            </w:r>
            <w:r>
              <w:rPr>
                <w:rFonts w:asciiTheme="minorHAnsi" w:hAnsiTheme="minorHAnsi"/>
                <w:color w:val="000000"/>
                <w:sz w:val="12"/>
                <w:szCs w:val="12"/>
                <w:lang w:val="es-CL" w:eastAsia="es-CL"/>
              </w:rPr>
              <w:t xml:space="preserve">ervenciones </w:t>
            </w:r>
            <w:r w:rsidR="00213D2E" w:rsidRPr="00D40D44">
              <w:rPr>
                <w:rFonts w:asciiTheme="minorHAnsi" w:hAnsiTheme="minorHAnsi"/>
                <w:color w:val="000000"/>
                <w:sz w:val="12"/>
                <w:szCs w:val="12"/>
                <w:lang w:val="es-CL" w:eastAsia="es-CL"/>
              </w:rPr>
              <w:t>q</w:t>
            </w:r>
            <w:r w:rsidR="00213D2E">
              <w:rPr>
                <w:rFonts w:asciiTheme="minorHAnsi" w:hAnsiTheme="minorHAnsi"/>
                <w:color w:val="000000"/>
                <w:sz w:val="12"/>
                <w:szCs w:val="12"/>
                <w:lang w:val="es-CL" w:eastAsia="es-CL"/>
              </w:rPr>
              <w:t>uirúrgicas</w:t>
            </w:r>
          </w:p>
        </w:tc>
        <w:tc>
          <w:tcPr>
            <w:tcW w:w="2231" w:type="dxa"/>
            <w:gridSpan w:val="3"/>
            <w:noWrap/>
          </w:tcPr>
          <w:p w:rsidR="00D40D44" w:rsidRPr="00D40D44" w:rsidRDefault="00D40D44" w:rsidP="00D40D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2"/>
                <w:szCs w:val="12"/>
                <w:lang w:val="es-CL" w:eastAsia="es-CL"/>
              </w:rPr>
            </w:pPr>
            <w:r w:rsidRPr="00D40D44">
              <w:rPr>
                <w:rFonts w:asciiTheme="minorHAnsi" w:hAnsiTheme="minorHAnsi"/>
                <w:color w:val="000000"/>
                <w:sz w:val="12"/>
                <w:szCs w:val="12"/>
                <w:lang w:val="es-CL" w:eastAsia="es-CL"/>
              </w:rPr>
              <w:t>R</w:t>
            </w:r>
            <w:r>
              <w:rPr>
                <w:rFonts w:asciiTheme="minorHAnsi" w:hAnsiTheme="minorHAnsi"/>
                <w:color w:val="000000"/>
                <w:sz w:val="12"/>
                <w:szCs w:val="12"/>
                <w:lang w:val="es-CL" w:eastAsia="es-CL"/>
              </w:rPr>
              <w:t>X</w:t>
            </w:r>
          </w:p>
        </w:tc>
        <w:tc>
          <w:tcPr>
            <w:tcW w:w="2255" w:type="dxa"/>
            <w:gridSpan w:val="3"/>
            <w:noWrap/>
          </w:tcPr>
          <w:p w:rsidR="00D40D44" w:rsidRPr="00D40D44" w:rsidRDefault="00213D2E" w:rsidP="00D40D4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2"/>
                <w:szCs w:val="12"/>
                <w:lang w:val="es-CL" w:eastAsia="es-CL"/>
              </w:rPr>
            </w:pPr>
            <w:r w:rsidRPr="00D40D44">
              <w:rPr>
                <w:rFonts w:asciiTheme="minorHAnsi" w:hAnsiTheme="minorHAnsi"/>
                <w:color w:val="000000"/>
                <w:sz w:val="12"/>
                <w:szCs w:val="12"/>
                <w:lang w:val="es-CL" w:eastAsia="es-CL"/>
              </w:rPr>
              <w:t>Tomografía</w:t>
            </w:r>
          </w:p>
        </w:tc>
      </w:tr>
      <w:tr w:rsidR="00D40D44" w:rsidRPr="00D40D44" w:rsidTr="00D40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rPr>
                <w:rFonts w:asciiTheme="minorHAnsi" w:hAnsiTheme="minorHAnsi"/>
                <w:color w:val="000000"/>
                <w:sz w:val="12"/>
                <w:szCs w:val="12"/>
                <w:lang w:val="es-CL" w:eastAsia="es-CL"/>
              </w:rPr>
            </w:pPr>
          </w:p>
        </w:tc>
        <w:tc>
          <w:tcPr>
            <w:tcW w:w="379" w:type="dxa"/>
            <w:noWrap/>
            <w:hideMark/>
          </w:tcPr>
          <w:p w:rsidR="00D40D44" w:rsidRPr="00D40D44" w:rsidRDefault="00D40D44" w:rsidP="00D40D4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p>
        </w:tc>
        <w:tc>
          <w:tcPr>
            <w:tcW w:w="956" w:type="dxa"/>
            <w:noWrap/>
            <w:hideMark/>
          </w:tcPr>
          <w:p w:rsidR="00D40D44" w:rsidRPr="00D40D44" w:rsidRDefault="00D40D44" w:rsidP="00D40D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B SP</w:t>
            </w:r>
          </w:p>
        </w:tc>
        <w:tc>
          <w:tcPr>
            <w:tcW w:w="764" w:type="dxa"/>
            <w:noWrap/>
            <w:hideMark/>
          </w:tcPr>
          <w:p w:rsidR="00D40D44" w:rsidRPr="00D40D44" w:rsidRDefault="00D40D44" w:rsidP="00D40D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B CP</w:t>
            </w:r>
          </w:p>
        </w:tc>
        <w:tc>
          <w:tcPr>
            <w:tcW w:w="703" w:type="dxa"/>
            <w:noWrap/>
            <w:hideMark/>
          </w:tcPr>
          <w:p w:rsidR="00D40D44" w:rsidRPr="00D40D44" w:rsidRDefault="00D40D44" w:rsidP="00D40D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B Incr</w:t>
            </w:r>
          </w:p>
        </w:tc>
        <w:tc>
          <w:tcPr>
            <w:tcW w:w="764" w:type="dxa"/>
            <w:noWrap/>
            <w:hideMark/>
          </w:tcPr>
          <w:p w:rsidR="00D40D44" w:rsidRPr="00D40D44" w:rsidRDefault="00D40D44" w:rsidP="00D40D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B SP</w:t>
            </w:r>
          </w:p>
        </w:tc>
        <w:tc>
          <w:tcPr>
            <w:tcW w:w="764" w:type="dxa"/>
            <w:noWrap/>
            <w:hideMark/>
          </w:tcPr>
          <w:p w:rsidR="00D40D44" w:rsidRPr="00D40D44" w:rsidRDefault="00D40D44" w:rsidP="00D40D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B CP</w:t>
            </w:r>
          </w:p>
        </w:tc>
        <w:tc>
          <w:tcPr>
            <w:tcW w:w="703" w:type="dxa"/>
            <w:noWrap/>
            <w:hideMark/>
          </w:tcPr>
          <w:p w:rsidR="00D40D44" w:rsidRPr="00D40D44" w:rsidRDefault="00D40D44" w:rsidP="00D40D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B Incr</w:t>
            </w:r>
          </w:p>
        </w:tc>
        <w:tc>
          <w:tcPr>
            <w:tcW w:w="788" w:type="dxa"/>
            <w:noWrap/>
            <w:hideMark/>
          </w:tcPr>
          <w:p w:rsidR="00D40D44" w:rsidRPr="00D40D44" w:rsidRDefault="00D40D44" w:rsidP="00D40D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B SP</w:t>
            </w:r>
          </w:p>
        </w:tc>
        <w:tc>
          <w:tcPr>
            <w:tcW w:w="764" w:type="dxa"/>
            <w:noWrap/>
            <w:hideMark/>
          </w:tcPr>
          <w:p w:rsidR="00D40D44" w:rsidRPr="00D40D44" w:rsidRDefault="00D40D44" w:rsidP="00D40D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B CP</w:t>
            </w:r>
          </w:p>
        </w:tc>
        <w:tc>
          <w:tcPr>
            <w:tcW w:w="703" w:type="dxa"/>
            <w:noWrap/>
            <w:hideMark/>
          </w:tcPr>
          <w:p w:rsidR="00D40D44" w:rsidRPr="00D40D44" w:rsidRDefault="00D40D44" w:rsidP="00D40D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B Incr</w:t>
            </w:r>
          </w:p>
        </w:tc>
      </w:tr>
      <w:tr w:rsidR="00D40D44" w:rsidRPr="00D40D44" w:rsidTr="00D40D44">
        <w:trPr>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2017</w:t>
            </w:r>
          </w:p>
        </w:tc>
        <w:tc>
          <w:tcPr>
            <w:tcW w:w="379"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w:t>
            </w:r>
          </w:p>
        </w:tc>
        <w:tc>
          <w:tcPr>
            <w:tcW w:w="956"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13.934.767</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13.934.767</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r>
      <w:tr w:rsidR="00D40D44" w:rsidRPr="00D40D44" w:rsidTr="00D40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2018</w:t>
            </w:r>
          </w:p>
        </w:tc>
        <w:tc>
          <w:tcPr>
            <w:tcW w:w="379"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w:t>
            </w:r>
          </w:p>
        </w:tc>
        <w:tc>
          <w:tcPr>
            <w:tcW w:w="956"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14.204.513</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14.204.513</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r>
      <w:tr w:rsidR="00D40D44" w:rsidRPr="00D40D44" w:rsidTr="00D40D44">
        <w:trPr>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2019</w:t>
            </w:r>
          </w:p>
        </w:tc>
        <w:tc>
          <w:tcPr>
            <w:tcW w:w="379"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5</w:t>
            </w:r>
          </w:p>
        </w:tc>
        <w:tc>
          <w:tcPr>
            <w:tcW w:w="956"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14.479.481</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14.479.481</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r>
      <w:tr w:rsidR="00D40D44" w:rsidRPr="00D40D44" w:rsidTr="00D40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2020</w:t>
            </w:r>
          </w:p>
        </w:tc>
        <w:tc>
          <w:tcPr>
            <w:tcW w:w="379"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6</w:t>
            </w:r>
          </w:p>
        </w:tc>
        <w:tc>
          <w:tcPr>
            <w:tcW w:w="956"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14.759.772</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14.759.772</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r>
      <w:tr w:rsidR="00D40D44" w:rsidRPr="00D40D44" w:rsidTr="00D40D44">
        <w:trPr>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2021</w:t>
            </w:r>
          </w:p>
        </w:tc>
        <w:tc>
          <w:tcPr>
            <w:tcW w:w="379"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7</w:t>
            </w:r>
          </w:p>
        </w:tc>
        <w:tc>
          <w:tcPr>
            <w:tcW w:w="956"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15.045.488</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15.045.488</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r>
      <w:tr w:rsidR="00D40D44" w:rsidRPr="00D40D44" w:rsidTr="00D40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2022</w:t>
            </w:r>
          </w:p>
        </w:tc>
        <w:tc>
          <w:tcPr>
            <w:tcW w:w="379"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8</w:t>
            </w:r>
          </w:p>
        </w:tc>
        <w:tc>
          <w:tcPr>
            <w:tcW w:w="956"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15.336.735</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15.336.735</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r>
      <w:tr w:rsidR="00D40D44" w:rsidRPr="00D40D44" w:rsidTr="00D40D44">
        <w:trPr>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2023</w:t>
            </w:r>
          </w:p>
        </w:tc>
        <w:tc>
          <w:tcPr>
            <w:tcW w:w="379"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w:t>
            </w:r>
          </w:p>
        </w:tc>
        <w:tc>
          <w:tcPr>
            <w:tcW w:w="956"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15.633.620</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15.633.620</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r>
      <w:tr w:rsidR="00D40D44" w:rsidRPr="00D40D44" w:rsidTr="00D40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2024</w:t>
            </w:r>
          </w:p>
        </w:tc>
        <w:tc>
          <w:tcPr>
            <w:tcW w:w="379"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10</w:t>
            </w:r>
          </w:p>
        </w:tc>
        <w:tc>
          <w:tcPr>
            <w:tcW w:w="956"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15.936.252</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15.936.252</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r>
      <w:tr w:rsidR="00D40D44" w:rsidRPr="00D40D44" w:rsidTr="00D40D44">
        <w:trPr>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2025</w:t>
            </w:r>
          </w:p>
        </w:tc>
        <w:tc>
          <w:tcPr>
            <w:tcW w:w="379"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11</w:t>
            </w:r>
          </w:p>
        </w:tc>
        <w:tc>
          <w:tcPr>
            <w:tcW w:w="956"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16.244.743</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16.244.743</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r>
      <w:tr w:rsidR="00D40D44" w:rsidRPr="00D40D44" w:rsidTr="00D40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2026</w:t>
            </w:r>
          </w:p>
        </w:tc>
        <w:tc>
          <w:tcPr>
            <w:tcW w:w="379"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w:t>
            </w:r>
          </w:p>
        </w:tc>
        <w:tc>
          <w:tcPr>
            <w:tcW w:w="956"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16.559.205</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16.559.205</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r>
      <w:tr w:rsidR="00D40D44" w:rsidRPr="00D40D44" w:rsidTr="00D40D44">
        <w:trPr>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2027</w:t>
            </w:r>
          </w:p>
        </w:tc>
        <w:tc>
          <w:tcPr>
            <w:tcW w:w="379"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13</w:t>
            </w:r>
          </w:p>
        </w:tc>
        <w:tc>
          <w:tcPr>
            <w:tcW w:w="956"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16.879.754</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16.879.754</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r>
      <w:tr w:rsidR="00D40D44" w:rsidRPr="00D40D44" w:rsidTr="00D40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2028</w:t>
            </w:r>
          </w:p>
        </w:tc>
        <w:tc>
          <w:tcPr>
            <w:tcW w:w="379"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14</w:t>
            </w:r>
          </w:p>
        </w:tc>
        <w:tc>
          <w:tcPr>
            <w:tcW w:w="956"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17.206.508</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17.206.508</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r>
      <w:tr w:rsidR="00D40D44" w:rsidRPr="00D40D44" w:rsidTr="00D40D44">
        <w:trPr>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2029</w:t>
            </w:r>
          </w:p>
        </w:tc>
        <w:tc>
          <w:tcPr>
            <w:tcW w:w="379"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w:t>
            </w:r>
          </w:p>
        </w:tc>
        <w:tc>
          <w:tcPr>
            <w:tcW w:w="956"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17.539.588</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17.539.588</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r>
      <w:tr w:rsidR="00D40D44" w:rsidRPr="00D40D44" w:rsidTr="00D40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2030</w:t>
            </w:r>
          </w:p>
        </w:tc>
        <w:tc>
          <w:tcPr>
            <w:tcW w:w="379"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16</w:t>
            </w:r>
          </w:p>
        </w:tc>
        <w:tc>
          <w:tcPr>
            <w:tcW w:w="956"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17.879.115</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17.879.115</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r>
      <w:tr w:rsidR="00D40D44" w:rsidRPr="00D40D44" w:rsidTr="00D40D44">
        <w:trPr>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2031</w:t>
            </w:r>
          </w:p>
        </w:tc>
        <w:tc>
          <w:tcPr>
            <w:tcW w:w="379"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17</w:t>
            </w:r>
          </w:p>
        </w:tc>
        <w:tc>
          <w:tcPr>
            <w:tcW w:w="956"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18.225.215</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18.225.215</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r>
      <w:tr w:rsidR="00D40D44" w:rsidRPr="00D40D44" w:rsidTr="00D40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2032</w:t>
            </w:r>
          </w:p>
        </w:tc>
        <w:tc>
          <w:tcPr>
            <w:tcW w:w="379"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18</w:t>
            </w:r>
          </w:p>
        </w:tc>
        <w:tc>
          <w:tcPr>
            <w:tcW w:w="956"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18.578.015</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18.578.015</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r>
      <w:tr w:rsidR="00D40D44" w:rsidRPr="00D40D44" w:rsidTr="00D40D44">
        <w:trPr>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2033</w:t>
            </w:r>
          </w:p>
        </w:tc>
        <w:tc>
          <w:tcPr>
            <w:tcW w:w="379"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19</w:t>
            </w:r>
          </w:p>
        </w:tc>
        <w:tc>
          <w:tcPr>
            <w:tcW w:w="956"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18.937.644</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18.937.644</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r>
      <w:tr w:rsidR="00D40D44" w:rsidRPr="00D40D44" w:rsidTr="00D40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2034</w:t>
            </w:r>
          </w:p>
        </w:tc>
        <w:tc>
          <w:tcPr>
            <w:tcW w:w="379"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20</w:t>
            </w:r>
          </w:p>
        </w:tc>
        <w:tc>
          <w:tcPr>
            <w:tcW w:w="956"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19.304.234</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19.304.234</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r>
      <w:tr w:rsidR="00D40D44" w:rsidRPr="00D40D44" w:rsidTr="00D40D44">
        <w:trPr>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2035</w:t>
            </w:r>
          </w:p>
        </w:tc>
        <w:tc>
          <w:tcPr>
            <w:tcW w:w="379"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21</w:t>
            </w:r>
          </w:p>
        </w:tc>
        <w:tc>
          <w:tcPr>
            <w:tcW w:w="956"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19.677.921</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19.677.921</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r>
      <w:tr w:rsidR="00D40D44" w:rsidRPr="00D40D44" w:rsidTr="00D40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2036</w:t>
            </w:r>
          </w:p>
        </w:tc>
        <w:tc>
          <w:tcPr>
            <w:tcW w:w="379"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22</w:t>
            </w:r>
          </w:p>
        </w:tc>
        <w:tc>
          <w:tcPr>
            <w:tcW w:w="956"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19.865.928</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20.058.842</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192.914</w:t>
            </w:r>
          </w:p>
        </w:tc>
      </w:tr>
      <w:tr w:rsidR="00D40D44" w:rsidRPr="00D40D44" w:rsidTr="00D40D44">
        <w:trPr>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2037</w:t>
            </w:r>
          </w:p>
        </w:tc>
        <w:tc>
          <w:tcPr>
            <w:tcW w:w="379"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23</w:t>
            </w:r>
          </w:p>
        </w:tc>
        <w:tc>
          <w:tcPr>
            <w:tcW w:w="956"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19.865.928</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20.447.137</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581.209</w:t>
            </w:r>
          </w:p>
        </w:tc>
      </w:tr>
      <w:tr w:rsidR="00D40D44" w:rsidRPr="00D40D44" w:rsidTr="00D40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2038</w:t>
            </w:r>
          </w:p>
        </w:tc>
        <w:tc>
          <w:tcPr>
            <w:tcW w:w="379"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24</w:t>
            </w:r>
          </w:p>
        </w:tc>
        <w:tc>
          <w:tcPr>
            <w:tcW w:w="956"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19.865.928</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20.842.948</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977.020</w:t>
            </w:r>
          </w:p>
        </w:tc>
      </w:tr>
      <w:tr w:rsidR="00D40D44" w:rsidRPr="00D40D44" w:rsidTr="00D40D44">
        <w:trPr>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2039</w:t>
            </w:r>
          </w:p>
        </w:tc>
        <w:tc>
          <w:tcPr>
            <w:tcW w:w="379"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25</w:t>
            </w:r>
          </w:p>
        </w:tc>
        <w:tc>
          <w:tcPr>
            <w:tcW w:w="956"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19.865.928</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21.246.421</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1.380.493</w:t>
            </w:r>
          </w:p>
        </w:tc>
      </w:tr>
      <w:tr w:rsidR="00D40D44" w:rsidRPr="00D40D44" w:rsidTr="00D40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2040</w:t>
            </w:r>
          </w:p>
        </w:tc>
        <w:tc>
          <w:tcPr>
            <w:tcW w:w="379"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26</w:t>
            </w:r>
          </w:p>
        </w:tc>
        <w:tc>
          <w:tcPr>
            <w:tcW w:w="956"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19.865.928</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21.657.704</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1.791.776</w:t>
            </w:r>
          </w:p>
        </w:tc>
      </w:tr>
      <w:tr w:rsidR="00D40D44" w:rsidRPr="00D40D44" w:rsidTr="00D40D44">
        <w:trPr>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2041</w:t>
            </w:r>
          </w:p>
        </w:tc>
        <w:tc>
          <w:tcPr>
            <w:tcW w:w="379"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27</w:t>
            </w:r>
          </w:p>
        </w:tc>
        <w:tc>
          <w:tcPr>
            <w:tcW w:w="956"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19.865.928</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22.076.949</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2.211.021</w:t>
            </w:r>
          </w:p>
        </w:tc>
      </w:tr>
      <w:tr w:rsidR="00D40D44" w:rsidRPr="00D40D44" w:rsidTr="00D40D4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2042</w:t>
            </w:r>
          </w:p>
        </w:tc>
        <w:tc>
          <w:tcPr>
            <w:tcW w:w="379"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28</w:t>
            </w:r>
          </w:p>
        </w:tc>
        <w:tc>
          <w:tcPr>
            <w:tcW w:w="956"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19.865.928</w:t>
            </w:r>
          </w:p>
        </w:tc>
        <w:tc>
          <w:tcPr>
            <w:tcW w:w="764"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22.504.310</w:t>
            </w:r>
          </w:p>
        </w:tc>
        <w:tc>
          <w:tcPr>
            <w:tcW w:w="703" w:type="dxa"/>
            <w:noWrap/>
            <w:hideMark/>
          </w:tcPr>
          <w:p w:rsidR="00D40D44" w:rsidRPr="00D40D44" w:rsidRDefault="00D40D44" w:rsidP="00D40D4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2.638.382</w:t>
            </w:r>
          </w:p>
        </w:tc>
      </w:tr>
      <w:tr w:rsidR="00D40D44" w:rsidRPr="00D40D44" w:rsidTr="00D40D44">
        <w:trPr>
          <w:trHeight w:val="20"/>
        </w:trPr>
        <w:tc>
          <w:tcPr>
            <w:cnfStyle w:val="001000000000" w:firstRow="0" w:lastRow="0" w:firstColumn="1" w:lastColumn="0" w:oddVBand="0" w:evenVBand="0" w:oddHBand="0" w:evenHBand="0" w:firstRowFirstColumn="0" w:firstRowLastColumn="0" w:lastRowFirstColumn="0" w:lastRowLastColumn="0"/>
            <w:tcW w:w="860" w:type="dxa"/>
            <w:noWrap/>
            <w:hideMark/>
          </w:tcPr>
          <w:p w:rsidR="00D40D44" w:rsidRPr="00D40D44" w:rsidRDefault="00D40D44" w:rsidP="00D40D44">
            <w:pPr>
              <w:jc w:val="right"/>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2043</w:t>
            </w:r>
          </w:p>
        </w:tc>
        <w:tc>
          <w:tcPr>
            <w:tcW w:w="379"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29</w:t>
            </w:r>
          </w:p>
        </w:tc>
        <w:tc>
          <w:tcPr>
            <w:tcW w:w="956"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33.164.484</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42.330.816</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9.166.332</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12.485.453</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14.046.134</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1.560.682</w:t>
            </w:r>
          </w:p>
        </w:tc>
        <w:tc>
          <w:tcPr>
            <w:tcW w:w="788"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19.865.928</w:t>
            </w:r>
          </w:p>
        </w:tc>
        <w:tc>
          <w:tcPr>
            <w:tcW w:w="764"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22.939.943</w:t>
            </w:r>
          </w:p>
        </w:tc>
        <w:tc>
          <w:tcPr>
            <w:tcW w:w="703" w:type="dxa"/>
            <w:noWrap/>
            <w:hideMark/>
          </w:tcPr>
          <w:p w:rsidR="00D40D44" w:rsidRPr="00D40D44" w:rsidRDefault="00D40D44" w:rsidP="00D40D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3.074.015</w:t>
            </w:r>
          </w:p>
        </w:tc>
      </w:tr>
    </w:tbl>
    <w:p w:rsidR="000D5657" w:rsidRPr="000D5657" w:rsidRDefault="000D5657" w:rsidP="000D5657">
      <w:pPr>
        <w:rPr>
          <w:rFonts w:asciiTheme="minorHAnsi" w:hAnsiTheme="minorHAnsi"/>
          <w:sz w:val="18"/>
          <w:szCs w:val="18"/>
        </w:rPr>
      </w:pPr>
      <w:r w:rsidRPr="000D5657">
        <w:rPr>
          <w:rFonts w:asciiTheme="minorHAnsi" w:hAnsiTheme="minorHAnsi"/>
          <w:sz w:val="18"/>
          <w:szCs w:val="18"/>
        </w:rPr>
        <w:t>Fuente: Elaboración propia.</w:t>
      </w:r>
    </w:p>
    <w:p w:rsidR="00D40D44" w:rsidRDefault="00D40D44" w:rsidP="00107B14"/>
    <w:tbl>
      <w:tblPr>
        <w:tblStyle w:val="LightList-Accent3"/>
        <w:tblW w:w="8157" w:type="dxa"/>
        <w:tblLook w:val="04A0" w:firstRow="1" w:lastRow="0" w:firstColumn="1" w:lastColumn="0" w:noHBand="0" w:noVBand="1"/>
      </w:tblPr>
      <w:tblGrid>
        <w:gridCol w:w="860"/>
        <w:gridCol w:w="402"/>
        <w:gridCol w:w="956"/>
        <w:gridCol w:w="703"/>
        <w:gridCol w:w="703"/>
        <w:gridCol w:w="828"/>
        <w:gridCol w:w="703"/>
        <w:gridCol w:w="710"/>
        <w:gridCol w:w="764"/>
        <w:gridCol w:w="764"/>
        <w:gridCol w:w="764"/>
      </w:tblGrid>
      <w:tr w:rsidR="00D40D44" w:rsidRPr="00D40D44" w:rsidTr="0039593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2" w:type="dxa"/>
            <w:gridSpan w:val="2"/>
            <w:noWrap/>
            <w:vAlign w:val="center"/>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Año</w:t>
            </w:r>
            <w:r>
              <w:rPr>
                <w:rFonts w:asciiTheme="minorHAnsi" w:hAnsiTheme="minorHAnsi"/>
                <w:color w:val="000000"/>
                <w:sz w:val="12"/>
                <w:szCs w:val="12"/>
                <w:lang w:val="es-CL" w:eastAsia="es-CL"/>
              </w:rPr>
              <w:t>/Periodo</w:t>
            </w:r>
          </w:p>
        </w:tc>
        <w:tc>
          <w:tcPr>
            <w:tcW w:w="2362" w:type="dxa"/>
            <w:gridSpan w:val="3"/>
            <w:noWrap/>
            <w:vAlign w:val="center"/>
          </w:tcPr>
          <w:p w:rsidR="00D40D44" w:rsidRPr="00D40D44" w:rsidRDefault="00D40D44" w:rsidP="0039593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2"/>
                <w:szCs w:val="12"/>
                <w:lang w:val="es-CL" w:eastAsia="es-CL"/>
              </w:rPr>
            </w:pPr>
            <w:r w:rsidRPr="00D40D44">
              <w:rPr>
                <w:rFonts w:asciiTheme="minorHAnsi" w:hAnsiTheme="minorHAnsi"/>
                <w:color w:val="000000"/>
                <w:sz w:val="12"/>
                <w:szCs w:val="12"/>
                <w:lang w:val="es-CL" w:eastAsia="es-CL"/>
              </w:rPr>
              <w:t>Resonancia magnética</w:t>
            </w:r>
          </w:p>
        </w:tc>
        <w:tc>
          <w:tcPr>
            <w:tcW w:w="2241" w:type="dxa"/>
            <w:gridSpan w:val="3"/>
            <w:noWrap/>
            <w:vAlign w:val="center"/>
          </w:tcPr>
          <w:p w:rsidR="00D40D44" w:rsidRPr="00D40D44" w:rsidRDefault="00213D2E" w:rsidP="0039593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2"/>
                <w:szCs w:val="12"/>
                <w:lang w:val="es-CL" w:eastAsia="es-CL"/>
              </w:rPr>
            </w:pPr>
            <w:r w:rsidRPr="00D40D44">
              <w:rPr>
                <w:rFonts w:asciiTheme="minorHAnsi" w:hAnsiTheme="minorHAnsi"/>
                <w:color w:val="000000"/>
                <w:sz w:val="12"/>
                <w:szCs w:val="12"/>
                <w:lang w:val="es-CL" w:eastAsia="es-CL"/>
              </w:rPr>
              <w:t>Mamografía</w:t>
            </w:r>
          </w:p>
        </w:tc>
        <w:tc>
          <w:tcPr>
            <w:tcW w:w="2292" w:type="dxa"/>
            <w:gridSpan w:val="3"/>
            <w:noWrap/>
            <w:vAlign w:val="center"/>
          </w:tcPr>
          <w:p w:rsidR="00D40D44" w:rsidRPr="00D40D44" w:rsidRDefault="00213D2E" w:rsidP="0039593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2"/>
                <w:szCs w:val="12"/>
                <w:lang w:val="es-CL" w:eastAsia="es-CL"/>
              </w:rPr>
            </w:pPr>
            <w:r w:rsidRPr="00D40D44">
              <w:rPr>
                <w:rFonts w:asciiTheme="minorHAnsi" w:hAnsiTheme="minorHAnsi"/>
                <w:color w:val="000000"/>
                <w:sz w:val="12"/>
                <w:szCs w:val="12"/>
                <w:lang w:val="es-CL" w:eastAsia="es-CL"/>
              </w:rPr>
              <w:t>Diálisis</w:t>
            </w:r>
          </w:p>
        </w:tc>
      </w:tr>
      <w:tr w:rsidR="00D40D44" w:rsidRPr="00D40D44"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p>
        </w:tc>
        <w:tc>
          <w:tcPr>
            <w:tcW w:w="402"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p>
        </w:tc>
        <w:tc>
          <w:tcPr>
            <w:tcW w:w="956"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B SP</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B CP</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B Incr</w:t>
            </w:r>
          </w:p>
        </w:tc>
        <w:tc>
          <w:tcPr>
            <w:tcW w:w="828"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B SP</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B CP</w:t>
            </w:r>
          </w:p>
        </w:tc>
        <w:tc>
          <w:tcPr>
            <w:tcW w:w="710"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B Incr</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B SP</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B CP</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B Incr</w:t>
            </w:r>
          </w:p>
        </w:tc>
      </w:tr>
      <w:tr w:rsidR="00D40D44" w:rsidRPr="00D40D44"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2017</w:t>
            </w:r>
          </w:p>
        </w:tc>
        <w:tc>
          <w:tcPr>
            <w:tcW w:w="402"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w:t>
            </w:r>
          </w:p>
        </w:tc>
        <w:tc>
          <w:tcPr>
            <w:tcW w:w="956"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2018</w:t>
            </w:r>
          </w:p>
        </w:tc>
        <w:tc>
          <w:tcPr>
            <w:tcW w:w="402"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w:t>
            </w:r>
          </w:p>
        </w:tc>
        <w:tc>
          <w:tcPr>
            <w:tcW w:w="956"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2019</w:t>
            </w:r>
          </w:p>
        </w:tc>
        <w:tc>
          <w:tcPr>
            <w:tcW w:w="402"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5</w:t>
            </w:r>
          </w:p>
        </w:tc>
        <w:tc>
          <w:tcPr>
            <w:tcW w:w="956"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2020</w:t>
            </w:r>
          </w:p>
        </w:tc>
        <w:tc>
          <w:tcPr>
            <w:tcW w:w="402"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6</w:t>
            </w:r>
          </w:p>
        </w:tc>
        <w:tc>
          <w:tcPr>
            <w:tcW w:w="956"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2021</w:t>
            </w:r>
          </w:p>
        </w:tc>
        <w:tc>
          <w:tcPr>
            <w:tcW w:w="402"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7</w:t>
            </w:r>
          </w:p>
        </w:tc>
        <w:tc>
          <w:tcPr>
            <w:tcW w:w="956"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2022</w:t>
            </w:r>
          </w:p>
        </w:tc>
        <w:tc>
          <w:tcPr>
            <w:tcW w:w="402"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8</w:t>
            </w:r>
          </w:p>
        </w:tc>
        <w:tc>
          <w:tcPr>
            <w:tcW w:w="956"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2023</w:t>
            </w:r>
          </w:p>
        </w:tc>
        <w:tc>
          <w:tcPr>
            <w:tcW w:w="402"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9</w:t>
            </w:r>
          </w:p>
        </w:tc>
        <w:tc>
          <w:tcPr>
            <w:tcW w:w="956"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2024</w:t>
            </w:r>
          </w:p>
        </w:tc>
        <w:tc>
          <w:tcPr>
            <w:tcW w:w="402"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10</w:t>
            </w:r>
          </w:p>
        </w:tc>
        <w:tc>
          <w:tcPr>
            <w:tcW w:w="956"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2025</w:t>
            </w:r>
          </w:p>
        </w:tc>
        <w:tc>
          <w:tcPr>
            <w:tcW w:w="402"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11</w:t>
            </w:r>
          </w:p>
        </w:tc>
        <w:tc>
          <w:tcPr>
            <w:tcW w:w="956"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2026</w:t>
            </w:r>
          </w:p>
        </w:tc>
        <w:tc>
          <w:tcPr>
            <w:tcW w:w="402"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12</w:t>
            </w:r>
          </w:p>
        </w:tc>
        <w:tc>
          <w:tcPr>
            <w:tcW w:w="956"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2027</w:t>
            </w:r>
          </w:p>
        </w:tc>
        <w:tc>
          <w:tcPr>
            <w:tcW w:w="402"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13</w:t>
            </w:r>
          </w:p>
        </w:tc>
        <w:tc>
          <w:tcPr>
            <w:tcW w:w="956"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2028</w:t>
            </w:r>
          </w:p>
        </w:tc>
        <w:tc>
          <w:tcPr>
            <w:tcW w:w="402"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14</w:t>
            </w:r>
          </w:p>
        </w:tc>
        <w:tc>
          <w:tcPr>
            <w:tcW w:w="956"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2029</w:t>
            </w:r>
          </w:p>
        </w:tc>
        <w:tc>
          <w:tcPr>
            <w:tcW w:w="402"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w:t>
            </w:r>
          </w:p>
        </w:tc>
        <w:tc>
          <w:tcPr>
            <w:tcW w:w="956"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2030</w:t>
            </w:r>
          </w:p>
        </w:tc>
        <w:tc>
          <w:tcPr>
            <w:tcW w:w="402"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16</w:t>
            </w:r>
          </w:p>
        </w:tc>
        <w:tc>
          <w:tcPr>
            <w:tcW w:w="956"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2031</w:t>
            </w:r>
          </w:p>
        </w:tc>
        <w:tc>
          <w:tcPr>
            <w:tcW w:w="402"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17</w:t>
            </w:r>
          </w:p>
        </w:tc>
        <w:tc>
          <w:tcPr>
            <w:tcW w:w="956"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2032</w:t>
            </w:r>
          </w:p>
        </w:tc>
        <w:tc>
          <w:tcPr>
            <w:tcW w:w="402"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18</w:t>
            </w:r>
          </w:p>
        </w:tc>
        <w:tc>
          <w:tcPr>
            <w:tcW w:w="956"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2033</w:t>
            </w:r>
          </w:p>
        </w:tc>
        <w:tc>
          <w:tcPr>
            <w:tcW w:w="402"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19</w:t>
            </w:r>
          </w:p>
        </w:tc>
        <w:tc>
          <w:tcPr>
            <w:tcW w:w="956"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2034</w:t>
            </w:r>
          </w:p>
        </w:tc>
        <w:tc>
          <w:tcPr>
            <w:tcW w:w="402"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20</w:t>
            </w:r>
          </w:p>
        </w:tc>
        <w:tc>
          <w:tcPr>
            <w:tcW w:w="956"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2035</w:t>
            </w:r>
          </w:p>
        </w:tc>
        <w:tc>
          <w:tcPr>
            <w:tcW w:w="402"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21</w:t>
            </w:r>
          </w:p>
        </w:tc>
        <w:tc>
          <w:tcPr>
            <w:tcW w:w="956"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2036</w:t>
            </w:r>
          </w:p>
        </w:tc>
        <w:tc>
          <w:tcPr>
            <w:tcW w:w="402"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22</w:t>
            </w:r>
          </w:p>
        </w:tc>
        <w:tc>
          <w:tcPr>
            <w:tcW w:w="956"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2037</w:t>
            </w:r>
          </w:p>
        </w:tc>
        <w:tc>
          <w:tcPr>
            <w:tcW w:w="402"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23</w:t>
            </w:r>
          </w:p>
        </w:tc>
        <w:tc>
          <w:tcPr>
            <w:tcW w:w="956"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2038</w:t>
            </w:r>
          </w:p>
        </w:tc>
        <w:tc>
          <w:tcPr>
            <w:tcW w:w="402"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24</w:t>
            </w:r>
          </w:p>
        </w:tc>
        <w:tc>
          <w:tcPr>
            <w:tcW w:w="956"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2039</w:t>
            </w:r>
          </w:p>
        </w:tc>
        <w:tc>
          <w:tcPr>
            <w:tcW w:w="402"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25</w:t>
            </w:r>
          </w:p>
        </w:tc>
        <w:tc>
          <w:tcPr>
            <w:tcW w:w="956"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2040</w:t>
            </w:r>
          </w:p>
        </w:tc>
        <w:tc>
          <w:tcPr>
            <w:tcW w:w="402"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26</w:t>
            </w:r>
          </w:p>
        </w:tc>
        <w:tc>
          <w:tcPr>
            <w:tcW w:w="956"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2041</w:t>
            </w:r>
          </w:p>
        </w:tc>
        <w:tc>
          <w:tcPr>
            <w:tcW w:w="402"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27</w:t>
            </w:r>
          </w:p>
        </w:tc>
        <w:tc>
          <w:tcPr>
            <w:tcW w:w="956"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2042</w:t>
            </w:r>
          </w:p>
        </w:tc>
        <w:tc>
          <w:tcPr>
            <w:tcW w:w="402"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28</w:t>
            </w:r>
          </w:p>
        </w:tc>
        <w:tc>
          <w:tcPr>
            <w:tcW w:w="956"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828"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r w:rsidR="00D40D44" w:rsidRPr="00D40D44"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D40D44" w:rsidRPr="00D40D44" w:rsidRDefault="00D40D44" w:rsidP="00395933">
            <w:pPr>
              <w:jc w:val="center"/>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2043</w:t>
            </w:r>
          </w:p>
        </w:tc>
        <w:tc>
          <w:tcPr>
            <w:tcW w:w="402"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val="es-CL" w:eastAsia="es-CL"/>
              </w:rPr>
            </w:pPr>
            <w:r w:rsidRPr="00D40D44">
              <w:rPr>
                <w:rFonts w:asciiTheme="minorHAnsi" w:hAnsiTheme="minorHAnsi"/>
                <w:b/>
                <w:bCs/>
                <w:color w:val="000000"/>
                <w:sz w:val="12"/>
                <w:szCs w:val="12"/>
                <w:lang w:val="es-CL" w:eastAsia="es-CL"/>
              </w:rPr>
              <w:t>29</w:t>
            </w:r>
          </w:p>
        </w:tc>
        <w:tc>
          <w:tcPr>
            <w:tcW w:w="956" w:type="dxa"/>
            <w:noWrap/>
            <w:vAlign w:val="center"/>
            <w:hideMark/>
          </w:tcPr>
          <w:p w:rsidR="00D40D44" w:rsidRPr="00D40D44"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Pr>
                <w:rFonts w:asciiTheme="minorHAnsi" w:hAnsiTheme="minorHAnsi"/>
                <w:color w:val="000000"/>
                <w:sz w:val="12"/>
                <w:szCs w:val="12"/>
                <w:lang w:val="es-CL" w:eastAsia="es-CL"/>
              </w:rPr>
              <w:t>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4.59</w:t>
            </w:r>
            <w:r w:rsidR="00395933">
              <w:rPr>
                <w:rFonts w:asciiTheme="minorHAnsi" w:hAnsiTheme="minorHAnsi"/>
                <w:color w:val="000000"/>
                <w:sz w:val="12"/>
                <w:szCs w:val="12"/>
                <w:lang w:val="es-CL" w:eastAsia="es-CL"/>
              </w:rPr>
              <w:t>0</w:t>
            </w:r>
            <w:r w:rsidRPr="00D40D44">
              <w:rPr>
                <w:rFonts w:asciiTheme="minorHAnsi" w:hAnsiTheme="minorHAnsi"/>
                <w:color w:val="000000"/>
                <w:sz w:val="12"/>
                <w:szCs w:val="12"/>
                <w:lang w:val="es-CL" w:eastAsia="es-CL"/>
              </w:rPr>
              <w:t>.</w:t>
            </w:r>
            <w:r w:rsidR="00395933">
              <w:rPr>
                <w:rFonts w:asciiTheme="minorHAnsi" w:hAnsiTheme="minorHAnsi"/>
                <w:color w:val="000000"/>
                <w:sz w:val="12"/>
                <w:szCs w:val="12"/>
                <w:lang w:val="es-CL" w:eastAsia="es-CL"/>
              </w:rPr>
              <w:t>000</w:t>
            </w:r>
          </w:p>
        </w:tc>
        <w:tc>
          <w:tcPr>
            <w:tcW w:w="828"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03"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3.060.000</w:t>
            </w:r>
          </w:p>
        </w:tc>
        <w:tc>
          <w:tcPr>
            <w:tcW w:w="710"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1.530.000</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20.893.941</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35.642.606</w:t>
            </w:r>
          </w:p>
        </w:tc>
        <w:tc>
          <w:tcPr>
            <w:tcW w:w="764" w:type="dxa"/>
            <w:noWrap/>
            <w:vAlign w:val="center"/>
            <w:hideMark/>
          </w:tcPr>
          <w:p w:rsidR="00D40D44" w:rsidRPr="00D40D44" w:rsidRDefault="00D40D44"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D40D44">
              <w:rPr>
                <w:rFonts w:asciiTheme="minorHAnsi" w:hAnsiTheme="minorHAnsi"/>
                <w:color w:val="000000"/>
                <w:sz w:val="12"/>
                <w:szCs w:val="12"/>
                <w:lang w:val="es-CL" w:eastAsia="es-CL"/>
              </w:rPr>
              <w:t>14.748.665</w:t>
            </w:r>
          </w:p>
        </w:tc>
      </w:tr>
    </w:tbl>
    <w:p w:rsidR="000D5657" w:rsidRPr="000D5657" w:rsidRDefault="000D5657" w:rsidP="000D5657">
      <w:pPr>
        <w:rPr>
          <w:rFonts w:asciiTheme="minorHAnsi" w:hAnsiTheme="minorHAnsi"/>
          <w:sz w:val="18"/>
          <w:szCs w:val="18"/>
        </w:rPr>
      </w:pPr>
      <w:r w:rsidRPr="000D5657">
        <w:rPr>
          <w:rFonts w:asciiTheme="minorHAnsi" w:hAnsiTheme="minorHAnsi"/>
          <w:sz w:val="18"/>
          <w:szCs w:val="18"/>
        </w:rPr>
        <w:t>Fuente: Elaboración propia.</w:t>
      </w:r>
    </w:p>
    <w:p w:rsidR="00D40D44" w:rsidRDefault="00D40D44" w:rsidP="00107B14"/>
    <w:p w:rsidR="00395933" w:rsidRDefault="00395933" w:rsidP="00107B14"/>
    <w:p w:rsidR="00395933" w:rsidRDefault="00395933" w:rsidP="00107B14"/>
    <w:p w:rsidR="00395933" w:rsidRDefault="00395933" w:rsidP="00107B14"/>
    <w:p w:rsidR="00395933" w:rsidRDefault="00395933" w:rsidP="00107B14"/>
    <w:p w:rsidR="00395933" w:rsidRDefault="00395933" w:rsidP="00107B14"/>
    <w:p w:rsidR="00395933" w:rsidRDefault="00395933" w:rsidP="00107B14"/>
    <w:p w:rsidR="00395933" w:rsidRDefault="00395933" w:rsidP="00107B14"/>
    <w:tbl>
      <w:tblPr>
        <w:tblStyle w:val="LightList-Accent3"/>
        <w:tblW w:w="10074" w:type="dxa"/>
        <w:tblLook w:val="04A0" w:firstRow="1" w:lastRow="0" w:firstColumn="1" w:lastColumn="0" w:noHBand="0" w:noVBand="1"/>
      </w:tblPr>
      <w:tblGrid>
        <w:gridCol w:w="860"/>
        <w:gridCol w:w="409"/>
        <w:gridCol w:w="784"/>
        <w:gridCol w:w="703"/>
        <w:gridCol w:w="703"/>
        <w:gridCol w:w="703"/>
        <w:gridCol w:w="703"/>
        <w:gridCol w:w="703"/>
        <w:gridCol w:w="901"/>
        <w:gridCol w:w="612"/>
        <w:gridCol w:w="612"/>
        <w:gridCol w:w="975"/>
        <w:gridCol w:w="703"/>
        <w:gridCol w:w="703"/>
      </w:tblGrid>
      <w:tr w:rsidR="00395933" w:rsidRPr="00395933" w:rsidTr="00467B5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9" w:type="dxa"/>
            <w:gridSpan w:val="2"/>
            <w:noWrap/>
            <w:vAlign w:val="center"/>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Año</w:t>
            </w:r>
            <w:r>
              <w:rPr>
                <w:rFonts w:asciiTheme="minorHAnsi" w:hAnsiTheme="minorHAnsi"/>
                <w:color w:val="000000"/>
                <w:sz w:val="12"/>
                <w:szCs w:val="12"/>
                <w:lang w:val="es-CL" w:eastAsia="es-CL"/>
              </w:rPr>
              <w:t>/periodo</w:t>
            </w:r>
          </w:p>
        </w:tc>
        <w:tc>
          <w:tcPr>
            <w:tcW w:w="2190" w:type="dxa"/>
            <w:gridSpan w:val="3"/>
            <w:noWrap/>
            <w:vAlign w:val="center"/>
          </w:tcPr>
          <w:p w:rsidR="00395933" w:rsidRPr="00395933" w:rsidRDefault="00395933" w:rsidP="0039593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2"/>
                <w:szCs w:val="12"/>
                <w:lang w:val="es-CL" w:eastAsia="es-CL"/>
              </w:rPr>
            </w:pPr>
            <w:r w:rsidRPr="00395933">
              <w:rPr>
                <w:rFonts w:asciiTheme="minorHAnsi" w:hAnsiTheme="minorHAnsi"/>
                <w:color w:val="000000"/>
                <w:sz w:val="12"/>
                <w:szCs w:val="12"/>
                <w:lang w:val="es-CL" w:eastAsia="es-CL"/>
              </w:rPr>
              <w:t>Endoscopia</w:t>
            </w:r>
          </w:p>
        </w:tc>
        <w:tc>
          <w:tcPr>
            <w:tcW w:w="2109" w:type="dxa"/>
            <w:gridSpan w:val="3"/>
            <w:noWrap/>
            <w:vAlign w:val="center"/>
          </w:tcPr>
          <w:p w:rsidR="00395933" w:rsidRPr="00395933" w:rsidRDefault="00213D2E" w:rsidP="0039593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2"/>
                <w:szCs w:val="12"/>
                <w:lang w:val="es-CL" w:eastAsia="es-CL"/>
              </w:rPr>
            </w:pPr>
            <w:r w:rsidRPr="00395933">
              <w:rPr>
                <w:rFonts w:asciiTheme="minorHAnsi" w:hAnsiTheme="minorHAnsi"/>
                <w:color w:val="000000"/>
                <w:sz w:val="12"/>
                <w:szCs w:val="12"/>
                <w:lang w:val="es-CL" w:eastAsia="es-CL"/>
              </w:rPr>
              <w:t>Ecógrafo</w:t>
            </w:r>
          </w:p>
        </w:tc>
        <w:tc>
          <w:tcPr>
            <w:tcW w:w="2125" w:type="dxa"/>
            <w:gridSpan w:val="3"/>
            <w:noWrap/>
            <w:vAlign w:val="center"/>
          </w:tcPr>
          <w:p w:rsidR="00395933" w:rsidRPr="00395933" w:rsidRDefault="00395933" w:rsidP="0039593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2"/>
                <w:szCs w:val="12"/>
                <w:lang w:val="es-CL" w:eastAsia="es-CL"/>
              </w:rPr>
            </w:pPr>
            <w:r w:rsidRPr="00395933">
              <w:rPr>
                <w:rFonts w:asciiTheme="minorHAnsi" w:hAnsiTheme="minorHAnsi"/>
                <w:color w:val="000000"/>
                <w:sz w:val="12"/>
                <w:szCs w:val="12"/>
                <w:lang w:val="es-CL" w:eastAsia="es-CL"/>
              </w:rPr>
              <w:t>Braquiterapia</w:t>
            </w:r>
          </w:p>
        </w:tc>
        <w:tc>
          <w:tcPr>
            <w:tcW w:w="2381" w:type="dxa"/>
            <w:gridSpan w:val="3"/>
            <w:noWrap/>
            <w:vAlign w:val="center"/>
          </w:tcPr>
          <w:p w:rsidR="00395933" w:rsidRPr="00395933" w:rsidRDefault="00213D2E" w:rsidP="0039593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2"/>
                <w:szCs w:val="12"/>
                <w:lang w:val="es-CL" w:eastAsia="es-CL"/>
              </w:rPr>
            </w:pPr>
            <w:r w:rsidRPr="00395933">
              <w:rPr>
                <w:rFonts w:asciiTheme="minorHAnsi" w:hAnsiTheme="minorHAnsi"/>
                <w:color w:val="000000"/>
                <w:sz w:val="12"/>
                <w:szCs w:val="12"/>
                <w:lang w:val="es-CL" w:eastAsia="es-CL"/>
              </w:rPr>
              <w:t>Gamma cámara</w:t>
            </w:r>
          </w:p>
        </w:tc>
      </w:tr>
      <w:tr w:rsidR="00395933" w:rsidRPr="00395933"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p>
        </w:tc>
        <w:tc>
          <w:tcPr>
            <w:tcW w:w="409"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p>
        </w:tc>
        <w:tc>
          <w:tcPr>
            <w:tcW w:w="784"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B SP</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B CP</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B Incr</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B SP</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B CP</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B Incr</w:t>
            </w:r>
          </w:p>
        </w:tc>
        <w:tc>
          <w:tcPr>
            <w:tcW w:w="901"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B SP</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B CP</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B Incr</w:t>
            </w:r>
          </w:p>
        </w:tc>
        <w:tc>
          <w:tcPr>
            <w:tcW w:w="975"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B SP</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B CP</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B Incr</w:t>
            </w:r>
          </w:p>
        </w:tc>
      </w:tr>
      <w:tr w:rsidR="00395933" w:rsidRPr="00395933"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2017</w:t>
            </w:r>
          </w:p>
        </w:tc>
        <w:tc>
          <w:tcPr>
            <w:tcW w:w="409"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w:t>
            </w:r>
          </w:p>
        </w:tc>
        <w:tc>
          <w:tcPr>
            <w:tcW w:w="784"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2018</w:t>
            </w:r>
          </w:p>
        </w:tc>
        <w:tc>
          <w:tcPr>
            <w:tcW w:w="409"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w:t>
            </w:r>
          </w:p>
        </w:tc>
        <w:tc>
          <w:tcPr>
            <w:tcW w:w="784"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2019</w:t>
            </w:r>
          </w:p>
        </w:tc>
        <w:tc>
          <w:tcPr>
            <w:tcW w:w="409"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5</w:t>
            </w:r>
          </w:p>
        </w:tc>
        <w:tc>
          <w:tcPr>
            <w:tcW w:w="784"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2020</w:t>
            </w:r>
          </w:p>
        </w:tc>
        <w:tc>
          <w:tcPr>
            <w:tcW w:w="409"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w:t>
            </w:r>
          </w:p>
        </w:tc>
        <w:tc>
          <w:tcPr>
            <w:tcW w:w="784"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2021</w:t>
            </w:r>
          </w:p>
        </w:tc>
        <w:tc>
          <w:tcPr>
            <w:tcW w:w="409"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7</w:t>
            </w:r>
          </w:p>
        </w:tc>
        <w:tc>
          <w:tcPr>
            <w:tcW w:w="784"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2022</w:t>
            </w:r>
          </w:p>
        </w:tc>
        <w:tc>
          <w:tcPr>
            <w:tcW w:w="409"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8</w:t>
            </w:r>
          </w:p>
        </w:tc>
        <w:tc>
          <w:tcPr>
            <w:tcW w:w="784"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2023</w:t>
            </w:r>
          </w:p>
        </w:tc>
        <w:tc>
          <w:tcPr>
            <w:tcW w:w="409"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9</w:t>
            </w:r>
          </w:p>
        </w:tc>
        <w:tc>
          <w:tcPr>
            <w:tcW w:w="784"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2024</w:t>
            </w:r>
          </w:p>
        </w:tc>
        <w:tc>
          <w:tcPr>
            <w:tcW w:w="409"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w:t>
            </w:r>
          </w:p>
        </w:tc>
        <w:tc>
          <w:tcPr>
            <w:tcW w:w="784"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2025</w:t>
            </w:r>
          </w:p>
        </w:tc>
        <w:tc>
          <w:tcPr>
            <w:tcW w:w="409"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11</w:t>
            </w:r>
          </w:p>
        </w:tc>
        <w:tc>
          <w:tcPr>
            <w:tcW w:w="784"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2026</w:t>
            </w:r>
          </w:p>
        </w:tc>
        <w:tc>
          <w:tcPr>
            <w:tcW w:w="409"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12</w:t>
            </w:r>
          </w:p>
        </w:tc>
        <w:tc>
          <w:tcPr>
            <w:tcW w:w="784"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2027</w:t>
            </w:r>
          </w:p>
        </w:tc>
        <w:tc>
          <w:tcPr>
            <w:tcW w:w="409"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13</w:t>
            </w:r>
          </w:p>
        </w:tc>
        <w:tc>
          <w:tcPr>
            <w:tcW w:w="784"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2028</w:t>
            </w:r>
          </w:p>
        </w:tc>
        <w:tc>
          <w:tcPr>
            <w:tcW w:w="409"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14</w:t>
            </w:r>
          </w:p>
        </w:tc>
        <w:tc>
          <w:tcPr>
            <w:tcW w:w="784"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2029</w:t>
            </w:r>
          </w:p>
        </w:tc>
        <w:tc>
          <w:tcPr>
            <w:tcW w:w="409"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15</w:t>
            </w:r>
          </w:p>
        </w:tc>
        <w:tc>
          <w:tcPr>
            <w:tcW w:w="784"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2030</w:t>
            </w:r>
          </w:p>
        </w:tc>
        <w:tc>
          <w:tcPr>
            <w:tcW w:w="409"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16</w:t>
            </w:r>
          </w:p>
        </w:tc>
        <w:tc>
          <w:tcPr>
            <w:tcW w:w="784"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2031</w:t>
            </w:r>
          </w:p>
        </w:tc>
        <w:tc>
          <w:tcPr>
            <w:tcW w:w="409"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17</w:t>
            </w:r>
          </w:p>
        </w:tc>
        <w:tc>
          <w:tcPr>
            <w:tcW w:w="784"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2032</w:t>
            </w:r>
          </w:p>
        </w:tc>
        <w:tc>
          <w:tcPr>
            <w:tcW w:w="409"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18</w:t>
            </w:r>
          </w:p>
        </w:tc>
        <w:tc>
          <w:tcPr>
            <w:tcW w:w="784"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2033</w:t>
            </w:r>
          </w:p>
        </w:tc>
        <w:tc>
          <w:tcPr>
            <w:tcW w:w="409"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19</w:t>
            </w:r>
          </w:p>
        </w:tc>
        <w:tc>
          <w:tcPr>
            <w:tcW w:w="784"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2034</w:t>
            </w:r>
          </w:p>
        </w:tc>
        <w:tc>
          <w:tcPr>
            <w:tcW w:w="409"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20</w:t>
            </w:r>
          </w:p>
        </w:tc>
        <w:tc>
          <w:tcPr>
            <w:tcW w:w="784"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2035</w:t>
            </w:r>
          </w:p>
        </w:tc>
        <w:tc>
          <w:tcPr>
            <w:tcW w:w="409"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21</w:t>
            </w:r>
          </w:p>
        </w:tc>
        <w:tc>
          <w:tcPr>
            <w:tcW w:w="784"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2036</w:t>
            </w:r>
          </w:p>
        </w:tc>
        <w:tc>
          <w:tcPr>
            <w:tcW w:w="409"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w:t>
            </w:r>
          </w:p>
        </w:tc>
        <w:tc>
          <w:tcPr>
            <w:tcW w:w="784"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2037</w:t>
            </w:r>
          </w:p>
        </w:tc>
        <w:tc>
          <w:tcPr>
            <w:tcW w:w="409"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23</w:t>
            </w:r>
          </w:p>
        </w:tc>
        <w:tc>
          <w:tcPr>
            <w:tcW w:w="784"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2038</w:t>
            </w:r>
          </w:p>
        </w:tc>
        <w:tc>
          <w:tcPr>
            <w:tcW w:w="409"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24</w:t>
            </w:r>
          </w:p>
        </w:tc>
        <w:tc>
          <w:tcPr>
            <w:tcW w:w="784"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2039</w:t>
            </w:r>
          </w:p>
        </w:tc>
        <w:tc>
          <w:tcPr>
            <w:tcW w:w="409"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25</w:t>
            </w:r>
          </w:p>
        </w:tc>
        <w:tc>
          <w:tcPr>
            <w:tcW w:w="784"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2040</w:t>
            </w:r>
          </w:p>
        </w:tc>
        <w:tc>
          <w:tcPr>
            <w:tcW w:w="409"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26</w:t>
            </w:r>
          </w:p>
        </w:tc>
        <w:tc>
          <w:tcPr>
            <w:tcW w:w="784"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2041</w:t>
            </w:r>
          </w:p>
        </w:tc>
        <w:tc>
          <w:tcPr>
            <w:tcW w:w="409"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27</w:t>
            </w:r>
          </w:p>
        </w:tc>
        <w:tc>
          <w:tcPr>
            <w:tcW w:w="784"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2042</w:t>
            </w:r>
          </w:p>
        </w:tc>
        <w:tc>
          <w:tcPr>
            <w:tcW w:w="409"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28</w:t>
            </w:r>
          </w:p>
        </w:tc>
        <w:tc>
          <w:tcPr>
            <w:tcW w:w="784"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r w:rsidR="00395933" w:rsidRPr="00395933" w:rsidTr="00395933">
        <w:trPr>
          <w:trHeight w:val="20"/>
        </w:trPr>
        <w:tc>
          <w:tcPr>
            <w:cnfStyle w:val="001000000000" w:firstRow="0" w:lastRow="0" w:firstColumn="1" w:lastColumn="0" w:oddVBand="0" w:evenVBand="0" w:oddHBand="0" w:evenHBand="0" w:firstRowFirstColumn="0" w:firstRowLastColumn="0" w:lastRowFirstColumn="0" w:lastRowLastColumn="0"/>
            <w:tcW w:w="860" w:type="dxa"/>
            <w:noWrap/>
            <w:vAlign w:val="center"/>
            <w:hideMark/>
          </w:tcPr>
          <w:p w:rsidR="00395933" w:rsidRPr="00395933" w:rsidRDefault="00395933" w:rsidP="00395933">
            <w:pPr>
              <w:jc w:val="center"/>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2043</w:t>
            </w:r>
          </w:p>
        </w:tc>
        <w:tc>
          <w:tcPr>
            <w:tcW w:w="409"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val="es-CL" w:eastAsia="es-CL"/>
              </w:rPr>
            </w:pPr>
            <w:r w:rsidRPr="00395933">
              <w:rPr>
                <w:rFonts w:asciiTheme="minorHAnsi" w:hAnsiTheme="minorHAnsi"/>
                <w:b/>
                <w:bCs/>
                <w:color w:val="000000"/>
                <w:sz w:val="12"/>
                <w:szCs w:val="12"/>
                <w:lang w:val="es-CL" w:eastAsia="es-CL"/>
              </w:rPr>
              <w:t>29</w:t>
            </w:r>
          </w:p>
        </w:tc>
        <w:tc>
          <w:tcPr>
            <w:tcW w:w="784"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1.496.340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4.107.600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2.611.260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1.068.960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2.200.800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1.131.840</w:t>
            </w:r>
          </w:p>
        </w:tc>
        <w:tc>
          <w:tcPr>
            <w:tcW w:w="901"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624.000</w:t>
            </w:r>
          </w:p>
        </w:tc>
        <w:tc>
          <w:tcPr>
            <w:tcW w:w="612"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312.000</w:t>
            </w:r>
          </w:p>
        </w:tc>
        <w:tc>
          <w:tcPr>
            <w:tcW w:w="975"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c>
          <w:tcPr>
            <w:tcW w:w="703" w:type="dxa"/>
            <w:noWrap/>
            <w:vAlign w:val="center"/>
            <w:hideMark/>
          </w:tcPr>
          <w:p w:rsidR="00395933" w:rsidRPr="00395933" w:rsidRDefault="00395933" w:rsidP="0039593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val="es-CL" w:eastAsia="es-CL"/>
              </w:rPr>
            </w:pPr>
            <w:r w:rsidRPr="00395933">
              <w:rPr>
                <w:rFonts w:asciiTheme="minorHAnsi" w:hAnsiTheme="minorHAnsi"/>
                <w:color w:val="000000"/>
                <w:sz w:val="12"/>
                <w:szCs w:val="12"/>
                <w:lang w:val="es-CL" w:eastAsia="es-CL"/>
              </w:rPr>
              <w:t>3.570.000</w:t>
            </w:r>
          </w:p>
        </w:tc>
      </w:tr>
    </w:tbl>
    <w:p w:rsidR="000D5657" w:rsidRPr="000D5657" w:rsidRDefault="000D5657" w:rsidP="000D5657">
      <w:pPr>
        <w:rPr>
          <w:rFonts w:asciiTheme="minorHAnsi" w:hAnsiTheme="minorHAnsi"/>
          <w:sz w:val="18"/>
          <w:szCs w:val="18"/>
        </w:rPr>
      </w:pPr>
      <w:r w:rsidRPr="000D5657">
        <w:rPr>
          <w:rFonts w:asciiTheme="minorHAnsi" w:hAnsiTheme="minorHAnsi"/>
          <w:sz w:val="18"/>
          <w:szCs w:val="18"/>
        </w:rPr>
        <w:t>Fuente: Elaboración propia.</w:t>
      </w:r>
    </w:p>
    <w:p w:rsidR="00B92DEF" w:rsidRDefault="00B92DEF">
      <w:r>
        <w:br w:type="page"/>
      </w:r>
    </w:p>
    <w:p w:rsidR="00395933" w:rsidRDefault="00395933" w:rsidP="00107B14"/>
    <w:p w:rsidR="00B92DEF" w:rsidRDefault="00B92DEF" w:rsidP="003C4805">
      <w:pPr>
        <w:pStyle w:val="Heading2"/>
        <w:numPr>
          <w:ilvl w:val="0"/>
          <w:numId w:val="9"/>
        </w:numPr>
        <w:rPr>
          <w:rFonts w:asciiTheme="minorHAnsi" w:hAnsiTheme="minorHAnsi"/>
        </w:rPr>
      </w:pPr>
      <w:bookmarkStart w:id="93" w:name="_Toc373093552"/>
      <w:r w:rsidRPr="00B92DEF">
        <w:rPr>
          <w:rFonts w:asciiTheme="minorHAnsi" w:hAnsiTheme="minorHAnsi"/>
        </w:rPr>
        <w:t>Flujo de Inversiones (</w:t>
      </w:r>
      <w:r w:rsidR="003C4805">
        <w:rPr>
          <w:rFonts w:asciiTheme="minorHAnsi" w:hAnsiTheme="minorHAnsi"/>
        </w:rPr>
        <w:t xml:space="preserve">Comp 1, Comp 3, </w:t>
      </w:r>
      <w:r w:rsidRPr="00B92DEF">
        <w:rPr>
          <w:rFonts w:asciiTheme="minorHAnsi" w:hAnsiTheme="minorHAnsi"/>
        </w:rPr>
        <w:t>Inv CP), Costos y Beneficios incrementales</w:t>
      </w:r>
      <w:r w:rsidR="003C4805">
        <w:rPr>
          <w:rFonts w:asciiTheme="minorHAnsi" w:hAnsiTheme="minorHAnsi"/>
        </w:rPr>
        <w:t xml:space="preserve"> por consumo</w:t>
      </w:r>
      <w:r w:rsidRPr="00B92DEF">
        <w:rPr>
          <w:rFonts w:asciiTheme="minorHAnsi" w:hAnsiTheme="minorHAnsi"/>
        </w:rPr>
        <w:t>,</w:t>
      </w:r>
      <w:r w:rsidR="003C4805">
        <w:rPr>
          <w:rFonts w:asciiTheme="minorHAnsi" w:hAnsiTheme="minorHAnsi"/>
        </w:rPr>
        <w:t xml:space="preserve"> Beneficios por ahorro de costos de viaje</w:t>
      </w:r>
      <w:r w:rsidR="008506FF">
        <w:rPr>
          <w:rFonts w:asciiTheme="minorHAnsi" w:hAnsiTheme="minorHAnsi"/>
        </w:rPr>
        <w:t xml:space="preserve"> por consultas especialidad, Beneficio por ahorro de costos de viaje de referidos de cirugía,</w:t>
      </w:r>
      <w:r w:rsidRPr="00B92DEF">
        <w:rPr>
          <w:rFonts w:asciiTheme="minorHAnsi" w:hAnsiTheme="minorHAnsi"/>
        </w:rPr>
        <w:t xml:space="preserve"> Beneficios Netos (BN), factor de descuento (FD), y Beneficios Netos Descontados (BND)</w:t>
      </w:r>
      <w:bookmarkEnd w:id="93"/>
    </w:p>
    <w:tbl>
      <w:tblPr>
        <w:tblStyle w:val="TableSimple1"/>
        <w:tblW w:w="9054" w:type="dxa"/>
        <w:tblLook w:val="04A0" w:firstRow="1" w:lastRow="0" w:firstColumn="1" w:lastColumn="0" w:noHBand="0" w:noVBand="1"/>
      </w:tblPr>
      <w:tblGrid>
        <w:gridCol w:w="497"/>
        <w:gridCol w:w="784"/>
        <w:gridCol w:w="775"/>
        <w:gridCol w:w="915"/>
        <w:gridCol w:w="845"/>
        <w:gridCol w:w="845"/>
        <w:gridCol w:w="1051"/>
        <w:gridCol w:w="1051"/>
        <w:gridCol w:w="915"/>
        <w:gridCol w:w="461"/>
        <w:gridCol w:w="915"/>
      </w:tblGrid>
      <w:tr w:rsidR="008506FF" w:rsidRPr="008506FF" w:rsidTr="008506FF">
        <w:trPr>
          <w:cnfStyle w:val="100000000000" w:firstRow="1" w:lastRow="0" w:firstColumn="0" w:lastColumn="0" w:oddVBand="0" w:evenVBand="0" w:oddHBand="0" w:evenHBand="0" w:firstRowFirstColumn="0" w:firstRowLastColumn="0" w:lastRowFirstColumn="0" w:lastRowLastColumn="0"/>
          <w:trHeight w:val="113"/>
        </w:trPr>
        <w:tc>
          <w:tcPr>
            <w:tcW w:w="498" w:type="dxa"/>
            <w:noWrap/>
            <w:hideMark/>
          </w:tcPr>
          <w:p w:rsidR="003C4805" w:rsidRPr="008506FF" w:rsidRDefault="003C4805" w:rsidP="008506FF">
            <w:pPr>
              <w:jc w:val="center"/>
              <w:rPr>
                <w:rFonts w:ascii="Calibri" w:hAnsi="Calibri"/>
                <w:color w:val="000000"/>
                <w:sz w:val="12"/>
                <w:szCs w:val="22"/>
              </w:rPr>
            </w:pPr>
          </w:p>
        </w:tc>
        <w:tc>
          <w:tcPr>
            <w:tcW w:w="783" w:type="dxa"/>
            <w:noWrap/>
            <w:hideMark/>
          </w:tcPr>
          <w:p w:rsidR="003C4805" w:rsidRPr="008506FF" w:rsidRDefault="003C4805" w:rsidP="008506FF">
            <w:pPr>
              <w:jc w:val="center"/>
              <w:rPr>
                <w:rFonts w:ascii="Calibri" w:hAnsi="Calibri"/>
                <w:color w:val="000000"/>
                <w:sz w:val="12"/>
                <w:szCs w:val="22"/>
              </w:rPr>
            </w:pPr>
            <w:r w:rsidRPr="008506FF">
              <w:rPr>
                <w:rFonts w:ascii="Calibri" w:hAnsi="Calibri"/>
                <w:color w:val="000000"/>
                <w:sz w:val="12"/>
                <w:szCs w:val="22"/>
              </w:rPr>
              <w:t>Comp 1</w:t>
            </w:r>
          </w:p>
        </w:tc>
        <w:tc>
          <w:tcPr>
            <w:tcW w:w="775" w:type="dxa"/>
            <w:noWrap/>
            <w:hideMark/>
          </w:tcPr>
          <w:p w:rsidR="003C4805" w:rsidRPr="008506FF" w:rsidRDefault="003C4805" w:rsidP="008506FF">
            <w:pPr>
              <w:jc w:val="center"/>
              <w:rPr>
                <w:rFonts w:ascii="Calibri" w:hAnsi="Calibri"/>
                <w:color w:val="000000"/>
                <w:sz w:val="12"/>
                <w:szCs w:val="22"/>
              </w:rPr>
            </w:pPr>
            <w:r w:rsidRPr="008506FF">
              <w:rPr>
                <w:rFonts w:ascii="Calibri" w:hAnsi="Calibri"/>
                <w:color w:val="000000"/>
                <w:sz w:val="12"/>
                <w:szCs w:val="22"/>
              </w:rPr>
              <w:t>Comp 3</w:t>
            </w:r>
          </w:p>
        </w:tc>
        <w:tc>
          <w:tcPr>
            <w:tcW w:w="915" w:type="dxa"/>
            <w:noWrap/>
            <w:hideMark/>
          </w:tcPr>
          <w:p w:rsidR="003C4805" w:rsidRPr="008506FF" w:rsidRDefault="003C4805" w:rsidP="008506FF">
            <w:pPr>
              <w:jc w:val="center"/>
              <w:rPr>
                <w:rFonts w:ascii="Calibri" w:hAnsi="Calibri"/>
                <w:color w:val="000000"/>
                <w:sz w:val="12"/>
                <w:szCs w:val="22"/>
              </w:rPr>
            </w:pPr>
            <w:r w:rsidRPr="008506FF">
              <w:rPr>
                <w:rFonts w:ascii="Calibri" w:hAnsi="Calibri"/>
                <w:color w:val="000000"/>
                <w:sz w:val="12"/>
                <w:szCs w:val="22"/>
              </w:rPr>
              <w:t>Inv CP</w:t>
            </w:r>
          </w:p>
        </w:tc>
        <w:tc>
          <w:tcPr>
            <w:tcW w:w="845" w:type="dxa"/>
            <w:noWrap/>
            <w:hideMark/>
          </w:tcPr>
          <w:p w:rsidR="003C4805" w:rsidRPr="008506FF" w:rsidRDefault="003C4805" w:rsidP="008506FF">
            <w:pPr>
              <w:jc w:val="center"/>
              <w:rPr>
                <w:rFonts w:ascii="Calibri" w:hAnsi="Calibri"/>
                <w:color w:val="000000"/>
                <w:sz w:val="12"/>
                <w:szCs w:val="22"/>
              </w:rPr>
            </w:pPr>
            <w:r w:rsidRPr="008506FF">
              <w:rPr>
                <w:rFonts w:ascii="Calibri" w:hAnsi="Calibri"/>
                <w:color w:val="000000"/>
                <w:sz w:val="12"/>
                <w:szCs w:val="22"/>
              </w:rPr>
              <w:t>Costos Incre</w:t>
            </w:r>
          </w:p>
        </w:tc>
        <w:tc>
          <w:tcPr>
            <w:tcW w:w="845" w:type="dxa"/>
            <w:noWrap/>
            <w:hideMark/>
          </w:tcPr>
          <w:p w:rsidR="003C4805" w:rsidRPr="008506FF" w:rsidRDefault="003C4805" w:rsidP="008506FF">
            <w:pPr>
              <w:jc w:val="center"/>
              <w:rPr>
                <w:rFonts w:ascii="Calibri" w:hAnsi="Calibri"/>
                <w:color w:val="000000"/>
                <w:sz w:val="12"/>
                <w:szCs w:val="22"/>
              </w:rPr>
            </w:pPr>
            <w:r w:rsidRPr="008506FF">
              <w:rPr>
                <w:rFonts w:ascii="Calibri" w:hAnsi="Calibri"/>
                <w:color w:val="000000"/>
                <w:sz w:val="12"/>
                <w:szCs w:val="22"/>
              </w:rPr>
              <w:t>Benef Incre</w:t>
            </w:r>
          </w:p>
        </w:tc>
        <w:tc>
          <w:tcPr>
            <w:tcW w:w="1051" w:type="dxa"/>
            <w:noWrap/>
            <w:hideMark/>
          </w:tcPr>
          <w:p w:rsidR="003C4805" w:rsidRPr="008506FF" w:rsidRDefault="003C4805" w:rsidP="008506FF">
            <w:pPr>
              <w:jc w:val="center"/>
              <w:rPr>
                <w:rFonts w:ascii="Calibri" w:hAnsi="Calibri"/>
                <w:color w:val="000000"/>
                <w:sz w:val="12"/>
                <w:szCs w:val="22"/>
              </w:rPr>
            </w:pPr>
            <w:r w:rsidRPr="008506FF">
              <w:rPr>
                <w:rFonts w:ascii="Calibri" w:hAnsi="Calibri"/>
                <w:color w:val="000000"/>
                <w:sz w:val="12"/>
                <w:szCs w:val="22"/>
              </w:rPr>
              <w:t>B ahorro costos de viaje Cons Esp</w:t>
            </w:r>
          </w:p>
        </w:tc>
        <w:tc>
          <w:tcPr>
            <w:tcW w:w="1051" w:type="dxa"/>
            <w:noWrap/>
            <w:hideMark/>
          </w:tcPr>
          <w:p w:rsidR="003C4805" w:rsidRPr="008506FF" w:rsidRDefault="003C4805" w:rsidP="008506FF">
            <w:pPr>
              <w:jc w:val="center"/>
              <w:rPr>
                <w:rFonts w:ascii="Calibri" w:hAnsi="Calibri"/>
                <w:color w:val="000000"/>
                <w:sz w:val="12"/>
                <w:szCs w:val="22"/>
              </w:rPr>
            </w:pPr>
            <w:r w:rsidRPr="008506FF">
              <w:rPr>
                <w:rFonts w:ascii="Calibri" w:hAnsi="Calibri"/>
                <w:color w:val="000000"/>
                <w:sz w:val="12"/>
                <w:szCs w:val="22"/>
              </w:rPr>
              <w:t>Benef ahorro de costos por referidos de cirugia</w:t>
            </w:r>
          </w:p>
        </w:tc>
        <w:tc>
          <w:tcPr>
            <w:tcW w:w="915" w:type="dxa"/>
            <w:noWrap/>
            <w:hideMark/>
          </w:tcPr>
          <w:p w:rsidR="003C4805" w:rsidRPr="008506FF" w:rsidRDefault="003C4805" w:rsidP="008506FF">
            <w:pPr>
              <w:jc w:val="center"/>
              <w:rPr>
                <w:rFonts w:ascii="Calibri" w:hAnsi="Calibri"/>
                <w:color w:val="000000"/>
                <w:sz w:val="12"/>
                <w:szCs w:val="22"/>
              </w:rPr>
            </w:pPr>
            <w:r w:rsidRPr="008506FF">
              <w:rPr>
                <w:rFonts w:ascii="Calibri" w:hAnsi="Calibri"/>
                <w:color w:val="000000"/>
                <w:sz w:val="12"/>
                <w:szCs w:val="22"/>
              </w:rPr>
              <w:t>BN</w:t>
            </w:r>
          </w:p>
        </w:tc>
        <w:tc>
          <w:tcPr>
            <w:tcW w:w="461" w:type="dxa"/>
            <w:noWrap/>
            <w:hideMark/>
          </w:tcPr>
          <w:p w:rsidR="003C4805" w:rsidRPr="008506FF" w:rsidRDefault="003C4805" w:rsidP="008506FF">
            <w:pPr>
              <w:jc w:val="center"/>
              <w:rPr>
                <w:rFonts w:ascii="Calibri" w:hAnsi="Calibri"/>
                <w:color w:val="000000"/>
                <w:sz w:val="12"/>
                <w:szCs w:val="22"/>
              </w:rPr>
            </w:pPr>
            <w:r w:rsidRPr="008506FF">
              <w:rPr>
                <w:rFonts w:ascii="Calibri" w:hAnsi="Calibri"/>
                <w:color w:val="000000"/>
                <w:sz w:val="12"/>
                <w:szCs w:val="22"/>
              </w:rPr>
              <w:t>FD</w:t>
            </w:r>
          </w:p>
        </w:tc>
        <w:tc>
          <w:tcPr>
            <w:tcW w:w="915" w:type="dxa"/>
            <w:noWrap/>
            <w:hideMark/>
          </w:tcPr>
          <w:p w:rsidR="003C4805" w:rsidRPr="008506FF" w:rsidRDefault="003C4805" w:rsidP="008506FF">
            <w:pPr>
              <w:jc w:val="center"/>
              <w:rPr>
                <w:rFonts w:ascii="Calibri" w:hAnsi="Calibri"/>
                <w:color w:val="000000"/>
                <w:sz w:val="12"/>
                <w:szCs w:val="22"/>
              </w:rPr>
            </w:pPr>
            <w:r w:rsidRPr="008506FF">
              <w:rPr>
                <w:rFonts w:ascii="Calibri" w:hAnsi="Calibri"/>
                <w:color w:val="000000"/>
                <w:sz w:val="12"/>
                <w:szCs w:val="22"/>
              </w:rPr>
              <w:t>BND</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2013</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rPr>
                <w:rFonts w:ascii="Calibri" w:hAnsi="Calibri"/>
                <w:color w:val="000000"/>
                <w:sz w:val="12"/>
                <w:szCs w:val="22"/>
              </w:rPr>
            </w:pPr>
          </w:p>
        </w:tc>
        <w:tc>
          <w:tcPr>
            <w:tcW w:w="1051" w:type="dxa"/>
            <w:noWrap/>
            <w:hideMark/>
          </w:tcPr>
          <w:p w:rsidR="003C4805" w:rsidRPr="008506FF" w:rsidRDefault="003C4805">
            <w:pPr>
              <w:rPr>
                <w:rFonts w:ascii="Calibri" w:hAnsi="Calibri"/>
                <w:color w:val="000000"/>
                <w:sz w:val="12"/>
                <w:szCs w:val="22"/>
              </w:rPr>
            </w:pPr>
          </w:p>
        </w:tc>
        <w:tc>
          <w:tcPr>
            <w:tcW w:w="1051"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1,06</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2014</w:t>
            </w:r>
          </w:p>
        </w:tc>
        <w:tc>
          <w:tcPr>
            <w:tcW w:w="783"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250.000</w:t>
            </w:r>
          </w:p>
        </w:tc>
        <w:tc>
          <w:tcPr>
            <w:tcW w:w="77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70.000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25.818.026</w:t>
            </w:r>
          </w:p>
        </w:tc>
        <w:tc>
          <w:tcPr>
            <w:tcW w:w="84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rPr>
                <w:rFonts w:ascii="Calibri" w:hAnsi="Calibri"/>
                <w:color w:val="000000"/>
                <w:sz w:val="12"/>
                <w:szCs w:val="22"/>
              </w:rPr>
            </w:pPr>
          </w:p>
        </w:tc>
        <w:tc>
          <w:tcPr>
            <w:tcW w:w="1051" w:type="dxa"/>
            <w:noWrap/>
            <w:hideMark/>
          </w:tcPr>
          <w:p w:rsidR="003C4805" w:rsidRPr="008506FF" w:rsidRDefault="003C4805">
            <w:pPr>
              <w:rPr>
                <w:rFonts w:ascii="Calibri" w:hAnsi="Calibri"/>
                <w:color w:val="000000"/>
                <w:sz w:val="12"/>
                <w:szCs w:val="22"/>
              </w:rPr>
            </w:pPr>
          </w:p>
        </w:tc>
        <w:tc>
          <w:tcPr>
            <w:tcW w:w="1051"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-26.138.026</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1,00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-26.138.026</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2015</w:t>
            </w:r>
          </w:p>
        </w:tc>
        <w:tc>
          <w:tcPr>
            <w:tcW w:w="783"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362.500</w:t>
            </w:r>
          </w:p>
        </w:tc>
        <w:tc>
          <w:tcPr>
            <w:tcW w:w="77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620.000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25.818.026</w:t>
            </w:r>
          </w:p>
        </w:tc>
        <w:tc>
          <w:tcPr>
            <w:tcW w:w="84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rPr>
                <w:rFonts w:ascii="Calibri" w:hAnsi="Calibri"/>
                <w:color w:val="000000"/>
                <w:sz w:val="12"/>
                <w:szCs w:val="22"/>
              </w:rPr>
            </w:pPr>
          </w:p>
        </w:tc>
        <w:tc>
          <w:tcPr>
            <w:tcW w:w="1051" w:type="dxa"/>
            <w:noWrap/>
            <w:hideMark/>
          </w:tcPr>
          <w:p w:rsidR="003C4805" w:rsidRPr="008506FF" w:rsidRDefault="003C4805">
            <w:pPr>
              <w:rPr>
                <w:rFonts w:ascii="Calibri" w:hAnsi="Calibri"/>
                <w:color w:val="000000"/>
                <w:sz w:val="12"/>
                <w:szCs w:val="22"/>
              </w:rPr>
            </w:pPr>
          </w:p>
        </w:tc>
        <w:tc>
          <w:tcPr>
            <w:tcW w:w="1051"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-26.800.526</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0,95</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-25.355.276</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2016</w:t>
            </w:r>
          </w:p>
        </w:tc>
        <w:tc>
          <w:tcPr>
            <w:tcW w:w="783"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1.890.000</w:t>
            </w:r>
            <w:r w:rsidR="008506FF">
              <w:rPr>
                <w:rStyle w:val="FootnoteReference"/>
                <w:rFonts w:ascii="Calibri" w:hAnsi="Calibri"/>
                <w:color w:val="000000"/>
                <w:sz w:val="12"/>
                <w:szCs w:val="22"/>
              </w:rPr>
              <w:footnoteReference w:id="85"/>
            </w:r>
          </w:p>
        </w:tc>
        <w:tc>
          <w:tcPr>
            <w:tcW w:w="77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825.250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145.821.639</w:t>
            </w:r>
          </w:p>
        </w:tc>
        <w:tc>
          <w:tcPr>
            <w:tcW w:w="84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rPr>
                <w:rFonts w:ascii="Calibri" w:hAnsi="Calibri"/>
                <w:color w:val="000000"/>
                <w:sz w:val="12"/>
                <w:szCs w:val="22"/>
              </w:rPr>
            </w:pPr>
          </w:p>
        </w:tc>
        <w:tc>
          <w:tcPr>
            <w:tcW w:w="1051" w:type="dxa"/>
            <w:noWrap/>
            <w:hideMark/>
          </w:tcPr>
          <w:p w:rsidR="003C4805" w:rsidRPr="008506FF" w:rsidRDefault="003C4805">
            <w:pPr>
              <w:rPr>
                <w:rFonts w:ascii="Calibri" w:hAnsi="Calibri"/>
                <w:color w:val="000000"/>
                <w:sz w:val="12"/>
                <w:szCs w:val="22"/>
              </w:rPr>
            </w:pPr>
          </w:p>
        </w:tc>
        <w:tc>
          <w:tcPr>
            <w:tcW w:w="1051"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-148.536.889</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0,90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-132.948.778</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2017</w:t>
            </w:r>
          </w:p>
        </w:tc>
        <w:tc>
          <w:tcPr>
            <w:tcW w:w="783"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1.177.500</w:t>
            </w:r>
          </w:p>
        </w:tc>
        <w:tc>
          <w:tcPr>
            <w:tcW w:w="77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880.250</w:t>
            </w: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85.044.959</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49.386.460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0,85</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41.819.895</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2018</w:t>
            </w:r>
          </w:p>
        </w:tc>
        <w:tc>
          <w:tcPr>
            <w:tcW w:w="783"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750.000</w:t>
            </w:r>
          </w:p>
        </w:tc>
        <w:tc>
          <w:tcPr>
            <w:tcW w:w="77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825.250</w:t>
            </w: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85.044.959</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49.868.960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0,80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39.951.249</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2019</w:t>
            </w:r>
          </w:p>
        </w:tc>
        <w:tc>
          <w:tcPr>
            <w:tcW w:w="783"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300.000</w:t>
            </w:r>
          </w:p>
        </w:tc>
        <w:tc>
          <w:tcPr>
            <w:tcW w:w="77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1.149.250</w:t>
            </w: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85.044.959</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49.994.960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0,76</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37.892.328</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2020</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85.044.959</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51.444.210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0,72</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36.888.125</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2021</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85.044.959</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51.444.210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0,68</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34.898.888</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2022</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85.044.959</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51.444.210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0,64</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33.016.923</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2023</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85.044.959</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51.444.210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0,61</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31.236.446</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2024</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85.044.959</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51.444.210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0,57</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29.551.983</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2025</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85.044.959</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51.444.210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0,54</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27.958.357</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2026</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49.721.000</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85.044.959</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1.723.210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0,51</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886.009</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2027</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85.044.959</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51.444.210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0,49</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25.024.284</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2028</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85.044.959</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51.444.210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0,46</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23.674.820</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2029</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85.044.959</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51.444.210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0,44</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22.398.126</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2030</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85.044.959</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51.444.210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0,41</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21.190.280</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2031</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85.044.959</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51.444.210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0,39</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20.047.569</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2032</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85.044.959</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51.444.210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0,37</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18.966.480</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2033</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85.044.959</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51.444.210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0,35</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17.943.689</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2034</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85.044.959</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51.444.210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0,33</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16.976.054</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2035</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85.044.959</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51.444.210</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0,31</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16.060.600</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2036</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49.721.000</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85.237.873</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1.916.124</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0,30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565.945</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2037</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85.626.167</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52.025.418</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0,28</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14.537.538</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2038</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86.021.978</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52.421.229</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0,26</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13.858.222</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2039</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86.425.451</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52.824.702</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0,25</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13.211.812</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2040</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86.836.735</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53.235.986</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0,24</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12.596.666</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2041</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87.255.980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53.655.231</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0,22</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12.011.228</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2042</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87.683.340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54.082.591</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0,21</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11.454.018</w:t>
            </w:r>
          </w:p>
        </w:tc>
      </w:tr>
      <w:tr w:rsidR="008506FF" w:rsidRPr="008506FF" w:rsidTr="008506FF">
        <w:trPr>
          <w:trHeight w:val="113"/>
        </w:trPr>
        <w:tc>
          <w:tcPr>
            <w:tcW w:w="498"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2043</w:t>
            </w:r>
          </w:p>
        </w:tc>
        <w:tc>
          <w:tcPr>
            <w:tcW w:w="783" w:type="dxa"/>
            <w:noWrap/>
            <w:hideMark/>
          </w:tcPr>
          <w:p w:rsidR="003C4805" w:rsidRPr="008506FF" w:rsidRDefault="003C4805">
            <w:pPr>
              <w:rPr>
                <w:rFonts w:ascii="Calibri" w:hAnsi="Calibri"/>
                <w:color w:val="000000"/>
                <w:sz w:val="12"/>
                <w:szCs w:val="22"/>
              </w:rPr>
            </w:pPr>
          </w:p>
        </w:tc>
        <w:tc>
          <w:tcPr>
            <w:tcW w:w="775" w:type="dxa"/>
            <w:noWrap/>
            <w:hideMark/>
          </w:tcPr>
          <w:p w:rsidR="003C4805" w:rsidRPr="008506FF" w:rsidRDefault="003C4805">
            <w:pPr>
              <w:rPr>
                <w:rFonts w:ascii="Calibri" w:hAnsi="Calibri"/>
                <w:color w:val="000000"/>
                <w:sz w:val="12"/>
                <w:szCs w:val="22"/>
              </w:rPr>
            </w:pPr>
          </w:p>
        </w:tc>
        <w:tc>
          <w:tcPr>
            <w:tcW w:w="915" w:type="dxa"/>
            <w:noWrap/>
            <w:hideMark/>
          </w:tcPr>
          <w:p w:rsidR="003C4805" w:rsidRPr="008506FF" w:rsidRDefault="003C4805">
            <w:pPr>
              <w:rPr>
                <w:rFonts w:ascii="Calibri" w:hAnsi="Calibri"/>
                <w:color w:val="000000"/>
                <w:sz w:val="12"/>
                <w:szCs w:val="22"/>
              </w:rPr>
            </w:pP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35.584.329</w:t>
            </w:r>
          </w:p>
        </w:tc>
        <w:tc>
          <w:tcPr>
            <w:tcW w:w="84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88.118.974</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1.470.430</w:t>
            </w:r>
          </w:p>
        </w:tc>
        <w:tc>
          <w:tcPr>
            <w:tcW w:w="105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513.150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54.518.225</w:t>
            </w:r>
          </w:p>
        </w:tc>
        <w:tc>
          <w:tcPr>
            <w:tcW w:w="461"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0,20</w:t>
            </w:r>
          </w:p>
        </w:tc>
        <w:tc>
          <w:tcPr>
            <w:tcW w:w="915" w:type="dxa"/>
            <w:noWrap/>
            <w:hideMark/>
          </w:tcPr>
          <w:p w:rsidR="003C4805" w:rsidRPr="008506FF" w:rsidRDefault="003C4805">
            <w:pPr>
              <w:jc w:val="right"/>
              <w:rPr>
                <w:rFonts w:ascii="Calibri" w:hAnsi="Calibri"/>
                <w:color w:val="000000"/>
                <w:sz w:val="12"/>
                <w:szCs w:val="22"/>
              </w:rPr>
            </w:pPr>
            <w:r w:rsidRPr="008506FF">
              <w:rPr>
                <w:rFonts w:ascii="Calibri" w:hAnsi="Calibri"/>
                <w:color w:val="000000"/>
                <w:sz w:val="12"/>
                <w:szCs w:val="22"/>
              </w:rPr>
              <w:t>10.923.632</w:t>
            </w:r>
          </w:p>
        </w:tc>
      </w:tr>
    </w:tbl>
    <w:p w:rsidR="00B92DEF" w:rsidRPr="000D5657" w:rsidRDefault="00B92DEF" w:rsidP="00B92DEF">
      <w:pPr>
        <w:rPr>
          <w:rFonts w:asciiTheme="minorHAnsi" w:hAnsiTheme="minorHAnsi"/>
          <w:sz w:val="18"/>
          <w:szCs w:val="18"/>
        </w:rPr>
      </w:pPr>
      <w:r w:rsidRPr="000D5657">
        <w:rPr>
          <w:rFonts w:asciiTheme="minorHAnsi" w:hAnsiTheme="minorHAnsi"/>
          <w:sz w:val="18"/>
          <w:szCs w:val="18"/>
        </w:rPr>
        <w:t>Fuente: Elaboración propia.</w:t>
      </w:r>
    </w:p>
    <w:p w:rsidR="00B92DEF" w:rsidRPr="00107B14" w:rsidRDefault="00B92DEF" w:rsidP="00107B14"/>
    <w:sectPr w:rsidR="00B92DEF" w:rsidRPr="00107B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EF" w:rsidRDefault="000544EF" w:rsidP="000F285D">
      <w:r>
        <w:separator/>
      </w:r>
    </w:p>
  </w:endnote>
  <w:endnote w:type="continuationSeparator" w:id="0">
    <w:p w:rsidR="000544EF" w:rsidRDefault="000544EF" w:rsidP="000F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02713"/>
      <w:docPartObj>
        <w:docPartGallery w:val="Page Numbers (Bottom of Page)"/>
        <w:docPartUnique/>
      </w:docPartObj>
    </w:sdtPr>
    <w:sdtEndPr/>
    <w:sdtContent>
      <w:p w:rsidR="00CB02AD" w:rsidRDefault="00CB02AD">
        <w:pPr>
          <w:pStyle w:val="Footer"/>
          <w:jc w:val="right"/>
        </w:pPr>
        <w:r>
          <w:fldChar w:fldCharType="begin"/>
        </w:r>
        <w:r>
          <w:instrText>PAGE   \* MERGEFORMAT</w:instrText>
        </w:r>
        <w:r>
          <w:fldChar w:fldCharType="separate"/>
        </w:r>
        <w:r w:rsidR="00E52595">
          <w:rPr>
            <w:noProof/>
          </w:rPr>
          <w:t>41</w:t>
        </w:r>
        <w:r>
          <w:fldChar w:fldCharType="end"/>
        </w:r>
      </w:p>
    </w:sdtContent>
  </w:sdt>
  <w:p w:rsidR="00CB02AD" w:rsidRDefault="00CB0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EF" w:rsidRDefault="000544EF" w:rsidP="000F285D">
      <w:r>
        <w:separator/>
      </w:r>
    </w:p>
  </w:footnote>
  <w:footnote w:type="continuationSeparator" w:id="0">
    <w:p w:rsidR="000544EF" w:rsidRDefault="000544EF" w:rsidP="000F285D">
      <w:r>
        <w:continuationSeparator/>
      </w:r>
    </w:p>
  </w:footnote>
  <w:footnote w:id="1">
    <w:p w:rsidR="00CB02AD" w:rsidRPr="007A1EC9" w:rsidRDefault="00CB02AD">
      <w:pPr>
        <w:pStyle w:val="FootnoteText"/>
        <w:rPr>
          <w:rFonts w:asciiTheme="minorHAnsi" w:hAnsiTheme="minorHAnsi"/>
          <w:lang w:val="es-CL"/>
        </w:rPr>
      </w:pPr>
      <w:r w:rsidRPr="007A1EC9">
        <w:rPr>
          <w:rStyle w:val="FootnoteReference"/>
          <w:rFonts w:asciiTheme="minorHAnsi" w:hAnsiTheme="minorHAnsi"/>
        </w:rPr>
        <w:footnoteRef/>
      </w:r>
      <w:r w:rsidRPr="007A1EC9">
        <w:rPr>
          <w:rFonts w:asciiTheme="minorHAnsi" w:hAnsiTheme="minorHAnsi"/>
        </w:rPr>
        <w:t xml:space="preserve"> </w:t>
      </w:r>
      <w:r w:rsidRPr="007A1EC9">
        <w:rPr>
          <w:rFonts w:asciiTheme="minorHAnsi" w:hAnsiTheme="minorHAnsi"/>
          <w:lang w:val="es-CL"/>
        </w:rPr>
        <w:t>Tasa de descuento social vigente en Bolivia.</w:t>
      </w:r>
    </w:p>
  </w:footnote>
  <w:footnote w:id="2">
    <w:p w:rsidR="00CB02AD" w:rsidRPr="00BD3CDA" w:rsidRDefault="00CB02AD" w:rsidP="0032745B">
      <w:pPr>
        <w:pStyle w:val="FootnoteText"/>
        <w:jc w:val="both"/>
        <w:rPr>
          <w:rFonts w:asciiTheme="minorHAnsi" w:hAnsiTheme="minorHAnsi" w:cstheme="minorHAnsi"/>
        </w:rPr>
      </w:pPr>
      <w:r w:rsidRPr="00BD3CDA">
        <w:rPr>
          <w:rStyle w:val="FootnoteReference"/>
          <w:rFonts w:asciiTheme="minorHAnsi" w:hAnsiTheme="minorHAnsi" w:cstheme="minorHAnsi"/>
        </w:rPr>
        <w:footnoteRef/>
      </w:r>
      <w:r w:rsidRPr="00BD3CDA">
        <w:rPr>
          <w:rFonts w:asciiTheme="minorHAnsi" w:hAnsiTheme="minorHAnsi" w:cstheme="minorHAnsi"/>
        </w:rPr>
        <w:t xml:space="preserve"> Es importante dejar constancia que muchas de estas relaciones de intercambio, en términos de montos de transacción, fluidez de las mismas, dependerán también de la profundidad del desarrollo industrial del país y de la política arancelaria y cambiaria que el país tenga.</w:t>
      </w:r>
    </w:p>
  </w:footnote>
  <w:footnote w:id="3">
    <w:p w:rsidR="00CB02AD" w:rsidRPr="000E565D" w:rsidRDefault="00CB02AD" w:rsidP="0032745B">
      <w:pPr>
        <w:pStyle w:val="FootnoteText"/>
        <w:jc w:val="both"/>
        <w:rPr>
          <w:rFonts w:asciiTheme="minorHAnsi" w:hAnsiTheme="minorHAnsi" w:cstheme="minorHAnsi"/>
        </w:rPr>
      </w:pPr>
      <w:r w:rsidRPr="000E565D">
        <w:rPr>
          <w:rStyle w:val="FootnoteReference"/>
          <w:rFonts w:asciiTheme="minorHAnsi" w:hAnsiTheme="minorHAnsi" w:cstheme="minorHAnsi"/>
        </w:rPr>
        <w:footnoteRef/>
      </w:r>
      <w:r w:rsidRPr="000E565D">
        <w:rPr>
          <w:rFonts w:asciiTheme="minorHAnsi" w:hAnsiTheme="minorHAnsi" w:cstheme="minorHAnsi"/>
        </w:rPr>
        <w:t xml:space="preserve"> Esto pudiera implicar estudiar los procesos de planificación sanitaria existentes en el país donde se realiza el proyecto.</w:t>
      </w:r>
    </w:p>
  </w:footnote>
  <w:footnote w:id="4">
    <w:p w:rsidR="00CB02AD" w:rsidRPr="00661381" w:rsidRDefault="00CB02AD" w:rsidP="0032745B">
      <w:pPr>
        <w:jc w:val="both"/>
        <w:rPr>
          <w:sz w:val="20"/>
        </w:rPr>
      </w:pPr>
      <w:r w:rsidRPr="000E565D">
        <w:rPr>
          <w:rStyle w:val="FootnoteReference"/>
          <w:rFonts w:asciiTheme="minorHAnsi" w:hAnsiTheme="minorHAnsi" w:cstheme="minorHAnsi"/>
          <w:sz w:val="20"/>
          <w:szCs w:val="20"/>
        </w:rPr>
        <w:footnoteRef/>
      </w:r>
      <w:r w:rsidRPr="000E565D">
        <w:rPr>
          <w:rFonts w:asciiTheme="minorHAnsi" w:hAnsiTheme="minorHAnsi" w:cstheme="minorHAnsi"/>
          <w:sz w:val="20"/>
          <w:szCs w:val="20"/>
        </w:rPr>
        <w:t xml:space="preserve"> “La estratificación social también crea disparidades en el acceso al sistema de salud y en su utilización, lo que da lugar a desigualdades en la promoción de la salud y el bienestar, la prevención de enfermedades y las posibilidades de restablecimiento y supervivencia tras una enfermedad”. OMS (2008; pp. 5).</w:t>
      </w:r>
    </w:p>
  </w:footnote>
  <w:footnote w:id="5">
    <w:p w:rsidR="00CB02AD" w:rsidRPr="000E565D" w:rsidRDefault="00CB02AD" w:rsidP="0032745B">
      <w:pPr>
        <w:pStyle w:val="FootnoteText"/>
        <w:jc w:val="both"/>
        <w:rPr>
          <w:rFonts w:asciiTheme="minorHAnsi" w:hAnsiTheme="minorHAnsi" w:cstheme="minorHAnsi"/>
        </w:rPr>
      </w:pPr>
      <w:r w:rsidRPr="000E565D">
        <w:rPr>
          <w:rStyle w:val="FootnoteReference"/>
          <w:rFonts w:asciiTheme="minorHAnsi" w:hAnsiTheme="minorHAnsi" w:cstheme="minorHAnsi"/>
        </w:rPr>
        <w:footnoteRef/>
      </w:r>
      <w:r w:rsidRPr="000E565D">
        <w:rPr>
          <w:rFonts w:asciiTheme="minorHAnsi" w:hAnsiTheme="minorHAnsi" w:cstheme="minorHAnsi"/>
        </w:rPr>
        <w:t xml:space="preserve"> Este aspecto es resaltado por Arreola, H. et al (2003; pp. 175) en su estudio de la no demanda de atención de salud en México.</w:t>
      </w:r>
    </w:p>
  </w:footnote>
  <w:footnote w:id="6">
    <w:p w:rsidR="00CB02AD" w:rsidRPr="000E565D" w:rsidRDefault="00CB02AD" w:rsidP="0032745B">
      <w:pPr>
        <w:pStyle w:val="FootnoteText"/>
        <w:jc w:val="both"/>
        <w:rPr>
          <w:rFonts w:asciiTheme="minorHAnsi" w:hAnsiTheme="minorHAnsi" w:cstheme="minorHAnsi"/>
        </w:rPr>
      </w:pPr>
      <w:r w:rsidRPr="000E565D">
        <w:rPr>
          <w:rStyle w:val="FootnoteReference"/>
          <w:rFonts w:asciiTheme="minorHAnsi" w:hAnsiTheme="minorHAnsi" w:cstheme="minorHAnsi"/>
        </w:rPr>
        <w:footnoteRef/>
      </w:r>
      <w:r w:rsidRPr="000E565D">
        <w:rPr>
          <w:rFonts w:asciiTheme="minorHAnsi" w:hAnsiTheme="minorHAnsi" w:cstheme="minorHAnsi"/>
        </w:rPr>
        <w:t xml:space="preserve"> Un estudio de revisión de evidencia en cuanto a los determinantes de la utilización de servicios de salud se puede consultar en Mendoza-Sassi, R. y Umberto, J. (2001).</w:t>
      </w:r>
    </w:p>
  </w:footnote>
  <w:footnote w:id="7">
    <w:p w:rsidR="00CB02AD" w:rsidRPr="000E565D" w:rsidRDefault="00CB02AD" w:rsidP="0032745B">
      <w:pPr>
        <w:pStyle w:val="FootnoteText"/>
        <w:rPr>
          <w:rFonts w:asciiTheme="minorHAnsi" w:hAnsiTheme="minorHAnsi" w:cstheme="minorHAnsi"/>
          <w:lang w:val="es-CL"/>
        </w:rPr>
      </w:pPr>
      <w:r w:rsidRPr="000E565D">
        <w:rPr>
          <w:rStyle w:val="FootnoteReference"/>
          <w:rFonts w:asciiTheme="minorHAnsi" w:hAnsiTheme="minorHAnsi" w:cstheme="minorHAnsi"/>
        </w:rPr>
        <w:footnoteRef/>
      </w:r>
      <w:r w:rsidRPr="000E565D">
        <w:rPr>
          <w:rFonts w:asciiTheme="minorHAnsi" w:hAnsiTheme="minorHAnsi" w:cstheme="minorHAnsi"/>
        </w:rPr>
        <w:t xml:space="preserve"> </w:t>
      </w:r>
      <w:r w:rsidRPr="000E565D">
        <w:rPr>
          <w:rFonts w:asciiTheme="minorHAnsi" w:hAnsiTheme="minorHAnsi" w:cstheme="minorHAnsi"/>
          <w:lang w:val="es-CL"/>
        </w:rPr>
        <w:t xml:space="preserve">En rigor, la fuente de financiamiento está radicada en las familias y empresas que mediante el pago de impuestos y cotizaciones </w:t>
      </w:r>
      <w:r>
        <w:rPr>
          <w:rFonts w:asciiTheme="minorHAnsi" w:hAnsiTheme="minorHAnsi" w:cstheme="minorHAnsi"/>
          <w:lang w:val="es-CL"/>
        </w:rPr>
        <w:t>al seguro social financian indi</w:t>
      </w:r>
      <w:r w:rsidRPr="000E565D">
        <w:rPr>
          <w:rFonts w:asciiTheme="minorHAnsi" w:hAnsiTheme="minorHAnsi" w:cstheme="minorHAnsi"/>
          <w:lang w:val="es-CL"/>
        </w:rPr>
        <w:t>rectamente la atención sanitaria, ello se intenta explicitar con las flechas desde las familias a la Caja de Seguro Social y al Estado.</w:t>
      </w:r>
    </w:p>
  </w:footnote>
  <w:footnote w:id="8">
    <w:p w:rsidR="00CB02AD" w:rsidRPr="000E565D" w:rsidRDefault="00CB02AD" w:rsidP="0032745B">
      <w:pPr>
        <w:pStyle w:val="FootnoteText"/>
        <w:jc w:val="both"/>
        <w:rPr>
          <w:rFonts w:asciiTheme="minorHAnsi" w:hAnsiTheme="minorHAnsi" w:cstheme="minorHAnsi"/>
          <w:lang w:val="es-CL"/>
        </w:rPr>
      </w:pPr>
      <w:r w:rsidRPr="000E565D">
        <w:rPr>
          <w:rStyle w:val="FootnoteReference"/>
          <w:rFonts w:asciiTheme="minorHAnsi" w:hAnsiTheme="minorHAnsi" w:cstheme="minorHAnsi"/>
        </w:rPr>
        <w:footnoteRef/>
      </w:r>
      <w:r w:rsidRPr="000E565D">
        <w:rPr>
          <w:rFonts w:asciiTheme="minorHAnsi" w:hAnsiTheme="minorHAnsi" w:cstheme="minorHAnsi"/>
        </w:rPr>
        <w:t xml:space="preserve"> </w:t>
      </w:r>
      <w:r w:rsidRPr="000E565D">
        <w:rPr>
          <w:rFonts w:asciiTheme="minorHAnsi" w:hAnsiTheme="minorHAnsi" w:cstheme="minorHAnsi"/>
          <w:lang w:val="es-CL"/>
        </w:rPr>
        <w:t xml:space="preserve">Aunque no está explícito en la Figura </w:t>
      </w:r>
      <w:r>
        <w:rPr>
          <w:rFonts w:asciiTheme="minorHAnsi" w:hAnsiTheme="minorHAnsi" w:cstheme="minorHAnsi"/>
          <w:lang w:val="es-CL"/>
        </w:rPr>
        <w:t>2</w:t>
      </w:r>
      <w:r w:rsidRPr="000E565D">
        <w:rPr>
          <w:rFonts w:asciiTheme="minorHAnsi" w:hAnsiTheme="minorHAnsi" w:cstheme="minorHAnsi"/>
          <w:lang w:val="es-CL"/>
        </w:rPr>
        <w:t>.1, es necesario tener en consideración que el problema del financiamiento también debe considerar a los centros de atención primaria.</w:t>
      </w:r>
    </w:p>
  </w:footnote>
  <w:footnote w:id="9">
    <w:p w:rsidR="00CB02AD" w:rsidRDefault="00CB02AD" w:rsidP="0032745B">
      <w:pPr>
        <w:pStyle w:val="FootnoteText"/>
        <w:jc w:val="both"/>
      </w:pPr>
      <w:r w:rsidRPr="000E565D">
        <w:rPr>
          <w:rStyle w:val="FootnoteReference"/>
          <w:rFonts w:asciiTheme="minorHAnsi" w:hAnsiTheme="minorHAnsi" w:cstheme="minorHAnsi"/>
        </w:rPr>
        <w:footnoteRef/>
      </w:r>
      <w:r w:rsidRPr="000E565D">
        <w:rPr>
          <w:rFonts w:asciiTheme="minorHAnsi" w:hAnsiTheme="minorHAnsi" w:cstheme="minorHAnsi"/>
        </w:rPr>
        <w:t xml:space="preserve"> En este caso hacemos la simplificación de que el financiamiento de la oferta y el aseguramiento de población corresponde a sólo una institución, lo cual bien pudiere ser distinto en muchos países.</w:t>
      </w:r>
    </w:p>
  </w:footnote>
  <w:footnote w:id="10">
    <w:p w:rsidR="00CB02AD" w:rsidRPr="000E565D" w:rsidRDefault="00CB02AD" w:rsidP="0032745B">
      <w:pPr>
        <w:pStyle w:val="FootnoteText"/>
        <w:jc w:val="both"/>
        <w:rPr>
          <w:rFonts w:asciiTheme="minorHAnsi" w:hAnsiTheme="minorHAnsi" w:cstheme="minorHAnsi"/>
          <w:lang w:val="es-CL"/>
        </w:rPr>
      </w:pPr>
      <w:r w:rsidRPr="000E565D">
        <w:rPr>
          <w:rStyle w:val="FootnoteReference"/>
          <w:rFonts w:asciiTheme="minorHAnsi" w:hAnsiTheme="minorHAnsi" w:cstheme="minorHAnsi"/>
        </w:rPr>
        <w:footnoteRef/>
      </w:r>
      <w:r w:rsidRPr="000E565D">
        <w:rPr>
          <w:rFonts w:asciiTheme="minorHAnsi" w:hAnsiTheme="minorHAnsi" w:cstheme="minorHAnsi"/>
        </w:rPr>
        <w:t xml:space="preserve"> </w:t>
      </w:r>
      <w:r w:rsidRPr="000E565D">
        <w:rPr>
          <w:rFonts w:asciiTheme="minorHAnsi" w:hAnsiTheme="minorHAnsi" w:cstheme="minorHAnsi"/>
          <w:lang w:val="es-CL"/>
        </w:rPr>
        <w:t xml:space="preserve">“…la situación “sin proyecto” no corresponde a la </w:t>
      </w:r>
      <w:r w:rsidRPr="000E565D">
        <w:rPr>
          <w:rFonts w:asciiTheme="minorHAnsi" w:hAnsiTheme="minorHAnsi" w:cstheme="minorHAnsi"/>
          <w:i/>
          <w:lang w:val="es-CL"/>
        </w:rPr>
        <w:t>situación actual</w:t>
      </w:r>
      <w:r w:rsidRPr="000E565D">
        <w:rPr>
          <w:rFonts w:asciiTheme="minorHAnsi" w:hAnsiTheme="minorHAnsi" w:cstheme="minorHAnsi"/>
          <w:lang w:val="es-CL"/>
        </w:rPr>
        <w:t xml:space="preserve">, sino a la </w:t>
      </w:r>
      <w:r w:rsidRPr="000E565D">
        <w:rPr>
          <w:rFonts w:asciiTheme="minorHAnsi" w:hAnsiTheme="minorHAnsi" w:cstheme="minorHAnsi"/>
          <w:i/>
          <w:lang w:val="es-CL"/>
        </w:rPr>
        <w:t>situación actual optimizada</w:t>
      </w:r>
      <w:r w:rsidRPr="000E565D">
        <w:rPr>
          <w:rFonts w:asciiTheme="minorHAnsi" w:hAnsiTheme="minorHAnsi" w:cstheme="minorHAnsi"/>
          <w:lang w:val="es-CL"/>
        </w:rPr>
        <w:t xml:space="preserve"> durante el horizonte de evaluación. El proceso de optimización involucrará “proyectitos” (inversiones “menores”) o adecuaciones administrativas que es conveniente introducir para eliminar obvias ineficiencias en la operación de la situación actual.” Fontaine, E. (1997; pp. 24).</w:t>
      </w:r>
    </w:p>
  </w:footnote>
  <w:footnote w:id="11">
    <w:p w:rsidR="00CB02AD" w:rsidRPr="00B73ED8" w:rsidRDefault="00CB02AD" w:rsidP="0032745B">
      <w:pPr>
        <w:pStyle w:val="FootnoteText"/>
        <w:jc w:val="both"/>
      </w:pPr>
      <w:r w:rsidRPr="000E565D">
        <w:rPr>
          <w:rStyle w:val="FootnoteReference"/>
          <w:rFonts w:asciiTheme="minorHAnsi" w:hAnsiTheme="minorHAnsi" w:cstheme="minorHAnsi"/>
        </w:rPr>
        <w:footnoteRef/>
      </w:r>
      <w:r w:rsidRPr="000E565D">
        <w:rPr>
          <w:rFonts w:asciiTheme="minorHAnsi" w:hAnsiTheme="minorHAnsi" w:cstheme="minorHAnsi"/>
        </w:rPr>
        <w:t xml:space="preserve"> Esto no quiere decir que la información que surge de la observación directa no sirva, de hecho es muy relevante cuando se analizan posibles optimizaciones de la situación sin proyecto, dado que las diferencias que se infieran de la situación observada y la potencial da luces de posibles problemas que se pueden solucionar sin necesidad de implementar el proyecto.</w:t>
      </w:r>
      <w:r>
        <w:t xml:space="preserve"> </w:t>
      </w:r>
    </w:p>
  </w:footnote>
  <w:footnote w:id="12">
    <w:p w:rsidR="00CB02AD" w:rsidRPr="00A1194E" w:rsidRDefault="00CB02AD" w:rsidP="0032745B">
      <w:pPr>
        <w:pStyle w:val="FootnoteText"/>
        <w:jc w:val="both"/>
        <w:rPr>
          <w:rFonts w:asciiTheme="minorHAnsi" w:hAnsiTheme="minorHAnsi" w:cstheme="minorHAnsi"/>
          <w:lang w:val="es-CL"/>
        </w:rPr>
      </w:pPr>
      <w:r w:rsidRPr="00A1194E">
        <w:rPr>
          <w:rStyle w:val="FootnoteReference"/>
          <w:rFonts w:asciiTheme="minorHAnsi" w:hAnsiTheme="minorHAnsi" w:cstheme="minorHAnsi"/>
        </w:rPr>
        <w:footnoteRef/>
      </w:r>
      <w:r w:rsidRPr="00A1194E">
        <w:rPr>
          <w:rFonts w:asciiTheme="minorHAnsi" w:hAnsiTheme="minorHAnsi" w:cstheme="minorHAnsi"/>
        </w:rPr>
        <w:t xml:space="preserve"> </w:t>
      </w:r>
      <w:r w:rsidRPr="00A1194E">
        <w:rPr>
          <w:rFonts w:asciiTheme="minorHAnsi" w:hAnsiTheme="minorHAnsi" w:cstheme="minorHAnsi"/>
          <w:lang w:val="es-CL"/>
        </w:rPr>
        <w:t>Muchas de las tablas que se presentan en esta parte del estudio, de manera de ilustrar la metodología adoptada corresp</w:t>
      </w:r>
      <w:r>
        <w:rPr>
          <w:rFonts w:asciiTheme="minorHAnsi" w:hAnsiTheme="minorHAnsi" w:cstheme="minorHAnsi"/>
          <w:lang w:val="es-CL"/>
        </w:rPr>
        <w:t>o</w:t>
      </w:r>
      <w:r w:rsidRPr="00A1194E">
        <w:rPr>
          <w:rFonts w:asciiTheme="minorHAnsi" w:hAnsiTheme="minorHAnsi" w:cstheme="minorHAnsi"/>
          <w:lang w:val="es-CL"/>
        </w:rPr>
        <w:t>nden a un estudio realizado por este consultor du</w:t>
      </w:r>
      <w:r>
        <w:rPr>
          <w:rFonts w:asciiTheme="minorHAnsi" w:hAnsiTheme="minorHAnsi" w:cstheme="minorHAnsi"/>
          <w:lang w:val="es-CL"/>
        </w:rPr>
        <w:t>r</w:t>
      </w:r>
      <w:r w:rsidRPr="00A1194E">
        <w:rPr>
          <w:rFonts w:asciiTheme="minorHAnsi" w:hAnsiTheme="minorHAnsi" w:cstheme="minorHAnsi"/>
          <w:lang w:val="es-CL"/>
        </w:rPr>
        <w:t>ante el año 2011 para el BID en la localidad de</w:t>
      </w:r>
      <w:r w:rsidRPr="00213D2E">
        <w:rPr>
          <w:rFonts w:asciiTheme="minorHAnsi" w:hAnsiTheme="minorHAnsi" w:cstheme="minorHAnsi"/>
        </w:rPr>
        <w:t xml:space="preserve"> Llallagua</w:t>
      </w:r>
      <w:r w:rsidRPr="00A1194E">
        <w:rPr>
          <w:rFonts w:asciiTheme="minorHAnsi" w:hAnsiTheme="minorHAnsi" w:cstheme="minorHAnsi"/>
          <w:lang w:val="es-CL"/>
        </w:rPr>
        <w:t xml:space="preserve"> del departamento de Potosí</w:t>
      </w:r>
      <w:r>
        <w:rPr>
          <w:rFonts w:asciiTheme="minorHAnsi" w:hAnsiTheme="minorHAnsi" w:cstheme="minorHAnsi"/>
          <w:lang w:val="es-CL"/>
        </w:rPr>
        <w:t xml:space="preserve"> - Bolivia</w:t>
      </w:r>
      <w:r w:rsidRPr="00A1194E">
        <w:rPr>
          <w:rFonts w:asciiTheme="minorHAnsi" w:hAnsiTheme="minorHAnsi" w:cstheme="minorHAnsi"/>
          <w:lang w:val="es-CL"/>
        </w:rPr>
        <w:t xml:space="preserve">. </w:t>
      </w:r>
    </w:p>
  </w:footnote>
  <w:footnote w:id="13">
    <w:p w:rsidR="00CB02AD" w:rsidRPr="00E21A28" w:rsidRDefault="00CB02AD" w:rsidP="0032745B">
      <w:pPr>
        <w:pStyle w:val="FootnoteText"/>
        <w:jc w:val="both"/>
        <w:rPr>
          <w:rFonts w:asciiTheme="minorHAnsi" w:hAnsiTheme="minorHAnsi" w:cstheme="minorHAnsi"/>
          <w:lang w:val="es-CL"/>
        </w:rPr>
      </w:pPr>
      <w:r w:rsidRPr="00E21A28">
        <w:rPr>
          <w:rStyle w:val="FootnoteReference"/>
          <w:rFonts w:asciiTheme="minorHAnsi" w:hAnsiTheme="minorHAnsi" w:cstheme="minorHAnsi"/>
        </w:rPr>
        <w:footnoteRef/>
      </w:r>
      <w:r w:rsidRPr="00E21A28">
        <w:rPr>
          <w:rFonts w:asciiTheme="minorHAnsi" w:hAnsiTheme="minorHAnsi" w:cstheme="minorHAnsi"/>
        </w:rPr>
        <w:t xml:space="preserve"> </w:t>
      </w:r>
      <w:r w:rsidRPr="00E21A28">
        <w:rPr>
          <w:rFonts w:asciiTheme="minorHAnsi" w:hAnsiTheme="minorHAnsi" w:cstheme="minorHAnsi"/>
          <w:lang w:val="es-CL"/>
        </w:rPr>
        <w:t>También se puede soslayar el problema mencionado considerando que la dotación de médicos generalmente es mayor que el número de consultorios especificados, de tal manera que la visita de pacientes hospitalizados, turnos queda garantizada.</w:t>
      </w:r>
    </w:p>
  </w:footnote>
  <w:footnote w:id="14">
    <w:p w:rsidR="00CB02AD" w:rsidRPr="00D51937" w:rsidRDefault="00CB02AD">
      <w:pPr>
        <w:pStyle w:val="FootnoteText"/>
        <w:rPr>
          <w:rFonts w:asciiTheme="minorHAnsi" w:hAnsiTheme="minorHAnsi"/>
          <w:lang w:val="es-CL"/>
        </w:rPr>
      </w:pPr>
      <w:r w:rsidRPr="00D51937">
        <w:rPr>
          <w:rStyle w:val="FootnoteReference"/>
          <w:rFonts w:asciiTheme="minorHAnsi" w:hAnsiTheme="minorHAnsi"/>
        </w:rPr>
        <w:footnoteRef/>
      </w:r>
      <w:r w:rsidRPr="00D51937">
        <w:rPr>
          <w:rFonts w:asciiTheme="minorHAnsi" w:hAnsiTheme="minorHAnsi"/>
        </w:rPr>
        <w:t xml:space="preserve"> </w:t>
      </w:r>
      <w:r w:rsidRPr="00D51937">
        <w:rPr>
          <w:rFonts w:asciiTheme="minorHAnsi" w:hAnsiTheme="minorHAnsi"/>
          <w:lang w:val="es-CL"/>
        </w:rPr>
        <w:t>Ibáñez, C. (2011).</w:t>
      </w:r>
    </w:p>
  </w:footnote>
  <w:footnote w:id="15">
    <w:p w:rsidR="00CB02AD" w:rsidRPr="000E565D" w:rsidRDefault="00CB02AD" w:rsidP="0032745B">
      <w:pPr>
        <w:pStyle w:val="FootnoteText"/>
        <w:jc w:val="both"/>
        <w:rPr>
          <w:rFonts w:asciiTheme="minorHAnsi" w:hAnsiTheme="minorHAnsi" w:cstheme="minorHAnsi"/>
          <w:lang w:val="es-CL"/>
        </w:rPr>
      </w:pPr>
      <w:r w:rsidRPr="000E565D">
        <w:rPr>
          <w:rStyle w:val="FootnoteReference"/>
          <w:rFonts w:asciiTheme="minorHAnsi" w:hAnsiTheme="minorHAnsi" w:cstheme="minorHAnsi"/>
        </w:rPr>
        <w:footnoteRef/>
      </w:r>
      <w:r w:rsidRPr="000E565D">
        <w:rPr>
          <w:rFonts w:asciiTheme="minorHAnsi" w:hAnsiTheme="minorHAnsi" w:cstheme="minorHAnsi"/>
        </w:rPr>
        <w:t xml:space="preserve"> </w:t>
      </w:r>
      <w:r w:rsidRPr="000E565D">
        <w:rPr>
          <w:rFonts w:asciiTheme="minorHAnsi" w:hAnsiTheme="minorHAnsi" w:cstheme="minorHAnsi"/>
          <w:lang w:val="es-CL"/>
        </w:rPr>
        <w:t xml:space="preserve">No obstante lo dicho, en general no es fácil poder estimar la demanda no expresada, por lo </w:t>
      </w:r>
      <w:r>
        <w:rPr>
          <w:rFonts w:asciiTheme="minorHAnsi" w:hAnsiTheme="minorHAnsi" w:cstheme="minorHAnsi"/>
          <w:lang w:val="es-CL"/>
        </w:rPr>
        <w:t xml:space="preserve">que </w:t>
      </w:r>
      <w:r w:rsidRPr="000E565D">
        <w:rPr>
          <w:rFonts w:asciiTheme="minorHAnsi" w:hAnsiTheme="minorHAnsi" w:cstheme="minorHAnsi"/>
          <w:lang w:val="es-CL"/>
        </w:rPr>
        <w:t>muchos estudios no la consideran.</w:t>
      </w:r>
    </w:p>
  </w:footnote>
  <w:footnote w:id="16">
    <w:p w:rsidR="00CB02AD" w:rsidRPr="00C37740" w:rsidRDefault="00CB02AD" w:rsidP="0032745B">
      <w:pPr>
        <w:pStyle w:val="FootnoteText"/>
        <w:jc w:val="both"/>
        <w:rPr>
          <w:rFonts w:asciiTheme="minorHAnsi" w:hAnsiTheme="minorHAnsi" w:cstheme="minorHAnsi"/>
          <w:lang w:val="es-ES_tradnl"/>
        </w:rPr>
      </w:pPr>
      <w:r w:rsidRPr="000E565D">
        <w:rPr>
          <w:rStyle w:val="FootnoteReference"/>
          <w:rFonts w:asciiTheme="minorHAnsi" w:hAnsiTheme="minorHAnsi" w:cstheme="minorHAnsi"/>
        </w:rPr>
        <w:footnoteRef/>
      </w:r>
      <w:r w:rsidRPr="00C37740">
        <w:rPr>
          <w:rFonts w:asciiTheme="minorHAnsi" w:hAnsiTheme="minorHAnsi" w:cstheme="minorHAnsi"/>
          <w:lang w:val="es-ES_tradnl"/>
        </w:rPr>
        <w:t xml:space="preserve"> Grossman, M. (1999), pp. 39.</w:t>
      </w:r>
    </w:p>
  </w:footnote>
  <w:footnote w:id="17">
    <w:p w:rsidR="00CB02AD" w:rsidRPr="000E565D" w:rsidRDefault="00CB02AD" w:rsidP="0032745B">
      <w:pPr>
        <w:pStyle w:val="FootnoteText"/>
        <w:jc w:val="both"/>
        <w:rPr>
          <w:rFonts w:asciiTheme="minorHAnsi" w:hAnsiTheme="minorHAnsi" w:cstheme="minorHAnsi"/>
        </w:rPr>
      </w:pPr>
      <w:r w:rsidRPr="000E565D">
        <w:rPr>
          <w:rStyle w:val="FootnoteReference"/>
          <w:rFonts w:asciiTheme="minorHAnsi" w:hAnsiTheme="minorHAnsi" w:cstheme="minorHAnsi"/>
        </w:rPr>
        <w:footnoteRef/>
      </w:r>
      <w:r w:rsidRPr="000E565D">
        <w:rPr>
          <w:rFonts w:asciiTheme="minorHAnsi" w:hAnsiTheme="minorHAnsi" w:cstheme="minorHAnsi"/>
        </w:rPr>
        <w:t xml:space="preserve"> Clavero, A. y González, M. (2005)</w:t>
      </w:r>
    </w:p>
  </w:footnote>
  <w:footnote w:id="18">
    <w:p w:rsidR="00CB02AD" w:rsidRPr="00F24339" w:rsidRDefault="00CB02AD" w:rsidP="00F24339">
      <w:pPr>
        <w:pStyle w:val="BlockText"/>
        <w:spacing w:after="0"/>
        <w:ind w:left="0"/>
        <w:rPr>
          <w:rFonts w:asciiTheme="minorHAnsi" w:hAnsiTheme="minorHAnsi" w:cstheme="minorHAnsi"/>
          <w:sz w:val="20"/>
          <w:szCs w:val="20"/>
        </w:rPr>
      </w:pPr>
      <w:r w:rsidRPr="000E565D">
        <w:rPr>
          <w:rStyle w:val="FootnoteReference"/>
          <w:rFonts w:asciiTheme="minorHAnsi" w:hAnsiTheme="minorHAnsi" w:cstheme="minorHAnsi"/>
          <w:sz w:val="20"/>
          <w:szCs w:val="20"/>
        </w:rPr>
        <w:footnoteRef/>
      </w:r>
      <w:r w:rsidRPr="000E565D">
        <w:rPr>
          <w:rFonts w:asciiTheme="minorHAnsi" w:hAnsiTheme="minorHAnsi" w:cstheme="minorHAnsi"/>
          <w:sz w:val="20"/>
          <w:szCs w:val="20"/>
        </w:rPr>
        <w:t xml:space="preserve"> La utilización significa en términos prácticos una consulta médica, o una hospitalización con los servicios auxiliares asociados como pueden ser servicios de Rayos X, exámenes varios, etc.</w:t>
      </w:r>
    </w:p>
  </w:footnote>
  <w:footnote w:id="19">
    <w:p w:rsidR="00CB02AD" w:rsidRPr="000E565D" w:rsidRDefault="00CB02AD" w:rsidP="00F24339">
      <w:pPr>
        <w:pStyle w:val="FootnoteText"/>
        <w:jc w:val="both"/>
        <w:rPr>
          <w:rFonts w:asciiTheme="minorHAnsi" w:hAnsiTheme="minorHAnsi" w:cstheme="minorHAnsi"/>
        </w:rPr>
      </w:pPr>
      <w:r w:rsidRPr="000E565D">
        <w:rPr>
          <w:rStyle w:val="FootnoteReference"/>
          <w:rFonts w:asciiTheme="minorHAnsi" w:hAnsiTheme="minorHAnsi" w:cstheme="minorHAnsi"/>
        </w:rPr>
        <w:footnoteRef/>
      </w:r>
      <w:r w:rsidRPr="000E565D">
        <w:rPr>
          <w:rFonts w:asciiTheme="minorHAnsi" w:hAnsiTheme="minorHAnsi" w:cstheme="minorHAnsi"/>
        </w:rPr>
        <w:t xml:space="preserve"> Ídem.</w:t>
      </w:r>
    </w:p>
  </w:footnote>
  <w:footnote w:id="20">
    <w:p w:rsidR="00CB02AD" w:rsidRPr="000E565D" w:rsidRDefault="00CB02AD" w:rsidP="0032745B">
      <w:pPr>
        <w:pStyle w:val="FootnoteText"/>
        <w:jc w:val="both"/>
        <w:rPr>
          <w:rFonts w:asciiTheme="minorHAnsi" w:hAnsiTheme="minorHAnsi" w:cstheme="minorHAnsi"/>
        </w:rPr>
      </w:pPr>
      <w:r w:rsidRPr="000E565D">
        <w:rPr>
          <w:rStyle w:val="FootnoteReference"/>
          <w:rFonts w:asciiTheme="minorHAnsi" w:hAnsiTheme="minorHAnsi" w:cstheme="minorHAnsi"/>
        </w:rPr>
        <w:footnoteRef/>
      </w:r>
      <w:r w:rsidRPr="000E565D">
        <w:rPr>
          <w:rFonts w:asciiTheme="minorHAnsi" w:hAnsiTheme="minorHAnsi" w:cstheme="minorHAnsi"/>
        </w:rPr>
        <w:t xml:space="preserve"> Ídem.</w:t>
      </w:r>
    </w:p>
  </w:footnote>
  <w:footnote w:id="21">
    <w:p w:rsidR="00CB02AD" w:rsidRPr="000E565D" w:rsidRDefault="00CB02AD" w:rsidP="0032745B">
      <w:pPr>
        <w:pStyle w:val="FootnoteText"/>
        <w:jc w:val="both"/>
        <w:rPr>
          <w:rFonts w:asciiTheme="minorHAnsi" w:hAnsiTheme="minorHAnsi" w:cstheme="minorHAnsi"/>
        </w:rPr>
      </w:pPr>
      <w:r w:rsidRPr="000E565D">
        <w:rPr>
          <w:rStyle w:val="FootnoteReference"/>
          <w:rFonts w:asciiTheme="minorHAnsi" w:hAnsiTheme="minorHAnsi" w:cstheme="minorHAnsi"/>
        </w:rPr>
        <w:footnoteRef/>
      </w:r>
      <w:r w:rsidRPr="000E565D">
        <w:rPr>
          <w:rFonts w:asciiTheme="minorHAnsi" w:hAnsiTheme="minorHAnsi" w:cstheme="minorHAnsi"/>
        </w:rPr>
        <w:t xml:space="preserve"> Ver Sutton, M </w:t>
      </w:r>
      <w:r w:rsidRPr="000E565D">
        <w:rPr>
          <w:rFonts w:asciiTheme="minorHAnsi" w:hAnsiTheme="minorHAnsi" w:cstheme="minorHAnsi"/>
          <w:i/>
          <w:iCs/>
        </w:rPr>
        <w:t>et al</w:t>
      </w:r>
      <w:r w:rsidRPr="000E565D">
        <w:rPr>
          <w:rFonts w:asciiTheme="minorHAnsi" w:hAnsiTheme="minorHAnsi" w:cstheme="minorHAnsi"/>
        </w:rPr>
        <w:t>. (2002) Pág. 49 – 55. Para estimación de tasas de utilización de servicios hospitalarios, considerando variables de oferta mediante horas médicas para Chile ver Ibáñez, C. (2006).</w:t>
      </w:r>
    </w:p>
  </w:footnote>
  <w:footnote w:id="22">
    <w:p w:rsidR="00CB02AD" w:rsidRPr="000E565D" w:rsidRDefault="00CB02AD" w:rsidP="0032745B">
      <w:pPr>
        <w:pStyle w:val="FootnoteText"/>
        <w:jc w:val="both"/>
        <w:rPr>
          <w:rFonts w:asciiTheme="minorHAnsi" w:hAnsiTheme="minorHAnsi" w:cstheme="minorHAnsi"/>
        </w:rPr>
      </w:pPr>
      <w:r w:rsidRPr="000E565D">
        <w:rPr>
          <w:rStyle w:val="FootnoteReference"/>
          <w:rFonts w:asciiTheme="minorHAnsi" w:hAnsiTheme="minorHAnsi" w:cstheme="minorHAnsi"/>
        </w:rPr>
        <w:footnoteRef/>
      </w:r>
      <w:r w:rsidRPr="000E565D">
        <w:rPr>
          <w:rFonts w:asciiTheme="minorHAnsi" w:hAnsiTheme="minorHAnsi" w:cstheme="minorHAnsi"/>
        </w:rPr>
        <w:t xml:space="preserve"> Por otra parte, también es pertinente considerar como un determinante adicional de la demanda, al modelo de gestión de un determinado centro de salud.</w:t>
      </w:r>
    </w:p>
  </w:footnote>
  <w:footnote w:id="23">
    <w:p w:rsidR="00CB02AD" w:rsidRDefault="00CB02AD" w:rsidP="0032745B">
      <w:pPr>
        <w:pStyle w:val="FootnoteText"/>
        <w:jc w:val="both"/>
      </w:pPr>
      <w:r w:rsidRPr="000E565D">
        <w:rPr>
          <w:rStyle w:val="FootnoteReference"/>
          <w:rFonts w:asciiTheme="minorHAnsi" w:hAnsiTheme="minorHAnsi" w:cstheme="minorHAnsi"/>
        </w:rPr>
        <w:footnoteRef/>
      </w:r>
      <w:r w:rsidRPr="000E565D">
        <w:rPr>
          <w:rFonts w:asciiTheme="minorHAnsi" w:hAnsiTheme="minorHAnsi" w:cstheme="minorHAnsi"/>
        </w:rPr>
        <w:t xml:space="preserve"> Hay que hacer notar que los insumos no sólo se refieren al sistema sanitario, sino que también se considera a la medicina tradicional, el auto tratamiento, la nutrición, el agua limpia y el saneamiento.</w:t>
      </w:r>
    </w:p>
  </w:footnote>
  <w:footnote w:id="24">
    <w:p w:rsidR="00CB02AD" w:rsidRPr="00C46E68" w:rsidRDefault="00CB02AD" w:rsidP="0032745B">
      <w:pPr>
        <w:pStyle w:val="FootnoteText"/>
        <w:jc w:val="both"/>
        <w:rPr>
          <w:rFonts w:asciiTheme="minorHAnsi" w:hAnsiTheme="minorHAnsi" w:cstheme="minorHAnsi"/>
        </w:rPr>
      </w:pPr>
      <w:r w:rsidRPr="000E565D">
        <w:rPr>
          <w:rStyle w:val="FootnoteReference"/>
          <w:rFonts w:asciiTheme="minorHAnsi" w:hAnsiTheme="minorHAnsi" w:cstheme="minorHAnsi"/>
        </w:rPr>
        <w:footnoteRef/>
      </w:r>
      <w:r w:rsidRPr="000E565D">
        <w:rPr>
          <w:rFonts w:asciiTheme="minorHAnsi" w:hAnsiTheme="minorHAnsi" w:cstheme="minorHAnsi"/>
        </w:rPr>
        <w:t xml:space="preserve"> En este sentido el proceso de cambio que se está viviendo en Bolivia, en particular los aspectos asociados al reconocimiento y desarrollo de la salud intercultural son aspectos positivos que deberán redundar en un futuro cercano en una más alta valoración social de la salud. Ejemplo de experiencias concretas de avance </w:t>
      </w:r>
      <w:r w:rsidRPr="00C46E68">
        <w:rPr>
          <w:rFonts w:asciiTheme="minorHAnsi" w:hAnsiTheme="minorHAnsi" w:cstheme="minorHAnsi"/>
        </w:rPr>
        <w:t>en la pertinencia cultural de la tención sanitaria formal se pueden consultar en Campos, R. et al (2010).</w:t>
      </w:r>
    </w:p>
  </w:footnote>
  <w:footnote w:id="25">
    <w:p w:rsidR="00CB02AD" w:rsidRPr="000E565D" w:rsidRDefault="00CB02AD" w:rsidP="0032745B">
      <w:pPr>
        <w:pStyle w:val="FootnoteText"/>
        <w:jc w:val="both"/>
        <w:rPr>
          <w:rFonts w:asciiTheme="minorHAnsi" w:hAnsiTheme="minorHAnsi" w:cstheme="minorHAnsi"/>
          <w:lang w:val="es-CL"/>
        </w:rPr>
      </w:pPr>
      <w:r w:rsidRPr="000E565D">
        <w:rPr>
          <w:rStyle w:val="FootnoteReference"/>
          <w:rFonts w:asciiTheme="minorHAnsi" w:hAnsiTheme="minorHAnsi" w:cstheme="minorHAnsi"/>
        </w:rPr>
        <w:footnoteRef/>
      </w:r>
      <w:r w:rsidRPr="000E565D">
        <w:rPr>
          <w:rFonts w:asciiTheme="minorHAnsi" w:hAnsiTheme="minorHAnsi" w:cstheme="minorHAnsi"/>
        </w:rPr>
        <w:t xml:space="preserve"> </w:t>
      </w:r>
      <w:r w:rsidRPr="000E565D">
        <w:rPr>
          <w:rFonts w:asciiTheme="minorHAnsi" w:hAnsiTheme="minorHAnsi" w:cstheme="minorHAnsi"/>
          <w:lang w:val="es-CL"/>
        </w:rPr>
        <w:t>Esto es importante, puesto que en muchos establecimientos de salud el financiamiento de los recursos humanos proviene de fuentes distintas, por ejemplo en nuestro caso existen trabajadores financiados por el hospit</w:t>
      </w:r>
      <w:r>
        <w:rPr>
          <w:rFonts w:asciiTheme="minorHAnsi" w:hAnsiTheme="minorHAnsi" w:cstheme="minorHAnsi"/>
          <w:lang w:val="es-CL"/>
        </w:rPr>
        <w:t>al directamente, y otros por el Municipio, otros por el Gobierno central</w:t>
      </w:r>
      <w:r w:rsidRPr="000E565D">
        <w:rPr>
          <w:rFonts w:asciiTheme="minorHAnsi" w:hAnsiTheme="minorHAnsi" w:cstheme="minorHAnsi"/>
          <w:lang w:val="es-CL"/>
        </w:rPr>
        <w:t>.</w:t>
      </w:r>
    </w:p>
  </w:footnote>
  <w:footnote w:id="26">
    <w:p w:rsidR="00CB02AD" w:rsidRPr="000E565D" w:rsidRDefault="00CB02AD" w:rsidP="0032745B">
      <w:pPr>
        <w:pStyle w:val="FootnoteText"/>
        <w:jc w:val="both"/>
        <w:rPr>
          <w:rFonts w:asciiTheme="minorHAnsi" w:hAnsiTheme="minorHAnsi" w:cstheme="minorHAnsi"/>
        </w:rPr>
      </w:pPr>
      <w:r w:rsidRPr="000E565D">
        <w:rPr>
          <w:rStyle w:val="FootnoteReference"/>
          <w:rFonts w:asciiTheme="minorHAnsi" w:hAnsiTheme="minorHAnsi" w:cstheme="minorHAnsi"/>
        </w:rPr>
        <w:footnoteRef/>
      </w:r>
      <w:r w:rsidRPr="000E565D">
        <w:rPr>
          <w:rFonts w:asciiTheme="minorHAnsi" w:hAnsiTheme="minorHAnsi" w:cstheme="minorHAnsi"/>
        </w:rPr>
        <w:t xml:space="preserve"> También se debe poner atención a ciertas relaciones técnicas entre los distintos tipos de personal del hospital, por ejemplo cantidad de enfermeras(os) por médico, personal administrativo por dotación de personal total, y en lo posible compararlo con algún estándar técnico, de manera de asegurar que el diseño organizativo del hospital sea el correcto, o se adecue a hospitales similares.</w:t>
      </w:r>
    </w:p>
  </w:footnote>
  <w:footnote w:id="27">
    <w:p w:rsidR="00CB02AD" w:rsidRPr="000E565D" w:rsidRDefault="00CB02AD" w:rsidP="0032745B">
      <w:pPr>
        <w:pStyle w:val="FootnoteText"/>
        <w:jc w:val="both"/>
        <w:rPr>
          <w:rFonts w:asciiTheme="minorHAnsi" w:hAnsiTheme="minorHAnsi" w:cstheme="minorHAnsi"/>
        </w:rPr>
      </w:pPr>
      <w:r w:rsidRPr="000E565D">
        <w:rPr>
          <w:rStyle w:val="FootnoteReference"/>
          <w:rFonts w:asciiTheme="minorHAnsi" w:hAnsiTheme="minorHAnsi" w:cstheme="minorHAnsi"/>
        </w:rPr>
        <w:footnoteRef/>
      </w:r>
      <w:r w:rsidRPr="000E565D">
        <w:rPr>
          <w:rFonts w:asciiTheme="minorHAnsi" w:hAnsiTheme="minorHAnsi" w:cstheme="minorHAnsi"/>
        </w:rPr>
        <w:t xml:space="preserve"> Otros beneficios mencionados en los manuales son los correspondientes a la atención oportuna, en caso de que existan listas de espera, o colas producto de la saturación de los servicios.</w:t>
      </w:r>
    </w:p>
  </w:footnote>
  <w:footnote w:id="28">
    <w:p w:rsidR="00CB02AD" w:rsidRDefault="00CB02AD" w:rsidP="0032745B">
      <w:pPr>
        <w:pStyle w:val="FootnoteText"/>
      </w:pPr>
      <w:r w:rsidRPr="000E565D">
        <w:rPr>
          <w:rStyle w:val="FootnoteReference"/>
          <w:rFonts w:asciiTheme="minorHAnsi" w:hAnsiTheme="minorHAnsi" w:cstheme="minorHAnsi"/>
        </w:rPr>
        <w:footnoteRef/>
      </w:r>
      <w:r w:rsidRPr="000E565D">
        <w:rPr>
          <w:rFonts w:asciiTheme="minorHAnsi" w:hAnsiTheme="minorHAnsi" w:cstheme="minorHAnsi"/>
        </w:rPr>
        <w:t xml:space="preserve"> Capítulo I de CEPEP (200</w:t>
      </w:r>
      <w:r>
        <w:rPr>
          <w:rFonts w:asciiTheme="minorHAnsi" w:hAnsiTheme="minorHAnsi" w:cstheme="minorHAnsi"/>
        </w:rPr>
        <w:t>7</w:t>
      </w:r>
      <w:r w:rsidRPr="000E565D">
        <w:rPr>
          <w:rFonts w:asciiTheme="minorHAnsi" w:hAnsiTheme="minorHAnsi" w:cstheme="minorHAnsi"/>
        </w:rPr>
        <w:t>).</w:t>
      </w:r>
    </w:p>
  </w:footnote>
  <w:footnote w:id="29">
    <w:p w:rsidR="00CB02AD" w:rsidRPr="006254AD" w:rsidRDefault="00CB02AD" w:rsidP="006254AD">
      <w:pPr>
        <w:pStyle w:val="FootnoteText"/>
        <w:jc w:val="both"/>
        <w:rPr>
          <w:rFonts w:asciiTheme="minorHAnsi" w:hAnsiTheme="minorHAnsi"/>
          <w:lang w:val="es-CL"/>
        </w:rPr>
      </w:pPr>
      <w:r w:rsidRPr="006254AD">
        <w:rPr>
          <w:rStyle w:val="FootnoteReference"/>
          <w:rFonts w:asciiTheme="minorHAnsi" w:hAnsiTheme="minorHAnsi"/>
        </w:rPr>
        <w:footnoteRef/>
      </w:r>
      <w:r w:rsidRPr="006254AD">
        <w:rPr>
          <w:rFonts w:asciiTheme="minorHAnsi" w:hAnsiTheme="minorHAnsi"/>
        </w:rPr>
        <w:t xml:space="preserve"> </w:t>
      </w:r>
      <w:r>
        <w:rPr>
          <w:rFonts w:asciiTheme="minorHAnsi" w:hAnsiTheme="minorHAnsi"/>
        </w:rPr>
        <w:t>Adicionalmente existen</w:t>
      </w:r>
      <w:r w:rsidRPr="006254AD">
        <w:rPr>
          <w:rFonts w:asciiTheme="minorHAnsi" w:hAnsiTheme="minorHAnsi"/>
          <w:lang w:val="es-CL"/>
        </w:rPr>
        <w:t xml:space="preserve"> un conjunto de barreras de acceso que enfrenta la población, generalmente asociadas a barreras económicas, culturales, de distancia a los centros hospitalarios, a horarios inadecuados de atención, entre otras</w:t>
      </w:r>
      <w:r>
        <w:rPr>
          <w:rFonts w:asciiTheme="minorHAnsi" w:hAnsiTheme="minorHAnsi"/>
          <w:lang w:val="es-CL"/>
        </w:rPr>
        <w:t>, que explican el por qué la población no expresa en toda su magnitud la demanda por prestaciones sanitarias, aun cuando tenga una necesidad de salud</w:t>
      </w:r>
      <w:r w:rsidRPr="006254AD">
        <w:rPr>
          <w:rFonts w:asciiTheme="minorHAnsi" w:hAnsiTheme="minorHAnsi"/>
          <w:lang w:val="es-CL"/>
        </w:rPr>
        <w:t>.</w:t>
      </w:r>
    </w:p>
  </w:footnote>
  <w:footnote w:id="30">
    <w:p w:rsidR="00CB02AD" w:rsidRPr="00691626" w:rsidRDefault="00CB02AD" w:rsidP="00691626">
      <w:pPr>
        <w:pStyle w:val="FootnoteText"/>
        <w:jc w:val="both"/>
        <w:rPr>
          <w:rFonts w:asciiTheme="minorHAnsi" w:hAnsiTheme="minorHAnsi" w:cstheme="minorHAnsi"/>
          <w:lang w:val="es-CL"/>
        </w:rPr>
      </w:pPr>
      <w:r w:rsidRPr="00691626">
        <w:rPr>
          <w:rStyle w:val="FootnoteReference"/>
          <w:rFonts w:asciiTheme="minorHAnsi" w:hAnsiTheme="minorHAnsi" w:cstheme="minorHAnsi"/>
        </w:rPr>
        <w:footnoteRef/>
      </w:r>
      <w:r w:rsidRPr="00691626">
        <w:rPr>
          <w:rFonts w:asciiTheme="minorHAnsi" w:hAnsiTheme="minorHAnsi" w:cstheme="minorHAnsi"/>
        </w:rPr>
        <w:t xml:space="preserve"> </w:t>
      </w:r>
      <w:r w:rsidRPr="00691626">
        <w:rPr>
          <w:rFonts w:asciiTheme="minorHAnsi" w:hAnsiTheme="minorHAnsi" w:cstheme="minorHAnsi"/>
          <w:lang w:val="es-CL"/>
        </w:rPr>
        <w:t>Esta opción metodológica es tan cuestionable como aquella que supone un comportamiento inercial de la demanda en función del pasado. No se puede suponer una demanda tal como se ha expresado hasta ahora, cuando se est</w:t>
      </w:r>
      <w:r>
        <w:rPr>
          <w:rFonts w:asciiTheme="minorHAnsi" w:hAnsiTheme="minorHAnsi" w:cstheme="minorHAnsi"/>
          <w:lang w:val="es-CL"/>
        </w:rPr>
        <w:t>á</w:t>
      </w:r>
      <w:r w:rsidRPr="00691626">
        <w:rPr>
          <w:rFonts w:asciiTheme="minorHAnsi" w:hAnsiTheme="minorHAnsi" w:cstheme="minorHAnsi"/>
          <w:lang w:val="es-CL"/>
        </w:rPr>
        <w:t xml:space="preserve"> adicionando oferta que necesariamente modificará la demanda temporal de prestaciones sanitarias.</w:t>
      </w:r>
    </w:p>
  </w:footnote>
  <w:footnote w:id="31">
    <w:p w:rsidR="00CB02AD" w:rsidRPr="00D5487C" w:rsidRDefault="00CB02AD" w:rsidP="00D5487C">
      <w:pPr>
        <w:pStyle w:val="FootnoteText"/>
        <w:jc w:val="both"/>
        <w:rPr>
          <w:rFonts w:asciiTheme="minorHAnsi" w:hAnsiTheme="minorHAnsi"/>
          <w:lang w:val="es-CL"/>
        </w:rPr>
      </w:pPr>
      <w:r w:rsidRPr="00D5487C">
        <w:rPr>
          <w:rStyle w:val="FootnoteReference"/>
          <w:rFonts w:asciiTheme="minorHAnsi" w:hAnsiTheme="minorHAnsi"/>
        </w:rPr>
        <w:footnoteRef/>
      </w:r>
      <w:r w:rsidRPr="00D5487C">
        <w:rPr>
          <w:rFonts w:asciiTheme="minorHAnsi" w:hAnsiTheme="minorHAnsi"/>
        </w:rPr>
        <w:t xml:space="preserve"> </w:t>
      </w:r>
      <w:r w:rsidRPr="00D5487C">
        <w:rPr>
          <w:rFonts w:asciiTheme="minorHAnsi" w:hAnsiTheme="minorHAnsi"/>
          <w:lang w:val="es-CL"/>
        </w:rPr>
        <w:t>Estos dos aspectos son de la mayor importancia, puesto que expresan “empíricamente”, brechas muy significativas en el estado de salud general de la población de El Alto en relación a otras localidades de Bolivia, y por cierto de otros países vecinos. Y a la vez evidencian “dramáticamente”</w:t>
      </w:r>
      <w:r>
        <w:rPr>
          <w:rFonts w:asciiTheme="minorHAnsi" w:hAnsiTheme="minorHAnsi"/>
          <w:lang w:val="es-CL"/>
        </w:rPr>
        <w:t>, las altísim</w:t>
      </w:r>
      <w:r w:rsidRPr="00D5487C">
        <w:rPr>
          <w:rFonts w:asciiTheme="minorHAnsi" w:hAnsiTheme="minorHAnsi"/>
          <w:lang w:val="es-CL"/>
        </w:rPr>
        <w:t xml:space="preserve">as brechas de oferta de prestaciones sanitarias de esta población. Convergen en El Alto una muy mala salud, con una escaza oferta sanitaria que enfrente el problema de salud poblacional, estos dos hechos sustentan inequívocamente la necesidad de ampliar la </w:t>
      </w:r>
      <w:r>
        <w:rPr>
          <w:rFonts w:asciiTheme="minorHAnsi" w:hAnsiTheme="minorHAnsi"/>
          <w:lang w:val="es-CL"/>
        </w:rPr>
        <w:t>oferta de prestaciones, entre ot</w:t>
      </w:r>
      <w:r w:rsidRPr="00D5487C">
        <w:rPr>
          <w:rFonts w:asciiTheme="minorHAnsi" w:hAnsiTheme="minorHAnsi"/>
          <w:lang w:val="es-CL"/>
        </w:rPr>
        <w:t>ras medidas de política.</w:t>
      </w:r>
    </w:p>
  </w:footnote>
  <w:footnote w:id="32">
    <w:p w:rsidR="00CB02AD" w:rsidRPr="00D05E57" w:rsidRDefault="00CB02AD" w:rsidP="00D05E57">
      <w:pPr>
        <w:pStyle w:val="FootnoteText"/>
        <w:jc w:val="both"/>
        <w:rPr>
          <w:rFonts w:asciiTheme="minorHAnsi" w:hAnsiTheme="minorHAnsi" w:cstheme="minorHAnsi"/>
          <w:lang w:val="es-CL"/>
        </w:rPr>
      </w:pPr>
      <w:r w:rsidRPr="00D05E57">
        <w:rPr>
          <w:rStyle w:val="FootnoteReference"/>
          <w:rFonts w:asciiTheme="minorHAnsi" w:hAnsiTheme="minorHAnsi" w:cstheme="minorHAnsi"/>
        </w:rPr>
        <w:footnoteRef/>
      </w:r>
      <w:r w:rsidRPr="00D05E57">
        <w:rPr>
          <w:rFonts w:asciiTheme="minorHAnsi" w:hAnsiTheme="minorHAnsi" w:cstheme="minorHAnsi"/>
        </w:rPr>
        <w:t xml:space="preserve"> </w:t>
      </w:r>
      <w:r w:rsidRPr="00D05E57">
        <w:rPr>
          <w:rFonts w:asciiTheme="minorHAnsi" w:hAnsiTheme="minorHAnsi" w:cstheme="minorHAnsi"/>
          <w:lang w:val="es-CL"/>
        </w:rPr>
        <w:t>Ibáñez, C. (2011).</w:t>
      </w:r>
    </w:p>
  </w:footnote>
  <w:footnote w:id="33">
    <w:p w:rsidR="00CB02AD" w:rsidRPr="00D05E57" w:rsidRDefault="00CB02AD" w:rsidP="00536756">
      <w:pPr>
        <w:pStyle w:val="FootnoteText"/>
        <w:jc w:val="both"/>
        <w:rPr>
          <w:rFonts w:asciiTheme="minorHAnsi" w:hAnsiTheme="minorHAnsi" w:cstheme="minorHAnsi"/>
          <w:lang w:val="es-CL"/>
        </w:rPr>
      </w:pPr>
      <w:r w:rsidRPr="00D05E57">
        <w:rPr>
          <w:rStyle w:val="FootnoteReference"/>
          <w:rFonts w:asciiTheme="minorHAnsi" w:hAnsiTheme="minorHAnsi" w:cstheme="minorHAnsi"/>
        </w:rPr>
        <w:footnoteRef/>
      </w:r>
      <w:r w:rsidRPr="00D05E57">
        <w:rPr>
          <w:rFonts w:asciiTheme="minorHAnsi" w:hAnsiTheme="minorHAnsi" w:cstheme="minorHAnsi"/>
        </w:rPr>
        <w:t xml:space="preserve"> </w:t>
      </w:r>
      <w:r w:rsidRPr="00D05E57">
        <w:rPr>
          <w:rFonts w:asciiTheme="minorHAnsi" w:hAnsiTheme="minorHAnsi" w:cstheme="minorHAnsi"/>
          <w:lang w:val="es-CL"/>
        </w:rPr>
        <w:t>Valor utilizado en Meixuiro, J. et al (2009).</w:t>
      </w:r>
    </w:p>
  </w:footnote>
  <w:footnote w:id="34">
    <w:p w:rsidR="00CB02AD" w:rsidRPr="00D05E57" w:rsidRDefault="00CB02AD" w:rsidP="00D05E57">
      <w:pPr>
        <w:pStyle w:val="FootnoteText"/>
        <w:jc w:val="both"/>
        <w:rPr>
          <w:rFonts w:asciiTheme="minorHAnsi" w:hAnsiTheme="minorHAnsi"/>
          <w:lang w:val="es-CL"/>
        </w:rPr>
      </w:pPr>
      <w:r w:rsidRPr="00D05E57">
        <w:rPr>
          <w:rStyle w:val="FootnoteReference"/>
          <w:rFonts w:asciiTheme="minorHAnsi" w:hAnsiTheme="minorHAnsi"/>
        </w:rPr>
        <w:footnoteRef/>
      </w:r>
      <w:r w:rsidRPr="00D05E57">
        <w:rPr>
          <w:rFonts w:asciiTheme="minorHAnsi" w:hAnsiTheme="minorHAnsi"/>
        </w:rPr>
        <w:t xml:space="preserve"> </w:t>
      </w:r>
      <w:r w:rsidRPr="00D05E57">
        <w:rPr>
          <w:rFonts w:asciiTheme="minorHAnsi" w:hAnsiTheme="minorHAnsi"/>
          <w:lang w:val="es-CL"/>
        </w:rPr>
        <w:t>Valor obtenido del total de consultas externas de los Hospitales Holandés, Core</w:t>
      </w:r>
      <w:r>
        <w:rPr>
          <w:rFonts w:asciiTheme="minorHAnsi" w:hAnsiTheme="minorHAnsi"/>
          <w:lang w:val="es-CL"/>
        </w:rPr>
        <w:t>a</w:t>
      </w:r>
      <w:r w:rsidRPr="00D05E57">
        <w:rPr>
          <w:rFonts w:asciiTheme="minorHAnsi" w:hAnsiTheme="minorHAnsi"/>
          <w:lang w:val="es-CL"/>
        </w:rPr>
        <w:t xml:space="preserve"> y Los Andes.</w:t>
      </w:r>
    </w:p>
  </w:footnote>
  <w:footnote w:id="35">
    <w:p w:rsidR="00CB02AD" w:rsidRPr="00D05E57" w:rsidRDefault="00CB02AD" w:rsidP="00D05E57">
      <w:pPr>
        <w:pStyle w:val="FootnoteText"/>
        <w:jc w:val="both"/>
        <w:rPr>
          <w:rFonts w:asciiTheme="minorHAnsi" w:hAnsiTheme="minorHAnsi" w:cstheme="minorHAnsi"/>
          <w:lang w:val="es-CL"/>
        </w:rPr>
      </w:pPr>
      <w:r w:rsidRPr="00D05E57">
        <w:rPr>
          <w:rStyle w:val="FootnoteReference"/>
          <w:rFonts w:asciiTheme="minorHAnsi" w:hAnsiTheme="minorHAnsi" w:cstheme="minorHAnsi"/>
        </w:rPr>
        <w:footnoteRef/>
      </w:r>
      <w:r w:rsidRPr="00D05E57">
        <w:rPr>
          <w:rFonts w:asciiTheme="minorHAnsi" w:hAnsiTheme="minorHAnsi" w:cstheme="minorHAnsi"/>
        </w:rPr>
        <w:t xml:space="preserve"> </w:t>
      </w:r>
      <w:r w:rsidRPr="00D05E57">
        <w:rPr>
          <w:rFonts w:asciiTheme="minorHAnsi" w:hAnsiTheme="minorHAnsi" w:cstheme="minorHAnsi"/>
          <w:lang w:val="es-CL"/>
        </w:rPr>
        <w:t>Valor utilizado en Meixuiro, J. et al (2009).</w:t>
      </w:r>
    </w:p>
  </w:footnote>
  <w:footnote w:id="36">
    <w:p w:rsidR="00CB02AD" w:rsidRPr="00946E3F" w:rsidRDefault="00CB02AD" w:rsidP="00D05E57">
      <w:pPr>
        <w:pStyle w:val="FootnoteText"/>
        <w:jc w:val="both"/>
        <w:rPr>
          <w:lang w:val="es-CL"/>
        </w:rPr>
      </w:pPr>
      <w:r w:rsidRPr="00D05E57">
        <w:rPr>
          <w:rStyle w:val="FootnoteReference"/>
          <w:rFonts w:asciiTheme="minorHAnsi" w:hAnsiTheme="minorHAnsi"/>
        </w:rPr>
        <w:footnoteRef/>
      </w:r>
      <w:r w:rsidRPr="00D05E57">
        <w:rPr>
          <w:rFonts w:asciiTheme="minorHAnsi" w:hAnsiTheme="minorHAnsi"/>
        </w:rPr>
        <w:t xml:space="preserve"> </w:t>
      </w:r>
      <w:r w:rsidRPr="00D05E57">
        <w:rPr>
          <w:rFonts w:asciiTheme="minorHAnsi" w:hAnsiTheme="minorHAnsi" w:cstheme="minorHAnsi"/>
          <w:lang w:val="es-CL"/>
        </w:rPr>
        <w:t xml:space="preserve">El valor de 49.139 corresponde a una estimación de consultas de urgencia para el año 2011, donde contamos con información de los Hospitales Corea y Los Andes. Para el Hospital </w:t>
      </w:r>
      <w:r>
        <w:rPr>
          <w:rFonts w:asciiTheme="minorHAnsi" w:hAnsiTheme="minorHAnsi" w:cstheme="minorHAnsi"/>
          <w:lang w:val="es-CL"/>
        </w:rPr>
        <w:t xml:space="preserve">Boliviano </w:t>
      </w:r>
      <w:r w:rsidRPr="00D05E57">
        <w:rPr>
          <w:rFonts w:asciiTheme="minorHAnsi" w:hAnsiTheme="minorHAnsi" w:cstheme="minorHAnsi"/>
          <w:lang w:val="es-CL"/>
        </w:rPr>
        <w:t>Holandés, dado que tiene igual cantidad de cubículos que el H. Corea, le imputamos igual número de consultas.</w:t>
      </w:r>
    </w:p>
  </w:footnote>
  <w:footnote w:id="37">
    <w:p w:rsidR="00CB02AD" w:rsidRPr="00946B4B" w:rsidRDefault="00CB02AD" w:rsidP="00946B4B">
      <w:pPr>
        <w:pStyle w:val="FootnoteText"/>
        <w:jc w:val="both"/>
        <w:rPr>
          <w:rFonts w:asciiTheme="minorHAnsi" w:hAnsiTheme="minorHAnsi"/>
          <w:lang w:val="es-CL"/>
        </w:rPr>
      </w:pPr>
      <w:r w:rsidRPr="00946B4B">
        <w:rPr>
          <w:rStyle w:val="FootnoteReference"/>
          <w:rFonts w:asciiTheme="minorHAnsi" w:hAnsiTheme="minorHAnsi"/>
        </w:rPr>
        <w:footnoteRef/>
      </w:r>
      <w:r w:rsidRPr="00946B4B">
        <w:rPr>
          <w:rFonts w:asciiTheme="minorHAnsi" w:hAnsiTheme="minorHAnsi"/>
        </w:rPr>
        <w:t xml:space="preserve"> </w:t>
      </w:r>
      <w:r w:rsidRPr="00946B4B">
        <w:rPr>
          <w:rFonts w:asciiTheme="minorHAnsi" w:hAnsiTheme="minorHAnsi"/>
          <w:lang w:val="es-CL"/>
        </w:rPr>
        <w:t>Para las urgencias consideramos sólo la población de las redes de El Alto, dejando fuera la poblaci</w:t>
      </w:r>
      <w:r>
        <w:rPr>
          <w:rFonts w:asciiTheme="minorHAnsi" w:hAnsiTheme="minorHAnsi"/>
          <w:lang w:val="es-CL"/>
        </w:rPr>
        <w:t>ón aso</w:t>
      </w:r>
      <w:r w:rsidRPr="00946B4B">
        <w:rPr>
          <w:rFonts w:asciiTheme="minorHAnsi" w:hAnsiTheme="minorHAnsi"/>
          <w:lang w:val="es-CL"/>
        </w:rPr>
        <w:t>ciada a las redes rurales.</w:t>
      </w:r>
    </w:p>
  </w:footnote>
  <w:footnote w:id="38">
    <w:p w:rsidR="00CB02AD" w:rsidRPr="00BC55D8" w:rsidRDefault="00CB02AD" w:rsidP="00BC55D8">
      <w:pPr>
        <w:pStyle w:val="FootnoteText"/>
        <w:rPr>
          <w:rFonts w:asciiTheme="minorHAnsi" w:hAnsiTheme="minorHAnsi" w:cstheme="minorHAnsi"/>
          <w:lang w:val="es-CL"/>
        </w:rPr>
      </w:pPr>
      <w:r w:rsidRPr="00BC55D8">
        <w:rPr>
          <w:rStyle w:val="FootnoteReference"/>
          <w:rFonts w:asciiTheme="minorHAnsi" w:hAnsiTheme="minorHAnsi" w:cstheme="minorHAnsi"/>
        </w:rPr>
        <w:footnoteRef/>
      </w:r>
      <w:r w:rsidRPr="00BC55D8">
        <w:rPr>
          <w:rFonts w:asciiTheme="minorHAnsi" w:hAnsiTheme="minorHAnsi" w:cstheme="minorHAnsi"/>
        </w:rPr>
        <w:t xml:space="preserve"> </w:t>
      </w:r>
      <w:r w:rsidRPr="00BC55D8">
        <w:rPr>
          <w:rFonts w:asciiTheme="minorHAnsi" w:hAnsiTheme="minorHAnsi" w:cstheme="minorHAnsi"/>
          <w:lang w:val="es-CL"/>
        </w:rPr>
        <w:t>Ibáñez, C. (2011)</w:t>
      </w:r>
      <w:r>
        <w:rPr>
          <w:rFonts w:asciiTheme="minorHAnsi" w:hAnsiTheme="minorHAnsi" w:cstheme="minorHAnsi"/>
          <w:lang w:val="es-CL"/>
        </w:rPr>
        <w:t>.</w:t>
      </w:r>
    </w:p>
  </w:footnote>
  <w:footnote w:id="39">
    <w:p w:rsidR="00CB02AD" w:rsidRPr="00BC55D8" w:rsidRDefault="00CB02AD" w:rsidP="00BC55D8">
      <w:pPr>
        <w:pStyle w:val="FootnoteText"/>
        <w:jc w:val="both"/>
        <w:rPr>
          <w:rFonts w:asciiTheme="minorHAnsi" w:hAnsiTheme="minorHAnsi" w:cstheme="minorHAnsi"/>
          <w:sz w:val="18"/>
          <w:szCs w:val="18"/>
        </w:rPr>
      </w:pPr>
      <w:r w:rsidRPr="00BC55D8">
        <w:rPr>
          <w:rStyle w:val="FootnoteReference"/>
          <w:rFonts w:asciiTheme="minorHAnsi" w:hAnsiTheme="minorHAnsi" w:cstheme="minorHAnsi"/>
          <w:szCs w:val="18"/>
        </w:rPr>
        <w:footnoteRef/>
      </w:r>
      <w:r w:rsidRPr="00BC55D8">
        <w:rPr>
          <w:rFonts w:asciiTheme="minorHAnsi" w:hAnsiTheme="minorHAnsi" w:cstheme="minorHAnsi"/>
          <w:szCs w:val="18"/>
        </w:rPr>
        <w:t xml:space="preserve"> En este punto se debe tener claridad respecto de que el dato de Chile son egresos, no días cama de población Aymara, se asume en esta estimación que los días de estada corresponde</w:t>
      </w:r>
      <w:r>
        <w:rPr>
          <w:rFonts w:asciiTheme="minorHAnsi" w:hAnsiTheme="minorHAnsi" w:cstheme="minorHAnsi"/>
          <w:szCs w:val="18"/>
        </w:rPr>
        <w:t>n</w:t>
      </w:r>
      <w:r w:rsidRPr="00BC55D8">
        <w:rPr>
          <w:rFonts w:asciiTheme="minorHAnsi" w:hAnsiTheme="minorHAnsi" w:cstheme="minorHAnsi"/>
          <w:szCs w:val="18"/>
        </w:rPr>
        <w:t xml:space="preserve"> a 4,18 días.</w:t>
      </w:r>
    </w:p>
  </w:footnote>
  <w:footnote w:id="40">
    <w:p w:rsidR="00CB02AD" w:rsidRPr="00417BB6" w:rsidRDefault="00CB02AD">
      <w:pPr>
        <w:pStyle w:val="FootnoteText"/>
        <w:rPr>
          <w:lang w:val="es-CL"/>
        </w:rPr>
      </w:pPr>
      <w:r w:rsidRPr="00417BB6">
        <w:rPr>
          <w:rStyle w:val="FootnoteReference"/>
          <w:rFonts w:asciiTheme="minorHAnsi" w:hAnsiTheme="minorHAnsi"/>
        </w:rPr>
        <w:footnoteRef/>
      </w:r>
      <w:r>
        <w:t xml:space="preserve"> </w:t>
      </w:r>
      <w:r w:rsidRPr="00417BB6">
        <w:rPr>
          <w:rFonts w:asciiTheme="minorHAnsi" w:hAnsiTheme="minorHAnsi"/>
          <w:lang w:val="es-CL"/>
        </w:rPr>
        <w:t>Plan de apertura del Hospital del Norte. Servicio Departamental de Salud, La Paz, Bolivia.</w:t>
      </w:r>
    </w:p>
  </w:footnote>
  <w:footnote w:id="41">
    <w:p w:rsidR="00CB02AD" w:rsidRPr="00E37032" w:rsidRDefault="00CB02AD" w:rsidP="00E37032">
      <w:pPr>
        <w:pStyle w:val="FootnoteText"/>
        <w:jc w:val="both"/>
        <w:rPr>
          <w:lang w:val="es-CL"/>
        </w:rPr>
      </w:pPr>
      <w:r>
        <w:rPr>
          <w:rStyle w:val="FootnoteReference"/>
        </w:rPr>
        <w:footnoteRef/>
      </w:r>
      <w:r w:rsidRPr="00E37032">
        <w:rPr>
          <w:rFonts w:asciiTheme="minorHAnsi" w:hAnsiTheme="minorHAnsi"/>
        </w:rPr>
        <w:t xml:space="preserve"> </w:t>
      </w:r>
      <w:r w:rsidRPr="00E37032">
        <w:rPr>
          <w:rFonts w:asciiTheme="minorHAnsi" w:hAnsiTheme="minorHAnsi"/>
          <w:lang w:val="es-CL"/>
        </w:rPr>
        <w:t>Considerando los establecimientos públicos de Chile, la tasa de intervenciones quirúrgicas mayores son en promedio de 0,031 intervenciones por habitante, para los años 2005-2009.</w:t>
      </w:r>
    </w:p>
  </w:footnote>
  <w:footnote w:id="42">
    <w:p w:rsidR="00CB02AD" w:rsidRPr="006F20C3" w:rsidRDefault="00CB02AD" w:rsidP="006F20C3">
      <w:pPr>
        <w:pStyle w:val="FootnoteText"/>
        <w:jc w:val="both"/>
        <w:rPr>
          <w:rFonts w:asciiTheme="minorHAnsi" w:hAnsiTheme="minorHAnsi"/>
          <w:lang w:val="es-CL"/>
        </w:rPr>
      </w:pPr>
      <w:r w:rsidRPr="006F20C3">
        <w:rPr>
          <w:rStyle w:val="FootnoteReference"/>
          <w:rFonts w:asciiTheme="minorHAnsi" w:hAnsiTheme="minorHAnsi"/>
        </w:rPr>
        <w:footnoteRef/>
      </w:r>
      <w:r w:rsidRPr="006F20C3">
        <w:rPr>
          <w:rFonts w:asciiTheme="minorHAnsi" w:hAnsiTheme="minorHAnsi"/>
        </w:rPr>
        <w:t xml:space="preserve"> </w:t>
      </w:r>
      <w:r w:rsidRPr="006F20C3">
        <w:rPr>
          <w:rFonts w:asciiTheme="minorHAnsi" w:hAnsiTheme="minorHAnsi"/>
          <w:lang w:val="es-CL"/>
        </w:rPr>
        <w:t xml:space="preserve">Para estimar el número de cirugías esperado tomamos como referencia, para el 2011, las cirugías categorizadas como de complejidad extra mayor, mayor y mediana para el Hospital </w:t>
      </w:r>
      <w:r>
        <w:rPr>
          <w:rFonts w:asciiTheme="minorHAnsi" w:hAnsiTheme="minorHAnsi"/>
          <w:lang w:val="es-CL"/>
        </w:rPr>
        <w:t xml:space="preserve">Boliviano </w:t>
      </w:r>
      <w:r w:rsidRPr="006F20C3">
        <w:rPr>
          <w:rFonts w:asciiTheme="minorHAnsi" w:hAnsiTheme="minorHAnsi"/>
          <w:lang w:val="es-CL"/>
        </w:rPr>
        <w:t>Holandés. Dado que no contamos con el número de cirugías para los restantes hospitales de la red pública, estimamos el número t</w:t>
      </w:r>
      <w:r>
        <w:rPr>
          <w:rFonts w:asciiTheme="minorHAnsi" w:hAnsiTheme="minorHAnsi"/>
          <w:lang w:val="es-CL"/>
        </w:rPr>
        <w:t>otal de acuerdo al nú</w:t>
      </w:r>
      <w:r w:rsidRPr="006F20C3">
        <w:rPr>
          <w:rFonts w:asciiTheme="minorHAnsi" w:hAnsiTheme="minorHAnsi"/>
          <w:lang w:val="es-CL"/>
        </w:rPr>
        <w:t>mero de quirófanos de los hospitales restantes.</w:t>
      </w:r>
    </w:p>
  </w:footnote>
  <w:footnote w:id="43">
    <w:p w:rsidR="00CB02AD" w:rsidRPr="00237091" w:rsidRDefault="00CB02AD">
      <w:pPr>
        <w:pStyle w:val="FootnoteText"/>
        <w:rPr>
          <w:lang w:val="es-CL"/>
        </w:rPr>
      </w:pPr>
      <w:r>
        <w:rPr>
          <w:rStyle w:val="FootnoteReference"/>
        </w:rPr>
        <w:footnoteRef/>
      </w:r>
      <w:r>
        <w:t xml:space="preserve"> </w:t>
      </w:r>
      <w:r w:rsidRPr="0067659A">
        <w:rPr>
          <w:rFonts w:asciiTheme="minorHAnsi" w:hAnsiTheme="minorHAnsi" w:cstheme="minorHAnsi"/>
          <w:bCs/>
          <w:color w:val="000000"/>
          <w:szCs w:val="22"/>
        </w:rPr>
        <w:t>Cantero, P. y  Ruano, A. (2009).</w:t>
      </w:r>
    </w:p>
  </w:footnote>
  <w:footnote w:id="44">
    <w:p w:rsidR="00CB02AD" w:rsidRPr="002724C2" w:rsidRDefault="00CB02AD" w:rsidP="002724C2">
      <w:pPr>
        <w:pStyle w:val="FootnoteText"/>
        <w:jc w:val="both"/>
        <w:rPr>
          <w:rFonts w:asciiTheme="minorHAnsi" w:hAnsiTheme="minorHAnsi" w:cstheme="minorHAnsi"/>
          <w:lang w:val="es-CL"/>
        </w:rPr>
      </w:pPr>
      <w:r w:rsidRPr="002724C2">
        <w:rPr>
          <w:rStyle w:val="FootnoteReference"/>
          <w:rFonts w:asciiTheme="minorHAnsi" w:hAnsiTheme="minorHAnsi" w:cstheme="minorHAnsi"/>
        </w:rPr>
        <w:footnoteRef/>
      </w:r>
      <w:r w:rsidRPr="002724C2">
        <w:rPr>
          <w:rFonts w:asciiTheme="minorHAnsi" w:hAnsiTheme="minorHAnsi" w:cstheme="minorHAnsi"/>
        </w:rPr>
        <w:t xml:space="preserve"> </w:t>
      </w:r>
      <w:r w:rsidRPr="002724C2">
        <w:rPr>
          <w:rFonts w:asciiTheme="minorHAnsi" w:hAnsiTheme="minorHAnsi" w:cstheme="minorHAnsi"/>
          <w:lang w:val="es-CL"/>
        </w:rPr>
        <w:t xml:space="preserve">Publicaciones recientes asumen una tasa de incidencia de 400 pacientes por millón de habitantes para México. </w:t>
      </w:r>
      <w:r w:rsidRPr="002724C2">
        <w:rPr>
          <w:rFonts w:asciiTheme="minorHAnsi" w:hAnsiTheme="minorHAnsi" w:cstheme="minorHAnsi"/>
          <w:bCs/>
          <w:color w:val="000000"/>
        </w:rPr>
        <w:t>Francisco Franco-Marina, et al (2011).</w:t>
      </w:r>
    </w:p>
  </w:footnote>
  <w:footnote w:id="45">
    <w:p w:rsidR="00CB02AD" w:rsidRDefault="00CB02AD" w:rsidP="008E0891">
      <w:pPr>
        <w:jc w:val="both"/>
        <w:rPr>
          <w:rFonts w:asciiTheme="minorHAnsi" w:hAnsiTheme="minorHAnsi" w:cstheme="minorHAnsi"/>
          <w:bCs/>
          <w:color w:val="000000"/>
          <w:sz w:val="22"/>
        </w:rPr>
      </w:pPr>
      <w:r>
        <w:rPr>
          <w:rStyle w:val="FootnoteReference"/>
        </w:rPr>
        <w:footnoteRef/>
      </w:r>
      <w:r>
        <w:t xml:space="preserve"> </w:t>
      </w:r>
      <w:r w:rsidRPr="008E0891">
        <w:rPr>
          <w:rFonts w:asciiTheme="minorHAnsi" w:hAnsiTheme="minorHAnsi"/>
          <w:sz w:val="20"/>
          <w:szCs w:val="20"/>
          <w:lang w:val="es-CL"/>
        </w:rPr>
        <w:t>Este valor lo tomamos del estudio “</w:t>
      </w:r>
      <w:r w:rsidRPr="008E0891">
        <w:rPr>
          <w:rFonts w:asciiTheme="minorHAnsi" w:hAnsiTheme="minorHAnsi" w:cstheme="minorHAnsi"/>
          <w:bCs/>
          <w:color w:val="000000"/>
          <w:sz w:val="20"/>
          <w:szCs w:val="20"/>
        </w:rPr>
        <w:t>Evaluación socioeconómica del proyecto de</w:t>
      </w:r>
      <w:r>
        <w:rPr>
          <w:rFonts w:asciiTheme="minorHAnsi" w:hAnsiTheme="minorHAnsi" w:cstheme="minorHAnsi"/>
          <w:bCs/>
          <w:color w:val="000000"/>
          <w:sz w:val="20"/>
          <w:szCs w:val="20"/>
        </w:rPr>
        <w:t xml:space="preserve"> construcción y ampliación del Instituto Oncológico N</w:t>
      </w:r>
      <w:r w:rsidRPr="008E0891">
        <w:rPr>
          <w:rFonts w:asciiTheme="minorHAnsi" w:hAnsiTheme="minorHAnsi" w:cstheme="minorHAnsi"/>
          <w:bCs/>
          <w:color w:val="000000"/>
          <w:sz w:val="20"/>
          <w:szCs w:val="20"/>
        </w:rPr>
        <w:t>acional de Panamá</w:t>
      </w:r>
      <w:r>
        <w:rPr>
          <w:rFonts w:asciiTheme="minorHAnsi" w:hAnsiTheme="minorHAnsi" w:cstheme="minorHAnsi"/>
          <w:bCs/>
          <w:color w:val="000000"/>
          <w:sz w:val="20"/>
          <w:szCs w:val="20"/>
        </w:rPr>
        <w:t>”</w:t>
      </w:r>
      <w:r w:rsidRPr="008E0891">
        <w:rPr>
          <w:rFonts w:asciiTheme="minorHAnsi" w:hAnsiTheme="minorHAnsi" w:cstheme="minorHAnsi"/>
          <w:bCs/>
          <w:color w:val="000000"/>
          <w:sz w:val="20"/>
          <w:szCs w:val="20"/>
        </w:rPr>
        <w:t>. Preparado para el Banco Interamericano de Desarrollo, PN-L1078, 2012.</w:t>
      </w:r>
      <w:r>
        <w:rPr>
          <w:rFonts w:asciiTheme="minorHAnsi" w:hAnsiTheme="minorHAnsi" w:cstheme="minorHAnsi"/>
          <w:bCs/>
          <w:color w:val="000000"/>
          <w:sz w:val="20"/>
          <w:szCs w:val="20"/>
        </w:rPr>
        <w:t xml:space="preserve"> </w:t>
      </w:r>
    </w:p>
    <w:p w:rsidR="00CB02AD" w:rsidRPr="008E0891" w:rsidRDefault="00CB02AD">
      <w:pPr>
        <w:pStyle w:val="FootnoteText"/>
        <w:rPr>
          <w:lang w:val="es-CL"/>
        </w:rPr>
      </w:pPr>
    </w:p>
  </w:footnote>
  <w:footnote w:id="46">
    <w:p w:rsidR="00CB02AD" w:rsidRPr="00EA7A64" w:rsidRDefault="00CB02AD" w:rsidP="00EA7A64">
      <w:pPr>
        <w:pStyle w:val="FootnoteText"/>
        <w:jc w:val="both"/>
        <w:rPr>
          <w:rFonts w:asciiTheme="minorHAnsi" w:hAnsiTheme="minorHAnsi"/>
          <w:lang w:val="es-CL"/>
        </w:rPr>
      </w:pPr>
      <w:r w:rsidRPr="00EA7A64">
        <w:rPr>
          <w:rStyle w:val="FootnoteReference"/>
          <w:rFonts w:asciiTheme="minorHAnsi" w:hAnsiTheme="minorHAnsi"/>
        </w:rPr>
        <w:footnoteRef/>
      </w:r>
      <w:r w:rsidRPr="00EA7A64">
        <w:rPr>
          <w:rFonts w:asciiTheme="minorHAnsi" w:hAnsiTheme="minorHAnsi"/>
        </w:rPr>
        <w:t xml:space="preserve"> </w:t>
      </w:r>
      <w:r>
        <w:rPr>
          <w:rFonts w:asciiTheme="minorHAnsi" w:hAnsiTheme="minorHAnsi"/>
        </w:rPr>
        <w:t xml:space="preserve">Gobierno Federal (2010): </w:t>
      </w:r>
      <w:r w:rsidRPr="00EA7A64">
        <w:rPr>
          <w:rFonts w:asciiTheme="minorHAnsi" w:hAnsiTheme="minorHAnsi"/>
        </w:rPr>
        <w:t>Manual para la evaluación de proyectos de hospitales de tercer nivel: Unidad de Hemato-Oncología e Investigación Pediátrica de México, Proyecto de Infraestructura Social. Análisis Costo-Beneficio. Gobierno Federal, 2010, pp. 29.</w:t>
      </w:r>
    </w:p>
  </w:footnote>
  <w:footnote w:id="47">
    <w:p w:rsidR="00CB02AD" w:rsidRPr="00F550FA" w:rsidRDefault="00CB02AD" w:rsidP="00F550FA">
      <w:pPr>
        <w:pStyle w:val="FootnoteText"/>
        <w:jc w:val="both"/>
        <w:rPr>
          <w:lang w:val="es-CL"/>
        </w:rPr>
      </w:pPr>
      <w:r>
        <w:rPr>
          <w:rStyle w:val="FootnoteReference"/>
        </w:rPr>
        <w:footnoteRef/>
      </w:r>
      <w:r>
        <w:t xml:space="preserve"> </w:t>
      </w:r>
      <w:r w:rsidRPr="00F550FA">
        <w:rPr>
          <w:rFonts w:asciiTheme="minorHAnsi" w:hAnsiTheme="minorHAnsi"/>
          <w:lang w:val="es-CL"/>
        </w:rPr>
        <w:t>Información proporcionada por la Doctora Zamuriano, Jefa de Unidad de Radioterapia, Hospital de Clínicas, La Paz.</w:t>
      </w:r>
    </w:p>
  </w:footnote>
  <w:footnote w:id="48">
    <w:p w:rsidR="00CB02AD" w:rsidRPr="00BB476A" w:rsidRDefault="00CB02AD" w:rsidP="00BB476A">
      <w:pPr>
        <w:pStyle w:val="FootnoteText"/>
        <w:jc w:val="both"/>
        <w:rPr>
          <w:lang w:val="es-CL"/>
        </w:rPr>
      </w:pPr>
      <w:r>
        <w:rPr>
          <w:rStyle w:val="FootnoteReference"/>
        </w:rPr>
        <w:footnoteRef/>
      </w:r>
      <w:r>
        <w:t xml:space="preserve"> </w:t>
      </w:r>
      <w:r w:rsidRPr="008E0891">
        <w:rPr>
          <w:rFonts w:asciiTheme="minorHAnsi" w:hAnsiTheme="minorHAnsi"/>
          <w:lang w:val="es-CL"/>
        </w:rPr>
        <w:t>Este valor lo tomamos del estudio “</w:t>
      </w:r>
      <w:r w:rsidRPr="008E0891">
        <w:rPr>
          <w:rFonts w:asciiTheme="minorHAnsi" w:hAnsiTheme="minorHAnsi" w:cstheme="minorHAnsi"/>
          <w:bCs/>
          <w:color w:val="000000"/>
        </w:rPr>
        <w:t>Evaluación socioeconómica del proyecto de</w:t>
      </w:r>
      <w:r>
        <w:rPr>
          <w:rFonts w:asciiTheme="minorHAnsi" w:hAnsiTheme="minorHAnsi" w:cstheme="minorHAnsi"/>
          <w:bCs/>
          <w:color w:val="000000"/>
        </w:rPr>
        <w:t xml:space="preserve"> construcción y ampliación del Instituto O</w:t>
      </w:r>
      <w:r w:rsidRPr="008E0891">
        <w:rPr>
          <w:rFonts w:asciiTheme="minorHAnsi" w:hAnsiTheme="minorHAnsi" w:cstheme="minorHAnsi"/>
          <w:bCs/>
          <w:color w:val="000000"/>
        </w:rPr>
        <w:t>ncol</w:t>
      </w:r>
      <w:r>
        <w:rPr>
          <w:rFonts w:asciiTheme="minorHAnsi" w:hAnsiTheme="minorHAnsi" w:cstheme="minorHAnsi"/>
          <w:bCs/>
          <w:color w:val="000000"/>
        </w:rPr>
        <w:t>ógico N</w:t>
      </w:r>
      <w:r w:rsidRPr="008E0891">
        <w:rPr>
          <w:rFonts w:asciiTheme="minorHAnsi" w:hAnsiTheme="minorHAnsi" w:cstheme="minorHAnsi"/>
          <w:bCs/>
          <w:color w:val="000000"/>
        </w:rPr>
        <w:t>acional de Panamá</w:t>
      </w:r>
      <w:r>
        <w:rPr>
          <w:rFonts w:asciiTheme="minorHAnsi" w:hAnsiTheme="minorHAnsi" w:cstheme="minorHAnsi"/>
          <w:bCs/>
          <w:color w:val="000000"/>
        </w:rPr>
        <w:t>”</w:t>
      </w:r>
      <w:r w:rsidRPr="008E0891">
        <w:rPr>
          <w:rFonts w:asciiTheme="minorHAnsi" w:hAnsiTheme="minorHAnsi" w:cstheme="minorHAnsi"/>
          <w:bCs/>
          <w:color w:val="000000"/>
        </w:rPr>
        <w:t>. Preparado para el Banco Interamericano de Desarrollo, PN-L1078, 2012.</w:t>
      </w:r>
      <w:r>
        <w:rPr>
          <w:rFonts w:asciiTheme="minorHAnsi" w:hAnsiTheme="minorHAnsi" w:cstheme="minorHAnsi"/>
          <w:bCs/>
          <w:color w:val="000000"/>
        </w:rPr>
        <w:t xml:space="preserve"> Este valor para el caso del Hospital El Alto Sur, puede estar subestimado, debido a que el origen de la estimación es un Hospital de Especialidad Oncológico, sin embargo el uso de estudios de gamma cámara tiene una amplitud mayor, en especial en aquellos estudios diagnósticos asociados a problemas cardíacos.</w:t>
      </w:r>
    </w:p>
  </w:footnote>
  <w:footnote w:id="49">
    <w:p w:rsidR="00CB02AD" w:rsidRPr="00767BF9" w:rsidRDefault="00CB02AD" w:rsidP="00767BF9">
      <w:pPr>
        <w:pStyle w:val="FootnoteText"/>
        <w:jc w:val="both"/>
        <w:rPr>
          <w:rFonts w:asciiTheme="minorHAnsi" w:hAnsiTheme="minorHAnsi"/>
          <w:lang w:val="es-CL"/>
        </w:rPr>
      </w:pPr>
      <w:r w:rsidRPr="00767BF9">
        <w:rPr>
          <w:rStyle w:val="FootnoteReference"/>
          <w:rFonts w:asciiTheme="minorHAnsi" w:hAnsiTheme="minorHAnsi"/>
        </w:rPr>
        <w:footnoteRef/>
      </w:r>
      <w:r w:rsidRPr="00767BF9">
        <w:rPr>
          <w:rFonts w:asciiTheme="minorHAnsi" w:hAnsiTheme="minorHAnsi"/>
        </w:rPr>
        <w:t xml:space="preserve"> </w:t>
      </w:r>
      <w:r w:rsidRPr="00767BF9">
        <w:rPr>
          <w:rFonts w:asciiTheme="minorHAnsi" w:hAnsiTheme="minorHAnsi"/>
          <w:lang w:val="es-CL"/>
        </w:rPr>
        <w:t>Esto es así por muchas razones, por ejemplo porque la gestión del recurso humano no es de la mejor, por el hecho de existir recursos humanos desmotivados, porque existen dificultades para desempeñar de la mejor forma las activ</w:t>
      </w:r>
      <w:r>
        <w:rPr>
          <w:rFonts w:asciiTheme="minorHAnsi" w:hAnsiTheme="minorHAnsi"/>
          <w:lang w:val="es-CL"/>
        </w:rPr>
        <w:t>idades propias de un cargo, etcé</w:t>
      </w:r>
      <w:r w:rsidRPr="00767BF9">
        <w:rPr>
          <w:rFonts w:asciiTheme="minorHAnsi" w:hAnsiTheme="minorHAnsi"/>
          <w:lang w:val="es-CL"/>
        </w:rPr>
        <w:t>tera.</w:t>
      </w:r>
      <w:r>
        <w:rPr>
          <w:rFonts w:asciiTheme="minorHAnsi" w:hAnsiTheme="minorHAnsi"/>
          <w:lang w:val="es-CL"/>
        </w:rPr>
        <w:t xml:space="preserve"> Es por ello que este tipo de estudios no pueden evaluar un proyecto sobre la base de reproducir ineficiencias observadas. De este modo, el adecuado funcionamiento del hospital y la </w:t>
      </w:r>
      <w:r w:rsidRPr="00B61E56">
        <w:rPr>
          <w:rFonts w:asciiTheme="minorHAnsi" w:hAnsiTheme="minorHAnsi"/>
          <w:i/>
          <w:lang w:val="es-CL"/>
        </w:rPr>
        <w:t>óptima</w:t>
      </w:r>
      <w:r>
        <w:rPr>
          <w:rFonts w:asciiTheme="minorHAnsi" w:hAnsiTheme="minorHAnsi"/>
          <w:lang w:val="es-CL"/>
        </w:rPr>
        <w:t xml:space="preserve"> gestión de los recursos disponibles debe garantizarse mediante un adecuado diseño del modelo de gestión hospitalaria que se ponga en práctica una vez que entre en operación el proyecto.</w:t>
      </w:r>
    </w:p>
  </w:footnote>
  <w:footnote w:id="50">
    <w:p w:rsidR="00CB02AD" w:rsidRPr="00322011" w:rsidRDefault="00CB02AD" w:rsidP="00322011">
      <w:pPr>
        <w:pStyle w:val="FootnoteText"/>
        <w:jc w:val="both"/>
        <w:rPr>
          <w:lang w:val="es-CL"/>
        </w:rPr>
      </w:pPr>
      <w:r>
        <w:rPr>
          <w:rStyle w:val="FootnoteReference"/>
        </w:rPr>
        <w:footnoteRef/>
      </w:r>
      <w:r>
        <w:t xml:space="preserve"> </w:t>
      </w:r>
      <w:r w:rsidRPr="00322011">
        <w:rPr>
          <w:rFonts w:asciiTheme="minorHAnsi" w:hAnsiTheme="minorHAnsi"/>
          <w:lang w:val="es-CL"/>
        </w:rPr>
        <w:t>Es importante tener presente que</w:t>
      </w:r>
      <w:r>
        <w:rPr>
          <w:rFonts w:asciiTheme="minorHAnsi" w:hAnsiTheme="minorHAnsi"/>
          <w:lang w:val="es-CL"/>
        </w:rPr>
        <w:t xml:space="preserve"> para la situación </w:t>
      </w:r>
      <w:r w:rsidRPr="00044AFD">
        <w:rPr>
          <w:rFonts w:asciiTheme="minorHAnsi" w:hAnsiTheme="minorHAnsi"/>
          <w:b/>
          <w:i/>
          <w:lang w:val="es-CL"/>
        </w:rPr>
        <w:t>con proyecto</w:t>
      </w:r>
      <w:r w:rsidRPr="00322011">
        <w:rPr>
          <w:rFonts w:asciiTheme="minorHAnsi" w:hAnsiTheme="minorHAnsi"/>
          <w:lang w:val="es-CL"/>
        </w:rPr>
        <w:t xml:space="preserve"> el hecho de considerar 6 horas de atención en consultas no implica necesariamente que sólo un médico, en términos personales realizará tal actividad. El tiempo considerado es independiente de las personas,</w:t>
      </w:r>
      <w:r>
        <w:rPr>
          <w:rFonts w:asciiTheme="minorHAnsi" w:hAnsiTheme="minorHAnsi"/>
          <w:lang w:val="es-CL"/>
        </w:rPr>
        <w:t xml:space="preserve"> es un </w:t>
      </w:r>
      <w:r w:rsidRPr="00322011">
        <w:rPr>
          <w:rFonts w:asciiTheme="minorHAnsi" w:hAnsiTheme="minorHAnsi"/>
          <w:lang w:val="es-CL"/>
        </w:rPr>
        <w:t>dato estadístico. Adicionalmente</w:t>
      </w:r>
      <w:r>
        <w:rPr>
          <w:rFonts w:asciiTheme="minorHAnsi" w:hAnsiTheme="minorHAnsi"/>
          <w:lang w:val="es-CL"/>
        </w:rPr>
        <w:t>,</w:t>
      </w:r>
      <w:r w:rsidRPr="00322011">
        <w:rPr>
          <w:rFonts w:asciiTheme="minorHAnsi" w:hAnsiTheme="minorHAnsi"/>
          <w:lang w:val="es-CL"/>
        </w:rPr>
        <w:t xml:space="preserve"> se debe señalar que la estimación de la cantidad de jornadas de médicos considerada en el diseño y propuesta del Hospital El Alto Sur, es bastante mayor a la cantidad de jornadas consideras en la estimación de horas de atención en consulta externa, por lo cual la atención de pacientes internados esta plenamente cubierta.</w:t>
      </w:r>
    </w:p>
  </w:footnote>
  <w:footnote w:id="51">
    <w:p w:rsidR="00CB02AD" w:rsidRPr="00623980" w:rsidRDefault="00CB02AD" w:rsidP="00617C78">
      <w:pPr>
        <w:pStyle w:val="FootnoteText"/>
        <w:jc w:val="both"/>
        <w:rPr>
          <w:rFonts w:asciiTheme="minorHAnsi" w:hAnsiTheme="minorHAnsi"/>
          <w:lang w:val="es-CL"/>
        </w:rPr>
      </w:pPr>
      <w:r w:rsidRPr="00623980">
        <w:rPr>
          <w:rStyle w:val="FootnoteReference"/>
          <w:rFonts w:asciiTheme="minorHAnsi" w:hAnsiTheme="minorHAnsi"/>
        </w:rPr>
        <w:footnoteRef/>
      </w:r>
      <w:r w:rsidRPr="00623980">
        <w:rPr>
          <w:rFonts w:asciiTheme="minorHAnsi" w:hAnsiTheme="minorHAnsi"/>
        </w:rPr>
        <w:t xml:space="preserve"> </w:t>
      </w:r>
      <w:r w:rsidRPr="00623980">
        <w:rPr>
          <w:rFonts w:asciiTheme="minorHAnsi" w:hAnsiTheme="minorHAnsi"/>
          <w:lang w:val="es-CL"/>
        </w:rPr>
        <w:t>Hemos considerado 15 minutos por atención, tal como se ha considerado en la evaluación de otros hospitales en Bolivia. Sin embargo, siempre la determinación del tiempo de atención tiene algo de arbitrariedad, dependiendo de la práctica médica por una parte, de la forma de atención de cada médico, y por supuesto del caso de que se trate.</w:t>
      </w:r>
    </w:p>
  </w:footnote>
  <w:footnote w:id="52">
    <w:p w:rsidR="00CB02AD" w:rsidRPr="00617C78" w:rsidRDefault="00CB02AD" w:rsidP="00617C78">
      <w:pPr>
        <w:pStyle w:val="FootnoteText"/>
        <w:jc w:val="both"/>
        <w:rPr>
          <w:rFonts w:asciiTheme="minorHAnsi" w:hAnsiTheme="minorHAnsi"/>
          <w:lang w:val="es-CL"/>
        </w:rPr>
      </w:pPr>
      <w:r w:rsidRPr="00617C78">
        <w:rPr>
          <w:rStyle w:val="FootnoteReference"/>
          <w:rFonts w:asciiTheme="minorHAnsi" w:hAnsiTheme="minorHAnsi"/>
        </w:rPr>
        <w:footnoteRef/>
      </w:r>
      <w:r w:rsidRPr="00617C78">
        <w:rPr>
          <w:rFonts w:asciiTheme="minorHAnsi" w:hAnsiTheme="minorHAnsi"/>
        </w:rPr>
        <w:t xml:space="preserve"> </w:t>
      </w:r>
      <w:r w:rsidRPr="00617C78">
        <w:rPr>
          <w:rFonts w:asciiTheme="minorHAnsi" w:hAnsiTheme="minorHAnsi"/>
          <w:lang w:val="es-CL"/>
        </w:rPr>
        <w:t>Respecto de la determinación del tiempo de atención de urgencia, vale el mismo comentario que para la consulta externa. Generalmente el tiempo que se considera para este tipo de atención es mayor que para consulta externa.</w:t>
      </w:r>
    </w:p>
  </w:footnote>
  <w:footnote w:id="53">
    <w:p w:rsidR="00CB02AD" w:rsidRPr="001F5AF2" w:rsidRDefault="00CB02AD" w:rsidP="001F5AF2">
      <w:pPr>
        <w:pStyle w:val="FootnoteText"/>
        <w:jc w:val="both"/>
        <w:rPr>
          <w:lang w:val="es-CL"/>
        </w:rPr>
      </w:pPr>
      <w:r>
        <w:rPr>
          <w:rStyle w:val="FootnoteReference"/>
        </w:rPr>
        <w:footnoteRef/>
      </w:r>
      <w:r>
        <w:t xml:space="preserve"> </w:t>
      </w:r>
      <w:r w:rsidRPr="001F5AF2">
        <w:rPr>
          <w:rFonts w:asciiTheme="minorHAnsi" w:hAnsiTheme="minorHAnsi"/>
          <w:lang w:val="es-CL"/>
        </w:rPr>
        <w:t>No considera las camas de maternidad, dado que la oferta potencial de atención de partos se estima de manera independiente.</w:t>
      </w:r>
    </w:p>
  </w:footnote>
  <w:footnote w:id="54">
    <w:p w:rsidR="00CB02AD" w:rsidRPr="00111F53" w:rsidRDefault="00CB02AD" w:rsidP="00347284">
      <w:pPr>
        <w:pStyle w:val="FootnoteText"/>
        <w:jc w:val="both"/>
        <w:rPr>
          <w:lang w:val="es-CL"/>
        </w:rPr>
      </w:pPr>
      <w:r>
        <w:rPr>
          <w:rStyle w:val="FootnoteReference"/>
        </w:rPr>
        <w:footnoteRef/>
      </w:r>
      <w:r>
        <w:t xml:space="preserve"> </w:t>
      </w:r>
      <w:r w:rsidRPr="00347284">
        <w:rPr>
          <w:rFonts w:asciiTheme="minorHAnsi" w:hAnsiTheme="minorHAnsi"/>
          <w:lang w:val="es-CL"/>
        </w:rPr>
        <w:t xml:space="preserve">En consideración </w:t>
      </w:r>
      <w:r>
        <w:rPr>
          <w:rFonts w:asciiTheme="minorHAnsi" w:hAnsiTheme="minorHAnsi"/>
          <w:lang w:val="es-CL"/>
        </w:rPr>
        <w:t xml:space="preserve">de </w:t>
      </w:r>
      <w:r w:rsidRPr="00347284">
        <w:rPr>
          <w:rFonts w:asciiTheme="minorHAnsi" w:hAnsiTheme="minorHAnsi"/>
          <w:lang w:val="es-CL"/>
        </w:rPr>
        <w:t>que estamos suponiendo cirugías de complejidad mediana y mayor tomamos el tiempo por cirugía señalado en la evaluación del nuevo Hospital Daniel Bracamont</w:t>
      </w:r>
      <w:r>
        <w:rPr>
          <w:rFonts w:asciiTheme="minorHAnsi" w:hAnsiTheme="minorHAnsi"/>
          <w:lang w:val="es-CL"/>
        </w:rPr>
        <w:t>e</w:t>
      </w:r>
      <w:r w:rsidRPr="00347284">
        <w:rPr>
          <w:rFonts w:asciiTheme="minorHAnsi" w:hAnsiTheme="minorHAnsi"/>
          <w:lang w:val="es-CL"/>
        </w:rPr>
        <w:t xml:space="preserve"> de Potosí</w:t>
      </w:r>
      <w:r>
        <w:rPr>
          <w:rFonts w:asciiTheme="minorHAnsi" w:hAnsiTheme="minorHAnsi"/>
          <w:lang w:val="es-CL"/>
        </w:rPr>
        <w:t>, BID</w:t>
      </w:r>
      <w:r w:rsidRPr="00347284">
        <w:rPr>
          <w:rFonts w:asciiTheme="minorHAnsi" w:hAnsiTheme="minorHAnsi"/>
          <w:lang w:val="es-CL"/>
        </w:rPr>
        <w:t>.</w:t>
      </w:r>
    </w:p>
  </w:footnote>
  <w:footnote w:id="55">
    <w:p w:rsidR="00CB02AD" w:rsidRPr="00347284" w:rsidRDefault="00CB02AD" w:rsidP="00347284">
      <w:pPr>
        <w:pStyle w:val="FootnoteText"/>
        <w:jc w:val="both"/>
        <w:rPr>
          <w:rFonts w:asciiTheme="minorHAnsi" w:hAnsiTheme="minorHAnsi"/>
          <w:lang w:val="es-CL"/>
        </w:rPr>
      </w:pPr>
      <w:r w:rsidRPr="00347284">
        <w:rPr>
          <w:rStyle w:val="FootnoteReference"/>
          <w:rFonts w:asciiTheme="minorHAnsi" w:hAnsiTheme="minorHAnsi"/>
        </w:rPr>
        <w:footnoteRef/>
      </w:r>
      <w:r w:rsidRPr="00347284">
        <w:rPr>
          <w:rFonts w:asciiTheme="minorHAnsi" w:hAnsiTheme="minorHAnsi"/>
        </w:rPr>
        <w:t xml:space="preserve"> </w:t>
      </w:r>
      <w:r w:rsidRPr="00347284">
        <w:rPr>
          <w:rFonts w:asciiTheme="minorHAnsi" w:hAnsiTheme="minorHAnsi"/>
          <w:lang w:val="es-CL"/>
        </w:rPr>
        <w:t>Tiempo de duración por estudio tomado de evaluación del nuevo Hospital Daniel Bracamonte de Potosí</w:t>
      </w:r>
      <w:r>
        <w:rPr>
          <w:rFonts w:asciiTheme="minorHAnsi" w:hAnsiTheme="minorHAnsi"/>
          <w:lang w:val="es-CL"/>
        </w:rPr>
        <w:t>, BID</w:t>
      </w:r>
      <w:r w:rsidRPr="00347284">
        <w:rPr>
          <w:rFonts w:asciiTheme="minorHAnsi" w:hAnsiTheme="minorHAnsi"/>
          <w:lang w:val="es-CL"/>
        </w:rPr>
        <w:t>.</w:t>
      </w:r>
    </w:p>
  </w:footnote>
  <w:footnote w:id="56">
    <w:p w:rsidR="00CB02AD" w:rsidRPr="00347284" w:rsidRDefault="00CB02AD" w:rsidP="00347284">
      <w:pPr>
        <w:pStyle w:val="FootnoteText"/>
        <w:jc w:val="both"/>
        <w:rPr>
          <w:lang w:val="es-CL"/>
        </w:rPr>
      </w:pPr>
      <w:r w:rsidRPr="00347284">
        <w:rPr>
          <w:rStyle w:val="FootnoteReference"/>
          <w:rFonts w:asciiTheme="minorHAnsi" w:hAnsiTheme="minorHAnsi"/>
        </w:rPr>
        <w:footnoteRef/>
      </w:r>
      <w:r w:rsidRPr="00347284">
        <w:rPr>
          <w:rFonts w:asciiTheme="minorHAnsi" w:hAnsiTheme="minorHAnsi"/>
        </w:rPr>
        <w:t xml:space="preserve"> </w:t>
      </w:r>
      <w:r w:rsidRPr="00347284">
        <w:rPr>
          <w:rFonts w:asciiTheme="minorHAnsi" w:hAnsiTheme="minorHAnsi"/>
          <w:lang w:val="es-CL"/>
        </w:rPr>
        <w:t>Tiempo</w:t>
      </w:r>
      <w:r>
        <w:rPr>
          <w:rFonts w:asciiTheme="minorHAnsi" w:hAnsiTheme="minorHAnsi"/>
          <w:lang w:val="es-CL"/>
        </w:rPr>
        <w:t xml:space="preserve"> </w:t>
      </w:r>
      <w:r w:rsidRPr="00347284">
        <w:rPr>
          <w:rFonts w:asciiTheme="minorHAnsi" w:hAnsiTheme="minorHAnsi"/>
          <w:lang w:val="es-CL"/>
        </w:rPr>
        <w:t xml:space="preserve">de duración de este tipo de estudio tomado de </w:t>
      </w:r>
      <w:r w:rsidRPr="00347284">
        <w:rPr>
          <w:rFonts w:asciiTheme="minorHAnsi" w:hAnsiTheme="minorHAnsi" w:cstheme="minorHAnsi"/>
          <w:bCs/>
          <w:color w:val="000000"/>
        </w:rPr>
        <w:t xml:space="preserve">Meixuiro, J. </w:t>
      </w:r>
      <w:r w:rsidRPr="00347284">
        <w:rPr>
          <w:rFonts w:asciiTheme="minorHAnsi" w:hAnsiTheme="minorHAnsi" w:cstheme="minorHAnsi"/>
          <w:bCs/>
          <w:i/>
          <w:color w:val="000000"/>
        </w:rPr>
        <w:t>et al</w:t>
      </w:r>
      <w:r w:rsidRPr="00347284">
        <w:rPr>
          <w:rFonts w:asciiTheme="minorHAnsi" w:hAnsiTheme="minorHAnsi" w:cstheme="minorHAnsi"/>
          <w:bCs/>
          <w:color w:val="000000"/>
        </w:rPr>
        <w:t xml:space="preserve"> (2009).</w:t>
      </w:r>
    </w:p>
  </w:footnote>
  <w:footnote w:id="57">
    <w:p w:rsidR="00CB02AD" w:rsidRPr="00347284" w:rsidRDefault="00CB02AD">
      <w:pPr>
        <w:pStyle w:val="FootnoteText"/>
        <w:rPr>
          <w:lang w:val="es-CL"/>
        </w:rPr>
      </w:pPr>
      <w:r>
        <w:rPr>
          <w:rStyle w:val="FootnoteReference"/>
        </w:rPr>
        <w:footnoteRef/>
      </w:r>
      <w:r>
        <w:t xml:space="preserve"> </w:t>
      </w:r>
      <w:r w:rsidRPr="00347284">
        <w:rPr>
          <w:rFonts w:asciiTheme="minorHAnsi" w:hAnsiTheme="minorHAnsi"/>
          <w:lang w:val="es-CL"/>
        </w:rPr>
        <w:t>Tiempo de duración por estudio tomado de evaluación del nuevo Hospital Daniel Bracamonte de Potosí</w:t>
      </w:r>
      <w:r>
        <w:rPr>
          <w:rFonts w:asciiTheme="minorHAnsi" w:hAnsiTheme="minorHAnsi"/>
          <w:lang w:val="es-CL"/>
        </w:rPr>
        <w:t>, BID.</w:t>
      </w:r>
    </w:p>
  </w:footnote>
  <w:footnote w:id="58">
    <w:p w:rsidR="00CB02AD" w:rsidRPr="00466A34" w:rsidRDefault="00CB02AD">
      <w:pPr>
        <w:pStyle w:val="FootnoteText"/>
        <w:rPr>
          <w:lang w:val="es-CL"/>
        </w:rPr>
      </w:pPr>
      <w:r>
        <w:rPr>
          <w:rStyle w:val="FootnoteReference"/>
        </w:rPr>
        <w:footnoteRef/>
      </w:r>
      <w:r>
        <w:t xml:space="preserve"> </w:t>
      </w:r>
      <w:r w:rsidRPr="00466A34">
        <w:rPr>
          <w:rFonts w:asciiTheme="minorHAnsi" w:hAnsiTheme="minorHAnsi"/>
          <w:lang w:val="es-CL"/>
        </w:rPr>
        <w:t>Tiempo de duración por estudio tomado de evaluación de Instituto Oncológico Nacional de Panamá</w:t>
      </w:r>
      <w:r>
        <w:rPr>
          <w:rFonts w:asciiTheme="minorHAnsi" w:hAnsiTheme="minorHAnsi"/>
          <w:lang w:val="es-CL"/>
        </w:rPr>
        <w:t>,  BID</w:t>
      </w:r>
      <w:r w:rsidRPr="00466A34">
        <w:rPr>
          <w:rFonts w:asciiTheme="minorHAnsi" w:hAnsiTheme="minorHAnsi"/>
          <w:lang w:val="es-CL"/>
        </w:rPr>
        <w:t>.</w:t>
      </w:r>
    </w:p>
  </w:footnote>
  <w:footnote w:id="59">
    <w:p w:rsidR="00CB02AD" w:rsidRPr="00466A34" w:rsidRDefault="00CB02AD">
      <w:pPr>
        <w:pStyle w:val="FootnoteText"/>
        <w:rPr>
          <w:lang w:val="es-CL"/>
        </w:rPr>
      </w:pPr>
      <w:r>
        <w:rPr>
          <w:rStyle w:val="FootnoteReference"/>
        </w:rPr>
        <w:footnoteRef/>
      </w:r>
      <w:r>
        <w:t xml:space="preserve"> </w:t>
      </w:r>
      <w:r w:rsidRPr="00347284">
        <w:rPr>
          <w:rFonts w:asciiTheme="minorHAnsi" w:hAnsiTheme="minorHAnsi"/>
          <w:lang w:val="es-CL"/>
        </w:rPr>
        <w:t>Tiempo</w:t>
      </w:r>
      <w:r>
        <w:rPr>
          <w:rFonts w:asciiTheme="minorHAnsi" w:hAnsiTheme="minorHAnsi"/>
          <w:lang w:val="es-CL"/>
        </w:rPr>
        <w:t xml:space="preserve"> </w:t>
      </w:r>
      <w:r w:rsidRPr="00347284">
        <w:rPr>
          <w:rFonts w:asciiTheme="minorHAnsi" w:hAnsiTheme="minorHAnsi"/>
          <w:lang w:val="es-CL"/>
        </w:rPr>
        <w:t xml:space="preserve">de duración de este tipo de estudio tomado de </w:t>
      </w:r>
      <w:r w:rsidRPr="00347284">
        <w:rPr>
          <w:rFonts w:asciiTheme="minorHAnsi" w:hAnsiTheme="minorHAnsi" w:cstheme="minorHAnsi"/>
          <w:bCs/>
          <w:color w:val="000000"/>
        </w:rPr>
        <w:t xml:space="preserve">Meixuiro, J. </w:t>
      </w:r>
      <w:r w:rsidRPr="00347284">
        <w:rPr>
          <w:rFonts w:asciiTheme="minorHAnsi" w:hAnsiTheme="minorHAnsi" w:cstheme="minorHAnsi"/>
          <w:bCs/>
          <w:i/>
          <w:color w:val="000000"/>
        </w:rPr>
        <w:t>et al</w:t>
      </w:r>
      <w:r w:rsidRPr="00347284">
        <w:rPr>
          <w:rFonts w:asciiTheme="minorHAnsi" w:hAnsiTheme="minorHAnsi" w:cstheme="minorHAnsi"/>
          <w:bCs/>
          <w:color w:val="000000"/>
        </w:rPr>
        <w:t xml:space="preserve"> (2009).</w:t>
      </w:r>
    </w:p>
  </w:footnote>
  <w:footnote w:id="60">
    <w:p w:rsidR="00CB02AD" w:rsidRPr="00466A34" w:rsidRDefault="00CB02AD">
      <w:pPr>
        <w:pStyle w:val="FootnoteText"/>
        <w:rPr>
          <w:lang w:val="es-CL"/>
        </w:rPr>
      </w:pPr>
      <w:r>
        <w:rPr>
          <w:rStyle w:val="FootnoteReference"/>
        </w:rPr>
        <w:footnoteRef/>
      </w:r>
      <w:r>
        <w:t xml:space="preserve"> </w:t>
      </w:r>
      <w:r w:rsidRPr="00466A34">
        <w:rPr>
          <w:rFonts w:asciiTheme="minorHAnsi" w:hAnsiTheme="minorHAnsi"/>
          <w:lang w:val="es-CL"/>
        </w:rPr>
        <w:t xml:space="preserve">Tiempo de duración por </w:t>
      </w:r>
      <w:r>
        <w:rPr>
          <w:rFonts w:asciiTheme="minorHAnsi" w:hAnsiTheme="minorHAnsi"/>
          <w:lang w:val="es-CL"/>
        </w:rPr>
        <w:t>sesión</w:t>
      </w:r>
      <w:r w:rsidRPr="00466A34">
        <w:rPr>
          <w:rFonts w:asciiTheme="minorHAnsi" w:hAnsiTheme="minorHAnsi"/>
          <w:lang w:val="es-CL"/>
        </w:rPr>
        <w:t xml:space="preserve"> tomado de evaluación de Instituto Oncológico Nacional de Panamá</w:t>
      </w:r>
      <w:r>
        <w:rPr>
          <w:rFonts w:asciiTheme="minorHAnsi" w:hAnsiTheme="minorHAnsi"/>
          <w:lang w:val="es-CL"/>
        </w:rPr>
        <w:t>,  BID</w:t>
      </w:r>
      <w:r w:rsidRPr="00466A34">
        <w:rPr>
          <w:rFonts w:asciiTheme="minorHAnsi" w:hAnsiTheme="minorHAnsi"/>
          <w:lang w:val="es-CL"/>
        </w:rPr>
        <w:t>.</w:t>
      </w:r>
    </w:p>
  </w:footnote>
  <w:footnote w:id="61">
    <w:p w:rsidR="00CB02AD" w:rsidRPr="00466A34" w:rsidRDefault="00CB02AD">
      <w:pPr>
        <w:pStyle w:val="FootnoteText"/>
        <w:rPr>
          <w:lang w:val="es-CL"/>
        </w:rPr>
      </w:pPr>
      <w:r>
        <w:rPr>
          <w:rStyle w:val="FootnoteReference"/>
        </w:rPr>
        <w:footnoteRef/>
      </w:r>
      <w:r>
        <w:t xml:space="preserve"> </w:t>
      </w:r>
      <w:r w:rsidRPr="00466A34">
        <w:rPr>
          <w:rFonts w:asciiTheme="minorHAnsi" w:hAnsiTheme="minorHAnsi"/>
          <w:lang w:val="es-CL"/>
        </w:rPr>
        <w:t xml:space="preserve">Tiempo de duración por </w:t>
      </w:r>
      <w:r>
        <w:rPr>
          <w:rFonts w:asciiTheme="minorHAnsi" w:hAnsiTheme="minorHAnsi"/>
          <w:lang w:val="es-CL"/>
        </w:rPr>
        <w:t>sesión</w:t>
      </w:r>
      <w:r w:rsidRPr="00466A34">
        <w:rPr>
          <w:rFonts w:asciiTheme="minorHAnsi" w:hAnsiTheme="minorHAnsi"/>
          <w:lang w:val="es-CL"/>
        </w:rPr>
        <w:t xml:space="preserve"> tomado de evaluación de Instituto Oncológico Nacional de Panamá</w:t>
      </w:r>
      <w:r>
        <w:rPr>
          <w:rFonts w:asciiTheme="minorHAnsi" w:hAnsiTheme="minorHAnsi"/>
          <w:lang w:val="es-CL"/>
        </w:rPr>
        <w:t>,  BID</w:t>
      </w:r>
      <w:r w:rsidRPr="00466A34">
        <w:rPr>
          <w:rFonts w:asciiTheme="minorHAnsi" w:hAnsiTheme="minorHAnsi"/>
          <w:lang w:val="es-CL"/>
        </w:rPr>
        <w:t>.</w:t>
      </w:r>
      <w:r>
        <w:rPr>
          <w:rFonts w:asciiTheme="minorHAnsi" w:hAnsiTheme="minorHAnsi"/>
          <w:lang w:val="es-CL"/>
        </w:rPr>
        <w:t xml:space="preserve"> Este tiempo de duración de cada sesión de radioterapia es coincidente con la duración de una sesión en el Hospital de Clínicas de La Paz, de acuerdo a entrevista con Dra. Zamuriano, Jefa de Unidad de Radioterapia del Hospital.</w:t>
      </w:r>
    </w:p>
  </w:footnote>
  <w:footnote w:id="62">
    <w:p w:rsidR="00CB02AD" w:rsidRPr="00503624" w:rsidRDefault="00CB02AD">
      <w:pPr>
        <w:pStyle w:val="FootnoteText"/>
        <w:rPr>
          <w:lang w:val="es-CL"/>
        </w:rPr>
      </w:pPr>
      <w:r>
        <w:rPr>
          <w:rStyle w:val="FootnoteReference"/>
        </w:rPr>
        <w:footnoteRef/>
      </w:r>
      <w:r>
        <w:t xml:space="preserve"> </w:t>
      </w:r>
      <w:r w:rsidRPr="00503624">
        <w:rPr>
          <w:rFonts w:asciiTheme="minorHAnsi" w:hAnsiTheme="minorHAnsi"/>
          <w:lang w:val="es-CL"/>
        </w:rPr>
        <w:t>Entrevista con Dra. Zamuriano, Jefa de Unidad de Radioterapia, Hospital de Clínicas, La Paz.</w:t>
      </w:r>
    </w:p>
  </w:footnote>
  <w:footnote w:id="63">
    <w:p w:rsidR="00CB02AD" w:rsidRPr="00821065" w:rsidRDefault="00CB02AD" w:rsidP="00821065">
      <w:pPr>
        <w:pStyle w:val="FootnoteText"/>
        <w:jc w:val="both"/>
        <w:rPr>
          <w:lang w:val="es-CL"/>
        </w:rPr>
      </w:pPr>
      <w:r>
        <w:rPr>
          <w:rStyle w:val="FootnoteReference"/>
        </w:rPr>
        <w:footnoteRef/>
      </w:r>
      <w:r>
        <w:t xml:space="preserve"> </w:t>
      </w:r>
      <w:r w:rsidRPr="00821065">
        <w:rPr>
          <w:rFonts w:asciiTheme="minorHAnsi" w:hAnsiTheme="minorHAnsi"/>
          <w:lang w:val="es-CL"/>
        </w:rPr>
        <w:t>Se tomo el tiempo mínimo de duración de este tipo de estudios</w:t>
      </w:r>
      <w:r>
        <w:rPr>
          <w:rFonts w:asciiTheme="minorHAnsi" w:hAnsiTheme="minorHAnsi"/>
          <w:lang w:val="es-CL"/>
        </w:rPr>
        <w:t>,</w:t>
      </w:r>
      <w:r w:rsidRPr="00821065">
        <w:rPr>
          <w:rFonts w:asciiTheme="minorHAnsi" w:hAnsiTheme="minorHAnsi"/>
          <w:lang w:val="es-CL"/>
        </w:rPr>
        <w:t xml:space="preserve"> que en general se estiman entre 30 a 60 minutos. </w:t>
      </w:r>
      <w:hyperlink r:id="rId1" w:history="1">
        <w:r w:rsidRPr="00821065">
          <w:rPr>
            <w:rStyle w:val="Hyperlink"/>
            <w:rFonts w:asciiTheme="minorHAnsi" w:hAnsiTheme="minorHAnsi"/>
          </w:rPr>
          <w:t>http://www.nlm.nih.gov/medlineplus/spanish/ency/article/007361.htm</w:t>
        </w:r>
      </w:hyperlink>
    </w:p>
  </w:footnote>
  <w:footnote w:id="64">
    <w:p w:rsidR="00CB02AD" w:rsidRPr="00A67DE4" w:rsidRDefault="00CB02AD">
      <w:pPr>
        <w:pStyle w:val="FootnoteText"/>
        <w:rPr>
          <w:lang w:val="es-CL"/>
        </w:rPr>
      </w:pPr>
      <w:r>
        <w:rPr>
          <w:rStyle w:val="FootnoteReference"/>
        </w:rPr>
        <w:footnoteRef/>
      </w:r>
      <w:r>
        <w:t xml:space="preserve"> </w:t>
      </w:r>
      <w:r w:rsidRPr="00466A34">
        <w:rPr>
          <w:rFonts w:asciiTheme="minorHAnsi" w:hAnsiTheme="minorHAnsi"/>
          <w:lang w:val="es-CL"/>
        </w:rPr>
        <w:t xml:space="preserve">Tiempo de duración por </w:t>
      </w:r>
      <w:r>
        <w:rPr>
          <w:rFonts w:asciiTheme="minorHAnsi" w:hAnsiTheme="minorHAnsi"/>
          <w:lang w:val="es-CL"/>
        </w:rPr>
        <w:t>sesión</w:t>
      </w:r>
      <w:r w:rsidRPr="00466A34">
        <w:rPr>
          <w:rFonts w:asciiTheme="minorHAnsi" w:hAnsiTheme="minorHAnsi"/>
          <w:lang w:val="es-CL"/>
        </w:rPr>
        <w:t xml:space="preserve"> tomado de evaluación de Instituto Oncológico Nacional de Panamá</w:t>
      </w:r>
      <w:r>
        <w:rPr>
          <w:rFonts w:asciiTheme="minorHAnsi" w:hAnsiTheme="minorHAnsi"/>
          <w:lang w:val="es-CL"/>
        </w:rPr>
        <w:t>,  BID</w:t>
      </w:r>
      <w:r w:rsidRPr="00466A34">
        <w:rPr>
          <w:rFonts w:asciiTheme="minorHAnsi" w:hAnsiTheme="minorHAnsi"/>
          <w:lang w:val="es-CL"/>
        </w:rPr>
        <w:t>.</w:t>
      </w:r>
    </w:p>
  </w:footnote>
  <w:footnote w:id="65">
    <w:p w:rsidR="00CB02AD" w:rsidRPr="002B0C8A" w:rsidRDefault="00CB02AD">
      <w:pPr>
        <w:pStyle w:val="FootnoteText"/>
        <w:rPr>
          <w:rFonts w:asciiTheme="minorHAnsi" w:hAnsiTheme="minorHAnsi"/>
          <w:lang w:val="es-CL"/>
        </w:rPr>
      </w:pPr>
      <w:r w:rsidRPr="002B0C8A">
        <w:rPr>
          <w:rStyle w:val="FootnoteReference"/>
          <w:rFonts w:asciiTheme="minorHAnsi" w:hAnsiTheme="minorHAnsi"/>
        </w:rPr>
        <w:footnoteRef/>
      </w:r>
      <w:r w:rsidRPr="002B0C8A">
        <w:rPr>
          <w:rFonts w:asciiTheme="minorHAnsi" w:hAnsiTheme="minorHAnsi"/>
        </w:rPr>
        <w:t xml:space="preserve"> </w:t>
      </w:r>
      <w:r w:rsidRPr="002B0C8A">
        <w:rPr>
          <w:rFonts w:asciiTheme="minorHAnsi" w:hAnsiTheme="minorHAnsi"/>
          <w:lang w:val="es-CL"/>
        </w:rPr>
        <w:t>Ver Anexo C.</w:t>
      </w:r>
    </w:p>
  </w:footnote>
  <w:footnote w:id="66">
    <w:p w:rsidR="00CB02AD" w:rsidRPr="00E424EB" w:rsidRDefault="00CB02AD" w:rsidP="00E424EB">
      <w:pPr>
        <w:pStyle w:val="FootnoteText"/>
        <w:jc w:val="both"/>
        <w:rPr>
          <w:lang w:val="es-CL"/>
        </w:rPr>
      </w:pPr>
      <w:r>
        <w:rPr>
          <w:rStyle w:val="FootnoteReference"/>
        </w:rPr>
        <w:footnoteRef/>
      </w:r>
      <w:r>
        <w:t xml:space="preserve"> </w:t>
      </w:r>
      <w:r w:rsidRPr="00E424EB">
        <w:rPr>
          <w:rFonts w:asciiTheme="minorHAnsi" w:hAnsiTheme="minorHAnsi"/>
          <w:lang w:val="es-CL"/>
        </w:rPr>
        <w:t>En el caso de los componentes de Mejoramiento capacidad resolutiva en el primer nivel, Puesta en marcha y Formación RRHH asumimos que son partidas intensivas en recursos humanos calificados, por lo cual la valoración privada es igual a la valoración social.</w:t>
      </w:r>
    </w:p>
  </w:footnote>
  <w:footnote w:id="67">
    <w:p w:rsidR="00CB02AD" w:rsidRPr="00DD1BF7" w:rsidRDefault="00CB02AD" w:rsidP="00DD1BF7">
      <w:pPr>
        <w:jc w:val="both"/>
        <w:rPr>
          <w:rFonts w:asciiTheme="minorHAnsi" w:hAnsiTheme="minorHAnsi" w:cstheme="minorHAnsi"/>
          <w:color w:val="000000"/>
          <w:sz w:val="18"/>
          <w:szCs w:val="18"/>
        </w:rPr>
      </w:pPr>
      <w:r w:rsidRPr="00622160">
        <w:rPr>
          <w:rStyle w:val="FootnoteReference"/>
          <w:rFonts w:asciiTheme="minorHAnsi" w:hAnsiTheme="minorHAnsi" w:cstheme="minorHAnsi"/>
          <w:sz w:val="20"/>
          <w:szCs w:val="18"/>
        </w:rPr>
        <w:footnoteRef/>
      </w:r>
      <w:r w:rsidRPr="00622160">
        <w:rPr>
          <w:rFonts w:asciiTheme="minorHAnsi" w:hAnsiTheme="minorHAnsi" w:cstheme="minorHAnsi"/>
          <w:sz w:val="20"/>
          <w:szCs w:val="18"/>
        </w:rPr>
        <w:t xml:space="preserve"> Actualmente Bolivia tiene una escala variable de aranceles de importación que tienen un rango entre 0% y 35%, dependiendo del país desde donde provenga la importación, así si con algún país existen convenios vigentes de comercio, las exenciones arancelarias pueden llegar al 100%. Adicionalmente</w:t>
      </w:r>
      <w:r>
        <w:rPr>
          <w:rFonts w:asciiTheme="minorHAnsi" w:hAnsiTheme="minorHAnsi" w:cstheme="minorHAnsi"/>
          <w:sz w:val="20"/>
          <w:szCs w:val="18"/>
        </w:rPr>
        <w:t>,</w:t>
      </w:r>
      <w:r w:rsidRPr="00622160">
        <w:rPr>
          <w:rFonts w:asciiTheme="minorHAnsi" w:hAnsiTheme="minorHAnsi" w:cstheme="minorHAnsi"/>
          <w:sz w:val="20"/>
          <w:szCs w:val="18"/>
        </w:rPr>
        <w:t xml:space="preserve"> existe una exención arancelaria para la importación de equipos y maquinaria del 50%. En el anexo</w:t>
      </w:r>
      <w:r w:rsidRPr="00622160">
        <w:rPr>
          <w:rFonts w:asciiTheme="minorHAnsi" w:hAnsiTheme="minorHAnsi" w:cstheme="minorHAnsi"/>
          <w:color w:val="000000"/>
          <w:sz w:val="20"/>
          <w:szCs w:val="18"/>
        </w:rPr>
        <w:t xml:space="preserve"> </w:t>
      </w:r>
      <w:r>
        <w:rPr>
          <w:rFonts w:asciiTheme="minorHAnsi" w:hAnsiTheme="minorHAnsi" w:cstheme="minorHAnsi"/>
          <w:color w:val="000000"/>
          <w:sz w:val="20"/>
          <w:szCs w:val="18"/>
        </w:rPr>
        <w:t>B</w:t>
      </w:r>
      <w:r w:rsidRPr="00622160">
        <w:rPr>
          <w:rFonts w:asciiTheme="minorHAnsi" w:hAnsiTheme="minorHAnsi" w:cstheme="minorHAnsi"/>
          <w:color w:val="000000"/>
          <w:sz w:val="20"/>
          <w:szCs w:val="18"/>
        </w:rPr>
        <w:t xml:space="preserve"> se encuentra una tabla ilustrativa </w:t>
      </w:r>
      <w:r w:rsidRPr="00DD1BF7">
        <w:rPr>
          <w:rFonts w:asciiTheme="minorHAnsi" w:hAnsiTheme="minorHAnsi" w:cstheme="minorHAnsi"/>
          <w:color w:val="000000"/>
          <w:sz w:val="20"/>
          <w:szCs w:val="18"/>
        </w:rPr>
        <w:t>de los aranceles, impuestos y servicios aplicados a la importación en Bolivia (2010).</w:t>
      </w:r>
    </w:p>
  </w:footnote>
  <w:footnote w:id="68">
    <w:p w:rsidR="00DD1BF7" w:rsidRPr="00DD1BF7" w:rsidRDefault="00DD1BF7" w:rsidP="00DD1BF7">
      <w:pPr>
        <w:pStyle w:val="FootnoteText"/>
        <w:jc w:val="both"/>
        <w:rPr>
          <w:lang w:val="es-CL"/>
        </w:rPr>
      </w:pPr>
      <w:r w:rsidRPr="00DD1BF7">
        <w:rPr>
          <w:rStyle w:val="FootnoteReference"/>
          <w:rFonts w:asciiTheme="minorHAnsi" w:hAnsiTheme="minorHAnsi"/>
        </w:rPr>
        <w:footnoteRef/>
      </w:r>
      <w:r w:rsidRPr="00DD1BF7">
        <w:rPr>
          <w:rFonts w:asciiTheme="minorHAnsi" w:hAnsiTheme="minorHAnsi"/>
        </w:rPr>
        <w:t xml:space="preserve"> </w:t>
      </w:r>
      <w:r w:rsidRPr="00DD1BF7">
        <w:rPr>
          <w:rFonts w:asciiTheme="minorHAnsi" w:hAnsiTheme="minorHAnsi"/>
          <w:lang w:val="es-CL"/>
        </w:rPr>
        <w:t>Este valor asume que el valor privado de inversión en Mejoramiento capacidad resolutiva en el primer nivel, Puesta en marcha y Formación RRHH es igual a su valor social.</w:t>
      </w:r>
    </w:p>
  </w:footnote>
  <w:footnote w:id="69">
    <w:p w:rsidR="00CB02AD" w:rsidRPr="00E50B21" w:rsidRDefault="00CB02AD" w:rsidP="00E50B21">
      <w:pPr>
        <w:pStyle w:val="FootnoteText"/>
        <w:jc w:val="both"/>
        <w:rPr>
          <w:rFonts w:asciiTheme="minorHAnsi" w:hAnsiTheme="minorHAnsi"/>
          <w:lang w:val="es-CL"/>
        </w:rPr>
      </w:pPr>
      <w:r w:rsidRPr="00E50B21">
        <w:rPr>
          <w:rStyle w:val="FootnoteReference"/>
          <w:rFonts w:asciiTheme="minorHAnsi" w:hAnsiTheme="minorHAnsi"/>
        </w:rPr>
        <w:footnoteRef/>
      </w:r>
      <w:r w:rsidRPr="00E50B21">
        <w:rPr>
          <w:rFonts w:asciiTheme="minorHAnsi" w:hAnsiTheme="minorHAnsi"/>
        </w:rPr>
        <w:t xml:space="preserve"> </w:t>
      </w:r>
      <w:r w:rsidRPr="00E50B21">
        <w:rPr>
          <w:rFonts w:asciiTheme="minorHAnsi" w:hAnsiTheme="minorHAnsi"/>
          <w:lang w:val="es-CL"/>
        </w:rPr>
        <w:t xml:space="preserve">Los salarios y número de trabajadores por categoría profesional con los que se valoró el recurso humano se puede ver en Anexo </w:t>
      </w:r>
      <w:r>
        <w:rPr>
          <w:rFonts w:asciiTheme="minorHAnsi" w:hAnsiTheme="minorHAnsi"/>
          <w:lang w:val="es-CL"/>
        </w:rPr>
        <w:t>A</w:t>
      </w:r>
      <w:r w:rsidRPr="00E50B21">
        <w:rPr>
          <w:rFonts w:asciiTheme="minorHAnsi" w:hAnsiTheme="minorHAnsi"/>
          <w:lang w:val="es-CL"/>
        </w:rPr>
        <w:t>.</w:t>
      </w:r>
    </w:p>
  </w:footnote>
  <w:footnote w:id="70">
    <w:p w:rsidR="00CB02AD" w:rsidRPr="000A3B72" w:rsidRDefault="00CB02AD" w:rsidP="000A3B72">
      <w:pPr>
        <w:pStyle w:val="FootnoteText"/>
        <w:jc w:val="both"/>
        <w:rPr>
          <w:rFonts w:asciiTheme="minorHAnsi" w:hAnsiTheme="minorHAnsi"/>
          <w:lang w:val="es-CL"/>
        </w:rPr>
      </w:pPr>
      <w:r w:rsidRPr="000A3B72">
        <w:rPr>
          <w:rStyle w:val="FootnoteReference"/>
          <w:rFonts w:asciiTheme="minorHAnsi" w:hAnsiTheme="minorHAnsi"/>
        </w:rPr>
        <w:footnoteRef/>
      </w:r>
      <w:r w:rsidRPr="000A3B72">
        <w:rPr>
          <w:rFonts w:asciiTheme="minorHAnsi" w:hAnsiTheme="minorHAnsi"/>
        </w:rPr>
        <w:t xml:space="preserve"> </w:t>
      </w:r>
      <w:r w:rsidRPr="000A3B72">
        <w:rPr>
          <w:rFonts w:asciiTheme="minorHAnsi" w:hAnsiTheme="minorHAnsi"/>
          <w:lang w:val="es-CL"/>
        </w:rPr>
        <w:t>El hospital Daniel Bracamonte de Potosí tiene 153 camas.</w:t>
      </w:r>
    </w:p>
  </w:footnote>
  <w:footnote w:id="71">
    <w:p w:rsidR="00CB02AD" w:rsidRPr="000A3B72" w:rsidRDefault="00CB02AD" w:rsidP="000A3B72">
      <w:pPr>
        <w:pStyle w:val="FootnoteText"/>
        <w:jc w:val="both"/>
        <w:rPr>
          <w:rFonts w:asciiTheme="minorHAnsi" w:hAnsiTheme="minorHAnsi"/>
          <w:lang w:val="es-CL"/>
        </w:rPr>
      </w:pPr>
      <w:r w:rsidRPr="000A3B72">
        <w:rPr>
          <w:rStyle w:val="FootnoteReference"/>
          <w:rFonts w:asciiTheme="minorHAnsi" w:hAnsiTheme="minorHAnsi"/>
        </w:rPr>
        <w:footnoteRef/>
      </w:r>
      <w:r w:rsidRPr="000A3B72">
        <w:rPr>
          <w:rFonts w:asciiTheme="minorHAnsi" w:hAnsiTheme="minorHAnsi"/>
        </w:rPr>
        <w:t xml:space="preserve"> </w:t>
      </w:r>
      <w:r w:rsidRPr="000A3B72">
        <w:rPr>
          <w:rFonts w:asciiTheme="minorHAnsi" w:hAnsiTheme="minorHAnsi"/>
          <w:lang w:val="es-CL"/>
        </w:rPr>
        <w:t>Adicionalmente,  los costos se reajustaron de acuerdo a la inflación anualizada  a junio 2013 por el Banco Central de Bolivia, que asciende a 4,8%.</w:t>
      </w:r>
    </w:p>
  </w:footnote>
  <w:footnote w:id="72">
    <w:p w:rsidR="00CB02AD" w:rsidRPr="00A62ACF" w:rsidRDefault="00CB02AD" w:rsidP="00983AA1">
      <w:pPr>
        <w:pStyle w:val="FootnoteText"/>
        <w:jc w:val="both"/>
        <w:rPr>
          <w:rFonts w:asciiTheme="minorHAnsi" w:hAnsiTheme="minorHAnsi" w:cstheme="minorHAnsi"/>
          <w:lang w:val="es-CL"/>
        </w:rPr>
      </w:pPr>
      <w:r w:rsidRPr="00A62ACF">
        <w:rPr>
          <w:rStyle w:val="FootnoteReference"/>
          <w:rFonts w:asciiTheme="minorHAnsi" w:hAnsiTheme="minorHAnsi" w:cstheme="minorHAnsi"/>
        </w:rPr>
        <w:footnoteRef/>
      </w:r>
      <w:r w:rsidRPr="00A62ACF">
        <w:rPr>
          <w:rFonts w:asciiTheme="minorHAnsi" w:hAnsiTheme="minorHAnsi" w:cstheme="minorHAnsi"/>
        </w:rPr>
        <w:t xml:space="preserve"> Las cuentas que se consideran en este ítem son: Comunicaciones, Servicios Telefónicos, Servicios de Internet y Otros, Viáticos por Viajes al Interior, del País, Fletes y Almacenamiento, Seguros, Transporte de Personal, Consultorías por Producto, Comisiones y Gastos Bancarios, Publicidad, Servicios de Imprenta y Fotográficos, Servicios Manuales, Gastos Judiciales, Otros.</w:t>
      </w:r>
    </w:p>
  </w:footnote>
  <w:footnote w:id="73">
    <w:p w:rsidR="00CB02AD" w:rsidRPr="00FA4E50" w:rsidRDefault="00CB02AD" w:rsidP="00983AA1">
      <w:pPr>
        <w:jc w:val="both"/>
        <w:rPr>
          <w:rFonts w:asciiTheme="minorHAnsi" w:hAnsiTheme="minorHAnsi" w:cstheme="minorHAnsi"/>
          <w:lang w:val="es-CL"/>
        </w:rPr>
      </w:pPr>
      <w:r w:rsidRPr="00814C6E">
        <w:rPr>
          <w:rStyle w:val="FootnoteReference"/>
          <w:rFonts w:asciiTheme="minorHAnsi" w:hAnsiTheme="minorHAnsi" w:cstheme="minorHAnsi"/>
          <w:sz w:val="20"/>
        </w:rPr>
        <w:footnoteRef/>
      </w:r>
      <w:r w:rsidRPr="00814C6E">
        <w:rPr>
          <w:rFonts w:asciiTheme="minorHAnsi" w:hAnsiTheme="minorHAnsi" w:cstheme="minorHAnsi"/>
          <w:sz w:val="20"/>
        </w:rPr>
        <w:t xml:space="preserve"> Las cuentas que se consideran en este ítem son:</w:t>
      </w:r>
      <w:r w:rsidRPr="00814C6E">
        <w:rPr>
          <w:sz w:val="20"/>
        </w:rPr>
        <w:t xml:space="preserve"> </w:t>
      </w:r>
      <w:r w:rsidRPr="00F96FEA">
        <w:rPr>
          <w:rFonts w:asciiTheme="minorHAnsi" w:hAnsiTheme="minorHAnsi" w:cstheme="minorHAnsi"/>
          <w:color w:val="000000"/>
          <w:sz w:val="20"/>
          <w:szCs w:val="22"/>
        </w:rPr>
        <w:t>Material de Limpieza, Utensilios de Cocina y Comedor, Útiles de Escritorio y Oficina, Útiles y Materiales Eléctricos, Otros Repuestos y Accesorios, Otros Materiales y</w:t>
      </w:r>
      <w:r>
        <w:rPr>
          <w:rFonts w:asciiTheme="minorHAnsi" w:hAnsiTheme="minorHAnsi" w:cstheme="minorHAnsi"/>
          <w:color w:val="000000"/>
          <w:sz w:val="20"/>
          <w:szCs w:val="22"/>
        </w:rPr>
        <w:t xml:space="preserve"> </w:t>
      </w:r>
      <w:r w:rsidRPr="00FA4E50">
        <w:rPr>
          <w:rFonts w:asciiTheme="minorHAnsi" w:hAnsiTheme="minorHAnsi" w:cstheme="minorHAnsi"/>
          <w:color w:val="000000"/>
          <w:sz w:val="20"/>
          <w:szCs w:val="22"/>
        </w:rPr>
        <w:t>Suministros.</w:t>
      </w:r>
    </w:p>
  </w:footnote>
  <w:footnote w:id="74">
    <w:p w:rsidR="00CB02AD" w:rsidRPr="00F458E6" w:rsidRDefault="00CB02AD" w:rsidP="00F458E6">
      <w:pPr>
        <w:pStyle w:val="FootnoteText"/>
        <w:jc w:val="both"/>
        <w:rPr>
          <w:rFonts w:asciiTheme="minorHAnsi" w:hAnsiTheme="minorHAnsi" w:cstheme="minorHAnsi"/>
          <w:lang w:val="es-CL"/>
        </w:rPr>
      </w:pPr>
      <w:r w:rsidRPr="00F458E6">
        <w:rPr>
          <w:rStyle w:val="FootnoteReference"/>
          <w:rFonts w:asciiTheme="minorHAnsi" w:hAnsiTheme="minorHAnsi" w:cstheme="minorHAnsi"/>
        </w:rPr>
        <w:footnoteRef/>
      </w:r>
      <w:r w:rsidRPr="00F458E6">
        <w:rPr>
          <w:rFonts w:asciiTheme="minorHAnsi" w:hAnsiTheme="minorHAnsi" w:cstheme="minorHAnsi"/>
        </w:rPr>
        <w:t xml:space="preserve"> </w:t>
      </w:r>
      <w:r w:rsidRPr="00F458E6">
        <w:rPr>
          <w:rFonts w:asciiTheme="minorHAnsi" w:hAnsiTheme="minorHAnsi" w:cstheme="minorHAnsi"/>
          <w:lang w:val="es-CL"/>
        </w:rPr>
        <w:t xml:space="preserve">Se puede estimar </w:t>
      </w:r>
      <w:r>
        <w:rPr>
          <w:rFonts w:asciiTheme="minorHAnsi" w:hAnsiTheme="minorHAnsi" w:cstheme="minorHAnsi"/>
          <w:lang w:val="es-CL"/>
        </w:rPr>
        <w:t>un</w:t>
      </w:r>
      <w:r w:rsidRPr="00F458E6">
        <w:rPr>
          <w:rFonts w:asciiTheme="minorHAnsi" w:hAnsiTheme="minorHAnsi" w:cstheme="minorHAnsi"/>
          <w:lang w:val="es-CL"/>
        </w:rPr>
        <w:t xml:space="preserve"> beneficio social adicional al aumento de prestaciones para la población</w:t>
      </w:r>
      <w:r>
        <w:rPr>
          <w:rFonts w:asciiTheme="minorHAnsi" w:hAnsiTheme="minorHAnsi" w:cstheme="minorHAnsi"/>
          <w:lang w:val="es-CL"/>
        </w:rPr>
        <w:t xml:space="preserve">, proveniente del </w:t>
      </w:r>
      <w:r w:rsidRPr="00F458E6">
        <w:rPr>
          <w:rFonts w:asciiTheme="minorHAnsi" w:hAnsiTheme="minorHAnsi" w:cstheme="minorHAnsi"/>
          <w:lang w:val="es-CL"/>
        </w:rPr>
        <w:t xml:space="preserve">ahorro de costo de viaje </w:t>
      </w:r>
      <w:r>
        <w:rPr>
          <w:rFonts w:asciiTheme="minorHAnsi" w:hAnsiTheme="minorHAnsi" w:cstheme="minorHAnsi"/>
          <w:lang w:val="es-CL"/>
        </w:rPr>
        <w:t xml:space="preserve">(a La Paz) </w:t>
      </w:r>
      <w:r w:rsidRPr="00F458E6">
        <w:rPr>
          <w:rFonts w:asciiTheme="minorHAnsi" w:hAnsiTheme="minorHAnsi" w:cstheme="minorHAnsi"/>
          <w:lang w:val="es-CL"/>
        </w:rPr>
        <w:t>por aumento en la resolutividad. Est</w:t>
      </w:r>
      <w:r>
        <w:rPr>
          <w:rFonts w:asciiTheme="minorHAnsi" w:hAnsiTheme="minorHAnsi" w:cstheme="minorHAnsi"/>
          <w:lang w:val="es-CL"/>
        </w:rPr>
        <w:t>e</w:t>
      </w:r>
      <w:r w:rsidRPr="00F458E6">
        <w:rPr>
          <w:rFonts w:asciiTheme="minorHAnsi" w:hAnsiTheme="minorHAnsi" w:cstheme="minorHAnsi"/>
          <w:lang w:val="es-CL"/>
        </w:rPr>
        <w:t xml:space="preserve"> beneficio no han sido estimado en este primer Informe.</w:t>
      </w:r>
    </w:p>
  </w:footnote>
  <w:footnote w:id="75">
    <w:p w:rsidR="00CB02AD" w:rsidRPr="00F458E6" w:rsidRDefault="00CB02AD" w:rsidP="008E05C3">
      <w:pPr>
        <w:pStyle w:val="FootnoteText"/>
        <w:jc w:val="both"/>
        <w:rPr>
          <w:rFonts w:asciiTheme="minorHAnsi" w:hAnsiTheme="minorHAnsi" w:cstheme="minorHAnsi"/>
          <w:lang w:val="es-CL"/>
        </w:rPr>
      </w:pPr>
      <w:r w:rsidRPr="00F458E6">
        <w:rPr>
          <w:rStyle w:val="FootnoteReference"/>
          <w:rFonts w:asciiTheme="minorHAnsi" w:hAnsiTheme="minorHAnsi" w:cstheme="minorHAnsi"/>
        </w:rPr>
        <w:footnoteRef/>
      </w:r>
      <w:r w:rsidRPr="00F458E6">
        <w:rPr>
          <w:rFonts w:asciiTheme="minorHAnsi" w:hAnsiTheme="minorHAnsi" w:cstheme="minorHAnsi"/>
        </w:rPr>
        <w:t xml:space="preserve"> </w:t>
      </w:r>
      <w:r w:rsidRPr="00F458E6">
        <w:rPr>
          <w:rFonts w:asciiTheme="minorHAnsi" w:hAnsiTheme="minorHAnsi" w:cstheme="minorHAnsi"/>
          <w:lang w:val="es-CL"/>
        </w:rPr>
        <w:t>Este supuesto asume que el precio privado sin iva refleja la valoración que la sociedad hace de cada una de las prestaciones.</w:t>
      </w:r>
    </w:p>
  </w:footnote>
  <w:footnote w:id="76">
    <w:p w:rsidR="00CB02AD" w:rsidRPr="00932BFF" w:rsidRDefault="00CB02AD" w:rsidP="00932BFF">
      <w:pPr>
        <w:pStyle w:val="FootnoteText"/>
        <w:jc w:val="both"/>
        <w:rPr>
          <w:lang w:val="es-CL"/>
        </w:rPr>
      </w:pPr>
      <w:r>
        <w:rPr>
          <w:rStyle w:val="FootnoteReference"/>
        </w:rPr>
        <w:footnoteRef/>
      </w:r>
      <w:r>
        <w:t xml:space="preserve"> </w:t>
      </w:r>
      <w:r w:rsidRPr="00932BFF">
        <w:rPr>
          <w:rFonts w:asciiTheme="minorHAnsi" w:hAnsiTheme="minorHAnsi" w:cstheme="minorHAnsi"/>
          <w:lang w:val="es-CL"/>
        </w:rPr>
        <w:t xml:space="preserve">De hecho, para mayor claridad, el parto o cesárea se valora por unidad, no por día cama, lo que significa que el valor del día cama asociado a los partos y cesáreas están contenidos en </w:t>
      </w:r>
      <w:r>
        <w:rPr>
          <w:rFonts w:asciiTheme="minorHAnsi" w:hAnsiTheme="minorHAnsi" w:cstheme="minorHAnsi"/>
          <w:lang w:val="es-CL"/>
        </w:rPr>
        <w:t>dicha</w:t>
      </w:r>
      <w:r w:rsidRPr="00932BFF">
        <w:rPr>
          <w:rFonts w:asciiTheme="minorHAnsi" w:hAnsiTheme="minorHAnsi" w:cstheme="minorHAnsi"/>
          <w:lang w:val="es-CL"/>
        </w:rPr>
        <w:t xml:space="preserve"> valoración.</w:t>
      </w:r>
    </w:p>
  </w:footnote>
  <w:footnote w:id="77">
    <w:p w:rsidR="00CB02AD" w:rsidRPr="00350B12" w:rsidRDefault="00CB02AD" w:rsidP="00350B12">
      <w:pPr>
        <w:pStyle w:val="FootnoteText"/>
        <w:jc w:val="both"/>
        <w:rPr>
          <w:rFonts w:asciiTheme="minorHAnsi" w:hAnsiTheme="minorHAnsi"/>
          <w:lang w:val="es-CL"/>
        </w:rPr>
      </w:pPr>
      <w:r w:rsidRPr="00350B12">
        <w:rPr>
          <w:rStyle w:val="FootnoteReference"/>
          <w:rFonts w:asciiTheme="minorHAnsi" w:hAnsiTheme="minorHAnsi"/>
        </w:rPr>
        <w:footnoteRef/>
      </w:r>
      <w:r w:rsidRPr="00350B12">
        <w:rPr>
          <w:rFonts w:asciiTheme="minorHAnsi" w:hAnsiTheme="minorHAnsi"/>
        </w:rPr>
        <w:t xml:space="preserve"> </w:t>
      </w:r>
      <w:r w:rsidRPr="00350B12">
        <w:rPr>
          <w:rFonts w:asciiTheme="minorHAnsi" w:hAnsiTheme="minorHAnsi"/>
          <w:lang w:val="es-CL"/>
        </w:rPr>
        <w:t>La demanda potencial atendida corresponde a la intersección de la demanda potencial y la oferta potencial.</w:t>
      </w:r>
    </w:p>
  </w:footnote>
  <w:footnote w:id="78">
    <w:p w:rsidR="00CB02AD" w:rsidRPr="00394FF5" w:rsidRDefault="00CB02AD" w:rsidP="00350B12">
      <w:pPr>
        <w:pStyle w:val="FootnoteText"/>
        <w:jc w:val="both"/>
        <w:rPr>
          <w:lang w:val="es-CL"/>
        </w:rPr>
      </w:pPr>
      <w:r w:rsidRPr="00350B12">
        <w:rPr>
          <w:rStyle w:val="FootnoteReference"/>
          <w:rFonts w:asciiTheme="minorHAnsi" w:hAnsiTheme="minorHAnsi"/>
        </w:rPr>
        <w:footnoteRef/>
      </w:r>
      <w:r w:rsidRPr="00350B12">
        <w:rPr>
          <w:rFonts w:asciiTheme="minorHAnsi" w:hAnsiTheme="minorHAnsi"/>
        </w:rPr>
        <w:t xml:space="preserve"> </w:t>
      </w:r>
      <w:r w:rsidRPr="00350B12">
        <w:rPr>
          <w:rFonts w:asciiTheme="minorHAnsi" w:hAnsiTheme="minorHAnsi"/>
          <w:lang w:val="es-CL"/>
        </w:rPr>
        <w:t>“Proyecto de Construcción del Hospital del Norte. Estudio Socioeconómico del Proyecto” s/fecha. pp. 6.</w:t>
      </w:r>
    </w:p>
  </w:footnote>
  <w:footnote w:id="79">
    <w:p w:rsidR="00CB02AD" w:rsidRPr="009E0E94" w:rsidRDefault="00CB02AD" w:rsidP="009E0E94">
      <w:pPr>
        <w:pStyle w:val="FootnoteText"/>
        <w:jc w:val="both"/>
        <w:rPr>
          <w:lang w:val="es-CL"/>
        </w:rPr>
      </w:pPr>
      <w:r>
        <w:rPr>
          <w:rStyle w:val="FootnoteReference"/>
        </w:rPr>
        <w:footnoteRef/>
      </w:r>
      <w:r>
        <w:t xml:space="preserve"> </w:t>
      </w:r>
      <w:r w:rsidRPr="009E0E94">
        <w:rPr>
          <w:rFonts w:asciiTheme="minorHAnsi" w:hAnsiTheme="minorHAnsi"/>
          <w:lang w:val="es-CL"/>
        </w:rPr>
        <w:t>Esto implica asumir que el 50% restante de pacientes esta cubierto por el SUMI que cubre el costo del traslado en ambulancia.</w:t>
      </w:r>
    </w:p>
  </w:footnote>
  <w:footnote w:id="80">
    <w:p w:rsidR="00CB02AD" w:rsidRPr="00E42B73" w:rsidRDefault="00CB02AD" w:rsidP="00E42B73">
      <w:pPr>
        <w:pStyle w:val="FootnoteText"/>
        <w:jc w:val="both"/>
        <w:rPr>
          <w:lang w:val="es-CL"/>
        </w:rPr>
      </w:pPr>
      <w:r>
        <w:rPr>
          <w:rStyle w:val="FootnoteReference"/>
        </w:rPr>
        <w:footnoteRef/>
      </w:r>
      <w:r>
        <w:t xml:space="preserve"> </w:t>
      </w:r>
      <w:r>
        <w:rPr>
          <w:lang w:val="es-CL"/>
        </w:rPr>
        <w:t>Estos consideran una estadía media de hospitalización de 3 días.</w:t>
      </w:r>
      <w:r w:rsidRPr="00E42B73">
        <w:rPr>
          <w:rFonts w:asciiTheme="minorHAnsi" w:hAnsiTheme="minorHAnsi"/>
          <w:lang w:val="es-CL"/>
        </w:rPr>
        <w:t xml:space="preserve"> </w:t>
      </w:r>
      <w:r w:rsidRPr="00350B12">
        <w:rPr>
          <w:rFonts w:asciiTheme="minorHAnsi" w:hAnsiTheme="minorHAnsi"/>
          <w:lang w:val="es-CL"/>
        </w:rPr>
        <w:t>“Proyecto de Construcción del Hospital del Norte. Estudio Socioeconó</w:t>
      </w:r>
      <w:r>
        <w:rPr>
          <w:rFonts w:asciiTheme="minorHAnsi" w:hAnsiTheme="minorHAnsi"/>
          <w:lang w:val="es-CL"/>
        </w:rPr>
        <w:t>mico del Proyecto” s/fecha. pp. 7.</w:t>
      </w:r>
    </w:p>
  </w:footnote>
  <w:footnote w:id="81">
    <w:p w:rsidR="00CB02AD" w:rsidRPr="00012ED0" w:rsidRDefault="00CB02AD">
      <w:pPr>
        <w:pStyle w:val="FootnoteText"/>
        <w:rPr>
          <w:lang w:val="es-CL"/>
        </w:rPr>
      </w:pPr>
      <w:r>
        <w:rPr>
          <w:rStyle w:val="FootnoteReference"/>
        </w:rPr>
        <w:footnoteRef/>
      </w:r>
      <w:r>
        <w:t xml:space="preserve"> </w:t>
      </w:r>
      <w:r w:rsidRPr="00350B12">
        <w:rPr>
          <w:rFonts w:asciiTheme="minorHAnsi" w:hAnsiTheme="minorHAnsi"/>
          <w:lang w:val="es-CL"/>
        </w:rPr>
        <w:t>“Proyecto de Construcción del Hospital del Norte. Estudio Socioeconó</w:t>
      </w:r>
      <w:r>
        <w:rPr>
          <w:rFonts w:asciiTheme="minorHAnsi" w:hAnsiTheme="minorHAnsi"/>
          <w:lang w:val="es-CL"/>
        </w:rPr>
        <w:t>mico del Proyecto” s/fecha. pp. 7</w:t>
      </w:r>
      <w:r w:rsidRPr="00350B12">
        <w:rPr>
          <w:rFonts w:asciiTheme="minorHAnsi" w:hAnsiTheme="minorHAnsi"/>
          <w:lang w:val="es-CL"/>
        </w:rPr>
        <w:t>.</w:t>
      </w:r>
    </w:p>
  </w:footnote>
  <w:footnote w:id="82">
    <w:p w:rsidR="00CB02AD" w:rsidRPr="009211C6" w:rsidRDefault="00CB02AD" w:rsidP="009211C6">
      <w:pPr>
        <w:pStyle w:val="FootnoteText"/>
        <w:jc w:val="both"/>
        <w:rPr>
          <w:rFonts w:asciiTheme="minorHAnsi" w:hAnsiTheme="minorHAnsi"/>
          <w:lang w:val="es-CL"/>
        </w:rPr>
      </w:pPr>
      <w:r w:rsidRPr="009211C6">
        <w:rPr>
          <w:rStyle w:val="FootnoteReference"/>
          <w:rFonts w:asciiTheme="minorHAnsi" w:hAnsiTheme="minorHAnsi"/>
        </w:rPr>
        <w:footnoteRef/>
      </w:r>
      <w:r w:rsidRPr="009211C6">
        <w:rPr>
          <w:rFonts w:asciiTheme="minorHAnsi" w:hAnsiTheme="minorHAnsi"/>
        </w:rPr>
        <w:t xml:space="preserve"> </w:t>
      </w:r>
      <w:r w:rsidRPr="009211C6">
        <w:rPr>
          <w:rFonts w:asciiTheme="minorHAnsi" w:hAnsiTheme="minorHAnsi"/>
          <w:lang w:val="es-CL"/>
        </w:rPr>
        <w:t>Los valores por prestación sanitaria de los beneficios incrementales se pueden ver en Anexo E.</w:t>
      </w:r>
      <w:r>
        <w:rPr>
          <w:rFonts w:asciiTheme="minorHAnsi" w:hAnsiTheme="minorHAnsi"/>
          <w:lang w:val="es-CL"/>
        </w:rPr>
        <w:t xml:space="preserve"> No se presentan los costos incrementales de la evaluación por cuanto no contamos con los costos de operación sin proyecto, por lo tanto los costos incrementales son los costos de operación de la situación con proyecto. Esta falta de información de costos para la situación sin proyecto, conceptualmente puede ser de poca importancia si consideramos que las prestaciones sanitarias en la situación sin proyecto están prácticamente todas en situación de saturación. Si lo anterior es cierto, entonces los costos sin proyecto serán iguales en todo el periodo de evaluación, de manera que los costos incrementales, aun cuando tuviéramos la información de la situación sin proyecto serían iguales a los costos de operación del proyecto.</w:t>
      </w:r>
    </w:p>
  </w:footnote>
  <w:footnote w:id="83">
    <w:p w:rsidR="00CB02AD" w:rsidRPr="00516B4C" w:rsidRDefault="00CB02AD">
      <w:pPr>
        <w:pStyle w:val="FootnoteText"/>
        <w:rPr>
          <w:rFonts w:asciiTheme="minorHAnsi" w:hAnsiTheme="minorHAnsi"/>
          <w:lang w:val="es-CL"/>
        </w:rPr>
      </w:pPr>
      <w:r w:rsidRPr="00516B4C">
        <w:rPr>
          <w:rStyle w:val="FootnoteReference"/>
          <w:rFonts w:asciiTheme="minorHAnsi" w:hAnsiTheme="minorHAnsi"/>
        </w:rPr>
        <w:footnoteRef/>
      </w:r>
      <w:r w:rsidRPr="00516B4C">
        <w:rPr>
          <w:rFonts w:asciiTheme="minorHAnsi" w:hAnsiTheme="minorHAnsi"/>
        </w:rPr>
        <w:t xml:space="preserve"> </w:t>
      </w:r>
      <w:r w:rsidRPr="00516B4C">
        <w:rPr>
          <w:rFonts w:asciiTheme="minorHAnsi" w:hAnsiTheme="minorHAnsi"/>
          <w:lang w:val="es-CL"/>
        </w:rPr>
        <w:t>Equipos considerados y su valor se pueden ver en Anexo D.</w:t>
      </w:r>
    </w:p>
  </w:footnote>
  <w:footnote w:id="84">
    <w:p w:rsidR="00CB02AD" w:rsidRPr="00821065" w:rsidRDefault="00CB02AD" w:rsidP="009E0C83">
      <w:pPr>
        <w:pStyle w:val="FootnoteText"/>
        <w:jc w:val="both"/>
        <w:rPr>
          <w:lang w:val="es-CL"/>
        </w:rPr>
      </w:pPr>
      <w:r>
        <w:rPr>
          <w:rStyle w:val="FootnoteReference"/>
        </w:rPr>
        <w:footnoteRef/>
      </w:r>
      <w:r>
        <w:t xml:space="preserve"> </w:t>
      </w:r>
      <w:r w:rsidRPr="00821065">
        <w:rPr>
          <w:rFonts w:asciiTheme="minorHAnsi" w:hAnsiTheme="minorHAnsi"/>
          <w:lang w:val="es-CL"/>
        </w:rPr>
        <w:t>El hecho de que las barras de los periodos de tiempo 2026 y 2036 no se vean se explica porque en esos años se realiza renovación de equipamiento clínico, lo que hace que el valor de los beneficios incrementales en esos años sea próximo a cero.</w:t>
      </w:r>
      <w:r>
        <w:rPr>
          <w:rFonts w:asciiTheme="minorHAnsi" w:hAnsiTheme="minorHAnsi"/>
          <w:lang w:val="es-CL"/>
        </w:rPr>
        <w:t xml:space="preserve"> Para ver el detalle de los flujos de inversiones, costos y beneficios ir a Anexo F.</w:t>
      </w:r>
    </w:p>
  </w:footnote>
  <w:footnote w:id="85">
    <w:p w:rsidR="00CB02AD" w:rsidRPr="008506FF" w:rsidRDefault="00CB02AD">
      <w:pPr>
        <w:pStyle w:val="FootnoteText"/>
        <w:rPr>
          <w:lang w:val="es-CL"/>
        </w:rPr>
      </w:pPr>
      <w:r>
        <w:rPr>
          <w:rStyle w:val="FootnoteReference"/>
        </w:rPr>
        <w:footnoteRef/>
      </w:r>
      <w:r>
        <w:t xml:space="preserve"> </w:t>
      </w:r>
      <w:r w:rsidRPr="008506FF">
        <w:rPr>
          <w:rFonts w:asciiTheme="minorHAnsi" w:hAnsiTheme="minorHAnsi"/>
          <w:lang w:val="es-CL"/>
        </w:rPr>
        <w:t>Contempla US$ 900.000 por concepto de puesta en marcha y operación.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AD" w:rsidRDefault="00CB02AD">
    <w:pPr>
      <w:pStyle w:val="Header"/>
    </w:pPr>
    <w:r>
      <w:rPr>
        <w:noProof/>
        <w:lang w:val="en-US" w:eastAsia="en-US"/>
      </w:rPr>
      <w:drawing>
        <wp:inline distT="0" distB="0" distL="0" distR="0" wp14:anchorId="1694A793" wp14:editId="5FED7CBB">
          <wp:extent cx="2395855" cy="839470"/>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3294" t="19875" r="66705" b="61298"/>
                  <a:stretch>
                    <a:fillRect/>
                  </a:stretch>
                </pic:blipFill>
                <pic:spPr bwMode="auto">
                  <a:xfrm>
                    <a:off x="0" y="0"/>
                    <a:ext cx="2395855" cy="8394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AD" w:rsidRDefault="00CB02AD">
    <w:pPr>
      <w:pStyle w:val="Header"/>
    </w:pPr>
    <w:r>
      <w:rPr>
        <w:noProof/>
        <w:lang w:val="en-US" w:eastAsia="en-US"/>
      </w:rPr>
      <w:drawing>
        <wp:inline distT="0" distB="0" distL="0" distR="0" wp14:anchorId="1694A793" wp14:editId="5FED7CBB">
          <wp:extent cx="2395855" cy="83947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3294" t="19875" r="66705" b="61298"/>
                  <a:stretch>
                    <a:fillRect/>
                  </a:stretch>
                </pic:blipFill>
                <pic:spPr bwMode="auto">
                  <a:xfrm>
                    <a:off x="0" y="0"/>
                    <a:ext cx="2395855" cy="8394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1B4F"/>
    <w:multiLevelType w:val="hybridMultilevel"/>
    <w:tmpl w:val="F5704FD8"/>
    <w:lvl w:ilvl="0" w:tplc="CF44232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3801CE4"/>
    <w:multiLevelType w:val="hybridMultilevel"/>
    <w:tmpl w:val="F9CE12E4"/>
    <w:lvl w:ilvl="0" w:tplc="B87E61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5F01A00"/>
    <w:multiLevelType w:val="hybridMultilevel"/>
    <w:tmpl w:val="FC5E27E0"/>
    <w:lvl w:ilvl="0" w:tplc="3E103A5A">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C4B735D"/>
    <w:multiLevelType w:val="hybridMultilevel"/>
    <w:tmpl w:val="227C4EE8"/>
    <w:lvl w:ilvl="0" w:tplc="97D8ADCE">
      <w:start w:val="1"/>
      <w:numFmt w:val="decimal"/>
      <w:pStyle w:val="Heading2"/>
      <w:lvlText w:val="%1.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F6C7120"/>
    <w:multiLevelType w:val="multilevel"/>
    <w:tmpl w:val="F9E214B4"/>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4A695B66"/>
    <w:multiLevelType w:val="hybridMultilevel"/>
    <w:tmpl w:val="601A2D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E4F6A6C"/>
    <w:multiLevelType w:val="hybridMultilevel"/>
    <w:tmpl w:val="F9CE12E4"/>
    <w:lvl w:ilvl="0" w:tplc="B87E61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7613BE5"/>
    <w:multiLevelType w:val="hybridMultilevel"/>
    <w:tmpl w:val="0992668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3780C3D"/>
    <w:multiLevelType w:val="hybridMultilevel"/>
    <w:tmpl w:val="7758F8E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 w:numId="8">
    <w:abstractNumId w:val="8"/>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5D"/>
    <w:rsid w:val="00001F81"/>
    <w:rsid w:val="000126BA"/>
    <w:rsid w:val="00012ED0"/>
    <w:rsid w:val="00015282"/>
    <w:rsid w:val="000176AD"/>
    <w:rsid w:val="000179C1"/>
    <w:rsid w:val="000202D7"/>
    <w:rsid w:val="000216ED"/>
    <w:rsid w:val="00021804"/>
    <w:rsid w:val="00027F82"/>
    <w:rsid w:val="000301FC"/>
    <w:rsid w:val="000327C5"/>
    <w:rsid w:val="00033598"/>
    <w:rsid w:val="00034768"/>
    <w:rsid w:val="00041C30"/>
    <w:rsid w:val="00042433"/>
    <w:rsid w:val="00042888"/>
    <w:rsid w:val="00044AB3"/>
    <w:rsid w:val="00044AFD"/>
    <w:rsid w:val="00046053"/>
    <w:rsid w:val="00046457"/>
    <w:rsid w:val="000479C2"/>
    <w:rsid w:val="0005008F"/>
    <w:rsid w:val="000544EF"/>
    <w:rsid w:val="0005529E"/>
    <w:rsid w:val="0005663C"/>
    <w:rsid w:val="00057EFA"/>
    <w:rsid w:val="000605AA"/>
    <w:rsid w:val="00060D5B"/>
    <w:rsid w:val="00061661"/>
    <w:rsid w:val="00061EBC"/>
    <w:rsid w:val="00062D72"/>
    <w:rsid w:val="00063AC0"/>
    <w:rsid w:val="00065390"/>
    <w:rsid w:val="00067052"/>
    <w:rsid w:val="00070180"/>
    <w:rsid w:val="00070FD2"/>
    <w:rsid w:val="000722B2"/>
    <w:rsid w:val="0007243F"/>
    <w:rsid w:val="00075551"/>
    <w:rsid w:val="0008230C"/>
    <w:rsid w:val="00082341"/>
    <w:rsid w:val="00084916"/>
    <w:rsid w:val="000915FA"/>
    <w:rsid w:val="00095704"/>
    <w:rsid w:val="00097DA1"/>
    <w:rsid w:val="000A02A7"/>
    <w:rsid w:val="000A0782"/>
    <w:rsid w:val="000A30FD"/>
    <w:rsid w:val="000A3B72"/>
    <w:rsid w:val="000A48BF"/>
    <w:rsid w:val="000A59ED"/>
    <w:rsid w:val="000A75FE"/>
    <w:rsid w:val="000B0B42"/>
    <w:rsid w:val="000B193F"/>
    <w:rsid w:val="000B1C08"/>
    <w:rsid w:val="000B2275"/>
    <w:rsid w:val="000B26B9"/>
    <w:rsid w:val="000B345A"/>
    <w:rsid w:val="000B3EF9"/>
    <w:rsid w:val="000B56C7"/>
    <w:rsid w:val="000B7A4E"/>
    <w:rsid w:val="000C0E62"/>
    <w:rsid w:val="000C2B62"/>
    <w:rsid w:val="000C3A40"/>
    <w:rsid w:val="000C482D"/>
    <w:rsid w:val="000D1665"/>
    <w:rsid w:val="000D290C"/>
    <w:rsid w:val="000D4411"/>
    <w:rsid w:val="000D54BF"/>
    <w:rsid w:val="000D5657"/>
    <w:rsid w:val="000E0998"/>
    <w:rsid w:val="000E2A73"/>
    <w:rsid w:val="000E36E0"/>
    <w:rsid w:val="000E45E9"/>
    <w:rsid w:val="000E4C04"/>
    <w:rsid w:val="000E565D"/>
    <w:rsid w:val="000E5977"/>
    <w:rsid w:val="000E6D99"/>
    <w:rsid w:val="000E7B44"/>
    <w:rsid w:val="000F1165"/>
    <w:rsid w:val="000F216F"/>
    <w:rsid w:val="000F285D"/>
    <w:rsid w:val="000F4585"/>
    <w:rsid w:val="00101567"/>
    <w:rsid w:val="0010184B"/>
    <w:rsid w:val="001019C0"/>
    <w:rsid w:val="00104DD7"/>
    <w:rsid w:val="00107258"/>
    <w:rsid w:val="001074DD"/>
    <w:rsid w:val="00107A9A"/>
    <w:rsid w:val="00107B14"/>
    <w:rsid w:val="00111152"/>
    <w:rsid w:val="0011117A"/>
    <w:rsid w:val="001119E6"/>
    <w:rsid w:val="00111F53"/>
    <w:rsid w:val="00114820"/>
    <w:rsid w:val="00115F22"/>
    <w:rsid w:val="00116365"/>
    <w:rsid w:val="0011720A"/>
    <w:rsid w:val="001206AE"/>
    <w:rsid w:val="00121653"/>
    <w:rsid w:val="001259D1"/>
    <w:rsid w:val="00134AE4"/>
    <w:rsid w:val="00135488"/>
    <w:rsid w:val="00136CF2"/>
    <w:rsid w:val="001405F9"/>
    <w:rsid w:val="00140AAE"/>
    <w:rsid w:val="00141AA7"/>
    <w:rsid w:val="00142937"/>
    <w:rsid w:val="00143DB3"/>
    <w:rsid w:val="00144D8E"/>
    <w:rsid w:val="0014514F"/>
    <w:rsid w:val="00146405"/>
    <w:rsid w:val="001470A2"/>
    <w:rsid w:val="00147532"/>
    <w:rsid w:val="001520E9"/>
    <w:rsid w:val="001536AA"/>
    <w:rsid w:val="00154378"/>
    <w:rsid w:val="0016105D"/>
    <w:rsid w:val="00164451"/>
    <w:rsid w:val="00166820"/>
    <w:rsid w:val="001668F5"/>
    <w:rsid w:val="00170192"/>
    <w:rsid w:val="00171236"/>
    <w:rsid w:val="00171933"/>
    <w:rsid w:val="0017275D"/>
    <w:rsid w:val="00172D89"/>
    <w:rsid w:val="0017316F"/>
    <w:rsid w:val="0017321B"/>
    <w:rsid w:val="001739B0"/>
    <w:rsid w:val="00176C72"/>
    <w:rsid w:val="00177CC3"/>
    <w:rsid w:val="00180DE1"/>
    <w:rsid w:val="00181A91"/>
    <w:rsid w:val="00181AA9"/>
    <w:rsid w:val="00185968"/>
    <w:rsid w:val="001868FC"/>
    <w:rsid w:val="00187AC0"/>
    <w:rsid w:val="0019090A"/>
    <w:rsid w:val="00191B08"/>
    <w:rsid w:val="001942B8"/>
    <w:rsid w:val="001959CE"/>
    <w:rsid w:val="00197724"/>
    <w:rsid w:val="001978C1"/>
    <w:rsid w:val="00197C00"/>
    <w:rsid w:val="001A012C"/>
    <w:rsid w:val="001A3DC8"/>
    <w:rsid w:val="001A76A0"/>
    <w:rsid w:val="001C0FB6"/>
    <w:rsid w:val="001C3E7D"/>
    <w:rsid w:val="001C77B6"/>
    <w:rsid w:val="001D12D3"/>
    <w:rsid w:val="001D4C54"/>
    <w:rsid w:val="001E2360"/>
    <w:rsid w:val="001F03C2"/>
    <w:rsid w:val="001F3D27"/>
    <w:rsid w:val="001F3F4B"/>
    <w:rsid w:val="001F5AF2"/>
    <w:rsid w:val="001F6264"/>
    <w:rsid w:val="001F62F2"/>
    <w:rsid w:val="00201F5D"/>
    <w:rsid w:val="00205D8C"/>
    <w:rsid w:val="00207810"/>
    <w:rsid w:val="002134AC"/>
    <w:rsid w:val="00213D2E"/>
    <w:rsid w:val="00215DAF"/>
    <w:rsid w:val="002179A6"/>
    <w:rsid w:val="002210D7"/>
    <w:rsid w:val="00223102"/>
    <w:rsid w:val="00225A36"/>
    <w:rsid w:val="00225AD3"/>
    <w:rsid w:val="00226C07"/>
    <w:rsid w:val="002312A8"/>
    <w:rsid w:val="002315B4"/>
    <w:rsid w:val="00231E66"/>
    <w:rsid w:val="00232470"/>
    <w:rsid w:val="00232E1E"/>
    <w:rsid w:val="002351D1"/>
    <w:rsid w:val="0023644E"/>
    <w:rsid w:val="00236783"/>
    <w:rsid w:val="00237091"/>
    <w:rsid w:val="002474FA"/>
    <w:rsid w:val="00247CE3"/>
    <w:rsid w:val="00252E1B"/>
    <w:rsid w:val="002540D3"/>
    <w:rsid w:val="0025419A"/>
    <w:rsid w:val="00255771"/>
    <w:rsid w:val="00256004"/>
    <w:rsid w:val="00256EDF"/>
    <w:rsid w:val="00261815"/>
    <w:rsid w:val="00261B3A"/>
    <w:rsid w:val="0026226F"/>
    <w:rsid w:val="00263536"/>
    <w:rsid w:val="0026640A"/>
    <w:rsid w:val="0026709F"/>
    <w:rsid w:val="00267D3A"/>
    <w:rsid w:val="002716E5"/>
    <w:rsid w:val="002724C2"/>
    <w:rsid w:val="00273219"/>
    <w:rsid w:val="00273FF8"/>
    <w:rsid w:val="00277140"/>
    <w:rsid w:val="002776E1"/>
    <w:rsid w:val="0028107F"/>
    <w:rsid w:val="0029096E"/>
    <w:rsid w:val="00290EDD"/>
    <w:rsid w:val="00291BEF"/>
    <w:rsid w:val="00292CC7"/>
    <w:rsid w:val="002946E5"/>
    <w:rsid w:val="002A1EE9"/>
    <w:rsid w:val="002A2E5E"/>
    <w:rsid w:val="002A335C"/>
    <w:rsid w:val="002A5413"/>
    <w:rsid w:val="002A6D44"/>
    <w:rsid w:val="002B0C8A"/>
    <w:rsid w:val="002B1532"/>
    <w:rsid w:val="002B2B2E"/>
    <w:rsid w:val="002B4BB5"/>
    <w:rsid w:val="002B507A"/>
    <w:rsid w:val="002B5A9A"/>
    <w:rsid w:val="002B6915"/>
    <w:rsid w:val="002B74BE"/>
    <w:rsid w:val="002B7525"/>
    <w:rsid w:val="002C411B"/>
    <w:rsid w:val="002C4192"/>
    <w:rsid w:val="002C461E"/>
    <w:rsid w:val="002C520A"/>
    <w:rsid w:val="002C6623"/>
    <w:rsid w:val="002C6A99"/>
    <w:rsid w:val="002D0C52"/>
    <w:rsid w:val="002D229B"/>
    <w:rsid w:val="002D2ADA"/>
    <w:rsid w:val="002D36CF"/>
    <w:rsid w:val="002D430D"/>
    <w:rsid w:val="002D49C9"/>
    <w:rsid w:val="002D4F99"/>
    <w:rsid w:val="002D5E52"/>
    <w:rsid w:val="002D6C2C"/>
    <w:rsid w:val="002E0AE1"/>
    <w:rsid w:val="002E34C6"/>
    <w:rsid w:val="002E416F"/>
    <w:rsid w:val="002E54A9"/>
    <w:rsid w:val="002F69F5"/>
    <w:rsid w:val="00301D15"/>
    <w:rsid w:val="00302700"/>
    <w:rsid w:val="00303EAF"/>
    <w:rsid w:val="00310387"/>
    <w:rsid w:val="00311814"/>
    <w:rsid w:val="00311CF4"/>
    <w:rsid w:val="0031267E"/>
    <w:rsid w:val="0032159F"/>
    <w:rsid w:val="00322011"/>
    <w:rsid w:val="00325176"/>
    <w:rsid w:val="0032745B"/>
    <w:rsid w:val="00332249"/>
    <w:rsid w:val="00334D0A"/>
    <w:rsid w:val="00336AAF"/>
    <w:rsid w:val="00337248"/>
    <w:rsid w:val="003417F3"/>
    <w:rsid w:val="00342172"/>
    <w:rsid w:val="003441B1"/>
    <w:rsid w:val="003442DD"/>
    <w:rsid w:val="00347284"/>
    <w:rsid w:val="00350B12"/>
    <w:rsid w:val="00351209"/>
    <w:rsid w:val="003547F7"/>
    <w:rsid w:val="00360540"/>
    <w:rsid w:val="00372387"/>
    <w:rsid w:val="00374430"/>
    <w:rsid w:val="00375424"/>
    <w:rsid w:val="00376514"/>
    <w:rsid w:val="003856B6"/>
    <w:rsid w:val="003858C8"/>
    <w:rsid w:val="003862EA"/>
    <w:rsid w:val="00391BF4"/>
    <w:rsid w:val="003930AF"/>
    <w:rsid w:val="00393985"/>
    <w:rsid w:val="00393D71"/>
    <w:rsid w:val="00394C08"/>
    <w:rsid w:val="00394FF5"/>
    <w:rsid w:val="00395933"/>
    <w:rsid w:val="003A253B"/>
    <w:rsid w:val="003A29D5"/>
    <w:rsid w:val="003A335D"/>
    <w:rsid w:val="003A451C"/>
    <w:rsid w:val="003A4C5A"/>
    <w:rsid w:val="003A4E4B"/>
    <w:rsid w:val="003B7C8E"/>
    <w:rsid w:val="003C23CB"/>
    <w:rsid w:val="003C2FF6"/>
    <w:rsid w:val="003C4805"/>
    <w:rsid w:val="003C7B13"/>
    <w:rsid w:val="003D06CD"/>
    <w:rsid w:val="003D3478"/>
    <w:rsid w:val="003D35F9"/>
    <w:rsid w:val="003E6691"/>
    <w:rsid w:val="003E6704"/>
    <w:rsid w:val="003F0000"/>
    <w:rsid w:val="003F0897"/>
    <w:rsid w:val="003F0E36"/>
    <w:rsid w:val="003F11E9"/>
    <w:rsid w:val="00403582"/>
    <w:rsid w:val="00403592"/>
    <w:rsid w:val="0040424F"/>
    <w:rsid w:val="00406AC9"/>
    <w:rsid w:val="00407408"/>
    <w:rsid w:val="004076D8"/>
    <w:rsid w:val="00412789"/>
    <w:rsid w:val="00417BB6"/>
    <w:rsid w:val="004217CE"/>
    <w:rsid w:val="00422E74"/>
    <w:rsid w:val="004246EC"/>
    <w:rsid w:val="00424923"/>
    <w:rsid w:val="00424C05"/>
    <w:rsid w:val="00425F98"/>
    <w:rsid w:val="004274FA"/>
    <w:rsid w:val="00434779"/>
    <w:rsid w:val="00435B11"/>
    <w:rsid w:val="00436812"/>
    <w:rsid w:val="00440C3E"/>
    <w:rsid w:val="00441436"/>
    <w:rsid w:val="0044154C"/>
    <w:rsid w:val="004425A0"/>
    <w:rsid w:val="004448FA"/>
    <w:rsid w:val="00444A68"/>
    <w:rsid w:val="00445FD1"/>
    <w:rsid w:val="00447C2E"/>
    <w:rsid w:val="004562D9"/>
    <w:rsid w:val="004608FB"/>
    <w:rsid w:val="00461F7D"/>
    <w:rsid w:val="004620BD"/>
    <w:rsid w:val="0046311F"/>
    <w:rsid w:val="004631D3"/>
    <w:rsid w:val="00465592"/>
    <w:rsid w:val="004656E6"/>
    <w:rsid w:val="00465CDD"/>
    <w:rsid w:val="00466A34"/>
    <w:rsid w:val="00467B5C"/>
    <w:rsid w:val="00473A37"/>
    <w:rsid w:val="0047432E"/>
    <w:rsid w:val="004777A1"/>
    <w:rsid w:val="00480250"/>
    <w:rsid w:val="0048080E"/>
    <w:rsid w:val="004814B9"/>
    <w:rsid w:val="004844D5"/>
    <w:rsid w:val="00485952"/>
    <w:rsid w:val="00485DF5"/>
    <w:rsid w:val="00486F8E"/>
    <w:rsid w:val="00490F62"/>
    <w:rsid w:val="0049170C"/>
    <w:rsid w:val="00492EC7"/>
    <w:rsid w:val="0049418C"/>
    <w:rsid w:val="004955AE"/>
    <w:rsid w:val="004A0D63"/>
    <w:rsid w:val="004A34CA"/>
    <w:rsid w:val="004A432C"/>
    <w:rsid w:val="004A611E"/>
    <w:rsid w:val="004B4462"/>
    <w:rsid w:val="004B599B"/>
    <w:rsid w:val="004B5BDC"/>
    <w:rsid w:val="004C15FB"/>
    <w:rsid w:val="004C6EDC"/>
    <w:rsid w:val="004C7C5B"/>
    <w:rsid w:val="004D059B"/>
    <w:rsid w:val="004D1A74"/>
    <w:rsid w:val="004D2962"/>
    <w:rsid w:val="004D2E48"/>
    <w:rsid w:val="004D3B86"/>
    <w:rsid w:val="004D4A2E"/>
    <w:rsid w:val="004E0039"/>
    <w:rsid w:val="004E015E"/>
    <w:rsid w:val="004E1F17"/>
    <w:rsid w:val="004E2DC7"/>
    <w:rsid w:val="004F04F0"/>
    <w:rsid w:val="004F3F1E"/>
    <w:rsid w:val="004F4BCF"/>
    <w:rsid w:val="005004E7"/>
    <w:rsid w:val="00501D55"/>
    <w:rsid w:val="005034E5"/>
    <w:rsid w:val="00503624"/>
    <w:rsid w:val="00505D80"/>
    <w:rsid w:val="00506605"/>
    <w:rsid w:val="00510831"/>
    <w:rsid w:val="00510D21"/>
    <w:rsid w:val="0051254F"/>
    <w:rsid w:val="005130C6"/>
    <w:rsid w:val="00513FC7"/>
    <w:rsid w:val="0051496E"/>
    <w:rsid w:val="00515FDC"/>
    <w:rsid w:val="0051686C"/>
    <w:rsid w:val="00516B4C"/>
    <w:rsid w:val="005200CC"/>
    <w:rsid w:val="00520CCF"/>
    <w:rsid w:val="00520EE9"/>
    <w:rsid w:val="00524B70"/>
    <w:rsid w:val="00531F5E"/>
    <w:rsid w:val="005330AB"/>
    <w:rsid w:val="005330F9"/>
    <w:rsid w:val="005333D7"/>
    <w:rsid w:val="005352F3"/>
    <w:rsid w:val="00536675"/>
    <w:rsid w:val="00536756"/>
    <w:rsid w:val="00542D10"/>
    <w:rsid w:val="005443BE"/>
    <w:rsid w:val="005527FA"/>
    <w:rsid w:val="005538AA"/>
    <w:rsid w:val="005545CF"/>
    <w:rsid w:val="005557FD"/>
    <w:rsid w:val="00567DC0"/>
    <w:rsid w:val="00570E7B"/>
    <w:rsid w:val="005714AA"/>
    <w:rsid w:val="005715CF"/>
    <w:rsid w:val="0057425F"/>
    <w:rsid w:val="00577EBA"/>
    <w:rsid w:val="005802BE"/>
    <w:rsid w:val="00582809"/>
    <w:rsid w:val="00584D08"/>
    <w:rsid w:val="005852F1"/>
    <w:rsid w:val="00592B2E"/>
    <w:rsid w:val="005940DA"/>
    <w:rsid w:val="005965CC"/>
    <w:rsid w:val="005A5333"/>
    <w:rsid w:val="005A5640"/>
    <w:rsid w:val="005B14B5"/>
    <w:rsid w:val="005B1700"/>
    <w:rsid w:val="005B3DB8"/>
    <w:rsid w:val="005B4A9B"/>
    <w:rsid w:val="005B4B52"/>
    <w:rsid w:val="005B70A1"/>
    <w:rsid w:val="005B7D12"/>
    <w:rsid w:val="005C4FDC"/>
    <w:rsid w:val="005C5202"/>
    <w:rsid w:val="005C5511"/>
    <w:rsid w:val="005D02E1"/>
    <w:rsid w:val="005D1118"/>
    <w:rsid w:val="005D2303"/>
    <w:rsid w:val="005D3EAC"/>
    <w:rsid w:val="005D51C3"/>
    <w:rsid w:val="005D59CF"/>
    <w:rsid w:val="005E1150"/>
    <w:rsid w:val="005E193D"/>
    <w:rsid w:val="005E20AC"/>
    <w:rsid w:val="005E2970"/>
    <w:rsid w:val="005E4B0E"/>
    <w:rsid w:val="005E665D"/>
    <w:rsid w:val="005F0181"/>
    <w:rsid w:val="005F2011"/>
    <w:rsid w:val="005F77BF"/>
    <w:rsid w:val="00607107"/>
    <w:rsid w:val="006106BB"/>
    <w:rsid w:val="00612288"/>
    <w:rsid w:val="006163BD"/>
    <w:rsid w:val="00617C78"/>
    <w:rsid w:val="00621076"/>
    <w:rsid w:val="00621BD6"/>
    <w:rsid w:val="00622160"/>
    <w:rsid w:val="00623980"/>
    <w:rsid w:val="00624482"/>
    <w:rsid w:val="006254AD"/>
    <w:rsid w:val="00626517"/>
    <w:rsid w:val="006268E0"/>
    <w:rsid w:val="00626F57"/>
    <w:rsid w:val="00627D85"/>
    <w:rsid w:val="00627FF2"/>
    <w:rsid w:val="006360C2"/>
    <w:rsid w:val="00640E8B"/>
    <w:rsid w:val="00641268"/>
    <w:rsid w:val="00641979"/>
    <w:rsid w:val="006504D5"/>
    <w:rsid w:val="00652FCB"/>
    <w:rsid w:val="006542B9"/>
    <w:rsid w:val="00654A47"/>
    <w:rsid w:val="00655054"/>
    <w:rsid w:val="0065624F"/>
    <w:rsid w:val="00656F99"/>
    <w:rsid w:val="00662574"/>
    <w:rsid w:val="006626B9"/>
    <w:rsid w:val="00662F33"/>
    <w:rsid w:val="00663600"/>
    <w:rsid w:val="00666B4B"/>
    <w:rsid w:val="00667F34"/>
    <w:rsid w:val="00671860"/>
    <w:rsid w:val="00673831"/>
    <w:rsid w:val="00675653"/>
    <w:rsid w:val="006760F3"/>
    <w:rsid w:val="0067659A"/>
    <w:rsid w:val="00682181"/>
    <w:rsid w:val="00684B52"/>
    <w:rsid w:val="00690717"/>
    <w:rsid w:val="00691626"/>
    <w:rsid w:val="0069361D"/>
    <w:rsid w:val="006A018A"/>
    <w:rsid w:val="006A0765"/>
    <w:rsid w:val="006A1B65"/>
    <w:rsid w:val="006A2BE4"/>
    <w:rsid w:val="006A6103"/>
    <w:rsid w:val="006A7A69"/>
    <w:rsid w:val="006B111E"/>
    <w:rsid w:val="006B1DD9"/>
    <w:rsid w:val="006B409D"/>
    <w:rsid w:val="006C02C4"/>
    <w:rsid w:val="006C46CF"/>
    <w:rsid w:val="006C7325"/>
    <w:rsid w:val="006C7D12"/>
    <w:rsid w:val="006D0EAE"/>
    <w:rsid w:val="006D1936"/>
    <w:rsid w:val="006D6046"/>
    <w:rsid w:val="006D66C7"/>
    <w:rsid w:val="006D68B1"/>
    <w:rsid w:val="006D700B"/>
    <w:rsid w:val="006D74B1"/>
    <w:rsid w:val="006E1DA3"/>
    <w:rsid w:val="006E244B"/>
    <w:rsid w:val="006E5322"/>
    <w:rsid w:val="006E55F6"/>
    <w:rsid w:val="006F0737"/>
    <w:rsid w:val="006F169F"/>
    <w:rsid w:val="006F20C3"/>
    <w:rsid w:val="006F4633"/>
    <w:rsid w:val="006F6FFA"/>
    <w:rsid w:val="007035EC"/>
    <w:rsid w:val="00704920"/>
    <w:rsid w:val="00706972"/>
    <w:rsid w:val="00706DB5"/>
    <w:rsid w:val="007153E6"/>
    <w:rsid w:val="0071672D"/>
    <w:rsid w:val="00716D67"/>
    <w:rsid w:val="00717710"/>
    <w:rsid w:val="00720A1A"/>
    <w:rsid w:val="00727943"/>
    <w:rsid w:val="00732BA6"/>
    <w:rsid w:val="00736600"/>
    <w:rsid w:val="00737924"/>
    <w:rsid w:val="00740772"/>
    <w:rsid w:val="007475E1"/>
    <w:rsid w:val="0075358C"/>
    <w:rsid w:val="00755D7B"/>
    <w:rsid w:val="00756691"/>
    <w:rsid w:val="007622AC"/>
    <w:rsid w:val="00762719"/>
    <w:rsid w:val="0076318F"/>
    <w:rsid w:val="00764EF5"/>
    <w:rsid w:val="00766F55"/>
    <w:rsid w:val="00767BF9"/>
    <w:rsid w:val="00767C40"/>
    <w:rsid w:val="00775524"/>
    <w:rsid w:val="007759B3"/>
    <w:rsid w:val="00776A30"/>
    <w:rsid w:val="00782F80"/>
    <w:rsid w:val="0078789B"/>
    <w:rsid w:val="00792950"/>
    <w:rsid w:val="00793088"/>
    <w:rsid w:val="007939D6"/>
    <w:rsid w:val="00794B27"/>
    <w:rsid w:val="007964E7"/>
    <w:rsid w:val="00797A91"/>
    <w:rsid w:val="007A006F"/>
    <w:rsid w:val="007A06C6"/>
    <w:rsid w:val="007A1EC9"/>
    <w:rsid w:val="007A4FD7"/>
    <w:rsid w:val="007A581D"/>
    <w:rsid w:val="007A6261"/>
    <w:rsid w:val="007A6615"/>
    <w:rsid w:val="007B052D"/>
    <w:rsid w:val="007B0C99"/>
    <w:rsid w:val="007B65F2"/>
    <w:rsid w:val="007B73C5"/>
    <w:rsid w:val="007B7AE1"/>
    <w:rsid w:val="007B7C97"/>
    <w:rsid w:val="007C3743"/>
    <w:rsid w:val="007C3B0F"/>
    <w:rsid w:val="007C7D95"/>
    <w:rsid w:val="007D185C"/>
    <w:rsid w:val="007D4ED4"/>
    <w:rsid w:val="007D50E9"/>
    <w:rsid w:val="007D6EB9"/>
    <w:rsid w:val="007E0148"/>
    <w:rsid w:val="007E1A5B"/>
    <w:rsid w:val="007E3042"/>
    <w:rsid w:val="007E3978"/>
    <w:rsid w:val="007E55D8"/>
    <w:rsid w:val="007E77A8"/>
    <w:rsid w:val="007E7C7F"/>
    <w:rsid w:val="007F082C"/>
    <w:rsid w:val="007F1B7D"/>
    <w:rsid w:val="007F4CAB"/>
    <w:rsid w:val="007F591C"/>
    <w:rsid w:val="008000B3"/>
    <w:rsid w:val="00801576"/>
    <w:rsid w:val="00803E37"/>
    <w:rsid w:val="0080546C"/>
    <w:rsid w:val="0081146E"/>
    <w:rsid w:val="00814C6E"/>
    <w:rsid w:val="00817B9C"/>
    <w:rsid w:val="00817D7C"/>
    <w:rsid w:val="00817E2B"/>
    <w:rsid w:val="00821065"/>
    <w:rsid w:val="00822020"/>
    <w:rsid w:val="00824922"/>
    <w:rsid w:val="00833A0C"/>
    <w:rsid w:val="0083493E"/>
    <w:rsid w:val="008349D5"/>
    <w:rsid w:val="0084155C"/>
    <w:rsid w:val="00843A00"/>
    <w:rsid w:val="008506FF"/>
    <w:rsid w:val="00851725"/>
    <w:rsid w:val="00851F9D"/>
    <w:rsid w:val="00853143"/>
    <w:rsid w:val="0085447F"/>
    <w:rsid w:val="0086085B"/>
    <w:rsid w:val="00861A29"/>
    <w:rsid w:val="00864D60"/>
    <w:rsid w:val="00864EB1"/>
    <w:rsid w:val="00866A78"/>
    <w:rsid w:val="00871368"/>
    <w:rsid w:val="00871D34"/>
    <w:rsid w:val="00872E16"/>
    <w:rsid w:val="008749F9"/>
    <w:rsid w:val="00880983"/>
    <w:rsid w:val="008814A7"/>
    <w:rsid w:val="008824CC"/>
    <w:rsid w:val="00884CDD"/>
    <w:rsid w:val="00890525"/>
    <w:rsid w:val="00890E80"/>
    <w:rsid w:val="00895208"/>
    <w:rsid w:val="008965B3"/>
    <w:rsid w:val="008A04A4"/>
    <w:rsid w:val="008A366B"/>
    <w:rsid w:val="008A370E"/>
    <w:rsid w:val="008A4940"/>
    <w:rsid w:val="008A7D20"/>
    <w:rsid w:val="008B0A32"/>
    <w:rsid w:val="008B2C25"/>
    <w:rsid w:val="008B3246"/>
    <w:rsid w:val="008B7260"/>
    <w:rsid w:val="008C1239"/>
    <w:rsid w:val="008C340F"/>
    <w:rsid w:val="008C62EC"/>
    <w:rsid w:val="008D1C81"/>
    <w:rsid w:val="008D1CC5"/>
    <w:rsid w:val="008D2CF0"/>
    <w:rsid w:val="008D37E6"/>
    <w:rsid w:val="008D3812"/>
    <w:rsid w:val="008D475A"/>
    <w:rsid w:val="008D5A63"/>
    <w:rsid w:val="008D7667"/>
    <w:rsid w:val="008E05C3"/>
    <w:rsid w:val="008E0891"/>
    <w:rsid w:val="008E700A"/>
    <w:rsid w:val="008F1CDE"/>
    <w:rsid w:val="00901A81"/>
    <w:rsid w:val="00910104"/>
    <w:rsid w:val="009103CB"/>
    <w:rsid w:val="009116CC"/>
    <w:rsid w:val="0091177F"/>
    <w:rsid w:val="00911F9C"/>
    <w:rsid w:val="00914072"/>
    <w:rsid w:val="00914D36"/>
    <w:rsid w:val="0091586F"/>
    <w:rsid w:val="009179E0"/>
    <w:rsid w:val="009205F3"/>
    <w:rsid w:val="009211C6"/>
    <w:rsid w:val="00924A77"/>
    <w:rsid w:val="009256FA"/>
    <w:rsid w:val="009264AF"/>
    <w:rsid w:val="0092738A"/>
    <w:rsid w:val="00927C4F"/>
    <w:rsid w:val="00932BFF"/>
    <w:rsid w:val="009332DE"/>
    <w:rsid w:val="00936BE0"/>
    <w:rsid w:val="00940025"/>
    <w:rsid w:val="00941FB7"/>
    <w:rsid w:val="00945A7D"/>
    <w:rsid w:val="00946B4B"/>
    <w:rsid w:val="00946E3F"/>
    <w:rsid w:val="009519B7"/>
    <w:rsid w:val="00952469"/>
    <w:rsid w:val="009534E1"/>
    <w:rsid w:val="009552B4"/>
    <w:rsid w:val="0095534B"/>
    <w:rsid w:val="0095637A"/>
    <w:rsid w:val="0096165A"/>
    <w:rsid w:val="00961966"/>
    <w:rsid w:val="00963A07"/>
    <w:rsid w:val="0096578A"/>
    <w:rsid w:val="00967464"/>
    <w:rsid w:val="009675F3"/>
    <w:rsid w:val="009702ED"/>
    <w:rsid w:val="009705B7"/>
    <w:rsid w:val="00971680"/>
    <w:rsid w:val="0097247A"/>
    <w:rsid w:val="009724A8"/>
    <w:rsid w:val="009738C0"/>
    <w:rsid w:val="009739C4"/>
    <w:rsid w:val="00973E7E"/>
    <w:rsid w:val="009740B4"/>
    <w:rsid w:val="00974791"/>
    <w:rsid w:val="00976EDD"/>
    <w:rsid w:val="00980A89"/>
    <w:rsid w:val="00980AAA"/>
    <w:rsid w:val="00981FB9"/>
    <w:rsid w:val="0098218A"/>
    <w:rsid w:val="00983AA1"/>
    <w:rsid w:val="0098691F"/>
    <w:rsid w:val="00987613"/>
    <w:rsid w:val="009900A2"/>
    <w:rsid w:val="009912EC"/>
    <w:rsid w:val="00995B78"/>
    <w:rsid w:val="00995DBD"/>
    <w:rsid w:val="00995ED8"/>
    <w:rsid w:val="00996CA3"/>
    <w:rsid w:val="00997CAA"/>
    <w:rsid w:val="009A0299"/>
    <w:rsid w:val="009A4B88"/>
    <w:rsid w:val="009A6B88"/>
    <w:rsid w:val="009B3A55"/>
    <w:rsid w:val="009B6BCD"/>
    <w:rsid w:val="009B79B1"/>
    <w:rsid w:val="009C064E"/>
    <w:rsid w:val="009C3D9E"/>
    <w:rsid w:val="009C5BCF"/>
    <w:rsid w:val="009C68A3"/>
    <w:rsid w:val="009C6F0E"/>
    <w:rsid w:val="009C76DB"/>
    <w:rsid w:val="009D12C8"/>
    <w:rsid w:val="009D1C32"/>
    <w:rsid w:val="009D1C9B"/>
    <w:rsid w:val="009D4846"/>
    <w:rsid w:val="009E0C83"/>
    <w:rsid w:val="009E0E94"/>
    <w:rsid w:val="009E424A"/>
    <w:rsid w:val="009E5B5C"/>
    <w:rsid w:val="009F1207"/>
    <w:rsid w:val="009F20F3"/>
    <w:rsid w:val="009F23D9"/>
    <w:rsid w:val="009F3E8A"/>
    <w:rsid w:val="009F695F"/>
    <w:rsid w:val="00A00212"/>
    <w:rsid w:val="00A0434A"/>
    <w:rsid w:val="00A104AB"/>
    <w:rsid w:val="00A1194E"/>
    <w:rsid w:val="00A11E4B"/>
    <w:rsid w:val="00A13C77"/>
    <w:rsid w:val="00A15C88"/>
    <w:rsid w:val="00A16FD5"/>
    <w:rsid w:val="00A26950"/>
    <w:rsid w:val="00A273D8"/>
    <w:rsid w:val="00A314BA"/>
    <w:rsid w:val="00A31E31"/>
    <w:rsid w:val="00A32295"/>
    <w:rsid w:val="00A35110"/>
    <w:rsid w:val="00A37118"/>
    <w:rsid w:val="00A43875"/>
    <w:rsid w:val="00A4422A"/>
    <w:rsid w:val="00A45E28"/>
    <w:rsid w:val="00A517D3"/>
    <w:rsid w:val="00A53BE6"/>
    <w:rsid w:val="00A53CBA"/>
    <w:rsid w:val="00A57D10"/>
    <w:rsid w:val="00A62ACF"/>
    <w:rsid w:val="00A638CC"/>
    <w:rsid w:val="00A64E6B"/>
    <w:rsid w:val="00A67BB7"/>
    <w:rsid w:val="00A67DE4"/>
    <w:rsid w:val="00A72565"/>
    <w:rsid w:val="00A80CEA"/>
    <w:rsid w:val="00A8138B"/>
    <w:rsid w:val="00A81C73"/>
    <w:rsid w:val="00A826FB"/>
    <w:rsid w:val="00A8350A"/>
    <w:rsid w:val="00A83561"/>
    <w:rsid w:val="00A846D6"/>
    <w:rsid w:val="00A901BE"/>
    <w:rsid w:val="00A906DE"/>
    <w:rsid w:val="00A90A4E"/>
    <w:rsid w:val="00A948F8"/>
    <w:rsid w:val="00A95891"/>
    <w:rsid w:val="00A9595B"/>
    <w:rsid w:val="00AA2389"/>
    <w:rsid w:val="00AA5421"/>
    <w:rsid w:val="00AA55BF"/>
    <w:rsid w:val="00AA627C"/>
    <w:rsid w:val="00AA6B4A"/>
    <w:rsid w:val="00AA70B8"/>
    <w:rsid w:val="00AA74F4"/>
    <w:rsid w:val="00AB01F7"/>
    <w:rsid w:val="00AB1BA6"/>
    <w:rsid w:val="00AB20BC"/>
    <w:rsid w:val="00AB2115"/>
    <w:rsid w:val="00AB360A"/>
    <w:rsid w:val="00AB4FB3"/>
    <w:rsid w:val="00AB63FF"/>
    <w:rsid w:val="00AB7175"/>
    <w:rsid w:val="00AB7ED8"/>
    <w:rsid w:val="00AC30AA"/>
    <w:rsid w:val="00AC3692"/>
    <w:rsid w:val="00AC69FC"/>
    <w:rsid w:val="00AD0B97"/>
    <w:rsid w:val="00AD37B0"/>
    <w:rsid w:val="00AD6695"/>
    <w:rsid w:val="00AE0C80"/>
    <w:rsid w:val="00AE2AF8"/>
    <w:rsid w:val="00AE2FBA"/>
    <w:rsid w:val="00AE4634"/>
    <w:rsid w:val="00AE47B9"/>
    <w:rsid w:val="00AE4D3C"/>
    <w:rsid w:val="00AE7235"/>
    <w:rsid w:val="00AE7339"/>
    <w:rsid w:val="00AF14D3"/>
    <w:rsid w:val="00AF24D2"/>
    <w:rsid w:val="00AF29D7"/>
    <w:rsid w:val="00AF4C5E"/>
    <w:rsid w:val="00AF53C6"/>
    <w:rsid w:val="00B01F8D"/>
    <w:rsid w:val="00B03B22"/>
    <w:rsid w:val="00B052E2"/>
    <w:rsid w:val="00B063D2"/>
    <w:rsid w:val="00B06660"/>
    <w:rsid w:val="00B10564"/>
    <w:rsid w:val="00B10B20"/>
    <w:rsid w:val="00B11869"/>
    <w:rsid w:val="00B13926"/>
    <w:rsid w:val="00B15725"/>
    <w:rsid w:val="00B17307"/>
    <w:rsid w:val="00B252CB"/>
    <w:rsid w:val="00B26998"/>
    <w:rsid w:val="00B2745B"/>
    <w:rsid w:val="00B27740"/>
    <w:rsid w:val="00B33489"/>
    <w:rsid w:val="00B3677A"/>
    <w:rsid w:val="00B437CA"/>
    <w:rsid w:val="00B4416D"/>
    <w:rsid w:val="00B45648"/>
    <w:rsid w:val="00B508B6"/>
    <w:rsid w:val="00B53E28"/>
    <w:rsid w:val="00B6126B"/>
    <w:rsid w:val="00B61E56"/>
    <w:rsid w:val="00B629A5"/>
    <w:rsid w:val="00B6354E"/>
    <w:rsid w:val="00B648C1"/>
    <w:rsid w:val="00B65252"/>
    <w:rsid w:val="00B70018"/>
    <w:rsid w:val="00B7141E"/>
    <w:rsid w:val="00B7320B"/>
    <w:rsid w:val="00B74286"/>
    <w:rsid w:val="00B77C1F"/>
    <w:rsid w:val="00B80BB8"/>
    <w:rsid w:val="00B902DA"/>
    <w:rsid w:val="00B9197D"/>
    <w:rsid w:val="00B92DEF"/>
    <w:rsid w:val="00B93CAE"/>
    <w:rsid w:val="00B95EF6"/>
    <w:rsid w:val="00B97BF5"/>
    <w:rsid w:val="00BA0F06"/>
    <w:rsid w:val="00BA5C7C"/>
    <w:rsid w:val="00BA6A3B"/>
    <w:rsid w:val="00BA780E"/>
    <w:rsid w:val="00BB0B27"/>
    <w:rsid w:val="00BB309E"/>
    <w:rsid w:val="00BB476A"/>
    <w:rsid w:val="00BB4D0B"/>
    <w:rsid w:val="00BC2761"/>
    <w:rsid w:val="00BC29E4"/>
    <w:rsid w:val="00BC2D64"/>
    <w:rsid w:val="00BC451B"/>
    <w:rsid w:val="00BC55D8"/>
    <w:rsid w:val="00BD13BC"/>
    <w:rsid w:val="00BD2A28"/>
    <w:rsid w:val="00BD3CDA"/>
    <w:rsid w:val="00BD40E3"/>
    <w:rsid w:val="00BD4F78"/>
    <w:rsid w:val="00BD5846"/>
    <w:rsid w:val="00BD785D"/>
    <w:rsid w:val="00BD7AE0"/>
    <w:rsid w:val="00BE1993"/>
    <w:rsid w:val="00BE277A"/>
    <w:rsid w:val="00BE3AAE"/>
    <w:rsid w:val="00BE6071"/>
    <w:rsid w:val="00BE6D2A"/>
    <w:rsid w:val="00BE7B23"/>
    <w:rsid w:val="00C00203"/>
    <w:rsid w:val="00C00A47"/>
    <w:rsid w:val="00C01469"/>
    <w:rsid w:val="00C025DC"/>
    <w:rsid w:val="00C02C26"/>
    <w:rsid w:val="00C161F7"/>
    <w:rsid w:val="00C20217"/>
    <w:rsid w:val="00C20E1F"/>
    <w:rsid w:val="00C2406F"/>
    <w:rsid w:val="00C25261"/>
    <w:rsid w:val="00C253D3"/>
    <w:rsid w:val="00C322FD"/>
    <w:rsid w:val="00C32BD2"/>
    <w:rsid w:val="00C32FCA"/>
    <w:rsid w:val="00C3465B"/>
    <w:rsid w:val="00C37740"/>
    <w:rsid w:val="00C421AE"/>
    <w:rsid w:val="00C46E68"/>
    <w:rsid w:val="00C46ED2"/>
    <w:rsid w:val="00C47C49"/>
    <w:rsid w:val="00C47FE3"/>
    <w:rsid w:val="00C55E40"/>
    <w:rsid w:val="00C5769D"/>
    <w:rsid w:val="00C6073E"/>
    <w:rsid w:val="00C60A0B"/>
    <w:rsid w:val="00C615CC"/>
    <w:rsid w:val="00C61E86"/>
    <w:rsid w:val="00C6233F"/>
    <w:rsid w:val="00C62C88"/>
    <w:rsid w:val="00C67C27"/>
    <w:rsid w:val="00C70A6D"/>
    <w:rsid w:val="00C713EA"/>
    <w:rsid w:val="00C71A1B"/>
    <w:rsid w:val="00C7254D"/>
    <w:rsid w:val="00C72EF5"/>
    <w:rsid w:val="00C77D5D"/>
    <w:rsid w:val="00C81E36"/>
    <w:rsid w:val="00C84B59"/>
    <w:rsid w:val="00C92772"/>
    <w:rsid w:val="00C92E7D"/>
    <w:rsid w:val="00C95ED9"/>
    <w:rsid w:val="00CA0460"/>
    <w:rsid w:val="00CA14FA"/>
    <w:rsid w:val="00CA42F6"/>
    <w:rsid w:val="00CA55AF"/>
    <w:rsid w:val="00CA6F9F"/>
    <w:rsid w:val="00CB02AD"/>
    <w:rsid w:val="00CB0DEA"/>
    <w:rsid w:val="00CB0F80"/>
    <w:rsid w:val="00CB2ABD"/>
    <w:rsid w:val="00CB589B"/>
    <w:rsid w:val="00CB5F74"/>
    <w:rsid w:val="00CC2047"/>
    <w:rsid w:val="00CC2FF9"/>
    <w:rsid w:val="00CC33C8"/>
    <w:rsid w:val="00CC57B5"/>
    <w:rsid w:val="00CC5B7D"/>
    <w:rsid w:val="00CC79DF"/>
    <w:rsid w:val="00CD2DFC"/>
    <w:rsid w:val="00CD66A5"/>
    <w:rsid w:val="00CD768D"/>
    <w:rsid w:val="00CD7AE2"/>
    <w:rsid w:val="00CD7DB3"/>
    <w:rsid w:val="00CE04BD"/>
    <w:rsid w:val="00CE2002"/>
    <w:rsid w:val="00CF0203"/>
    <w:rsid w:val="00CF0268"/>
    <w:rsid w:val="00CF5F9A"/>
    <w:rsid w:val="00D0082D"/>
    <w:rsid w:val="00D016B0"/>
    <w:rsid w:val="00D05E57"/>
    <w:rsid w:val="00D07409"/>
    <w:rsid w:val="00D12E44"/>
    <w:rsid w:val="00D12F7B"/>
    <w:rsid w:val="00D13376"/>
    <w:rsid w:val="00D1341B"/>
    <w:rsid w:val="00D15115"/>
    <w:rsid w:val="00D164F3"/>
    <w:rsid w:val="00D2065E"/>
    <w:rsid w:val="00D20FD8"/>
    <w:rsid w:val="00D23A6E"/>
    <w:rsid w:val="00D270AD"/>
    <w:rsid w:val="00D31997"/>
    <w:rsid w:val="00D32DBB"/>
    <w:rsid w:val="00D3334D"/>
    <w:rsid w:val="00D339CC"/>
    <w:rsid w:val="00D34CF1"/>
    <w:rsid w:val="00D35324"/>
    <w:rsid w:val="00D353B0"/>
    <w:rsid w:val="00D3582F"/>
    <w:rsid w:val="00D3593C"/>
    <w:rsid w:val="00D40001"/>
    <w:rsid w:val="00D40D44"/>
    <w:rsid w:val="00D42DC1"/>
    <w:rsid w:val="00D42FED"/>
    <w:rsid w:val="00D46A87"/>
    <w:rsid w:val="00D50937"/>
    <w:rsid w:val="00D50D66"/>
    <w:rsid w:val="00D50E61"/>
    <w:rsid w:val="00D51937"/>
    <w:rsid w:val="00D5289E"/>
    <w:rsid w:val="00D52BC6"/>
    <w:rsid w:val="00D53E10"/>
    <w:rsid w:val="00D5487C"/>
    <w:rsid w:val="00D56A77"/>
    <w:rsid w:val="00D5733B"/>
    <w:rsid w:val="00D57A27"/>
    <w:rsid w:val="00D6162E"/>
    <w:rsid w:val="00D66C5E"/>
    <w:rsid w:val="00D70408"/>
    <w:rsid w:val="00D716AB"/>
    <w:rsid w:val="00D7578F"/>
    <w:rsid w:val="00D8380A"/>
    <w:rsid w:val="00D90CEA"/>
    <w:rsid w:val="00D91906"/>
    <w:rsid w:val="00D91D51"/>
    <w:rsid w:val="00D91D69"/>
    <w:rsid w:val="00D940AA"/>
    <w:rsid w:val="00D94BE1"/>
    <w:rsid w:val="00DA2474"/>
    <w:rsid w:val="00DA4935"/>
    <w:rsid w:val="00DB2ACE"/>
    <w:rsid w:val="00DB7CD8"/>
    <w:rsid w:val="00DC3E8E"/>
    <w:rsid w:val="00DC790B"/>
    <w:rsid w:val="00DD1678"/>
    <w:rsid w:val="00DD1BF7"/>
    <w:rsid w:val="00DD7A5C"/>
    <w:rsid w:val="00DE0F93"/>
    <w:rsid w:val="00DE19CC"/>
    <w:rsid w:val="00DE29F7"/>
    <w:rsid w:val="00DE2ACB"/>
    <w:rsid w:val="00DE30B6"/>
    <w:rsid w:val="00DE4496"/>
    <w:rsid w:val="00DE7393"/>
    <w:rsid w:val="00DF0F81"/>
    <w:rsid w:val="00DF14DF"/>
    <w:rsid w:val="00DF458A"/>
    <w:rsid w:val="00DF47CC"/>
    <w:rsid w:val="00DF5ADD"/>
    <w:rsid w:val="00E00A9B"/>
    <w:rsid w:val="00E03E90"/>
    <w:rsid w:val="00E059CB"/>
    <w:rsid w:val="00E07EA8"/>
    <w:rsid w:val="00E1039D"/>
    <w:rsid w:val="00E14DC5"/>
    <w:rsid w:val="00E1549E"/>
    <w:rsid w:val="00E17A15"/>
    <w:rsid w:val="00E20789"/>
    <w:rsid w:val="00E20832"/>
    <w:rsid w:val="00E20C6A"/>
    <w:rsid w:val="00E2109C"/>
    <w:rsid w:val="00E21A28"/>
    <w:rsid w:val="00E32B75"/>
    <w:rsid w:val="00E35D49"/>
    <w:rsid w:val="00E35E5E"/>
    <w:rsid w:val="00E37032"/>
    <w:rsid w:val="00E37732"/>
    <w:rsid w:val="00E4014F"/>
    <w:rsid w:val="00E424EB"/>
    <w:rsid w:val="00E42B73"/>
    <w:rsid w:val="00E44FCE"/>
    <w:rsid w:val="00E50195"/>
    <w:rsid w:val="00E50B21"/>
    <w:rsid w:val="00E50D1C"/>
    <w:rsid w:val="00E52595"/>
    <w:rsid w:val="00E542BD"/>
    <w:rsid w:val="00E56EBA"/>
    <w:rsid w:val="00E63E67"/>
    <w:rsid w:val="00E654AC"/>
    <w:rsid w:val="00E70A67"/>
    <w:rsid w:val="00E75AB0"/>
    <w:rsid w:val="00E820C2"/>
    <w:rsid w:val="00E82B87"/>
    <w:rsid w:val="00E94DD3"/>
    <w:rsid w:val="00E95CB4"/>
    <w:rsid w:val="00E97CE8"/>
    <w:rsid w:val="00EA1089"/>
    <w:rsid w:val="00EA4654"/>
    <w:rsid w:val="00EA63B7"/>
    <w:rsid w:val="00EA71AB"/>
    <w:rsid w:val="00EA7A64"/>
    <w:rsid w:val="00EB2CCE"/>
    <w:rsid w:val="00EB4AE7"/>
    <w:rsid w:val="00EB4C67"/>
    <w:rsid w:val="00EB5677"/>
    <w:rsid w:val="00EB5B33"/>
    <w:rsid w:val="00EB6490"/>
    <w:rsid w:val="00EB7CC9"/>
    <w:rsid w:val="00EC1661"/>
    <w:rsid w:val="00EC7628"/>
    <w:rsid w:val="00ED518B"/>
    <w:rsid w:val="00ED637A"/>
    <w:rsid w:val="00EE0011"/>
    <w:rsid w:val="00EE088A"/>
    <w:rsid w:val="00EE0AF2"/>
    <w:rsid w:val="00EE1870"/>
    <w:rsid w:val="00EE29DF"/>
    <w:rsid w:val="00EE36C3"/>
    <w:rsid w:val="00EE444C"/>
    <w:rsid w:val="00EE4A98"/>
    <w:rsid w:val="00EE653F"/>
    <w:rsid w:val="00EE6808"/>
    <w:rsid w:val="00EE6D8D"/>
    <w:rsid w:val="00EF07FE"/>
    <w:rsid w:val="00EF40D3"/>
    <w:rsid w:val="00EF6144"/>
    <w:rsid w:val="00EF663E"/>
    <w:rsid w:val="00EF6E5C"/>
    <w:rsid w:val="00EF7DC7"/>
    <w:rsid w:val="00F00FF0"/>
    <w:rsid w:val="00F011C8"/>
    <w:rsid w:val="00F014EB"/>
    <w:rsid w:val="00F01E58"/>
    <w:rsid w:val="00F03951"/>
    <w:rsid w:val="00F03966"/>
    <w:rsid w:val="00F107FC"/>
    <w:rsid w:val="00F11AA2"/>
    <w:rsid w:val="00F121E1"/>
    <w:rsid w:val="00F20194"/>
    <w:rsid w:val="00F216D5"/>
    <w:rsid w:val="00F2205B"/>
    <w:rsid w:val="00F221ED"/>
    <w:rsid w:val="00F23E04"/>
    <w:rsid w:val="00F24339"/>
    <w:rsid w:val="00F250A8"/>
    <w:rsid w:val="00F32F39"/>
    <w:rsid w:val="00F34DB3"/>
    <w:rsid w:val="00F359A7"/>
    <w:rsid w:val="00F35AEA"/>
    <w:rsid w:val="00F36DCB"/>
    <w:rsid w:val="00F36EAF"/>
    <w:rsid w:val="00F418A7"/>
    <w:rsid w:val="00F42B95"/>
    <w:rsid w:val="00F42CE4"/>
    <w:rsid w:val="00F44EC0"/>
    <w:rsid w:val="00F45427"/>
    <w:rsid w:val="00F458A4"/>
    <w:rsid w:val="00F458E6"/>
    <w:rsid w:val="00F512A2"/>
    <w:rsid w:val="00F51BE6"/>
    <w:rsid w:val="00F51E52"/>
    <w:rsid w:val="00F52CA4"/>
    <w:rsid w:val="00F53F4C"/>
    <w:rsid w:val="00F550FA"/>
    <w:rsid w:val="00F55BBC"/>
    <w:rsid w:val="00F57AE0"/>
    <w:rsid w:val="00F57D71"/>
    <w:rsid w:val="00F57E1C"/>
    <w:rsid w:val="00F62B3C"/>
    <w:rsid w:val="00F64D7E"/>
    <w:rsid w:val="00F713F4"/>
    <w:rsid w:val="00F7636B"/>
    <w:rsid w:val="00F76AEC"/>
    <w:rsid w:val="00F775D4"/>
    <w:rsid w:val="00F8169D"/>
    <w:rsid w:val="00F828CC"/>
    <w:rsid w:val="00F82D69"/>
    <w:rsid w:val="00F855A2"/>
    <w:rsid w:val="00F86AC4"/>
    <w:rsid w:val="00F87DBB"/>
    <w:rsid w:val="00F91200"/>
    <w:rsid w:val="00F9156D"/>
    <w:rsid w:val="00F93952"/>
    <w:rsid w:val="00F940D4"/>
    <w:rsid w:val="00F943DF"/>
    <w:rsid w:val="00F9520A"/>
    <w:rsid w:val="00F96FEA"/>
    <w:rsid w:val="00F97EB7"/>
    <w:rsid w:val="00FA003E"/>
    <w:rsid w:val="00FA0A31"/>
    <w:rsid w:val="00FA4E50"/>
    <w:rsid w:val="00FA55A8"/>
    <w:rsid w:val="00FA596A"/>
    <w:rsid w:val="00FA67C0"/>
    <w:rsid w:val="00FB11A8"/>
    <w:rsid w:val="00FB22B3"/>
    <w:rsid w:val="00FB40E4"/>
    <w:rsid w:val="00FB4819"/>
    <w:rsid w:val="00FB5628"/>
    <w:rsid w:val="00FB57CE"/>
    <w:rsid w:val="00FB618D"/>
    <w:rsid w:val="00FB6C7D"/>
    <w:rsid w:val="00FC4B40"/>
    <w:rsid w:val="00FD3FF0"/>
    <w:rsid w:val="00FD5B06"/>
    <w:rsid w:val="00FD7A8B"/>
    <w:rsid w:val="00FE6257"/>
    <w:rsid w:val="00FE6309"/>
    <w:rsid w:val="00FF05FF"/>
    <w:rsid w:val="00FF15D0"/>
    <w:rsid w:val="00FF1D4E"/>
    <w:rsid w:val="00FF3516"/>
    <w:rsid w:val="00FF40D5"/>
    <w:rsid w:val="00FF427E"/>
    <w:rsid w:val="00FF6178"/>
    <w:rsid w:val="00FF676D"/>
    <w:rsid w:val="00FF6811"/>
    <w:rsid w:val="00FF72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203"/>
    <w:rPr>
      <w:sz w:val="24"/>
      <w:szCs w:val="24"/>
      <w:lang w:val="es-ES" w:eastAsia="es-ES"/>
    </w:rPr>
  </w:style>
  <w:style w:type="paragraph" w:styleId="Heading1">
    <w:name w:val="heading 1"/>
    <w:basedOn w:val="Normal"/>
    <w:next w:val="Normal"/>
    <w:link w:val="Heading1Char"/>
    <w:uiPriority w:val="9"/>
    <w:qFormat/>
    <w:rsid w:val="000F285D"/>
    <w:pPr>
      <w:keepNext/>
      <w:widowControl w:val="0"/>
      <w:numPr>
        <w:numId w:val="1"/>
      </w:numPr>
      <w:autoSpaceDE w:val="0"/>
      <w:autoSpaceDN w:val="0"/>
      <w:adjustRightInd w:val="0"/>
      <w:spacing w:after="240"/>
      <w:ind w:left="357" w:hanging="357"/>
      <w:jc w:val="both"/>
      <w:outlineLvl w:val="0"/>
    </w:pPr>
    <w:rPr>
      <w:rFonts w:ascii="Arial" w:hAnsi="Arial" w:cs="Arial"/>
      <w:b/>
      <w:bCs/>
      <w:szCs w:val="22"/>
    </w:rPr>
  </w:style>
  <w:style w:type="paragraph" w:styleId="Heading2">
    <w:name w:val="heading 2"/>
    <w:basedOn w:val="Normal"/>
    <w:next w:val="Normal"/>
    <w:link w:val="Heading2Char"/>
    <w:unhideWhenUsed/>
    <w:qFormat/>
    <w:rsid w:val="00C00203"/>
    <w:pPr>
      <w:keepNext/>
      <w:keepLines/>
      <w:numPr>
        <w:numId w:val="5"/>
      </w:numPr>
      <w:spacing w:before="200"/>
      <w:outlineLvl w:val="1"/>
    </w:pPr>
    <w:rPr>
      <w:rFonts w:asciiTheme="majorHAnsi" w:eastAsiaTheme="majorEastAsia" w:hAnsiTheme="majorHAnsi" w:cstheme="majorBidi"/>
      <w:b/>
      <w:bCs/>
      <w:color w:val="000000" w:themeColor="text1"/>
      <w:sz w:val="22"/>
      <w:szCs w:val="26"/>
    </w:rPr>
  </w:style>
  <w:style w:type="paragraph" w:styleId="Heading3">
    <w:name w:val="heading 3"/>
    <w:basedOn w:val="Normal"/>
    <w:next w:val="Normal"/>
    <w:link w:val="Heading3Char"/>
    <w:qFormat/>
    <w:rsid w:val="000F285D"/>
    <w:pPr>
      <w:outlineLvl w:val="2"/>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85D"/>
    <w:rPr>
      <w:rFonts w:ascii="Arial" w:hAnsi="Arial" w:cs="Arial"/>
      <w:b/>
      <w:bCs/>
      <w:sz w:val="24"/>
      <w:szCs w:val="22"/>
      <w:lang w:val="es-ES" w:eastAsia="es-ES"/>
    </w:rPr>
  </w:style>
  <w:style w:type="character" w:customStyle="1" w:styleId="Heading2Char">
    <w:name w:val="Heading 2 Char"/>
    <w:basedOn w:val="DefaultParagraphFont"/>
    <w:link w:val="Heading2"/>
    <w:rsid w:val="00C00203"/>
    <w:rPr>
      <w:rFonts w:asciiTheme="majorHAnsi" w:eastAsiaTheme="majorEastAsia" w:hAnsiTheme="majorHAnsi" w:cstheme="majorBidi"/>
      <w:b/>
      <w:bCs/>
      <w:color w:val="000000" w:themeColor="text1"/>
      <w:sz w:val="22"/>
      <w:szCs w:val="26"/>
      <w:lang w:val="es-ES" w:eastAsia="es-ES"/>
    </w:rPr>
  </w:style>
  <w:style w:type="character" w:customStyle="1" w:styleId="Heading3Char">
    <w:name w:val="Heading 3 Char"/>
    <w:basedOn w:val="DefaultParagraphFont"/>
    <w:link w:val="Heading3"/>
    <w:rsid w:val="000F285D"/>
    <w:rPr>
      <w:rFonts w:ascii="Arial" w:hAnsi="Arial" w:cs="Arial"/>
      <w:color w:val="000000"/>
      <w:sz w:val="24"/>
      <w:szCs w:val="24"/>
      <w:lang w:val="es-ES" w:eastAsia="es-ES"/>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footn"/>
    <w:basedOn w:val="Normal"/>
    <w:link w:val="FootnoteTextChar"/>
    <w:uiPriority w:val="99"/>
    <w:rsid w:val="000F285D"/>
    <w:rPr>
      <w:sz w:val="20"/>
      <w:szCs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0F285D"/>
    <w:rPr>
      <w:lang w:val="es-ES" w:eastAsia="es-ES"/>
    </w:rPr>
  </w:style>
  <w:style w:type="character" w:styleId="FootnoteReference">
    <w:name w:val="footnote reference"/>
    <w:basedOn w:val="DefaultParagraphFont"/>
    <w:uiPriority w:val="99"/>
    <w:rsid w:val="000F285D"/>
    <w:rPr>
      <w:vertAlign w:val="superscript"/>
    </w:rPr>
  </w:style>
  <w:style w:type="paragraph" w:styleId="BodyText">
    <w:name w:val="Body Text"/>
    <w:basedOn w:val="Normal"/>
    <w:link w:val="BodyTextChar"/>
    <w:rsid w:val="000F285D"/>
    <w:pPr>
      <w:widowControl w:val="0"/>
      <w:autoSpaceDE w:val="0"/>
      <w:autoSpaceDN w:val="0"/>
      <w:adjustRightInd w:val="0"/>
      <w:spacing w:after="240"/>
      <w:ind w:right="24"/>
      <w:jc w:val="both"/>
    </w:pPr>
    <w:rPr>
      <w:rFonts w:ascii="Arial" w:hAnsi="Arial" w:cs="Arial"/>
      <w:szCs w:val="22"/>
    </w:rPr>
  </w:style>
  <w:style w:type="character" w:customStyle="1" w:styleId="BodyTextChar">
    <w:name w:val="Body Text Char"/>
    <w:basedOn w:val="DefaultParagraphFont"/>
    <w:link w:val="BodyText"/>
    <w:rsid w:val="000F285D"/>
    <w:rPr>
      <w:rFonts w:ascii="Arial" w:hAnsi="Arial" w:cs="Arial"/>
      <w:sz w:val="24"/>
      <w:szCs w:val="22"/>
      <w:lang w:val="es-ES" w:eastAsia="es-ES"/>
    </w:rPr>
  </w:style>
  <w:style w:type="paragraph" w:styleId="Header">
    <w:name w:val="header"/>
    <w:basedOn w:val="Normal"/>
    <w:link w:val="HeaderChar"/>
    <w:rsid w:val="000F285D"/>
    <w:pPr>
      <w:tabs>
        <w:tab w:val="center" w:pos="4419"/>
        <w:tab w:val="right" w:pos="8838"/>
      </w:tabs>
    </w:pPr>
  </w:style>
  <w:style w:type="character" w:customStyle="1" w:styleId="HeaderChar">
    <w:name w:val="Header Char"/>
    <w:basedOn w:val="DefaultParagraphFont"/>
    <w:link w:val="Header"/>
    <w:rsid w:val="000F285D"/>
    <w:rPr>
      <w:sz w:val="24"/>
      <w:szCs w:val="24"/>
      <w:lang w:val="es-ES" w:eastAsia="es-ES"/>
    </w:rPr>
  </w:style>
  <w:style w:type="paragraph" w:styleId="Footer">
    <w:name w:val="footer"/>
    <w:basedOn w:val="Normal"/>
    <w:link w:val="FooterChar"/>
    <w:uiPriority w:val="99"/>
    <w:rsid w:val="000F285D"/>
    <w:pPr>
      <w:tabs>
        <w:tab w:val="center" w:pos="4419"/>
        <w:tab w:val="right" w:pos="8838"/>
      </w:tabs>
    </w:pPr>
  </w:style>
  <w:style w:type="character" w:customStyle="1" w:styleId="FooterChar">
    <w:name w:val="Footer Char"/>
    <w:basedOn w:val="DefaultParagraphFont"/>
    <w:link w:val="Footer"/>
    <w:uiPriority w:val="99"/>
    <w:rsid w:val="000F285D"/>
    <w:rPr>
      <w:sz w:val="24"/>
      <w:szCs w:val="24"/>
      <w:lang w:val="es-ES" w:eastAsia="es-ES"/>
    </w:rPr>
  </w:style>
  <w:style w:type="character" w:styleId="PageNumber">
    <w:name w:val="page number"/>
    <w:basedOn w:val="DefaultParagraphFont"/>
    <w:rsid w:val="000F285D"/>
  </w:style>
  <w:style w:type="paragraph" w:styleId="BodyText2">
    <w:name w:val="Body Text 2"/>
    <w:basedOn w:val="Normal"/>
    <w:link w:val="BodyText2Char"/>
    <w:rsid w:val="000F285D"/>
    <w:pPr>
      <w:spacing w:after="240"/>
      <w:jc w:val="both"/>
    </w:pPr>
    <w:rPr>
      <w:rFonts w:ascii="Arial" w:hAnsi="Arial" w:cs="Arial"/>
    </w:rPr>
  </w:style>
  <w:style w:type="character" w:customStyle="1" w:styleId="BodyText2Char">
    <w:name w:val="Body Text 2 Char"/>
    <w:basedOn w:val="DefaultParagraphFont"/>
    <w:link w:val="BodyText2"/>
    <w:rsid w:val="000F285D"/>
    <w:rPr>
      <w:rFonts w:ascii="Arial" w:hAnsi="Arial" w:cs="Arial"/>
      <w:sz w:val="24"/>
      <w:szCs w:val="24"/>
      <w:lang w:val="es-ES" w:eastAsia="es-ES"/>
    </w:rPr>
  </w:style>
  <w:style w:type="paragraph" w:styleId="BodyText3">
    <w:name w:val="Body Text 3"/>
    <w:basedOn w:val="Normal"/>
    <w:link w:val="BodyText3Char"/>
    <w:rsid w:val="000F285D"/>
    <w:pPr>
      <w:widowControl w:val="0"/>
      <w:autoSpaceDE w:val="0"/>
      <w:autoSpaceDN w:val="0"/>
      <w:adjustRightInd w:val="0"/>
      <w:spacing w:after="360"/>
      <w:ind w:right="23"/>
      <w:jc w:val="both"/>
    </w:pPr>
    <w:rPr>
      <w:rFonts w:ascii="Arial" w:hAnsi="Arial" w:cs="Arial"/>
      <w:szCs w:val="22"/>
    </w:rPr>
  </w:style>
  <w:style w:type="character" w:customStyle="1" w:styleId="BodyText3Char">
    <w:name w:val="Body Text 3 Char"/>
    <w:basedOn w:val="DefaultParagraphFont"/>
    <w:link w:val="BodyText3"/>
    <w:rsid w:val="000F285D"/>
    <w:rPr>
      <w:rFonts w:ascii="Arial" w:hAnsi="Arial" w:cs="Arial"/>
      <w:sz w:val="24"/>
      <w:szCs w:val="22"/>
      <w:lang w:val="es-ES" w:eastAsia="es-ES"/>
    </w:rPr>
  </w:style>
  <w:style w:type="paragraph" w:styleId="BlockText">
    <w:name w:val="Block Text"/>
    <w:basedOn w:val="Normal"/>
    <w:rsid w:val="000F285D"/>
    <w:pPr>
      <w:widowControl w:val="0"/>
      <w:autoSpaceDE w:val="0"/>
      <w:autoSpaceDN w:val="0"/>
      <w:adjustRightInd w:val="0"/>
      <w:spacing w:after="240"/>
      <w:ind w:left="708" w:right="23"/>
      <w:jc w:val="both"/>
    </w:pPr>
    <w:rPr>
      <w:rFonts w:ascii="Arial" w:hAnsi="Arial" w:cs="Arial"/>
      <w:szCs w:val="22"/>
    </w:rPr>
  </w:style>
  <w:style w:type="paragraph" w:styleId="BodyTextIndent">
    <w:name w:val="Body Text Indent"/>
    <w:basedOn w:val="Normal"/>
    <w:link w:val="BodyTextIndentChar"/>
    <w:rsid w:val="000F285D"/>
    <w:pPr>
      <w:spacing w:after="240"/>
      <w:ind w:left="720" w:hanging="12"/>
      <w:jc w:val="both"/>
    </w:pPr>
    <w:rPr>
      <w:rFonts w:ascii="Arial" w:hAnsi="Arial"/>
    </w:rPr>
  </w:style>
  <w:style w:type="character" w:customStyle="1" w:styleId="BodyTextIndentChar">
    <w:name w:val="Body Text Indent Char"/>
    <w:basedOn w:val="DefaultParagraphFont"/>
    <w:link w:val="BodyTextIndent"/>
    <w:rsid w:val="000F285D"/>
    <w:rPr>
      <w:rFonts w:ascii="Arial" w:hAnsi="Arial"/>
      <w:sz w:val="24"/>
      <w:szCs w:val="24"/>
      <w:lang w:val="es-ES" w:eastAsia="es-ES"/>
    </w:rPr>
  </w:style>
  <w:style w:type="paragraph" w:styleId="BodyTextIndent2">
    <w:name w:val="Body Text Indent 2"/>
    <w:basedOn w:val="Normal"/>
    <w:link w:val="BodyTextIndent2Char"/>
    <w:rsid w:val="000F285D"/>
    <w:pPr>
      <w:spacing w:after="240"/>
      <w:ind w:left="720"/>
    </w:pPr>
    <w:rPr>
      <w:rFonts w:ascii="Arial" w:hAnsi="Arial"/>
    </w:rPr>
  </w:style>
  <w:style w:type="character" w:customStyle="1" w:styleId="BodyTextIndent2Char">
    <w:name w:val="Body Text Indent 2 Char"/>
    <w:basedOn w:val="DefaultParagraphFont"/>
    <w:link w:val="BodyTextIndent2"/>
    <w:rsid w:val="000F285D"/>
    <w:rPr>
      <w:rFonts w:ascii="Arial" w:hAnsi="Arial"/>
      <w:sz w:val="24"/>
      <w:szCs w:val="24"/>
      <w:lang w:val="es-ES" w:eastAsia="es-ES"/>
    </w:rPr>
  </w:style>
  <w:style w:type="paragraph" w:styleId="BodyTextIndent3">
    <w:name w:val="Body Text Indent 3"/>
    <w:basedOn w:val="Normal"/>
    <w:link w:val="BodyTextIndent3Char"/>
    <w:rsid w:val="000F285D"/>
    <w:pPr>
      <w:spacing w:after="240"/>
      <w:ind w:left="720"/>
      <w:jc w:val="both"/>
    </w:pPr>
    <w:rPr>
      <w:rFonts w:ascii="Arial" w:hAnsi="Arial"/>
    </w:rPr>
  </w:style>
  <w:style w:type="character" w:customStyle="1" w:styleId="BodyTextIndent3Char">
    <w:name w:val="Body Text Indent 3 Char"/>
    <w:basedOn w:val="DefaultParagraphFont"/>
    <w:link w:val="BodyTextIndent3"/>
    <w:rsid w:val="000F285D"/>
    <w:rPr>
      <w:rFonts w:ascii="Arial" w:hAnsi="Arial"/>
      <w:sz w:val="24"/>
      <w:szCs w:val="24"/>
      <w:lang w:val="es-ES" w:eastAsia="es-ES"/>
    </w:rPr>
  </w:style>
  <w:style w:type="paragraph" w:styleId="Title">
    <w:name w:val="Title"/>
    <w:basedOn w:val="Normal"/>
    <w:link w:val="TitleChar"/>
    <w:qFormat/>
    <w:rsid w:val="000F285D"/>
    <w:pPr>
      <w:widowControl w:val="0"/>
      <w:autoSpaceDE w:val="0"/>
      <w:autoSpaceDN w:val="0"/>
      <w:adjustRightInd w:val="0"/>
      <w:spacing w:after="480" w:line="278" w:lineRule="exact"/>
      <w:ind w:left="28" w:right="23"/>
      <w:jc w:val="center"/>
    </w:pPr>
    <w:rPr>
      <w:rFonts w:ascii="Arial" w:hAnsi="Arial" w:cs="Arial"/>
      <w:b/>
      <w:bCs/>
      <w:szCs w:val="22"/>
    </w:rPr>
  </w:style>
  <w:style w:type="character" w:customStyle="1" w:styleId="TitleChar">
    <w:name w:val="Title Char"/>
    <w:basedOn w:val="DefaultParagraphFont"/>
    <w:link w:val="Title"/>
    <w:rsid w:val="000F285D"/>
    <w:rPr>
      <w:rFonts w:ascii="Arial" w:hAnsi="Arial" w:cs="Arial"/>
      <w:b/>
      <w:bCs/>
      <w:sz w:val="24"/>
      <w:szCs w:val="22"/>
      <w:lang w:val="es-ES" w:eastAsia="es-ES"/>
    </w:rPr>
  </w:style>
  <w:style w:type="character" w:styleId="Hyperlink">
    <w:name w:val="Hyperlink"/>
    <w:basedOn w:val="DefaultParagraphFont"/>
    <w:rsid w:val="000F285D"/>
    <w:rPr>
      <w:color w:val="0000FF"/>
      <w:u w:val="single"/>
    </w:rPr>
  </w:style>
  <w:style w:type="paragraph" w:styleId="BalloonText">
    <w:name w:val="Balloon Text"/>
    <w:basedOn w:val="Normal"/>
    <w:link w:val="BalloonTextChar"/>
    <w:rsid w:val="000F285D"/>
    <w:rPr>
      <w:rFonts w:ascii="Tahoma" w:hAnsi="Tahoma" w:cs="Tahoma"/>
      <w:sz w:val="16"/>
      <w:szCs w:val="16"/>
    </w:rPr>
  </w:style>
  <w:style w:type="character" w:customStyle="1" w:styleId="BalloonTextChar">
    <w:name w:val="Balloon Text Char"/>
    <w:basedOn w:val="DefaultParagraphFont"/>
    <w:link w:val="BalloonText"/>
    <w:rsid w:val="000F285D"/>
    <w:rPr>
      <w:rFonts w:ascii="Tahoma" w:hAnsi="Tahoma" w:cs="Tahoma"/>
      <w:sz w:val="16"/>
      <w:szCs w:val="16"/>
      <w:lang w:val="es-ES" w:eastAsia="es-ES"/>
    </w:rPr>
  </w:style>
  <w:style w:type="table" w:styleId="TableGrid">
    <w:name w:val="Table Grid"/>
    <w:basedOn w:val="TableNormal"/>
    <w:rsid w:val="000F285D"/>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285D"/>
    <w:pPr>
      <w:ind w:left="720"/>
      <w:contextualSpacing/>
    </w:pPr>
  </w:style>
  <w:style w:type="character" w:styleId="PlaceholderText">
    <w:name w:val="Placeholder Text"/>
    <w:basedOn w:val="DefaultParagraphFont"/>
    <w:uiPriority w:val="99"/>
    <w:semiHidden/>
    <w:rsid w:val="000F285D"/>
    <w:rPr>
      <w:color w:val="808080"/>
    </w:rPr>
  </w:style>
  <w:style w:type="paragraph" w:styleId="TOC1">
    <w:name w:val="toc 1"/>
    <w:basedOn w:val="Normal"/>
    <w:next w:val="Normal"/>
    <w:autoRedefine/>
    <w:uiPriority w:val="39"/>
    <w:rsid w:val="009738C0"/>
    <w:pPr>
      <w:tabs>
        <w:tab w:val="left" w:pos="480"/>
        <w:tab w:val="right" w:leader="underscore" w:pos="8828"/>
      </w:tabs>
    </w:pPr>
    <w:rPr>
      <w:rFonts w:asciiTheme="minorHAnsi" w:hAnsiTheme="minorHAnsi"/>
      <w:b/>
      <w:bCs/>
      <w:i/>
      <w:iCs/>
    </w:rPr>
  </w:style>
  <w:style w:type="paragraph" w:styleId="TOC2">
    <w:name w:val="toc 2"/>
    <w:basedOn w:val="Normal"/>
    <w:next w:val="Normal"/>
    <w:autoRedefine/>
    <w:uiPriority w:val="39"/>
    <w:rsid w:val="000F285D"/>
    <w:pPr>
      <w:spacing w:before="120"/>
      <w:ind w:left="240"/>
    </w:pPr>
    <w:rPr>
      <w:rFonts w:asciiTheme="minorHAnsi" w:hAnsiTheme="minorHAnsi"/>
      <w:b/>
      <w:bCs/>
      <w:sz w:val="22"/>
      <w:szCs w:val="22"/>
    </w:rPr>
  </w:style>
  <w:style w:type="paragraph" w:styleId="TOC3">
    <w:name w:val="toc 3"/>
    <w:basedOn w:val="Normal"/>
    <w:next w:val="Normal"/>
    <w:autoRedefine/>
    <w:uiPriority w:val="39"/>
    <w:rsid w:val="000F285D"/>
    <w:pPr>
      <w:ind w:left="480"/>
    </w:pPr>
    <w:rPr>
      <w:rFonts w:asciiTheme="minorHAnsi" w:hAnsiTheme="minorHAnsi"/>
      <w:sz w:val="20"/>
      <w:szCs w:val="20"/>
    </w:rPr>
  </w:style>
  <w:style w:type="paragraph" w:styleId="TOC4">
    <w:name w:val="toc 4"/>
    <w:basedOn w:val="Normal"/>
    <w:next w:val="Normal"/>
    <w:autoRedefine/>
    <w:rsid w:val="000F285D"/>
    <w:pPr>
      <w:ind w:left="720"/>
    </w:pPr>
    <w:rPr>
      <w:rFonts w:asciiTheme="minorHAnsi" w:hAnsiTheme="minorHAnsi"/>
      <w:sz w:val="20"/>
      <w:szCs w:val="20"/>
    </w:rPr>
  </w:style>
  <w:style w:type="paragraph" w:styleId="TOC5">
    <w:name w:val="toc 5"/>
    <w:basedOn w:val="Normal"/>
    <w:next w:val="Normal"/>
    <w:autoRedefine/>
    <w:rsid w:val="000F285D"/>
    <w:pPr>
      <w:ind w:left="960"/>
    </w:pPr>
    <w:rPr>
      <w:rFonts w:asciiTheme="minorHAnsi" w:hAnsiTheme="minorHAnsi"/>
      <w:sz w:val="20"/>
      <w:szCs w:val="20"/>
    </w:rPr>
  </w:style>
  <w:style w:type="paragraph" w:styleId="TOC6">
    <w:name w:val="toc 6"/>
    <w:basedOn w:val="Normal"/>
    <w:next w:val="Normal"/>
    <w:autoRedefine/>
    <w:rsid w:val="000F285D"/>
    <w:pPr>
      <w:ind w:left="1200"/>
    </w:pPr>
    <w:rPr>
      <w:rFonts w:asciiTheme="minorHAnsi" w:hAnsiTheme="minorHAnsi"/>
      <w:sz w:val="20"/>
      <w:szCs w:val="20"/>
    </w:rPr>
  </w:style>
  <w:style w:type="paragraph" w:styleId="TOC7">
    <w:name w:val="toc 7"/>
    <w:basedOn w:val="Normal"/>
    <w:next w:val="Normal"/>
    <w:autoRedefine/>
    <w:rsid w:val="000F285D"/>
    <w:pPr>
      <w:ind w:left="1440"/>
    </w:pPr>
    <w:rPr>
      <w:rFonts w:asciiTheme="minorHAnsi" w:hAnsiTheme="minorHAnsi"/>
      <w:sz w:val="20"/>
      <w:szCs w:val="20"/>
    </w:rPr>
  </w:style>
  <w:style w:type="paragraph" w:styleId="TOC8">
    <w:name w:val="toc 8"/>
    <w:basedOn w:val="Normal"/>
    <w:next w:val="Normal"/>
    <w:autoRedefine/>
    <w:rsid w:val="000F285D"/>
    <w:pPr>
      <w:ind w:left="1680"/>
    </w:pPr>
    <w:rPr>
      <w:rFonts w:asciiTheme="minorHAnsi" w:hAnsiTheme="minorHAnsi"/>
      <w:sz w:val="20"/>
      <w:szCs w:val="20"/>
    </w:rPr>
  </w:style>
  <w:style w:type="paragraph" w:styleId="TOC9">
    <w:name w:val="toc 9"/>
    <w:basedOn w:val="Normal"/>
    <w:next w:val="Normal"/>
    <w:autoRedefine/>
    <w:rsid w:val="000F285D"/>
    <w:pPr>
      <w:ind w:left="1920"/>
    </w:pPr>
    <w:rPr>
      <w:rFonts w:asciiTheme="minorHAnsi" w:hAnsiTheme="minorHAnsi"/>
      <w:sz w:val="20"/>
      <w:szCs w:val="20"/>
    </w:rPr>
  </w:style>
  <w:style w:type="table" w:styleId="LightShading-Accent4">
    <w:name w:val="Light Shading Accent 4"/>
    <w:basedOn w:val="TableNormal"/>
    <w:uiPriority w:val="60"/>
    <w:rsid w:val="001019C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Simple1">
    <w:name w:val="Table Simple 1"/>
    <w:basedOn w:val="TableNormal"/>
    <w:rsid w:val="002179A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List-Accent3">
    <w:name w:val="Light List Accent 3"/>
    <w:basedOn w:val="TableNormal"/>
    <w:uiPriority w:val="61"/>
    <w:rsid w:val="005B3D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23247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C46E6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EstiloTtulo3CuerpoCalibri10ptoNegrita">
    <w:name w:val="Estilo Título 3 + +Cuerpo (Calibri) 10 pto Negrita"/>
    <w:basedOn w:val="Heading3"/>
    <w:rsid w:val="00B902DA"/>
    <w:rPr>
      <w:rFonts w:asciiTheme="minorHAnsi" w:hAnsiTheme="minorHAnsi"/>
      <w:b/>
      <w:bCs/>
      <w:sz w:val="22"/>
    </w:rPr>
  </w:style>
  <w:style w:type="character" w:styleId="CommentReference">
    <w:name w:val="annotation reference"/>
    <w:basedOn w:val="DefaultParagraphFont"/>
    <w:uiPriority w:val="99"/>
    <w:rsid w:val="00C37740"/>
    <w:rPr>
      <w:sz w:val="16"/>
      <w:szCs w:val="16"/>
    </w:rPr>
  </w:style>
  <w:style w:type="paragraph" w:styleId="CommentText">
    <w:name w:val="annotation text"/>
    <w:basedOn w:val="Normal"/>
    <w:link w:val="CommentTextChar"/>
    <w:uiPriority w:val="99"/>
    <w:rsid w:val="00C37740"/>
    <w:rPr>
      <w:sz w:val="20"/>
      <w:szCs w:val="20"/>
    </w:rPr>
  </w:style>
  <w:style w:type="character" w:customStyle="1" w:styleId="CommentTextChar">
    <w:name w:val="Comment Text Char"/>
    <w:basedOn w:val="DefaultParagraphFont"/>
    <w:link w:val="CommentText"/>
    <w:uiPriority w:val="99"/>
    <w:rsid w:val="00C37740"/>
    <w:rPr>
      <w:lang w:val="es-ES" w:eastAsia="es-ES"/>
    </w:rPr>
  </w:style>
  <w:style w:type="paragraph" w:styleId="CommentSubject">
    <w:name w:val="annotation subject"/>
    <w:basedOn w:val="CommentText"/>
    <w:next w:val="CommentText"/>
    <w:link w:val="CommentSubjectChar"/>
    <w:rsid w:val="00C37740"/>
    <w:rPr>
      <w:b/>
      <w:bCs/>
    </w:rPr>
  </w:style>
  <w:style w:type="character" w:customStyle="1" w:styleId="CommentSubjectChar">
    <w:name w:val="Comment Subject Char"/>
    <w:basedOn w:val="CommentTextChar"/>
    <w:link w:val="CommentSubject"/>
    <w:rsid w:val="00C37740"/>
    <w:rPr>
      <w:b/>
      <w:bCs/>
      <w:lang w:val="es-ES" w:eastAsia="es-ES"/>
    </w:rPr>
  </w:style>
  <w:style w:type="table" w:styleId="LightShading-Accent1">
    <w:name w:val="Light Shading Accent 1"/>
    <w:basedOn w:val="TableNormal"/>
    <w:uiPriority w:val="60"/>
    <w:rsid w:val="00EC166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92DE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Colorful3">
    <w:name w:val="Table Colorful 3"/>
    <w:basedOn w:val="TableNormal"/>
    <w:rsid w:val="008506F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506F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orful1">
    <w:name w:val="Table Colorful 1"/>
    <w:basedOn w:val="TableNormal"/>
    <w:rsid w:val="008506F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203"/>
    <w:rPr>
      <w:sz w:val="24"/>
      <w:szCs w:val="24"/>
      <w:lang w:val="es-ES" w:eastAsia="es-ES"/>
    </w:rPr>
  </w:style>
  <w:style w:type="paragraph" w:styleId="Heading1">
    <w:name w:val="heading 1"/>
    <w:basedOn w:val="Normal"/>
    <w:next w:val="Normal"/>
    <w:link w:val="Heading1Char"/>
    <w:uiPriority w:val="9"/>
    <w:qFormat/>
    <w:rsid w:val="000F285D"/>
    <w:pPr>
      <w:keepNext/>
      <w:widowControl w:val="0"/>
      <w:numPr>
        <w:numId w:val="1"/>
      </w:numPr>
      <w:autoSpaceDE w:val="0"/>
      <w:autoSpaceDN w:val="0"/>
      <w:adjustRightInd w:val="0"/>
      <w:spacing w:after="240"/>
      <w:ind w:left="357" w:hanging="357"/>
      <w:jc w:val="both"/>
      <w:outlineLvl w:val="0"/>
    </w:pPr>
    <w:rPr>
      <w:rFonts w:ascii="Arial" w:hAnsi="Arial" w:cs="Arial"/>
      <w:b/>
      <w:bCs/>
      <w:szCs w:val="22"/>
    </w:rPr>
  </w:style>
  <w:style w:type="paragraph" w:styleId="Heading2">
    <w:name w:val="heading 2"/>
    <w:basedOn w:val="Normal"/>
    <w:next w:val="Normal"/>
    <w:link w:val="Heading2Char"/>
    <w:unhideWhenUsed/>
    <w:qFormat/>
    <w:rsid w:val="00C00203"/>
    <w:pPr>
      <w:keepNext/>
      <w:keepLines/>
      <w:numPr>
        <w:numId w:val="5"/>
      </w:numPr>
      <w:spacing w:before="200"/>
      <w:outlineLvl w:val="1"/>
    </w:pPr>
    <w:rPr>
      <w:rFonts w:asciiTheme="majorHAnsi" w:eastAsiaTheme="majorEastAsia" w:hAnsiTheme="majorHAnsi" w:cstheme="majorBidi"/>
      <w:b/>
      <w:bCs/>
      <w:color w:val="000000" w:themeColor="text1"/>
      <w:sz w:val="22"/>
      <w:szCs w:val="26"/>
    </w:rPr>
  </w:style>
  <w:style w:type="paragraph" w:styleId="Heading3">
    <w:name w:val="heading 3"/>
    <w:basedOn w:val="Normal"/>
    <w:next w:val="Normal"/>
    <w:link w:val="Heading3Char"/>
    <w:qFormat/>
    <w:rsid w:val="000F285D"/>
    <w:pPr>
      <w:outlineLvl w:val="2"/>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85D"/>
    <w:rPr>
      <w:rFonts w:ascii="Arial" w:hAnsi="Arial" w:cs="Arial"/>
      <w:b/>
      <w:bCs/>
      <w:sz w:val="24"/>
      <w:szCs w:val="22"/>
      <w:lang w:val="es-ES" w:eastAsia="es-ES"/>
    </w:rPr>
  </w:style>
  <w:style w:type="character" w:customStyle="1" w:styleId="Heading2Char">
    <w:name w:val="Heading 2 Char"/>
    <w:basedOn w:val="DefaultParagraphFont"/>
    <w:link w:val="Heading2"/>
    <w:rsid w:val="00C00203"/>
    <w:rPr>
      <w:rFonts w:asciiTheme="majorHAnsi" w:eastAsiaTheme="majorEastAsia" w:hAnsiTheme="majorHAnsi" w:cstheme="majorBidi"/>
      <w:b/>
      <w:bCs/>
      <w:color w:val="000000" w:themeColor="text1"/>
      <w:sz w:val="22"/>
      <w:szCs w:val="26"/>
      <w:lang w:val="es-ES" w:eastAsia="es-ES"/>
    </w:rPr>
  </w:style>
  <w:style w:type="character" w:customStyle="1" w:styleId="Heading3Char">
    <w:name w:val="Heading 3 Char"/>
    <w:basedOn w:val="DefaultParagraphFont"/>
    <w:link w:val="Heading3"/>
    <w:rsid w:val="000F285D"/>
    <w:rPr>
      <w:rFonts w:ascii="Arial" w:hAnsi="Arial" w:cs="Arial"/>
      <w:color w:val="000000"/>
      <w:sz w:val="24"/>
      <w:szCs w:val="24"/>
      <w:lang w:val="es-ES" w:eastAsia="es-ES"/>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footn"/>
    <w:basedOn w:val="Normal"/>
    <w:link w:val="FootnoteTextChar"/>
    <w:uiPriority w:val="99"/>
    <w:rsid w:val="000F285D"/>
    <w:rPr>
      <w:sz w:val="20"/>
      <w:szCs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0F285D"/>
    <w:rPr>
      <w:lang w:val="es-ES" w:eastAsia="es-ES"/>
    </w:rPr>
  </w:style>
  <w:style w:type="character" w:styleId="FootnoteReference">
    <w:name w:val="footnote reference"/>
    <w:basedOn w:val="DefaultParagraphFont"/>
    <w:uiPriority w:val="99"/>
    <w:rsid w:val="000F285D"/>
    <w:rPr>
      <w:vertAlign w:val="superscript"/>
    </w:rPr>
  </w:style>
  <w:style w:type="paragraph" w:styleId="BodyText">
    <w:name w:val="Body Text"/>
    <w:basedOn w:val="Normal"/>
    <w:link w:val="BodyTextChar"/>
    <w:rsid w:val="000F285D"/>
    <w:pPr>
      <w:widowControl w:val="0"/>
      <w:autoSpaceDE w:val="0"/>
      <w:autoSpaceDN w:val="0"/>
      <w:adjustRightInd w:val="0"/>
      <w:spacing w:after="240"/>
      <w:ind w:right="24"/>
      <w:jc w:val="both"/>
    </w:pPr>
    <w:rPr>
      <w:rFonts w:ascii="Arial" w:hAnsi="Arial" w:cs="Arial"/>
      <w:szCs w:val="22"/>
    </w:rPr>
  </w:style>
  <w:style w:type="character" w:customStyle="1" w:styleId="BodyTextChar">
    <w:name w:val="Body Text Char"/>
    <w:basedOn w:val="DefaultParagraphFont"/>
    <w:link w:val="BodyText"/>
    <w:rsid w:val="000F285D"/>
    <w:rPr>
      <w:rFonts w:ascii="Arial" w:hAnsi="Arial" w:cs="Arial"/>
      <w:sz w:val="24"/>
      <w:szCs w:val="22"/>
      <w:lang w:val="es-ES" w:eastAsia="es-ES"/>
    </w:rPr>
  </w:style>
  <w:style w:type="paragraph" w:styleId="Header">
    <w:name w:val="header"/>
    <w:basedOn w:val="Normal"/>
    <w:link w:val="HeaderChar"/>
    <w:rsid w:val="000F285D"/>
    <w:pPr>
      <w:tabs>
        <w:tab w:val="center" w:pos="4419"/>
        <w:tab w:val="right" w:pos="8838"/>
      </w:tabs>
    </w:pPr>
  </w:style>
  <w:style w:type="character" w:customStyle="1" w:styleId="HeaderChar">
    <w:name w:val="Header Char"/>
    <w:basedOn w:val="DefaultParagraphFont"/>
    <w:link w:val="Header"/>
    <w:rsid w:val="000F285D"/>
    <w:rPr>
      <w:sz w:val="24"/>
      <w:szCs w:val="24"/>
      <w:lang w:val="es-ES" w:eastAsia="es-ES"/>
    </w:rPr>
  </w:style>
  <w:style w:type="paragraph" w:styleId="Footer">
    <w:name w:val="footer"/>
    <w:basedOn w:val="Normal"/>
    <w:link w:val="FooterChar"/>
    <w:uiPriority w:val="99"/>
    <w:rsid w:val="000F285D"/>
    <w:pPr>
      <w:tabs>
        <w:tab w:val="center" w:pos="4419"/>
        <w:tab w:val="right" w:pos="8838"/>
      </w:tabs>
    </w:pPr>
  </w:style>
  <w:style w:type="character" w:customStyle="1" w:styleId="FooterChar">
    <w:name w:val="Footer Char"/>
    <w:basedOn w:val="DefaultParagraphFont"/>
    <w:link w:val="Footer"/>
    <w:uiPriority w:val="99"/>
    <w:rsid w:val="000F285D"/>
    <w:rPr>
      <w:sz w:val="24"/>
      <w:szCs w:val="24"/>
      <w:lang w:val="es-ES" w:eastAsia="es-ES"/>
    </w:rPr>
  </w:style>
  <w:style w:type="character" w:styleId="PageNumber">
    <w:name w:val="page number"/>
    <w:basedOn w:val="DefaultParagraphFont"/>
    <w:rsid w:val="000F285D"/>
  </w:style>
  <w:style w:type="paragraph" w:styleId="BodyText2">
    <w:name w:val="Body Text 2"/>
    <w:basedOn w:val="Normal"/>
    <w:link w:val="BodyText2Char"/>
    <w:rsid w:val="000F285D"/>
    <w:pPr>
      <w:spacing w:after="240"/>
      <w:jc w:val="both"/>
    </w:pPr>
    <w:rPr>
      <w:rFonts w:ascii="Arial" w:hAnsi="Arial" w:cs="Arial"/>
    </w:rPr>
  </w:style>
  <w:style w:type="character" w:customStyle="1" w:styleId="BodyText2Char">
    <w:name w:val="Body Text 2 Char"/>
    <w:basedOn w:val="DefaultParagraphFont"/>
    <w:link w:val="BodyText2"/>
    <w:rsid w:val="000F285D"/>
    <w:rPr>
      <w:rFonts w:ascii="Arial" w:hAnsi="Arial" w:cs="Arial"/>
      <w:sz w:val="24"/>
      <w:szCs w:val="24"/>
      <w:lang w:val="es-ES" w:eastAsia="es-ES"/>
    </w:rPr>
  </w:style>
  <w:style w:type="paragraph" w:styleId="BodyText3">
    <w:name w:val="Body Text 3"/>
    <w:basedOn w:val="Normal"/>
    <w:link w:val="BodyText3Char"/>
    <w:rsid w:val="000F285D"/>
    <w:pPr>
      <w:widowControl w:val="0"/>
      <w:autoSpaceDE w:val="0"/>
      <w:autoSpaceDN w:val="0"/>
      <w:adjustRightInd w:val="0"/>
      <w:spacing w:after="360"/>
      <w:ind w:right="23"/>
      <w:jc w:val="both"/>
    </w:pPr>
    <w:rPr>
      <w:rFonts w:ascii="Arial" w:hAnsi="Arial" w:cs="Arial"/>
      <w:szCs w:val="22"/>
    </w:rPr>
  </w:style>
  <w:style w:type="character" w:customStyle="1" w:styleId="BodyText3Char">
    <w:name w:val="Body Text 3 Char"/>
    <w:basedOn w:val="DefaultParagraphFont"/>
    <w:link w:val="BodyText3"/>
    <w:rsid w:val="000F285D"/>
    <w:rPr>
      <w:rFonts w:ascii="Arial" w:hAnsi="Arial" w:cs="Arial"/>
      <w:sz w:val="24"/>
      <w:szCs w:val="22"/>
      <w:lang w:val="es-ES" w:eastAsia="es-ES"/>
    </w:rPr>
  </w:style>
  <w:style w:type="paragraph" w:styleId="BlockText">
    <w:name w:val="Block Text"/>
    <w:basedOn w:val="Normal"/>
    <w:rsid w:val="000F285D"/>
    <w:pPr>
      <w:widowControl w:val="0"/>
      <w:autoSpaceDE w:val="0"/>
      <w:autoSpaceDN w:val="0"/>
      <w:adjustRightInd w:val="0"/>
      <w:spacing w:after="240"/>
      <w:ind w:left="708" w:right="23"/>
      <w:jc w:val="both"/>
    </w:pPr>
    <w:rPr>
      <w:rFonts w:ascii="Arial" w:hAnsi="Arial" w:cs="Arial"/>
      <w:szCs w:val="22"/>
    </w:rPr>
  </w:style>
  <w:style w:type="paragraph" w:styleId="BodyTextIndent">
    <w:name w:val="Body Text Indent"/>
    <w:basedOn w:val="Normal"/>
    <w:link w:val="BodyTextIndentChar"/>
    <w:rsid w:val="000F285D"/>
    <w:pPr>
      <w:spacing w:after="240"/>
      <w:ind w:left="720" w:hanging="12"/>
      <w:jc w:val="both"/>
    </w:pPr>
    <w:rPr>
      <w:rFonts w:ascii="Arial" w:hAnsi="Arial"/>
    </w:rPr>
  </w:style>
  <w:style w:type="character" w:customStyle="1" w:styleId="BodyTextIndentChar">
    <w:name w:val="Body Text Indent Char"/>
    <w:basedOn w:val="DefaultParagraphFont"/>
    <w:link w:val="BodyTextIndent"/>
    <w:rsid w:val="000F285D"/>
    <w:rPr>
      <w:rFonts w:ascii="Arial" w:hAnsi="Arial"/>
      <w:sz w:val="24"/>
      <w:szCs w:val="24"/>
      <w:lang w:val="es-ES" w:eastAsia="es-ES"/>
    </w:rPr>
  </w:style>
  <w:style w:type="paragraph" w:styleId="BodyTextIndent2">
    <w:name w:val="Body Text Indent 2"/>
    <w:basedOn w:val="Normal"/>
    <w:link w:val="BodyTextIndent2Char"/>
    <w:rsid w:val="000F285D"/>
    <w:pPr>
      <w:spacing w:after="240"/>
      <w:ind w:left="720"/>
    </w:pPr>
    <w:rPr>
      <w:rFonts w:ascii="Arial" w:hAnsi="Arial"/>
    </w:rPr>
  </w:style>
  <w:style w:type="character" w:customStyle="1" w:styleId="BodyTextIndent2Char">
    <w:name w:val="Body Text Indent 2 Char"/>
    <w:basedOn w:val="DefaultParagraphFont"/>
    <w:link w:val="BodyTextIndent2"/>
    <w:rsid w:val="000F285D"/>
    <w:rPr>
      <w:rFonts w:ascii="Arial" w:hAnsi="Arial"/>
      <w:sz w:val="24"/>
      <w:szCs w:val="24"/>
      <w:lang w:val="es-ES" w:eastAsia="es-ES"/>
    </w:rPr>
  </w:style>
  <w:style w:type="paragraph" w:styleId="BodyTextIndent3">
    <w:name w:val="Body Text Indent 3"/>
    <w:basedOn w:val="Normal"/>
    <w:link w:val="BodyTextIndent3Char"/>
    <w:rsid w:val="000F285D"/>
    <w:pPr>
      <w:spacing w:after="240"/>
      <w:ind w:left="720"/>
      <w:jc w:val="both"/>
    </w:pPr>
    <w:rPr>
      <w:rFonts w:ascii="Arial" w:hAnsi="Arial"/>
    </w:rPr>
  </w:style>
  <w:style w:type="character" w:customStyle="1" w:styleId="BodyTextIndent3Char">
    <w:name w:val="Body Text Indent 3 Char"/>
    <w:basedOn w:val="DefaultParagraphFont"/>
    <w:link w:val="BodyTextIndent3"/>
    <w:rsid w:val="000F285D"/>
    <w:rPr>
      <w:rFonts w:ascii="Arial" w:hAnsi="Arial"/>
      <w:sz w:val="24"/>
      <w:szCs w:val="24"/>
      <w:lang w:val="es-ES" w:eastAsia="es-ES"/>
    </w:rPr>
  </w:style>
  <w:style w:type="paragraph" w:styleId="Title">
    <w:name w:val="Title"/>
    <w:basedOn w:val="Normal"/>
    <w:link w:val="TitleChar"/>
    <w:qFormat/>
    <w:rsid w:val="000F285D"/>
    <w:pPr>
      <w:widowControl w:val="0"/>
      <w:autoSpaceDE w:val="0"/>
      <w:autoSpaceDN w:val="0"/>
      <w:adjustRightInd w:val="0"/>
      <w:spacing w:after="480" w:line="278" w:lineRule="exact"/>
      <w:ind w:left="28" w:right="23"/>
      <w:jc w:val="center"/>
    </w:pPr>
    <w:rPr>
      <w:rFonts w:ascii="Arial" w:hAnsi="Arial" w:cs="Arial"/>
      <w:b/>
      <w:bCs/>
      <w:szCs w:val="22"/>
    </w:rPr>
  </w:style>
  <w:style w:type="character" w:customStyle="1" w:styleId="TitleChar">
    <w:name w:val="Title Char"/>
    <w:basedOn w:val="DefaultParagraphFont"/>
    <w:link w:val="Title"/>
    <w:rsid w:val="000F285D"/>
    <w:rPr>
      <w:rFonts w:ascii="Arial" w:hAnsi="Arial" w:cs="Arial"/>
      <w:b/>
      <w:bCs/>
      <w:sz w:val="24"/>
      <w:szCs w:val="22"/>
      <w:lang w:val="es-ES" w:eastAsia="es-ES"/>
    </w:rPr>
  </w:style>
  <w:style w:type="character" w:styleId="Hyperlink">
    <w:name w:val="Hyperlink"/>
    <w:basedOn w:val="DefaultParagraphFont"/>
    <w:rsid w:val="000F285D"/>
    <w:rPr>
      <w:color w:val="0000FF"/>
      <w:u w:val="single"/>
    </w:rPr>
  </w:style>
  <w:style w:type="paragraph" w:styleId="BalloonText">
    <w:name w:val="Balloon Text"/>
    <w:basedOn w:val="Normal"/>
    <w:link w:val="BalloonTextChar"/>
    <w:rsid w:val="000F285D"/>
    <w:rPr>
      <w:rFonts w:ascii="Tahoma" w:hAnsi="Tahoma" w:cs="Tahoma"/>
      <w:sz w:val="16"/>
      <w:szCs w:val="16"/>
    </w:rPr>
  </w:style>
  <w:style w:type="character" w:customStyle="1" w:styleId="BalloonTextChar">
    <w:name w:val="Balloon Text Char"/>
    <w:basedOn w:val="DefaultParagraphFont"/>
    <w:link w:val="BalloonText"/>
    <w:rsid w:val="000F285D"/>
    <w:rPr>
      <w:rFonts w:ascii="Tahoma" w:hAnsi="Tahoma" w:cs="Tahoma"/>
      <w:sz w:val="16"/>
      <w:szCs w:val="16"/>
      <w:lang w:val="es-ES" w:eastAsia="es-ES"/>
    </w:rPr>
  </w:style>
  <w:style w:type="table" w:styleId="TableGrid">
    <w:name w:val="Table Grid"/>
    <w:basedOn w:val="TableNormal"/>
    <w:rsid w:val="000F285D"/>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285D"/>
    <w:pPr>
      <w:ind w:left="720"/>
      <w:contextualSpacing/>
    </w:pPr>
  </w:style>
  <w:style w:type="character" w:styleId="PlaceholderText">
    <w:name w:val="Placeholder Text"/>
    <w:basedOn w:val="DefaultParagraphFont"/>
    <w:uiPriority w:val="99"/>
    <w:semiHidden/>
    <w:rsid w:val="000F285D"/>
    <w:rPr>
      <w:color w:val="808080"/>
    </w:rPr>
  </w:style>
  <w:style w:type="paragraph" w:styleId="TOC1">
    <w:name w:val="toc 1"/>
    <w:basedOn w:val="Normal"/>
    <w:next w:val="Normal"/>
    <w:autoRedefine/>
    <w:uiPriority w:val="39"/>
    <w:rsid w:val="009738C0"/>
    <w:pPr>
      <w:tabs>
        <w:tab w:val="left" w:pos="480"/>
        <w:tab w:val="right" w:leader="underscore" w:pos="8828"/>
      </w:tabs>
    </w:pPr>
    <w:rPr>
      <w:rFonts w:asciiTheme="minorHAnsi" w:hAnsiTheme="minorHAnsi"/>
      <w:b/>
      <w:bCs/>
      <w:i/>
      <w:iCs/>
    </w:rPr>
  </w:style>
  <w:style w:type="paragraph" w:styleId="TOC2">
    <w:name w:val="toc 2"/>
    <w:basedOn w:val="Normal"/>
    <w:next w:val="Normal"/>
    <w:autoRedefine/>
    <w:uiPriority w:val="39"/>
    <w:rsid w:val="000F285D"/>
    <w:pPr>
      <w:spacing w:before="120"/>
      <w:ind w:left="240"/>
    </w:pPr>
    <w:rPr>
      <w:rFonts w:asciiTheme="minorHAnsi" w:hAnsiTheme="minorHAnsi"/>
      <w:b/>
      <w:bCs/>
      <w:sz w:val="22"/>
      <w:szCs w:val="22"/>
    </w:rPr>
  </w:style>
  <w:style w:type="paragraph" w:styleId="TOC3">
    <w:name w:val="toc 3"/>
    <w:basedOn w:val="Normal"/>
    <w:next w:val="Normal"/>
    <w:autoRedefine/>
    <w:uiPriority w:val="39"/>
    <w:rsid w:val="000F285D"/>
    <w:pPr>
      <w:ind w:left="480"/>
    </w:pPr>
    <w:rPr>
      <w:rFonts w:asciiTheme="minorHAnsi" w:hAnsiTheme="minorHAnsi"/>
      <w:sz w:val="20"/>
      <w:szCs w:val="20"/>
    </w:rPr>
  </w:style>
  <w:style w:type="paragraph" w:styleId="TOC4">
    <w:name w:val="toc 4"/>
    <w:basedOn w:val="Normal"/>
    <w:next w:val="Normal"/>
    <w:autoRedefine/>
    <w:rsid w:val="000F285D"/>
    <w:pPr>
      <w:ind w:left="720"/>
    </w:pPr>
    <w:rPr>
      <w:rFonts w:asciiTheme="minorHAnsi" w:hAnsiTheme="minorHAnsi"/>
      <w:sz w:val="20"/>
      <w:szCs w:val="20"/>
    </w:rPr>
  </w:style>
  <w:style w:type="paragraph" w:styleId="TOC5">
    <w:name w:val="toc 5"/>
    <w:basedOn w:val="Normal"/>
    <w:next w:val="Normal"/>
    <w:autoRedefine/>
    <w:rsid w:val="000F285D"/>
    <w:pPr>
      <w:ind w:left="960"/>
    </w:pPr>
    <w:rPr>
      <w:rFonts w:asciiTheme="minorHAnsi" w:hAnsiTheme="minorHAnsi"/>
      <w:sz w:val="20"/>
      <w:szCs w:val="20"/>
    </w:rPr>
  </w:style>
  <w:style w:type="paragraph" w:styleId="TOC6">
    <w:name w:val="toc 6"/>
    <w:basedOn w:val="Normal"/>
    <w:next w:val="Normal"/>
    <w:autoRedefine/>
    <w:rsid w:val="000F285D"/>
    <w:pPr>
      <w:ind w:left="1200"/>
    </w:pPr>
    <w:rPr>
      <w:rFonts w:asciiTheme="minorHAnsi" w:hAnsiTheme="minorHAnsi"/>
      <w:sz w:val="20"/>
      <w:szCs w:val="20"/>
    </w:rPr>
  </w:style>
  <w:style w:type="paragraph" w:styleId="TOC7">
    <w:name w:val="toc 7"/>
    <w:basedOn w:val="Normal"/>
    <w:next w:val="Normal"/>
    <w:autoRedefine/>
    <w:rsid w:val="000F285D"/>
    <w:pPr>
      <w:ind w:left="1440"/>
    </w:pPr>
    <w:rPr>
      <w:rFonts w:asciiTheme="minorHAnsi" w:hAnsiTheme="minorHAnsi"/>
      <w:sz w:val="20"/>
      <w:szCs w:val="20"/>
    </w:rPr>
  </w:style>
  <w:style w:type="paragraph" w:styleId="TOC8">
    <w:name w:val="toc 8"/>
    <w:basedOn w:val="Normal"/>
    <w:next w:val="Normal"/>
    <w:autoRedefine/>
    <w:rsid w:val="000F285D"/>
    <w:pPr>
      <w:ind w:left="1680"/>
    </w:pPr>
    <w:rPr>
      <w:rFonts w:asciiTheme="minorHAnsi" w:hAnsiTheme="minorHAnsi"/>
      <w:sz w:val="20"/>
      <w:szCs w:val="20"/>
    </w:rPr>
  </w:style>
  <w:style w:type="paragraph" w:styleId="TOC9">
    <w:name w:val="toc 9"/>
    <w:basedOn w:val="Normal"/>
    <w:next w:val="Normal"/>
    <w:autoRedefine/>
    <w:rsid w:val="000F285D"/>
    <w:pPr>
      <w:ind w:left="1920"/>
    </w:pPr>
    <w:rPr>
      <w:rFonts w:asciiTheme="minorHAnsi" w:hAnsiTheme="minorHAnsi"/>
      <w:sz w:val="20"/>
      <w:szCs w:val="20"/>
    </w:rPr>
  </w:style>
  <w:style w:type="table" w:styleId="LightShading-Accent4">
    <w:name w:val="Light Shading Accent 4"/>
    <w:basedOn w:val="TableNormal"/>
    <w:uiPriority w:val="60"/>
    <w:rsid w:val="001019C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Simple1">
    <w:name w:val="Table Simple 1"/>
    <w:basedOn w:val="TableNormal"/>
    <w:rsid w:val="002179A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List-Accent3">
    <w:name w:val="Light List Accent 3"/>
    <w:basedOn w:val="TableNormal"/>
    <w:uiPriority w:val="61"/>
    <w:rsid w:val="005B3D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23247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C46E6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EstiloTtulo3CuerpoCalibri10ptoNegrita">
    <w:name w:val="Estilo Título 3 + +Cuerpo (Calibri) 10 pto Negrita"/>
    <w:basedOn w:val="Heading3"/>
    <w:rsid w:val="00B902DA"/>
    <w:rPr>
      <w:rFonts w:asciiTheme="minorHAnsi" w:hAnsiTheme="minorHAnsi"/>
      <w:b/>
      <w:bCs/>
      <w:sz w:val="22"/>
    </w:rPr>
  </w:style>
  <w:style w:type="character" w:styleId="CommentReference">
    <w:name w:val="annotation reference"/>
    <w:basedOn w:val="DefaultParagraphFont"/>
    <w:uiPriority w:val="99"/>
    <w:rsid w:val="00C37740"/>
    <w:rPr>
      <w:sz w:val="16"/>
      <w:szCs w:val="16"/>
    </w:rPr>
  </w:style>
  <w:style w:type="paragraph" w:styleId="CommentText">
    <w:name w:val="annotation text"/>
    <w:basedOn w:val="Normal"/>
    <w:link w:val="CommentTextChar"/>
    <w:uiPriority w:val="99"/>
    <w:rsid w:val="00C37740"/>
    <w:rPr>
      <w:sz w:val="20"/>
      <w:szCs w:val="20"/>
    </w:rPr>
  </w:style>
  <w:style w:type="character" w:customStyle="1" w:styleId="CommentTextChar">
    <w:name w:val="Comment Text Char"/>
    <w:basedOn w:val="DefaultParagraphFont"/>
    <w:link w:val="CommentText"/>
    <w:uiPriority w:val="99"/>
    <w:rsid w:val="00C37740"/>
    <w:rPr>
      <w:lang w:val="es-ES" w:eastAsia="es-ES"/>
    </w:rPr>
  </w:style>
  <w:style w:type="paragraph" w:styleId="CommentSubject">
    <w:name w:val="annotation subject"/>
    <w:basedOn w:val="CommentText"/>
    <w:next w:val="CommentText"/>
    <w:link w:val="CommentSubjectChar"/>
    <w:rsid w:val="00C37740"/>
    <w:rPr>
      <w:b/>
      <w:bCs/>
    </w:rPr>
  </w:style>
  <w:style w:type="character" w:customStyle="1" w:styleId="CommentSubjectChar">
    <w:name w:val="Comment Subject Char"/>
    <w:basedOn w:val="CommentTextChar"/>
    <w:link w:val="CommentSubject"/>
    <w:rsid w:val="00C37740"/>
    <w:rPr>
      <w:b/>
      <w:bCs/>
      <w:lang w:val="es-ES" w:eastAsia="es-ES"/>
    </w:rPr>
  </w:style>
  <w:style w:type="table" w:styleId="LightShading-Accent1">
    <w:name w:val="Light Shading Accent 1"/>
    <w:basedOn w:val="TableNormal"/>
    <w:uiPriority w:val="60"/>
    <w:rsid w:val="00EC166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92DE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Colorful3">
    <w:name w:val="Table Colorful 3"/>
    <w:basedOn w:val="TableNormal"/>
    <w:rsid w:val="008506F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8506F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orful1">
    <w:name w:val="Table Colorful 1"/>
    <w:basedOn w:val="TableNormal"/>
    <w:rsid w:val="008506F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183">
      <w:bodyDiv w:val="1"/>
      <w:marLeft w:val="0"/>
      <w:marRight w:val="0"/>
      <w:marTop w:val="0"/>
      <w:marBottom w:val="0"/>
      <w:divBdr>
        <w:top w:val="none" w:sz="0" w:space="0" w:color="auto"/>
        <w:left w:val="none" w:sz="0" w:space="0" w:color="auto"/>
        <w:bottom w:val="none" w:sz="0" w:space="0" w:color="auto"/>
        <w:right w:val="none" w:sz="0" w:space="0" w:color="auto"/>
      </w:divBdr>
    </w:div>
    <w:div w:id="24252092">
      <w:bodyDiv w:val="1"/>
      <w:marLeft w:val="0"/>
      <w:marRight w:val="0"/>
      <w:marTop w:val="0"/>
      <w:marBottom w:val="0"/>
      <w:divBdr>
        <w:top w:val="none" w:sz="0" w:space="0" w:color="auto"/>
        <w:left w:val="none" w:sz="0" w:space="0" w:color="auto"/>
        <w:bottom w:val="none" w:sz="0" w:space="0" w:color="auto"/>
        <w:right w:val="none" w:sz="0" w:space="0" w:color="auto"/>
      </w:divBdr>
    </w:div>
    <w:div w:id="32779583">
      <w:bodyDiv w:val="1"/>
      <w:marLeft w:val="0"/>
      <w:marRight w:val="0"/>
      <w:marTop w:val="0"/>
      <w:marBottom w:val="0"/>
      <w:divBdr>
        <w:top w:val="none" w:sz="0" w:space="0" w:color="auto"/>
        <w:left w:val="none" w:sz="0" w:space="0" w:color="auto"/>
        <w:bottom w:val="none" w:sz="0" w:space="0" w:color="auto"/>
        <w:right w:val="none" w:sz="0" w:space="0" w:color="auto"/>
      </w:divBdr>
    </w:div>
    <w:div w:id="35156277">
      <w:bodyDiv w:val="1"/>
      <w:marLeft w:val="0"/>
      <w:marRight w:val="0"/>
      <w:marTop w:val="0"/>
      <w:marBottom w:val="0"/>
      <w:divBdr>
        <w:top w:val="none" w:sz="0" w:space="0" w:color="auto"/>
        <w:left w:val="none" w:sz="0" w:space="0" w:color="auto"/>
        <w:bottom w:val="none" w:sz="0" w:space="0" w:color="auto"/>
        <w:right w:val="none" w:sz="0" w:space="0" w:color="auto"/>
      </w:divBdr>
    </w:div>
    <w:div w:id="64106007">
      <w:bodyDiv w:val="1"/>
      <w:marLeft w:val="0"/>
      <w:marRight w:val="0"/>
      <w:marTop w:val="0"/>
      <w:marBottom w:val="0"/>
      <w:divBdr>
        <w:top w:val="none" w:sz="0" w:space="0" w:color="auto"/>
        <w:left w:val="none" w:sz="0" w:space="0" w:color="auto"/>
        <w:bottom w:val="none" w:sz="0" w:space="0" w:color="auto"/>
        <w:right w:val="none" w:sz="0" w:space="0" w:color="auto"/>
      </w:divBdr>
    </w:div>
    <w:div w:id="90903139">
      <w:bodyDiv w:val="1"/>
      <w:marLeft w:val="0"/>
      <w:marRight w:val="0"/>
      <w:marTop w:val="0"/>
      <w:marBottom w:val="0"/>
      <w:divBdr>
        <w:top w:val="none" w:sz="0" w:space="0" w:color="auto"/>
        <w:left w:val="none" w:sz="0" w:space="0" w:color="auto"/>
        <w:bottom w:val="none" w:sz="0" w:space="0" w:color="auto"/>
        <w:right w:val="none" w:sz="0" w:space="0" w:color="auto"/>
      </w:divBdr>
    </w:div>
    <w:div w:id="113717656">
      <w:bodyDiv w:val="1"/>
      <w:marLeft w:val="0"/>
      <w:marRight w:val="0"/>
      <w:marTop w:val="0"/>
      <w:marBottom w:val="0"/>
      <w:divBdr>
        <w:top w:val="none" w:sz="0" w:space="0" w:color="auto"/>
        <w:left w:val="none" w:sz="0" w:space="0" w:color="auto"/>
        <w:bottom w:val="none" w:sz="0" w:space="0" w:color="auto"/>
        <w:right w:val="none" w:sz="0" w:space="0" w:color="auto"/>
      </w:divBdr>
    </w:div>
    <w:div w:id="128666551">
      <w:bodyDiv w:val="1"/>
      <w:marLeft w:val="0"/>
      <w:marRight w:val="0"/>
      <w:marTop w:val="0"/>
      <w:marBottom w:val="0"/>
      <w:divBdr>
        <w:top w:val="none" w:sz="0" w:space="0" w:color="auto"/>
        <w:left w:val="none" w:sz="0" w:space="0" w:color="auto"/>
        <w:bottom w:val="none" w:sz="0" w:space="0" w:color="auto"/>
        <w:right w:val="none" w:sz="0" w:space="0" w:color="auto"/>
      </w:divBdr>
    </w:div>
    <w:div w:id="164714853">
      <w:bodyDiv w:val="1"/>
      <w:marLeft w:val="0"/>
      <w:marRight w:val="0"/>
      <w:marTop w:val="0"/>
      <w:marBottom w:val="0"/>
      <w:divBdr>
        <w:top w:val="none" w:sz="0" w:space="0" w:color="auto"/>
        <w:left w:val="none" w:sz="0" w:space="0" w:color="auto"/>
        <w:bottom w:val="none" w:sz="0" w:space="0" w:color="auto"/>
        <w:right w:val="none" w:sz="0" w:space="0" w:color="auto"/>
      </w:divBdr>
    </w:div>
    <w:div w:id="176385597">
      <w:bodyDiv w:val="1"/>
      <w:marLeft w:val="0"/>
      <w:marRight w:val="0"/>
      <w:marTop w:val="0"/>
      <w:marBottom w:val="0"/>
      <w:divBdr>
        <w:top w:val="none" w:sz="0" w:space="0" w:color="auto"/>
        <w:left w:val="none" w:sz="0" w:space="0" w:color="auto"/>
        <w:bottom w:val="none" w:sz="0" w:space="0" w:color="auto"/>
        <w:right w:val="none" w:sz="0" w:space="0" w:color="auto"/>
      </w:divBdr>
    </w:div>
    <w:div w:id="180248090">
      <w:bodyDiv w:val="1"/>
      <w:marLeft w:val="0"/>
      <w:marRight w:val="0"/>
      <w:marTop w:val="0"/>
      <w:marBottom w:val="0"/>
      <w:divBdr>
        <w:top w:val="none" w:sz="0" w:space="0" w:color="auto"/>
        <w:left w:val="none" w:sz="0" w:space="0" w:color="auto"/>
        <w:bottom w:val="none" w:sz="0" w:space="0" w:color="auto"/>
        <w:right w:val="none" w:sz="0" w:space="0" w:color="auto"/>
      </w:divBdr>
    </w:div>
    <w:div w:id="210584130">
      <w:bodyDiv w:val="1"/>
      <w:marLeft w:val="0"/>
      <w:marRight w:val="0"/>
      <w:marTop w:val="0"/>
      <w:marBottom w:val="0"/>
      <w:divBdr>
        <w:top w:val="none" w:sz="0" w:space="0" w:color="auto"/>
        <w:left w:val="none" w:sz="0" w:space="0" w:color="auto"/>
        <w:bottom w:val="none" w:sz="0" w:space="0" w:color="auto"/>
        <w:right w:val="none" w:sz="0" w:space="0" w:color="auto"/>
      </w:divBdr>
    </w:div>
    <w:div w:id="244998514">
      <w:bodyDiv w:val="1"/>
      <w:marLeft w:val="0"/>
      <w:marRight w:val="0"/>
      <w:marTop w:val="0"/>
      <w:marBottom w:val="0"/>
      <w:divBdr>
        <w:top w:val="none" w:sz="0" w:space="0" w:color="auto"/>
        <w:left w:val="none" w:sz="0" w:space="0" w:color="auto"/>
        <w:bottom w:val="none" w:sz="0" w:space="0" w:color="auto"/>
        <w:right w:val="none" w:sz="0" w:space="0" w:color="auto"/>
      </w:divBdr>
    </w:div>
    <w:div w:id="279263147">
      <w:bodyDiv w:val="1"/>
      <w:marLeft w:val="0"/>
      <w:marRight w:val="0"/>
      <w:marTop w:val="0"/>
      <w:marBottom w:val="0"/>
      <w:divBdr>
        <w:top w:val="none" w:sz="0" w:space="0" w:color="auto"/>
        <w:left w:val="none" w:sz="0" w:space="0" w:color="auto"/>
        <w:bottom w:val="none" w:sz="0" w:space="0" w:color="auto"/>
        <w:right w:val="none" w:sz="0" w:space="0" w:color="auto"/>
      </w:divBdr>
    </w:div>
    <w:div w:id="347145677">
      <w:bodyDiv w:val="1"/>
      <w:marLeft w:val="0"/>
      <w:marRight w:val="0"/>
      <w:marTop w:val="0"/>
      <w:marBottom w:val="0"/>
      <w:divBdr>
        <w:top w:val="none" w:sz="0" w:space="0" w:color="auto"/>
        <w:left w:val="none" w:sz="0" w:space="0" w:color="auto"/>
        <w:bottom w:val="none" w:sz="0" w:space="0" w:color="auto"/>
        <w:right w:val="none" w:sz="0" w:space="0" w:color="auto"/>
      </w:divBdr>
    </w:div>
    <w:div w:id="368651601">
      <w:bodyDiv w:val="1"/>
      <w:marLeft w:val="0"/>
      <w:marRight w:val="0"/>
      <w:marTop w:val="0"/>
      <w:marBottom w:val="0"/>
      <w:divBdr>
        <w:top w:val="none" w:sz="0" w:space="0" w:color="auto"/>
        <w:left w:val="none" w:sz="0" w:space="0" w:color="auto"/>
        <w:bottom w:val="none" w:sz="0" w:space="0" w:color="auto"/>
        <w:right w:val="none" w:sz="0" w:space="0" w:color="auto"/>
      </w:divBdr>
    </w:div>
    <w:div w:id="405155393">
      <w:bodyDiv w:val="1"/>
      <w:marLeft w:val="0"/>
      <w:marRight w:val="0"/>
      <w:marTop w:val="0"/>
      <w:marBottom w:val="0"/>
      <w:divBdr>
        <w:top w:val="none" w:sz="0" w:space="0" w:color="auto"/>
        <w:left w:val="none" w:sz="0" w:space="0" w:color="auto"/>
        <w:bottom w:val="none" w:sz="0" w:space="0" w:color="auto"/>
        <w:right w:val="none" w:sz="0" w:space="0" w:color="auto"/>
      </w:divBdr>
    </w:div>
    <w:div w:id="418261792">
      <w:bodyDiv w:val="1"/>
      <w:marLeft w:val="0"/>
      <w:marRight w:val="0"/>
      <w:marTop w:val="0"/>
      <w:marBottom w:val="0"/>
      <w:divBdr>
        <w:top w:val="none" w:sz="0" w:space="0" w:color="auto"/>
        <w:left w:val="none" w:sz="0" w:space="0" w:color="auto"/>
        <w:bottom w:val="none" w:sz="0" w:space="0" w:color="auto"/>
        <w:right w:val="none" w:sz="0" w:space="0" w:color="auto"/>
      </w:divBdr>
    </w:div>
    <w:div w:id="434442837">
      <w:bodyDiv w:val="1"/>
      <w:marLeft w:val="0"/>
      <w:marRight w:val="0"/>
      <w:marTop w:val="0"/>
      <w:marBottom w:val="0"/>
      <w:divBdr>
        <w:top w:val="none" w:sz="0" w:space="0" w:color="auto"/>
        <w:left w:val="none" w:sz="0" w:space="0" w:color="auto"/>
        <w:bottom w:val="none" w:sz="0" w:space="0" w:color="auto"/>
        <w:right w:val="none" w:sz="0" w:space="0" w:color="auto"/>
      </w:divBdr>
    </w:div>
    <w:div w:id="439881963">
      <w:bodyDiv w:val="1"/>
      <w:marLeft w:val="0"/>
      <w:marRight w:val="0"/>
      <w:marTop w:val="0"/>
      <w:marBottom w:val="0"/>
      <w:divBdr>
        <w:top w:val="none" w:sz="0" w:space="0" w:color="auto"/>
        <w:left w:val="none" w:sz="0" w:space="0" w:color="auto"/>
        <w:bottom w:val="none" w:sz="0" w:space="0" w:color="auto"/>
        <w:right w:val="none" w:sz="0" w:space="0" w:color="auto"/>
      </w:divBdr>
    </w:div>
    <w:div w:id="445783060">
      <w:bodyDiv w:val="1"/>
      <w:marLeft w:val="0"/>
      <w:marRight w:val="0"/>
      <w:marTop w:val="0"/>
      <w:marBottom w:val="0"/>
      <w:divBdr>
        <w:top w:val="none" w:sz="0" w:space="0" w:color="auto"/>
        <w:left w:val="none" w:sz="0" w:space="0" w:color="auto"/>
        <w:bottom w:val="none" w:sz="0" w:space="0" w:color="auto"/>
        <w:right w:val="none" w:sz="0" w:space="0" w:color="auto"/>
      </w:divBdr>
    </w:div>
    <w:div w:id="456878988">
      <w:bodyDiv w:val="1"/>
      <w:marLeft w:val="0"/>
      <w:marRight w:val="0"/>
      <w:marTop w:val="0"/>
      <w:marBottom w:val="0"/>
      <w:divBdr>
        <w:top w:val="none" w:sz="0" w:space="0" w:color="auto"/>
        <w:left w:val="none" w:sz="0" w:space="0" w:color="auto"/>
        <w:bottom w:val="none" w:sz="0" w:space="0" w:color="auto"/>
        <w:right w:val="none" w:sz="0" w:space="0" w:color="auto"/>
      </w:divBdr>
    </w:div>
    <w:div w:id="463277521">
      <w:bodyDiv w:val="1"/>
      <w:marLeft w:val="0"/>
      <w:marRight w:val="0"/>
      <w:marTop w:val="0"/>
      <w:marBottom w:val="0"/>
      <w:divBdr>
        <w:top w:val="none" w:sz="0" w:space="0" w:color="auto"/>
        <w:left w:val="none" w:sz="0" w:space="0" w:color="auto"/>
        <w:bottom w:val="none" w:sz="0" w:space="0" w:color="auto"/>
        <w:right w:val="none" w:sz="0" w:space="0" w:color="auto"/>
      </w:divBdr>
    </w:div>
    <w:div w:id="467941389">
      <w:bodyDiv w:val="1"/>
      <w:marLeft w:val="0"/>
      <w:marRight w:val="0"/>
      <w:marTop w:val="0"/>
      <w:marBottom w:val="0"/>
      <w:divBdr>
        <w:top w:val="none" w:sz="0" w:space="0" w:color="auto"/>
        <w:left w:val="none" w:sz="0" w:space="0" w:color="auto"/>
        <w:bottom w:val="none" w:sz="0" w:space="0" w:color="auto"/>
        <w:right w:val="none" w:sz="0" w:space="0" w:color="auto"/>
      </w:divBdr>
    </w:div>
    <w:div w:id="477495762">
      <w:bodyDiv w:val="1"/>
      <w:marLeft w:val="0"/>
      <w:marRight w:val="0"/>
      <w:marTop w:val="0"/>
      <w:marBottom w:val="0"/>
      <w:divBdr>
        <w:top w:val="none" w:sz="0" w:space="0" w:color="auto"/>
        <w:left w:val="none" w:sz="0" w:space="0" w:color="auto"/>
        <w:bottom w:val="none" w:sz="0" w:space="0" w:color="auto"/>
        <w:right w:val="none" w:sz="0" w:space="0" w:color="auto"/>
      </w:divBdr>
    </w:div>
    <w:div w:id="486288260">
      <w:bodyDiv w:val="1"/>
      <w:marLeft w:val="0"/>
      <w:marRight w:val="0"/>
      <w:marTop w:val="0"/>
      <w:marBottom w:val="0"/>
      <w:divBdr>
        <w:top w:val="none" w:sz="0" w:space="0" w:color="auto"/>
        <w:left w:val="none" w:sz="0" w:space="0" w:color="auto"/>
        <w:bottom w:val="none" w:sz="0" w:space="0" w:color="auto"/>
        <w:right w:val="none" w:sz="0" w:space="0" w:color="auto"/>
      </w:divBdr>
    </w:div>
    <w:div w:id="503515833">
      <w:bodyDiv w:val="1"/>
      <w:marLeft w:val="0"/>
      <w:marRight w:val="0"/>
      <w:marTop w:val="0"/>
      <w:marBottom w:val="0"/>
      <w:divBdr>
        <w:top w:val="none" w:sz="0" w:space="0" w:color="auto"/>
        <w:left w:val="none" w:sz="0" w:space="0" w:color="auto"/>
        <w:bottom w:val="none" w:sz="0" w:space="0" w:color="auto"/>
        <w:right w:val="none" w:sz="0" w:space="0" w:color="auto"/>
      </w:divBdr>
    </w:div>
    <w:div w:id="517159769">
      <w:bodyDiv w:val="1"/>
      <w:marLeft w:val="0"/>
      <w:marRight w:val="0"/>
      <w:marTop w:val="0"/>
      <w:marBottom w:val="0"/>
      <w:divBdr>
        <w:top w:val="none" w:sz="0" w:space="0" w:color="auto"/>
        <w:left w:val="none" w:sz="0" w:space="0" w:color="auto"/>
        <w:bottom w:val="none" w:sz="0" w:space="0" w:color="auto"/>
        <w:right w:val="none" w:sz="0" w:space="0" w:color="auto"/>
      </w:divBdr>
    </w:div>
    <w:div w:id="517353663">
      <w:bodyDiv w:val="1"/>
      <w:marLeft w:val="0"/>
      <w:marRight w:val="0"/>
      <w:marTop w:val="0"/>
      <w:marBottom w:val="0"/>
      <w:divBdr>
        <w:top w:val="none" w:sz="0" w:space="0" w:color="auto"/>
        <w:left w:val="none" w:sz="0" w:space="0" w:color="auto"/>
        <w:bottom w:val="none" w:sz="0" w:space="0" w:color="auto"/>
        <w:right w:val="none" w:sz="0" w:space="0" w:color="auto"/>
      </w:divBdr>
    </w:div>
    <w:div w:id="582573804">
      <w:bodyDiv w:val="1"/>
      <w:marLeft w:val="0"/>
      <w:marRight w:val="0"/>
      <w:marTop w:val="0"/>
      <w:marBottom w:val="0"/>
      <w:divBdr>
        <w:top w:val="none" w:sz="0" w:space="0" w:color="auto"/>
        <w:left w:val="none" w:sz="0" w:space="0" w:color="auto"/>
        <w:bottom w:val="none" w:sz="0" w:space="0" w:color="auto"/>
        <w:right w:val="none" w:sz="0" w:space="0" w:color="auto"/>
      </w:divBdr>
    </w:div>
    <w:div w:id="647789284">
      <w:bodyDiv w:val="1"/>
      <w:marLeft w:val="0"/>
      <w:marRight w:val="0"/>
      <w:marTop w:val="0"/>
      <w:marBottom w:val="0"/>
      <w:divBdr>
        <w:top w:val="none" w:sz="0" w:space="0" w:color="auto"/>
        <w:left w:val="none" w:sz="0" w:space="0" w:color="auto"/>
        <w:bottom w:val="none" w:sz="0" w:space="0" w:color="auto"/>
        <w:right w:val="none" w:sz="0" w:space="0" w:color="auto"/>
      </w:divBdr>
    </w:div>
    <w:div w:id="650522947">
      <w:bodyDiv w:val="1"/>
      <w:marLeft w:val="0"/>
      <w:marRight w:val="0"/>
      <w:marTop w:val="0"/>
      <w:marBottom w:val="0"/>
      <w:divBdr>
        <w:top w:val="none" w:sz="0" w:space="0" w:color="auto"/>
        <w:left w:val="none" w:sz="0" w:space="0" w:color="auto"/>
        <w:bottom w:val="none" w:sz="0" w:space="0" w:color="auto"/>
        <w:right w:val="none" w:sz="0" w:space="0" w:color="auto"/>
      </w:divBdr>
    </w:div>
    <w:div w:id="658387198">
      <w:bodyDiv w:val="1"/>
      <w:marLeft w:val="0"/>
      <w:marRight w:val="0"/>
      <w:marTop w:val="0"/>
      <w:marBottom w:val="0"/>
      <w:divBdr>
        <w:top w:val="none" w:sz="0" w:space="0" w:color="auto"/>
        <w:left w:val="none" w:sz="0" w:space="0" w:color="auto"/>
        <w:bottom w:val="none" w:sz="0" w:space="0" w:color="auto"/>
        <w:right w:val="none" w:sz="0" w:space="0" w:color="auto"/>
      </w:divBdr>
    </w:div>
    <w:div w:id="739208962">
      <w:bodyDiv w:val="1"/>
      <w:marLeft w:val="0"/>
      <w:marRight w:val="0"/>
      <w:marTop w:val="0"/>
      <w:marBottom w:val="0"/>
      <w:divBdr>
        <w:top w:val="none" w:sz="0" w:space="0" w:color="auto"/>
        <w:left w:val="none" w:sz="0" w:space="0" w:color="auto"/>
        <w:bottom w:val="none" w:sz="0" w:space="0" w:color="auto"/>
        <w:right w:val="none" w:sz="0" w:space="0" w:color="auto"/>
      </w:divBdr>
    </w:div>
    <w:div w:id="780414322">
      <w:bodyDiv w:val="1"/>
      <w:marLeft w:val="0"/>
      <w:marRight w:val="0"/>
      <w:marTop w:val="0"/>
      <w:marBottom w:val="0"/>
      <w:divBdr>
        <w:top w:val="none" w:sz="0" w:space="0" w:color="auto"/>
        <w:left w:val="none" w:sz="0" w:space="0" w:color="auto"/>
        <w:bottom w:val="none" w:sz="0" w:space="0" w:color="auto"/>
        <w:right w:val="none" w:sz="0" w:space="0" w:color="auto"/>
      </w:divBdr>
    </w:div>
    <w:div w:id="797260735">
      <w:bodyDiv w:val="1"/>
      <w:marLeft w:val="0"/>
      <w:marRight w:val="0"/>
      <w:marTop w:val="0"/>
      <w:marBottom w:val="0"/>
      <w:divBdr>
        <w:top w:val="none" w:sz="0" w:space="0" w:color="auto"/>
        <w:left w:val="none" w:sz="0" w:space="0" w:color="auto"/>
        <w:bottom w:val="none" w:sz="0" w:space="0" w:color="auto"/>
        <w:right w:val="none" w:sz="0" w:space="0" w:color="auto"/>
      </w:divBdr>
    </w:div>
    <w:div w:id="839539080">
      <w:bodyDiv w:val="1"/>
      <w:marLeft w:val="0"/>
      <w:marRight w:val="0"/>
      <w:marTop w:val="0"/>
      <w:marBottom w:val="0"/>
      <w:divBdr>
        <w:top w:val="none" w:sz="0" w:space="0" w:color="auto"/>
        <w:left w:val="none" w:sz="0" w:space="0" w:color="auto"/>
        <w:bottom w:val="none" w:sz="0" w:space="0" w:color="auto"/>
        <w:right w:val="none" w:sz="0" w:space="0" w:color="auto"/>
      </w:divBdr>
    </w:div>
    <w:div w:id="852839909">
      <w:bodyDiv w:val="1"/>
      <w:marLeft w:val="0"/>
      <w:marRight w:val="0"/>
      <w:marTop w:val="0"/>
      <w:marBottom w:val="0"/>
      <w:divBdr>
        <w:top w:val="none" w:sz="0" w:space="0" w:color="auto"/>
        <w:left w:val="none" w:sz="0" w:space="0" w:color="auto"/>
        <w:bottom w:val="none" w:sz="0" w:space="0" w:color="auto"/>
        <w:right w:val="none" w:sz="0" w:space="0" w:color="auto"/>
      </w:divBdr>
    </w:div>
    <w:div w:id="878711962">
      <w:bodyDiv w:val="1"/>
      <w:marLeft w:val="0"/>
      <w:marRight w:val="0"/>
      <w:marTop w:val="0"/>
      <w:marBottom w:val="0"/>
      <w:divBdr>
        <w:top w:val="none" w:sz="0" w:space="0" w:color="auto"/>
        <w:left w:val="none" w:sz="0" w:space="0" w:color="auto"/>
        <w:bottom w:val="none" w:sz="0" w:space="0" w:color="auto"/>
        <w:right w:val="none" w:sz="0" w:space="0" w:color="auto"/>
      </w:divBdr>
    </w:div>
    <w:div w:id="908468128">
      <w:bodyDiv w:val="1"/>
      <w:marLeft w:val="0"/>
      <w:marRight w:val="0"/>
      <w:marTop w:val="0"/>
      <w:marBottom w:val="0"/>
      <w:divBdr>
        <w:top w:val="none" w:sz="0" w:space="0" w:color="auto"/>
        <w:left w:val="none" w:sz="0" w:space="0" w:color="auto"/>
        <w:bottom w:val="none" w:sz="0" w:space="0" w:color="auto"/>
        <w:right w:val="none" w:sz="0" w:space="0" w:color="auto"/>
      </w:divBdr>
    </w:div>
    <w:div w:id="915361618">
      <w:bodyDiv w:val="1"/>
      <w:marLeft w:val="0"/>
      <w:marRight w:val="0"/>
      <w:marTop w:val="0"/>
      <w:marBottom w:val="0"/>
      <w:divBdr>
        <w:top w:val="none" w:sz="0" w:space="0" w:color="auto"/>
        <w:left w:val="none" w:sz="0" w:space="0" w:color="auto"/>
        <w:bottom w:val="none" w:sz="0" w:space="0" w:color="auto"/>
        <w:right w:val="none" w:sz="0" w:space="0" w:color="auto"/>
      </w:divBdr>
    </w:div>
    <w:div w:id="926112379">
      <w:bodyDiv w:val="1"/>
      <w:marLeft w:val="0"/>
      <w:marRight w:val="0"/>
      <w:marTop w:val="0"/>
      <w:marBottom w:val="0"/>
      <w:divBdr>
        <w:top w:val="none" w:sz="0" w:space="0" w:color="auto"/>
        <w:left w:val="none" w:sz="0" w:space="0" w:color="auto"/>
        <w:bottom w:val="none" w:sz="0" w:space="0" w:color="auto"/>
        <w:right w:val="none" w:sz="0" w:space="0" w:color="auto"/>
      </w:divBdr>
    </w:div>
    <w:div w:id="927154013">
      <w:bodyDiv w:val="1"/>
      <w:marLeft w:val="0"/>
      <w:marRight w:val="0"/>
      <w:marTop w:val="0"/>
      <w:marBottom w:val="0"/>
      <w:divBdr>
        <w:top w:val="none" w:sz="0" w:space="0" w:color="auto"/>
        <w:left w:val="none" w:sz="0" w:space="0" w:color="auto"/>
        <w:bottom w:val="none" w:sz="0" w:space="0" w:color="auto"/>
        <w:right w:val="none" w:sz="0" w:space="0" w:color="auto"/>
      </w:divBdr>
    </w:div>
    <w:div w:id="938950617">
      <w:bodyDiv w:val="1"/>
      <w:marLeft w:val="0"/>
      <w:marRight w:val="0"/>
      <w:marTop w:val="0"/>
      <w:marBottom w:val="0"/>
      <w:divBdr>
        <w:top w:val="none" w:sz="0" w:space="0" w:color="auto"/>
        <w:left w:val="none" w:sz="0" w:space="0" w:color="auto"/>
        <w:bottom w:val="none" w:sz="0" w:space="0" w:color="auto"/>
        <w:right w:val="none" w:sz="0" w:space="0" w:color="auto"/>
      </w:divBdr>
    </w:div>
    <w:div w:id="957180721">
      <w:bodyDiv w:val="1"/>
      <w:marLeft w:val="0"/>
      <w:marRight w:val="0"/>
      <w:marTop w:val="0"/>
      <w:marBottom w:val="0"/>
      <w:divBdr>
        <w:top w:val="none" w:sz="0" w:space="0" w:color="auto"/>
        <w:left w:val="none" w:sz="0" w:space="0" w:color="auto"/>
        <w:bottom w:val="none" w:sz="0" w:space="0" w:color="auto"/>
        <w:right w:val="none" w:sz="0" w:space="0" w:color="auto"/>
      </w:divBdr>
    </w:div>
    <w:div w:id="958604509">
      <w:bodyDiv w:val="1"/>
      <w:marLeft w:val="0"/>
      <w:marRight w:val="0"/>
      <w:marTop w:val="0"/>
      <w:marBottom w:val="0"/>
      <w:divBdr>
        <w:top w:val="none" w:sz="0" w:space="0" w:color="auto"/>
        <w:left w:val="none" w:sz="0" w:space="0" w:color="auto"/>
        <w:bottom w:val="none" w:sz="0" w:space="0" w:color="auto"/>
        <w:right w:val="none" w:sz="0" w:space="0" w:color="auto"/>
      </w:divBdr>
    </w:div>
    <w:div w:id="968053789">
      <w:bodyDiv w:val="1"/>
      <w:marLeft w:val="0"/>
      <w:marRight w:val="0"/>
      <w:marTop w:val="0"/>
      <w:marBottom w:val="0"/>
      <w:divBdr>
        <w:top w:val="none" w:sz="0" w:space="0" w:color="auto"/>
        <w:left w:val="none" w:sz="0" w:space="0" w:color="auto"/>
        <w:bottom w:val="none" w:sz="0" w:space="0" w:color="auto"/>
        <w:right w:val="none" w:sz="0" w:space="0" w:color="auto"/>
      </w:divBdr>
    </w:div>
    <w:div w:id="968432890">
      <w:bodyDiv w:val="1"/>
      <w:marLeft w:val="0"/>
      <w:marRight w:val="0"/>
      <w:marTop w:val="0"/>
      <w:marBottom w:val="0"/>
      <w:divBdr>
        <w:top w:val="none" w:sz="0" w:space="0" w:color="auto"/>
        <w:left w:val="none" w:sz="0" w:space="0" w:color="auto"/>
        <w:bottom w:val="none" w:sz="0" w:space="0" w:color="auto"/>
        <w:right w:val="none" w:sz="0" w:space="0" w:color="auto"/>
      </w:divBdr>
    </w:div>
    <w:div w:id="976690633">
      <w:bodyDiv w:val="1"/>
      <w:marLeft w:val="0"/>
      <w:marRight w:val="0"/>
      <w:marTop w:val="0"/>
      <w:marBottom w:val="0"/>
      <w:divBdr>
        <w:top w:val="none" w:sz="0" w:space="0" w:color="auto"/>
        <w:left w:val="none" w:sz="0" w:space="0" w:color="auto"/>
        <w:bottom w:val="none" w:sz="0" w:space="0" w:color="auto"/>
        <w:right w:val="none" w:sz="0" w:space="0" w:color="auto"/>
      </w:divBdr>
    </w:div>
    <w:div w:id="1014918358">
      <w:bodyDiv w:val="1"/>
      <w:marLeft w:val="0"/>
      <w:marRight w:val="0"/>
      <w:marTop w:val="0"/>
      <w:marBottom w:val="0"/>
      <w:divBdr>
        <w:top w:val="none" w:sz="0" w:space="0" w:color="auto"/>
        <w:left w:val="none" w:sz="0" w:space="0" w:color="auto"/>
        <w:bottom w:val="none" w:sz="0" w:space="0" w:color="auto"/>
        <w:right w:val="none" w:sz="0" w:space="0" w:color="auto"/>
      </w:divBdr>
    </w:div>
    <w:div w:id="1022896667">
      <w:bodyDiv w:val="1"/>
      <w:marLeft w:val="0"/>
      <w:marRight w:val="0"/>
      <w:marTop w:val="0"/>
      <w:marBottom w:val="0"/>
      <w:divBdr>
        <w:top w:val="none" w:sz="0" w:space="0" w:color="auto"/>
        <w:left w:val="none" w:sz="0" w:space="0" w:color="auto"/>
        <w:bottom w:val="none" w:sz="0" w:space="0" w:color="auto"/>
        <w:right w:val="none" w:sz="0" w:space="0" w:color="auto"/>
      </w:divBdr>
    </w:div>
    <w:div w:id="1024595831">
      <w:bodyDiv w:val="1"/>
      <w:marLeft w:val="0"/>
      <w:marRight w:val="0"/>
      <w:marTop w:val="0"/>
      <w:marBottom w:val="0"/>
      <w:divBdr>
        <w:top w:val="none" w:sz="0" w:space="0" w:color="auto"/>
        <w:left w:val="none" w:sz="0" w:space="0" w:color="auto"/>
        <w:bottom w:val="none" w:sz="0" w:space="0" w:color="auto"/>
        <w:right w:val="none" w:sz="0" w:space="0" w:color="auto"/>
      </w:divBdr>
    </w:div>
    <w:div w:id="1029797432">
      <w:bodyDiv w:val="1"/>
      <w:marLeft w:val="0"/>
      <w:marRight w:val="0"/>
      <w:marTop w:val="0"/>
      <w:marBottom w:val="0"/>
      <w:divBdr>
        <w:top w:val="none" w:sz="0" w:space="0" w:color="auto"/>
        <w:left w:val="none" w:sz="0" w:space="0" w:color="auto"/>
        <w:bottom w:val="none" w:sz="0" w:space="0" w:color="auto"/>
        <w:right w:val="none" w:sz="0" w:space="0" w:color="auto"/>
      </w:divBdr>
    </w:div>
    <w:div w:id="1039285800">
      <w:bodyDiv w:val="1"/>
      <w:marLeft w:val="0"/>
      <w:marRight w:val="0"/>
      <w:marTop w:val="0"/>
      <w:marBottom w:val="0"/>
      <w:divBdr>
        <w:top w:val="none" w:sz="0" w:space="0" w:color="auto"/>
        <w:left w:val="none" w:sz="0" w:space="0" w:color="auto"/>
        <w:bottom w:val="none" w:sz="0" w:space="0" w:color="auto"/>
        <w:right w:val="none" w:sz="0" w:space="0" w:color="auto"/>
      </w:divBdr>
    </w:div>
    <w:div w:id="1051730185">
      <w:bodyDiv w:val="1"/>
      <w:marLeft w:val="0"/>
      <w:marRight w:val="0"/>
      <w:marTop w:val="0"/>
      <w:marBottom w:val="0"/>
      <w:divBdr>
        <w:top w:val="none" w:sz="0" w:space="0" w:color="auto"/>
        <w:left w:val="none" w:sz="0" w:space="0" w:color="auto"/>
        <w:bottom w:val="none" w:sz="0" w:space="0" w:color="auto"/>
        <w:right w:val="none" w:sz="0" w:space="0" w:color="auto"/>
      </w:divBdr>
    </w:div>
    <w:div w:id="1053457203">
      <w:bodyDiv w:val="1"/>
      <w:marLeft w:val="0"/>
      <w:marRight w:val="0"/>
      <w:marTop w:val="0"/>
      <w:marBottom w:val="0"/>
      <w:divBdr>
        <w:top w:val="none" w:sz="0" w:space="0" w:color="auto"/>
        <w:left w:val="none" w:sz="0" w:space="0" w:color="auto"/>
        <w:bottom w:val="none" w:sz="0" w:space="0" w:color="auto"/>
        <w:right w:val="none" w:sz="0" w:space="0" w:color="auto"/>
      </w:divBdr>
    </w:div>
    <w:div w:id="1080634014">
      <w:bodyDiv w:val="1"/>
      <w:marLeft w:val="0"/>
      <w:marRight w:val="0"/>
      <w:marTop w:val="0"/>
      <w:marBottom w:val="0"/>
      <w:divBdr>
        <w:top w:val="none" w:sz="0" w:space="0" w:color="auto"/>
        <w:left w:val="none" w:sz="0" w:space="0" w:color="auto"/>
        <w:bottom w:val="none" w:sz="0" w:space="0" w:color="auto"/>
        <w:right w:val="none" w:sz="0" w:space="0" w:color="auto"/>
      </w:divBdr>
    </w:div>
    <w:div w:id="1083527477">
      <w:bodyDiv w:val="1"/>
      <w:marLeft w:val="0"/>
      <w:marRight w:val="0"/>
      <w:marTop w:val="0"/>
      <w:marBottom w:val="0"/>
      <w:divBdr>
        <w:top w:val="none" w:sz="0" w:space="0" w:color="auto"/>
        <w:left w:val="none" w:sz="0" w:space="0" w:color="auto"/>
        <w:bottom w:val="none" w:sz="0" w:space="0" w:color="auto"/>
        <w:right w:val="none" w:sz="0" w:space="0" w:color="auto"/>
      </w:divBdr>
    </w:div>
    <w:div w:id="1139608861">
      <w:bodyDiv w:val="1"/>
      <w:marLeft w:val="0"/>
      <w:marRight w:val="0"/>
      <w:marTop w:val="0"/>
      <w:marBottom w:val="0"/>
      <w:divBdr>
        <w:top w:val="none" w:sz="0" w:space="0" w:color="auto"/>
        <w:left w:val="none" w:sz="0" w:space="0" w:color="auto"/>
        <w:bottom w:val="none" w:sz="0" w:space="0" w:color="auto"/>
        <w:right w:val="none" w:sz="0" w:space="0" w:color="auto"/>
      </w:divBdr>
    </w:div>
    <w:div w:id="1140225125">
      <w:bodyDiv w:val="1"/>
      <w:marLeft w:val="0"/>
      <w:marRight w:val="0"/>
      <w:marTop w:val="0"/>
      <w:marBottom w:val="0"/>
      <w:divBdr>
        <w:top w:val="none" w:sz="0" w:space="0" w:color="auto"/>
        <w:left w:val="none" w:sz="0" w:space="0" w:color="auto"/>
        <w:bottom w:val="none" w:sz="0" w:space="0" w:color="auto"/>
        <w:right w:val="none" w:sz="0" w:space="0" w:color="auto"/>
      </w:divBdr>
    </w:div>
    <w:div w:id="1151021699">
      <w:bodyDiv w:val="1"/>
      <w:marLeft w:val="0"/>
      <w:marRight w:val="0"/>
      <w:marTop w:val="0"/>
      <w:marBottom w:val="0"/>
      <w:divBdr>
        <w:top w:val="none" w:sz="0" w:space="0" w:color="auto"/>
        <w:left w:val="none" w:sz="0" w:space="0" w:color="auto"/>
        <w:bottom w:val="none" w:sz="0" w:space="0" w:color="auto"/>
        <w:right w:val="none" w:sz="0" w:space="0" w:color="auto"/>
      </w:divBdr>
    </w:div>
    <w:div w:id="1155880229">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
    <w:div w:id="1214074821">
      <w:bodyDiv w:val="1"/>
      <w:marLeft w:val="0"/>
      <w:marRight w:val="0"/>
      <w:marTop w:val="0"/>
      <w:marBottom w:val="0"/>
      <w:divBdr>
        <w:top w:val="none" w:sz="0" w:space="0" w:color="auto"/>
        <w:left w:val="none" w:sz="0" w:space="0" w:color="auto"/>
        <w:bottom w:val="none" w:sz="0" w:space="0" w:color="auto"/>
        <w:right w:val="none" w:sz="0" w:space="0" w:color="auto"/>
      </w:divBdr>
    </w:div>
    <w:div w:id="1287659733">
      <w:bodyDiv w:val="1"/>
      <w:marLeft w:val="0"/>
      <w:marRight w:val="0"/>
      <w:marTop w:val="0"/>
      <w:marBottom w:val="0"/>
      <w:divBdr>
        <w:top w:val="none" w:sz="0" w:space="0" w:color="auto"/>
        <w:left w:val="none" w:sz="0" w:space="0" w:color="auto"/>
        <w:bottom w:val="none" w:sz="0" w:space="0" w:color="auto"/>
        <w:right w:val="none" w:sz="0" w:space="0" w:color="auto"/>
      </w:divBdr>
    </w:div>
    <w:div w:id="1288852151">
      <w:bodyDiv w:val="1"/>
      <w:marLeft w:val="0"/>
      <w:marRight w:val="0"/>
      <w:marTop w:val="0"/>
      <w:marBottom w:val="0"/>
      <w:divBdr>
        <w:top w:val="none" w:sz="0" w:space="0" w:color="auto"/>
        <w:left w:val="none" w:sz="0" w:space="0" w:color="auto"/>
        <w:bottom w:val="none" w:sz="0" w:space="0" w:color="auto"/>
        <w:right w:val="none" w:sz="0" w:space="0" w:color="auto"/>
      </w:divBdr>
    </w:div>
    <w:div w:id="1303730331">
      <w:bodyDiv w:val="1"/>
      <w:marLeft w:val="0"/>
      <w:marRight w:val="0"/>
      <w:marTop w:val="0"/>
      <w:marBottom w:val="0"/>
      <w:divBdr>
        <w:top w:val="none" w:sz="0" w:space="0" w:color="auto"/>
        <w:left w:val="none" w:sz="0" w:space="0" w:color="auto"/>
        <w:bottom w:val="none" w:sz="0" w:space="0" w:color="auto"/>
        <w:right w:val="none" w:sz="0" w:space="0" w:color="auto"/>
      </w:divBdr>
    </w:div>
    <w:div w:id="1317108058">
      <w:bodyDiv w:val="1"/>
      <w:marLeft w:val="0"/>
      <w:marRight w:val="0"/>
      <w:marTop w:val="0"/>
      <w:marBottom w:val="0"/>
      <w:divBdr>
        <w:top w:val="none" w:sz="0" w:space="0" w:color="auto"/>
        <w:left w:val="none" w:sz="0" w:space="0" w:color="auto"/>
        <w:bottom w:val="none" w:sz="0" w:space="0" w:color="auto"/>
        <w:right w:val="none" w:sz="0" w:space="0" w:color="auto"/>
      </w:divBdr>
    </w:div>
    <w:div w:id="1331757381">
      <w:bodyDiv w:val="1"/>
      <w:marLeft w:val="0"/>
      <w:marRight w:val="0"/>
      <w:marTop w:val="0"/>
      <w:marBottom w:val="0"/>
      <w:divBdr>
        <w:top w:val="none" w:sz="0" w:space="0" w:color="auto"/>
        <w:left w:val="none" w:sz="0" w:space="0" w:color="auto"/>
        <w:bottom w:val="none" w:sz="0" w:space="0" w:color="auto"/>
        <w:right w:val="none" w:sz="0" w:space="0" w:color="auto"/>
      </w:divBdr>
    </w:div>
    <w:div w:id="1348482818">
      <w:bodyDiv w:val="1"/>
      <w:marLeft w:val="0"/>
      <w:marRight w:val="0"/>
      <w:marTop w:val="0"/>
      <w:marBottom w:val="0"/>
      <w:divBdr>
        <w:top w:val="none" w:sz="0" w:space="0" w:color="auto"/>
        <w:left w:val="none" w:sz="0" w:space="0" w:color="auto"/>
        <w:bottom w:val="none" w:sz="0" w:space="0" w:color="auto"/>
        <w:right w:val="none" w:sz="0" w:space="0" w:color="auto"/>
      </w:divBdr>
    </w:div>
    <w:div w:id="1365595796">
      <w:bodyDiv w:val="1"/>
      <w:marLeft w:val="0"/>
      <w:marRight w:val="0"/>
      <w:marTop w:val="0"/>
      <w:marBottom w:val="0"/>
      <w:divBdr>
        <w:top w:val="none" w:sz="0" w:space="0" w:color="auto"/>
        <w:left w:val="none" w:sz="0" w:space="0" w:color="auto"/>
        <w:bottom w:val="none" w:sz="0" w:space="0" w:color="auto"/>
        <w:right w:val="none" w:sz="0" w:space="0" w:color="auto"/>
      </w:divBdr>
    </w:div>
    <w:div w:id="1376464923">
      <w:bodyDiv w:val="1"/>
      <w:marLeft w:val="0"/>
      <w:marRight w:val="0"/>
      <w:marTop w:val="0"/>
      <w:marBottom w:val="0"/>
      <w:divBdr>
        <w:top w:val="none" w:sz="0" w:space="0" w:color="auto"/>
        <w:left w:val="none" w:sz="0" w:space="0" w:color="auto"/>
        <w:bottom w:val="none" w:sz="0" w:space="0" w:color="auto"/>
        <w:right w:val="none" w:sz="0" w:space="0" w:color="auto"/>
      </w:divBdr>
    </w:div>
    <w:div w:id="1391072193">
      <w:bodyDiv w:val="1"/>
      <w:marLeft w:val="0"/>
      <w:marRight w:val="0"/>
      <w:marTop w:val="0"/>
      <w:marBottom w:val="0"/>
      <w:divBdr>
        <w:top w:val="none" w:sz="0" w:space="0" w:color="auto"/>
        <w:left w:val="none" w:sz="0" w:space="0" w:color="auto"/>
        <w:bottom w:val="none" w:sz="0" w:space="0" w:color="auto"/>
        <w:right w:val="none" w:sz="0" w:space="0" w:color="auto"/>
      </w:divBdr>
    </w:div>
    <w:div w:id="1437945607">
      <w:bodyDiv w:val="1"/>
      <w:marLeft w:val="0"/>
      <w:marRight w:val="0"/>
      <w:marTop w:val="0"/>
      <w:marBottom w:val="0"/>
      <w:divBdr>
        <w:top w:val="none" w:sz="0" w:space="0" w:color="auto"/>
        <w:left w:val="none" w:sz="0" w:space="0" w:color="auto"/>
        <w:bottom w:val="none" w:sz="0" w:space="0" w:color="auto"/>
        <w:right w:val="none" w:sz="0" w:space="0" w:color="auto"/>
      </w:divBdr>
    </w:div>
    <w:div w:id="1466388933">
      <w:bodyDiv w:val="1"/>
      <w:marLeft w:val="0"/>
      <w:marRight w:val="0"/>
      <w:marTop w:val="0"/>
      <w:marBottom w:val="0"/>
      <w:divBdr>
        <w:top w:val="none" w:sz="0" w:space="0" w:color="auto"/>
        <w:left w:val="none" w:sz="0" w:space="0" w:color="auto"/>
        <w:bottom w:val="none" w:sz="0" w:space="0" w:color="auto"/>
        <w:right w:val="none" w:sz="0" w:space="0" w:color="auto"/>
      </w:divBdr>
    </w:div>
    <w:div w:id="1483354246">
      <w:bodyDiv w:val="1"/>
      <w:marLeft w:val="0"/>
      <w:marRight w:val="0"/>
      <w:marTop w:val="0"/>
      <w:marBottom w:val="0"/>
      <w:divBdr>
        <w:top w:val="none" w:sz="0" w:space="0" w:color="auto"/>
        <w:left w:val="none" w:sz="0" w:space="0" w:color="auto"/>
        <w:bottom w:val="none" w:sz="0" w:space="0" w:color="auto"/>
        <w:right w:val="none" w:sz="0" w:space="0" w:color="auto"/>
      </w:divBdr>
    </w:div>
    <w:div w:id="1484617939">
      <w:bodyDiv w:val="1"/>
      <w:marLeft w:val="0"/>
      <w:marRight w:val="0"/>
      <w:marTop w:val="0"/>
      <w:marBottom w:val="0"/>
      <w:divBdr>
        <w:top w:val="none" w:sz="0" w:space="0" w:color="auto"/>
        <w:left w:val="none" w:sz="0" w:space="0" w:color="auto"/>
        <w:bottom w:val="none" w:sz="0" w:space="0" w:color="auto"/>
        <w:right w:val="none" w:sz="0" w:space="0" w:color="auto"/>
      </w:divBdr>
    </w:div>
    <w:div w:id="1517386253">
      <w:bodyDiv w:val="1"/>
      <w:marLeft w:val="0"/>
      <w:marRight w:val="0"/>
      <w:marTop w:val="0"/>
      <w:marBottom w:val="0"/>
      <w:divBdr>
        <w:top w:val="none" w:sz="0" w:space="0" w:color="auto"/>
        <w:left w:val="none" w:sz="0" w:space="0" w:color="auto"/>
        <w:bottom w:val="none" w:sz="0" w:space="0" w:color="auto"/>
        <w:right w:val="none" w:sz="0" w:space="0" w:color="auto"/>
      </w:divBdr>
    </w:div>
    <w:div w:id="1554466292">
      <w:bodyDiv w:val="1"/>
      <w:marLeft w:val="0"/>
      <w:marRight w:val="0"/>
      <w:marTop w:val="0"/>
      <w:marBottom w:val="0"/>
      <w:divBdr>
        <w:top w:val="none" w:sz="0" w:space="0" w:color="auto"/>
        <w:left w:val="none" w:sz="0" w:space="0" w:color="auto"/>
        <w:bottom w:val="none" w:sz="0" w:space="0" w:color="auto"/>
        <w:right w:val="none" w:sz="0" w:space="0" w:color="auto"/>
      </w:divBdr>
    </w:div>
    <w:div w:id="1563060939">
      <w:bodyDiv w:val="1"/>
      <w:marLeft w:val="0"/>
      <w:marRight w:val="0"/>
      <w:marTop w:val="0"/>
      <w:marBottom w:val="0"/>
      <w:divBdr>
        <w:top w:val="none" w:sz="0" w:space="0" w:color="auto"/>
        <w:left w:val="none" w:sz="0" w:space="0" w:color="auto"/>
        <w:bottom w:val="none" w:sz="0" w:space="0" w:color="auto"/>
        <w:right w:val="none" w:sz="0" w:space="0" w:color="auto"/>
      </w:divBdr>
    </w:div>
    <w:div w:id="1580285695">
      <w:bodyDiv w:val="1"/>
      <w:marLeft w:val="0"/>
      <w:marRight w:val="0"/>
      <w:marTop w:val="0"/>
      <w:marBottom w:val="0"/>
      <w:divBdr>
        <w:top w:val="none" w:sz="0" w:space="0" w:color="auto"/>
        <w:left w:val="none" w:sz="0" w:space="0" w:color="auto"/>
        <w:bottom w:val="none" w:sz="0" w:space="0" w:color="auto"/>
        <w:right w:val="none" w:sz="0" w:space="0" w:color="auto"/>
      </w:divBdr>
    </w:div>
    <w:div w:id="1624116233">
      <w:bodyDiv w:val="1"/>
      <w:marLeft w:val="0"/>
      <w:marRight w:val="0"/>
      <w:marTop w:val="0"/>
      <w:marBottom w:val="0"/>
      <w:divBdr>
        <w:top w:val="none" w:sz="0" w:space="0" w:color="auto"/>
        <w:left w:val="none" w:sz="0" w:space="0" w:color="auto"/>
        <w:bottom w:val="none" w:sz="0" w:space="0" w:color="auto"/>
        <w:right w:val="none" w:sz="0" w:space="0" w:color="auto"/>
      </w:divBdr>
    </w:div>
    <w:div w:id="1626421680">
      <w:bodyDiv w:val="1"/>
      <w:marLeft w:val="0"/>
      <w:marRight w:val="0"/>
      <w:marTop w:val="0"/>
      <w:marBottom w:val="0"/>
      <w:divBdr>
        <w:top w:val="none" w:sz="0" w:space="0" w:color="auto"/>
        <w:left w:val="none" w:sz="0" w:space="0" w:color="auto"/>
        <w:bottom w:val="none" w:sz="0" w:space="0" w:color="auto"/>
        <w:right w:val="none" w:sz="0" w:space="0" w:color="auto"/>
      </w:divBdr>
    </w:div>
    <w:div w:id="1642491801">
      <w:bodyDiv w:val="1"/>
      <w:marLeft w:val="0"/>
      <w:marRight w:val="0"/>
      <w:marTop w:val="0"/>
      <w:marBottom w:val="0"/>
      <w:divBdr>
        <w:top w:val="none" w:sz="0" w:space="0" w:color="auto"/>
        <w:left w:val="none" w:sz="0" w:space="0" w:color="auto"/>
        <w:bottom w:val="none" w:sz="0" w:space="0" w:color="auto"/>
        <w:right w:val="none" w:sz="0" w:space="0" w:color="auto"/>
      </w:divBdr>
    </w:div>
    <w:div w:id="1649482381">
      <w:bodyDiv w:val="1"/>
      <w:marLeft w:val="0"/>
      <w:marRight w:val="0"/>
      <w:marTop w:val="0"/>
      <w:marBottom w:val="0"/>
      <w:divBdr>
        <w:top w:val="none" w:sz="0" w:space="0" w:color="auto"/>
        <w:left w:val="none" w:sz="0" w:space="0" w:color="auto"/>
        <w:bottom w:val="none" w:sz="0" w:space="0" w:color="auto"/>
        <w:right w:val="none" w:sz="0" w:space="0" w:color="auto"/>
      </w:divBdr>
    </w:div>
    <w:div w:id="1652326198">
      <w:bodyDiv w:val="1"/>
      <w:marLeft w:val="0"/>
      <w:marRight w:val="0"/>
      <w:marTop w:val="0"/>
      <w:marBottom w:val="0"/>
      <w:divBdr>
        <w:top w:val="none" w:sz="0" w:space="0" w:color="auto"/>
        <w:left w:val="none" w:sz="0" w:space="0" w:color="auto"/>
        <w:bottom w:val="none" w:sz="0" w:space="0" w:color="auto"/>
        <w:right w:val="none" w:sz="0" w:space="0" w:color="auto"/>
      </w:divBdr>
    </w:div>
    <w:div w:id="1663508058">
      <w:bodyDiv w:val="1"/>
      <w:marLeft w:val="0"/>
      <w:marRight w:val="0"/>
      <w:marTop w:val="0"/>
      <w:marBottom w:val="0"/>
      <w:divBdr>
        <w:top w:val="none" w:sz="0" w:space="0" w:color="auto"/>
        <w:left w:val="none" w:sz="0" w:space="0" w:color="auto"/>
        <w:bottom w:val="none" w:sz="0" w:space="0" w:color="auto"/>
        <w:right w:val="none" w:sz="0" w:space="0" w:color="auto"/>
      </w:divBdr>
    </w:div>
    <w:div w:id="1666544987">
      <w:bodyDiv w:val="1"/>
      <w:marLeft w:val="0"/>
      <w:marRight w:val="0"/>
      <w:marTop w:val="0"/>
      <w:marBottom w:val="0"/>
      <w:divBdr>
        <w:top w:val="none" w:sz="0" w:space="0" w:color="auto"/>
        <w:left w:val="none" w:sz="0" w:space="0" w:color="auto"/>
        <w:bottom w:val="none" w:sz="0" w:space="0" w:color="auto"/>
        <w:right w:val="none" w:sz="0" w:space="0" w:color="auto"/>
      </w:divBdr>
    </w:div>
    <w:div w:id="1682510124">
      <w:bodyDiv w:val="1"/>
      <w:marLeft w:val="0"/>
      <w:marRight w:val="0"/>
      <w:marTop w:val="0"/>
      <w:marBottom w:val="0"/>
      <w:divBdr>
        <w:top w:val="none" w:sz="0" w:space="0" w:color="auto"/>
        <w:left w:val="none" w:sz="0" w:space="0" w:color="auto"/>
        <w:bottom w:val="none" w:sz="0" w:space="0" w:color="auto"/>
        <w:right w:val="none" w:sz="0" w:space="0" w:color="auto"/>
      </w:divBdr>
    </w:div>
    <w:div w:id="1704018818">
      <w:bodyDiv w:val="1"/>
      <w:marLeft w:val="0"/>
      <w:marRight w:val="0"/>
      <w:marTop w:val="0"/>
      <w:marBottom w:val="0"/>
      <w:divBdr>
        <w:top w:val="none" w:sz="0" w:space="0" w:color="auto"/>
        <w:left w:val="none" w:sz="0" w:space="0" w:color="auto"/>
        <w:bottom w:val="none" w:sz="0" w:space="0" w:color="auto"/>
        <w:right w:val="none" w:sz="0" w:space="0" w:color="auto"/>
      </w:divBdr>
    </w:div>
    <w:div w:id="1722241849">
      <w:bodyDiv w:val="1"/>
      <w:marLeft w:val="0"/>
      <w:marRight w:val="0"/>
      <w:marTop w:val="0"/>
      <w:marBottom w:val="0"/>
      <w:divBdr>
        <w:top w:val="none" w:sz="0" w:space="0" w:color="auto"/>
        <w:left w:val="none" w:sz="0" w:space="0" w:color="auto"/>
        <w:bottom w:val="none" w:sz="0" w:space="0" w:color="auto"/>
        <w:right w:val="none" w:sz="0" w:space="0" w:color="auto"/>
      </w:divBdr>
    </w:div>
    <w:div w:id="1728215732">
      <w:bodyDiv w:val="1"/>
      <w:marLeft w:val="0"/>
      <w:marRight w:val="0"/>
      <w:marTop w:val="0"/>
      <w:marBottom w:val="0"/>
      <w:divBdr>
        <w:top w:val="none" w:sz="0" w:space="0" w:color="auto"/>
        <w:left w:val="none" w:sz="0" w:space="0" w:color="auto"/>
        <w:bottom w:val="none" w:sz="0" w:space="0" w:color="auto"/>
        <w:right w:val="none" w:sz="0" w:space="0" w:color="auto"/>
      </w:divBdr>
    </w:div>
    <w:div w:id="1767266426">
      <w:bodyDiv w:val="1"/>
      <w:marLeft w:val="0"/>
      <w:marRight w:val="0"/>
      <w:marTop w:val="0"/>
      <w:marBottom w:val="0"/>
      <w:divBdr>
        <w:top w:val="none" w:sz="0" w:space="0" w:color="auto"/>
        <w:left w:val="none" w:sz="0" w:space="0" w:color="auto"/>
        <w:bottom w:val="none" w:sz="0" w:space="0" w:color="auto"/>
        <w:right w:val="none" w:sz="0" w:space="0" w:color="auto"/>
      </w:divBdr>
    </w:div>
    <w:div w:id="1769931159">
      <w:bodyDiv w:val="1"/>
      <w:marLeft w:val="0"/>
      <w:marRight w:val="0"/>
      <w:marTop w:val="0"/>
      <w:marBottom w:val="0"/>
      <w:divBdr>
        <w:top w:val="none" w:sz="0" w:space="0" w:color="auto"/>
        <w:left w:val="none" w:sz="0" w:space="0" w:color="auto"/>
        <w:bottom w:val="none" w:sz="0" w:space="0" w:color="auto"/>
        <w:right w:val="none" w:sz="0" w:space="0" w:color="auto"/>
      </w:divBdr>
    </w:div>
    <w:div w:id="1830444541">
      <w:bodyDiv w:val="1"/>
      <w:marLeft w:val="0"/>
      <w:marRight w:val="0"/>
      <w:marTop w:val="0"/>
      <w:marBottom w:val="0"/>
      <w:divBdr>
        <w:top w:val="none" w:sz="0" w:space="0" w:color="auto"/>
        <w:left w:val="none" w:sz="0" w:space="0" w:color="auto"/>
        <w:bottom w:val="none" w:sz="0" w:space="0" w:color="auto"/>
        <w:right w:val="none" w:sz="0" w:space="0" w:color="auto"/>
      </w:divBdr>
    </w:div>
    <w:div w:id="1831866301">
      <w:bodyDiv w:val="1"/>
      <w:marLeft w:val="0"/>
      <w:marRight w:val="0"/>
      <w:marTop w:val="0"/>
      <w:marBottom w:val="0"/>
      <w:divBdr>
        <w:top w:val="none" w:sz="0" w:space="0" w:color="auto"/>
        <w:left w:val="none" w:sz="0" w:space="0" w:color="auto"/>
        <w:bottom w:val="none" w:sz="0" w:space="0" w:color="auto"/>
        <w:right w:val="none" w:sz="0" w:space="0" w:color="auto"/>
      </w:divBdr>
    </w:div>
    <w:div w:id="1834030204">
      <w:bodyDiv w:val="1"/>
      <w:marLeft w:val="0"/>
      <w:marRight w:val="0"/>
      <w:marTop w:val="0"/>
      <w:marBottom w:val="0"/>
      <w:divBdr>
        <w:top w:val="none" w:sz="0" w:space="0" w:color="auto"/>
        <w:left w:val="none" w:sz="0" w:space="0" w:color="auto"/>
        <w:bottom w:val="none" w:sz="0" w:space="0" w:color="auto"/>
        <w:right w:val="none" w:sz="0" w:space="0" w:color="auto"/>
      </w:divBdr>
    </w:div>
    <w:div w:id="1840777461">
      <w:bodyDiv w:val="1"/>
      <w:marLeft w:val="0"/>
      <w:marRight w:val="0"/>
      <w:marTop w:val="0"/>
      <w:marBottom w:val="0"/>
      <w:divBdr>
        <w:top w:val="none" w:sz="0" w:space="0" w:color="auto"/>
        <w:left w:val="none" w:sz="0" w:space="0" w:color="auto"/>
        <w:bottom w:val="none" w:sz="0" w:space="0" w:color="auto"/>
        <w:right w:val="none" w:sz="0" w:space="0" w:color="auto"/>
      </w:divBdr>
    </w:div>
    <w:div w:id="1849834267">
      <w:bodyDiv w:val="1"/>
      <w:marLeft w:val="0"/>
      <w:marRight w:val="0"/>
      <w:marTop w:val="0"/>
      <w:marBottom w:val="0"/>
      <w:divBdr>
        <w:top w:val="none" w:sz="0" w:space="0" w:color="auto"/>
        <w:left w:val="none" w:sz="0" w:space="0" w:color="auto"/>
        <w:bottom w:val="none" w:sz="0" w:space="0" w:color="auto"/>
        <w:right w:val="none" w:sz="0" w:space="0" w:color="auto"/>
      </w:divBdr>
    </w:div>
    <w:div w:id="1867400437">
      <w:bodyDiv w:val="1"/>
      <w:marLeft w:val="0"/>
      <w:marRight w:val="0"/>
      <w:marTop w:val="0"/>
      <w:marBottom w:val="0"/>
      <w:divBdr>
        <w:top w:val="none" w:sz="0" w:space="0" w:color="auto"/>
        <w:left w:val="none" w:sz="0" w:space="0" w:color="auto"/>
        <w:bottom w:val="none" w:sz="0" w:space="0" w:color="auto"/>
        <w:right w:val="none" w:sz="0" w:space="0" w:color="auto"/>
      </w:divBdr>
    </w:div>
    <w:div w:id="1881630016">
      <w:bodyDiv w:val="1"/>
      <w:marLeft w:val="0"/>
      <w:marRight w:val="0"/>
      <w:marTop w:val="0"/>
      <w:marBottom w:val="0"/>
      <w:divBdr>
        <w:top w:val="none" w:sz="0" w:space="0" w:color="auto"/>
        <w:left w:val="none" w:sz="0" w:space="0" w:color="auto"/>
        <w:bottom w:val="none" w:sz="0" w:space="0" w:color="auto"/>
        <w:right w:val="none" w:sz="0" w:space="0" w:color="auto"/>
      </w:divBdr>
    </w:div>
    <w:div w:id="1907375904">
      <w:bodyDiv w:val="1"/>
      <w:marLeft w:val="0"/>
      <w:marRight w:val="0"/>
      <w:marTop w:val="0"/>
      <w:marBottom w:val="0"/>
      <w:divBdr>
        <w:top w:val="none" w:sz="0" w:space="0" w:color="auto"/>
        <w:left w:val="none" w:sz="0" w:space="0" w:color="auto"/>
        <w:bottom w:val="none" w:sz="0" w:space="0" w:color="auto"/>
        <w:right w:val="none" w:sz="0" w:space="0" w:color="auto"/>
      </w:divBdr>
    </w:div>
    <w:div w:id="1914121195">
      <w:bodyDiv w:val="1"/>
      <w:marLeft w:val="0"/>
      <w:marRight w:val="0"/>
      <w:marTop w:val="0"/>
      <w:marBottom w:val="0"/>
      <w:divBdr>
        <w:top w:val="none" w:sz="0" w:space="0" w:color="auto"/>
        <w:left w:val="none" w:sz="0" w:space="0" w:color="auto"/>
        <w:bottom w:val="none" w:sz="0" w:space="0" w:color="auto"/>
        <w:right w:val="none" w:sz="0" w:space="0" w:color="auto"/>
      </w:divBdr>
    </w:div>
    <w:div w:id="1916234881">
      <w:bodyDiv w:val="1"/>
      <w:marLeft w:val="0"/>
      <w:marRight w:val="0"/>
      <w:marTop w:val="0"/>
      <w:marBottom w:val="0"/>
      <w:divBdr>
        <w:top w:val="none" w:sz="0" w:space="0" w:color="auto"/>
        <w:left w:val="none" w:sz="0" w:space="0" w:color="auto"/>
        <w:bottom w:val="none" w:sz="0" w:space="0" w:color="auto"/>
        <w:right w:val="none" w:sz="0" w:space="0" w:color="auto"/>
      </w:divBdr>
    </w:div>
    <w:div w:id="1924145754">
      <w:bodyDiv w:val="1"/>
      <w:marLeft w:val="0"/>
      <w:marRight w:val="0"/>
      <w:marTop w:val="0"/>
      <w:marBottom w:val="0"/>
      <w:divBdr>
        <w:top w:val="none" w:sz="0" w:space="0" w:color="auto"/>
        <w:left w:val="none" w:sz="0" w:space="0" w:color="auto"/>
        <w:bottom w:val="none" w:sz="0" w:space="0" w:color="auto"/>
        <w:right w:val="none" w:sz="0" w:space="0" w:color="auto"/>
      </w:divBdr>
    </w:div>
    <w:div w:id="2029061349">
      <w:bodyDiv w:val="1"/>
      <w:marLeft w:val="0"/>
      <w:marRight w:val="0"/>
      <w:marTop w:val="0"/>
      <w:marBottom w:val="0"/>
      <w:divBdr>
        <w:top w:val="none" w:sz="0" w:space="0" w:color="auto"/>
        <w:left w:val="none" w:sz="0" w:space="0" w:color="auto"/>
        <w:bottom w:val="none" w:sz="0" w:space="0" w:color="auto"/>
        <w:right w:val="none" w:sz="0" w:space="0" w:color="auto"/>
      </w:divBdr>
    </w:div>
    <w:div w:id="2040623681">
      <w:bodyDiv w:val="1"/>
      <w:marLeft w:val="0"/>
      <w:marRight w:val="0"/>
      <w:marTop w:val="0"/>
      <w:marBottom w:val="0"/>
      <w:divBdr>
        <w:top w:val="none" w:sz="0" w:space="0" w:color="auto"/>
        <w:left w:val="none" w:sz="0" w:space="0" w:color="auto"/>
        <w:bottom w:val="none" w:sz="0" w:space="0" w:color="auto"/>
        <w:right w:val="none" w:sz="0" w:space="0" w:color="auto"/>
      </w:divBdr>
    </w:div>
    <w:div w:id="2126070769">
      <w:bodyDiv w:val="1"/>
      <w:marLeft w:val="0"/>
      <w:marRight w:val="0"/>
      <w:marTop w:val="0"/>
      <w:marBottom w:val="0"/>
      <w:divBdr>
        <w:top w:val="none" w:sz="0" w:space="0" w:color="auto"/>
        <w:left w:val="none" w:sz="0" w:space="0" w:color="auto"/>
        <w:bottom w:val="none" w:sz="0" w:space="0" w:color="auto"/>
        <w:right w:val="none" w:sz="0" w:space="0" w:color="auto"/>
      </w:divBdr>
    </w:div>
    <w:div w:id="2137868721">
      <w:bodyDiv w:val="1"/>
      <w:marLeft w:val="0"/>
      <w:marRight w:val="0"/>
      <w:marTop w:val="0"/>
      <w:marBottom w:val="0"/>
      <w:divBdr>
        <w:top w:val="none" w:sz="0" w:space="0" w:color="auto"/>
        <w:left w:val="none" w:sz="0" w:space="0" w:color="auto"/>
        <w:bottom w:val="none" w:sz="0" w:space="0" w:color="auto"/>
        <w:right w:val="none" w:sz="0" w:space="0" w:color="auto"/>
      </w:divBdr>
    </w:div>
    <w:div w:id="21465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ni.ministeriodesarrollosocial.gob.cl/postulacion_links/77_precios_sociales_nip_2012.pdf" TargetMode="Externa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laprensa.com.bo/diario/actualidad/bolivia/20121020/plantean-que-la-mamografia-sea-gratuita-_36215_5794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medicinaintercultural.org/etiqueta/resonancia-magn%C3%A9tica" TargetMode="External"/><Relationship Id="rId23" Type="http://schemas.openxmlformats.org/officeDocument/2006/relationships/customXml" Target="../customXml/item3.xml"/><Relationship Id="rId10" Type="http://schemas.openxmlformats.org/officeDocument/2006/relationships/image" Target="media/image2.emf"/><Relationship Id="rId19" Type="http://schemas.openxmlformats.org/officeDocument/2006/relationships/hyperlink" Target="http://www.cepep.gob.m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dbdocs.iadb.org/WSDocs/getdocument.aspx?DOCNUM=38258799"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nlm.nih.gov/medlineplus/spanish/ency/article/00736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6B77B8429E07240A3F00C37D8EC333E" ma:contentTypeVersion="0" ma:contentTypeDescription="A content type to manage public (operations) IDB documents" ma:contentTypeScope="" ma:versionID="49275751698de3937b0766844bc7213d">
  <xsd:schema xmlns:xsd="http://www.w3.org/2001/XMLSchema" xmlns:xs="http://www.w3.org/2001/XMLSchema" xmlns:p="http://schemas.microsoft.com/office/2006/metadata/properties" xmlns:ns2="9c571b2f-e523-4ab2-ba2e-09e151a03ef4" targetNamespace="http://schemas.microsoft.com/office/2006/metadata/properties" ma:root="true" ma:fieldsID="b8b222a5f0b75ad5f19cc3b3d192848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c4ff23e-f1e5-4a3c-b68a-ce854a860959}" ma:internalName="TaxCatchAll" ma:showField="CatchAllData"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4ff23e-f1e5-4a3c-b68a-ce854a860959}" ma:internalName="TaxCatchAllLabel" ma:readOnly="true" ma:showField="CatchAllDataLabel" ma:web="8406cd95-6dfb-42d9-a406-1a1910b5fe2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SCL/SPH</Division_x0020_or_x0020_Unit>
    <Other_x0020_Author xmlns="9c571b2f-e523-4ab2-ba2e-09e151a03ef4" xsi:nil="true"/>
    <Region xmlns="9c571b2f-e523-4ab2-ba2e-09e151a03ef4" xsi:nil="true"/>
    <IDBDocs_x0020_Number xmlns="9c571b2f-e523-4ab2-ba2e-09e151a03ef4">38209247</IDBDocs_x0020_Number>
    <Document_x0020_Author xmlns="9c571b2f-e523-4ab2-ba2e-09e151a03ef4">beatrizz</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BO-L1082</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SA-SAL</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0F58C2D9-D0B9-4852-BEFA-532EFEB756BC}"/>
</file>

<file path=customXml/itemProps2.xml><?xml version="1.0" encoding="utf-8"?>
<ds:datastoreItem xmlns:ds="http://schemas.openxmlformats.org/officeDocument/2006/customXml" ds:itemID="{D2317ED1-86D9-4CEE-85B3-D464ADC844E7}"/>
</file>

<file path=customXml/itemProps3.xml><?xml version="1.0" encoding="utf-8"?>
<ds:datastoreItem xmlns:ds="http://schemas.openxmlformats.org/officeDocument/2006/customXml" ds:itemID="{2025B648-8D73-4892-9728-551997581568}"/>
</file>

<file path=customXml/itemProps4.xml><?xml version="1.0" encoding="utf-8"?>
<ds:datastoreItem xmlns:ds="http://schemas.openxmlformats.org/officeDocument/2006/customXml" ds:itemID="{A1404187-27A2-4D31-85AE-87497BA8BF08}"/>
</file>

<file path=customXml/itemProps5.xml><?xml version="1.0" encoding="utf-8"?>
<ds:datastoreItem xmlns:ds="http://schemas.openxmlformats.org/officeDocument/2006/customXml" ds:itemID="{9F2F042E-4AD2-4076-9988-AD314EB9B68F}"/>
</file>

<file path=customXml/itemProps6.xml><?xml version="1.0" encoding="utf-8"?>
<ds:datastoreItem xmlns:ds="http://schemas.openxmlformats.org/officeDocument/2006/customXml" ds:itemID="{EE760A8E-82F2-4486-8138-7EC006273C68}"/>
</file>

<file path=docProps/app.xml><?xml version="1.0" encoding="utf-8"?>
<Properties xmlns="http://schemas.openxmlformats.org/officeDocument/2006/extended-properties" xmlns:vt="http://schemas.openxmlformats.org/officeDocument/2006/docPropsVTypes">
  <Template>Normal.dotm</Template>
  <TotalTime>2</TotalTime>
  <Pages>61</Pages>
  <Words>17199</Words>
  <Characters>101617</Characters>
  <Application>Microsoft Office Word</Application>
  <DocSecurity>0</DocSecurity>
  <Lines>846</Lines>
  <Paragraphs>237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Notebook</Company>
  <LinksUpToDate>false</LinksUpToDate>
  <CharactersWithSpaces>118579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Análisis Económico</dc:title>
  <dc:creator>Ciro Ibanez</dc:creator>
  <cp:lastModifiedBy>Test</cp:lastModifiedBy>
  <cp:revision>3</cp:revision>
  <cp:lastPrinted>2012-08-10T18:51:00Z</cp:lastPrinted>
  <dcterms:created xsi:type="dcterms:W3CDTF">2013-11-26T21:22:00Z</dcterms:created>
  <dcterms:modified xsi:type="dcterms:W3CDTF">2013-11-26T21:30:00Z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0x01010046CF21643EE8D14686A648AA6DAD089200E6B77B8429E07240A3F00C37D8EC333E</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