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44" w:rsidRPr="00C51FBB" w:rsidRDefault="005B5144">
      <w:pPr>
        <w:jc w:val="center"/>
        <w:rPr>
          <w:b/>
          <w:caps/>
          <w:lang w:val="es-ES"/>
        </w:rPr>
      </w:pPr>
      <w:r w:rsidRPr="00C51FBB">
        <w:rPr>
          <w:b/>
          <w:caps/>
          <w:lang w:val="es-ES"/>
        </w:rPr>
        <w:t>Matriz de resultados</w:t>
      </w:r>
    </w:p>
    <w:p w:rsidR="00CD0C2C" w:rsidRPr="00C51FBB" w:rsidRDefault="00CD0C2C">
      <w:pPr>
        <w:jc w:val="center"/>
        <w:rPr>
          <w:b/>
          <w:caps/>
          <w:lang w:val="es-ES"/>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240"/>
      </w:tblGrid>
      <w:tr w:rsidR="00ED5E0C" w:rsidRPr="00B44F76" w:rsidTr="002A5507">
        <w:trPr>
          <w:trHeight w:val="728"/>
        </w:trPr>
        <w:tc>
          <w:tcPr>
            <w:tcW w:w="1548" w:type="dxa"/>
            <w:vAlign w:val="center"/>
          </w:tcPr>
          <w:p w:rsidR="00ED5E0C" w:rsidRPr="00C51FBB" w:rsidRDefault="00ED5E0C" w:rsidP="00ED5E0C">
            <w:pPr>
              <w:rPr>
                <w:b/>
                <w:caps/>
                <w:sz w:val="20"/>
                <w:szCs w:val="20"/>
                <w:lang w:val="pt-BR"/>
              </w:rPr>
            </w:pPr>
            <w:r w:rsidRPr="00C51FBB">
              <w:rPr>
                <w:b/>
                <w:caps/>
                <w:sz w:val="20"/>
                <w:szCs w:val="20"/>
                <w:lang w:val="pt-BR"/>
              </w:rPr>
              <w:t>objetivo general</w:t>
            </w:r>
          </w:p>
        </w:tc>
        <w:tc>
          <w:tcPr>
            <w:tcW w:w="12240" w:type="dxa"/>
            <w:vAlign w:val="center"/>
          </w:tcPr>
          <w:p w:rsidR="00C51FBB" w:rsidRPr="00021C14" w:rsidRDefault="00624CD5" w:rsidP="008B31FD">
            <w:pPr>
              <w:pStyle w:val="Paragraph"/>
              <w:widowControl w:val="0"/>
              <w:numPr>
                <w:ilvl w:val="0"/>
                <w:numId w:val="0"/>
              </w:numPr>
              <w:tabs>
                <w:tab w:val="num" w:pos="1800"/>
              </w:tabs>
              <w:autoSpaceDE w:val="0"/>
              <w:autoSpaceDN w:val="0"/>
              <w:adjustRightInd w:val="0"/>
              <w:ind w:left="-18" w:firstLine="18"/>
              <w:rPr>
                <w:lang w:val="es-ES"/>
              </w:rPr>
            </w:pPr>
            <w:r w:rsidRPr="004B6D9F">
              <w:rPr>
                <w:szCs w:val="24"/>
                <w:lang w:val="es-ES"/>
              </w:rPr>
              <w:t xml:space="preserve">El objetivo </w:t>
            </w:r>
            <w:r>
              <w:rPr>
                <w:szCs w:val="24"/>
                <w:lang w:val="es-ES"/>
              </w:rPr>
              <w:t xml:space="preserve">general de la serie programática es </w:t>
            </w:r>
            <w:r w:rsidRPr="004B6D9F">
              <w:rPr>
                <w:szCs w:val="24"/>
                <w:lang w:val="es-ES"/>
              </w:rPr>
              <w:t>contribu</w:t>
            </w:r>
            <w:r>
              <w:rPr>
                <w:szCs w:val="24"/>
                <w:lang w:val="es-ES"/>
              </w:rPr>
              <w:t>ir</w:t>
            </w:r>
            <w:r w:rsidRPr="004B6D9F">
              <w:rPr>
                <w:szCs w:val="24"/>
                <w:lang w:val="es-ES"/>
              </w:rPr>
              <w:t xml:space="preserve"> a mejorar la calidad y pertinencia de la formación del recurso humano como medio para incrementar, en el largo plazo, la productividad laboral. El objetivo específico </w:t>
            </w:r>
            <w:r>
              <w:rPr>
                <w:szCs w:val="24"/>
                <w:lang w:val="es-ES"/>
              </w:rPr>
              <w:t>de est</w:t>
            </w:r>
            <w:r w:rsidR="008B31FD">
              <w:rPr>
                <w:szCs w:val="24"/>
                <w:lang w:val="es-ES"/>
              </w:rPr>
              <w:t>a</w:t>
            </w:r>
            <w:r>
              <w:rPr>
                <w:szCs w:val="24"/>
                <w:lang w:val="es-ES"/>
              </w:rPr>
              <w:t xml:space="preserve"> segund</w:t>
            </w:r>
            <w:r w:rsidR="008B31FD">
              <w:rPr>
                <w:szCs w:val="24"/>
                <w:lang w:val="es-ES"/>
              </w:rPr>
              <w:t>a</w:t>
            </w:r>
            <w:r>
              <w:rPr>
                <w:szCs w:val="24"/>
                <w:lang w:val="es-ES"/>
              </w:rPr>
              <w:t xml:space="preserve"> </w:t>
            </w:r>
            <w:r w:rsidR="008B31FD">
              <w:rPr>
                <w:szCs w:val="24"/>
                <w:lang w:val="es-ES"/>
              </w:rPr>
              <w:t>operación</w:t>
            </w:r>
            <w:r>
              <w:rPr>
                <w:szCs w:val="24"/>
                <w:lang w:val="es-ES"/>
              </w:rPr>
              <w:t xml:space="preserve"> </w:t>
            </w:r>
            <w:r w:rsidRPr="009A3EDF">
              <w:rPr>
                <w:szCs w:val="24"/>
                <w:lang w:val="es-ES"/>
              </w:rPr>
              <w:t>es apoyar la implementación de la Estrategia Nacional para la Gestión del Recurso Humano (EGERH)</w:t>
            </w:r>
            <w:r>
              <w:rPr>
                <w:lang w:val="es-ES"/>
              </w:rPr>
              <w:t>. Para esto se busca generar las condiciones institucionales y técnicas, y desarrollar los principales subsistemas y procesos del futuro Sistema Nacional de Cualificaciones.</w:t>
            </w:r>
          </w:p>
        </w:tc>
      </w:tr>
    </w:tbl>
    <w:p w:rsidR="001E7268" w:rsidRPr="00C51FBB" w:rsidRDefault="001E7268">
      <w:pPr>
        <w:jc w:val="center"/>
        <w:rPr>
          <w:sz w:val="20"/>
          <w:szCs w:val="20"/>
          <w:lang w:val="es-ES"/>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980"/>
        <w:gridCol w:w="1800"/>
        <w:gridCol w:w="6480"/>
      </w:tblGrid>
      <w:tr w:rsidR="00762BD2" w:rsidRPr="00C51FBB" w:rsidTr="003053B2">
        <w:trPr>
          <w:trHeight w:val="413"/>
          <w:tblHeader/>
        </w:trPr>
        <w:tc>
          <w:tcPr>
            <w:tcW w:w="3528" w:type="dxa"/>
            <w:tcBorders>
              <w:bottom w:val="single" w:sz="4" w:space="0" w:color="auto"/>
            </w:tcBorders>
            <w:shd w:val="clear" w:color="auto" w:fill="8DB3E2"/>
            <w:vAlign w:val="center"/>
          </w:tcPr>
          <w:p w:rsidR="00762BD2" w:rsidRPr="00C51FBB" w:rsidRDefault="00692463" w:rsidP="00DA02DF">
            <w:pPr>
              <w:jc w:val="center"/>
              <w:rPr>
                <w:b/>
                <w:sz w:val="20"/>
                <w:szCs w:val="20"/>
                <w:lang w:val="es-ES"/>
              </w:rPr>
            </w:pPr>
            <w:r w:rsidRPr="00C51FBB">
              <w:rPr>
                <w:b/>
                <w:sz w:val="20"/>
                <w:szCs w:val="20"/>
                <w:lang w:val="es-ES"/>
              </w:rPr>
              <w:t>Propósito</w:t>
            </w:r>
          </w:p>
        </w:tc>
        <w:tc>
          <w:tcPr>
            <w:tcW w:w="1980" w:type="dxa"/>
            <w:tcBorders>
              <w:bottom w:val="single" w:sz="4" w:space="0" w:color="auto"/>
            </w:tcBorders>
            <w:shd w:val="clear" w:color="auto" w:fill="8DB3E2"/>
            <w:vAlign w:val="center"/>
          </w:tcPr>
          <w:p w:rsidR="00762BD2" w:rsidRPr="00C51FBB" w:rsidRDefault="00762BD2" w:rsidP="00DA02DF">
            <w:pPr>
              <w:jc w:val="center"/>
              <w:rPr>
                <w:b/>
                <w:sz w:val="20"/>
                <w:szCs w:val="20"/>
                <w:lang w:val="es-ES"/>
              </w:rPr>
            </w:pPr>
            <w:r w:rsidRPr="00C51FBB">
              <w:rPr>
                <w:b/>
                <w:sz w:val="20"/>
                <w:szCs w:val="20"/>
                <w:lang w:val="es-ES"/>
              </w:rPr>
              <w:t>Base</w:t>
            </w:r>
          </w:p>
        </w:tc>
        <w:tc>
          <w:tcPr>
            <w:tcW w:w="1800" w:type="dxa"/>
            <w:tcBorders>
              <w:bottom w:val="single" w:sz="4" w:space="0" w:color="auto"/>
            </w:tcBorders>
            <w:shd w:val="clear" w:color="auto" w:fill="8DB3E2"/>
            <w:vAlign w:val="center"/>
          </w:tcPr>
          <w:p w:rsidR="00762BD2" w:rsidRPr="00C51FBB" w:rsidRDefault="00762BD2" w:rsidP="00CE1E39">
            <w:pPr>
              <w:jc w:val="center"/>
              <w:rPr>
                <w:b/>
                <w:sz w:val="20"/>
                <w:szCs w:val="20"/>
                <w:lang w:val="es-ES"/>
              </w:rPr>
            </w:pPr>
            <w:r w:rsidRPr="00C51FBB">
              <w:rPr>
                <w:b/>
                <w:sz w:val="20"/>
                <w:szCs w:val="20"/>
                <w:lang w:val="es-ES"/>
              </w:rPr>
              <w:t>Meta final</w:t>
            </w:r>
          </w:p>
        </w:tc>
        <w:tc>
          <w:tcPr>
            <w:tcW w:w="6480" w:type="dxa"/>
            <w:tcBorders>
              <w:bottom w:val="single" w:sz="4" w:space="0" w:color="auto"/>
            </w:tcBorders>
            <w:shd w:val="clear" w:color="auto" w:fill="8DB3E2"/>
            <w:vAlign w:val="center"/>
          </w:tcPr>
          <w:p w:rsidR="00762BD2" w:rsidRPr="00C51FBB" w:rsidRDefault="00762BD2" w:rsidP="00DA02DF">
            <w:pPr>
              <w:jc w:val="center"/>
              <w:rPr>
                <w:b/>
                <w:sz w:val="20"/>
                <w:szCs w:val="20"/>
                <w:lang w:val="es-ES"/>
              </w:rPr>
            </w:pPr>
            <w:r w:rsidRPr="00C51FBB">
              <w:rPr>
                <w:b/>
                <w:sz w:val="20"/>
                <w:szCs w:val="20"/>
                <w:lang w:val="es-ES"/>
              </w:rPr>
              <w:t>Observaciones</w:t>
            </w:r>
          </w:p>
        </w:tc>
      </w:tr>
      <w:tr w:rsidR="003F3917" w:rsidRPr="00B44F76" w:rsidTr="003053B2">
        <w:trPr>
          <w:trHeight w:val="413"/>
          <w:tblHead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5238C8" w:rsidRPr="005238C8" w:rsidRDefault="005238C8" w:rsidP="00CD69A4">
            <w:pPr>
              <w:rPr>
                <w:sz w:val="20"/>
                <w:szCs w:val="20"/>
                <w:u w:val="single"/>
                <w:lang w:val="es-ES"/>
              </w:rPr>
            </w:pPr>
            <w:r w:rsidRPr="005238C8">
              <w:rPr>
                <w:sz w:val="20"/>
                <w:szCs w:val="20"/>
                <w:u w:val="single"/>
                <w:lang w:val="es-ES"/>
              </w:rPr>
              <w:t>Impacto:</w:t>
            </w:r>
          </w:p>
          <w:p w:rsidR="005238C8" w:rsidRDefault="005238C8" w:rsidP="00CD69A4">
            <w:pPr>
              <w:rPr>
                <w:sz w:val="20"/>
                <w:szCs w:val="20"/>
                <w:lang w:val="es-ES"/>
              </w:rPr>
            </w:pPr>
          </w:p>
          <w:p w:rsidR="003F3917" w:rsidRPr="00434E45" w:rsidRDefault="00434E45" w:rsidP="00BE3A49">
            <w:pPr>
              <w:rPr>
                <w:sz w:val="20"/>
                <w:szCs w:val="20"/>
                <w:lang w:val="es-ES"/>
              </w:rPr>
            </w:pPr>
            <w:r w:rsidRPr="00434E45">
              <w:rPr>
                <w:sz w:val="20"/>
                <w:szCs w:val="20"/>
                <w:lang w:val="es-ES"/>
              </w:rPr>
              <w:t>Tasa de incremento de la productividad del trabajo (valor de la producción/</w:t>
            </w:r>
            <w:r>
              <w:rPr>
                <w:sz w:val="20"/>
                <w:szCs w:val="20"/>
                <w:lang w:val="es-ES"/>
              </w:rPr>
              <w:t>número de trabajadores</w:t>
            </w:r>
            <w:proofErr w:type="gramStart"/>
            <w:r>
              <w:rPr>
                <w:sz w:val="20"/>
                <w:szCs w:val="20"/>
                <w:lang w:val="es-ES"/>
              </w:rPr>
              <w:t>)</w:t>
            </w:r>
            <w:r w:rsidR="00BE3A49" w:rsidDel="00BE3A49">
              <w:rPr>
                <w:sz w:val="20"/>
                <w:szCs w:val="20"/>
                <w:lang w:val="es-ES"/>
              </w:rPr>
              <w:t xml:space="preserve"> </w:t>
            </w:r>
            <w:r w:rsidR="00040F32">
              <w:rPr>
                <w:sz w:val="20"/>
                <w:szCs w:val="20"/>
                <w:lang w:val="es-ES"/>
              </w:rPr>
              <w:t>.</w:t>
            </w:r>
            <w:proofErr w:type="gramEnd"/>
          </w:p>
          <w:p w:rsidR="003F3917" w:rsidRDefault="003F3917" w:rsidP="00CD69A4">
            <w:pPr>
              <w:rPr>
                <w:sz w:val="20"/>
                <w:szCs w:val="20"/>
                <w:lang w:val="es-ES"/>
              </w:rPr>
            </w:pPr>
          </w:p>
          <w:p w:rsidR="00EB30B3" w:rsidRDefault="00EB30B3" w:rsidP="00CD69A4">
            <w:pPr>
              <w:rPr>
                <w:sz w:val="20"/>
                <w:szCs w:val="20"/>
                <w:lang w:val="es-ES"/>
              </w:rPr>
            </w:pPr>
            <w:r>
              <w:rPr>
                <w:sz w:val="20"/>
                <w:szCs w:val="20"/>
                <w:lang w:val="es-ES"/>
              </w:rPr>
              <w:t>Tasa de incremento del salario promedio pagado por las empresas.</w:t>
            </w:r>
          </w:p>
          <w:p w:rsidR="00EB30B3" w:rsidRDefault="00EB30B3" w:rsidP="00CD69A4">
            <w:pPr>
              <w:rPr>
                <w:sz w:val="20"/>
                <w:szCs w:val="20"/>
                <w:lang w:val="es-ES"/>
              </w:rPr>
            </w:pPr>
          </w:p>
          <w:p w:rsidR="00A50364" w:rsidRPr="00434E45" w:rsidRDefault="00BE3A49" w:rsidP="00BE3A49">
            <w:pPr>
              <w:rPr>
                <w:sz w:val="20"/>
                <w:szCs w:val="20"/>
                <w:lang w:val="es-ES"/>
              </w:rPr>
            </w:pPr>
            <w:r>
              <w:rPr>
                <w:sz w:val="20"/>
                <w:szCs w:val="20"/>
                <w:lang w:val="es-ES"/>
              </w:rPr>
              <w:t>Tiempo de permanencia en un empleo formal (número de meses en un empleo formal)</w:t>
            </w:r>
            <w:r w:rsidR="00EB30B3">
              <w:rPr>
                <w:sz w:val="20"/>
                <w:szCs w:val="20"/>
                <w:lang w:val="es-ES"/>
              </w:rPr>
              <w:t xml:space="preserve"> de las personas activas certificadas</w:t>
            </w:r>
            <w:r w:rsidR="00656E9F">
              <w:rPr>
                <w:sz w:val="20"/>
                <w:szCs w:val="20"/>
                <w:lang w:val="es-ES"/>
              </w:rPr>
              <w:t>.</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E3A49" w:rsidRDefault="00BE3A49" w:rsidP="00EF4A43">
            <w:pPr>
              <w:jc w:val="center"/>
              <w:rPr>
                <w:sz w:val="20"/>
                <w:szCs w:val="20"/>
                <w:lang w:val="es-ES"/>
              </w:rPr>
            </w:pPr>
          </w:p>
          <w:p w:rsidR="00BE3A49" w:rsidRDefault="00BE3A49" w:rsidP="00EF4A43">
            <w:pPr>
              <w:jc w:val="center"/>
              <w:rPr>
                <w:sz w:val="20"/>
                <w:szCs w:val="20"/>
                <w:lang w:val="es-ES"/>
              </w:rPr>
            </w:pPr>
          </w:p>
          <w:p w:rsidR="00A50364" w:rsidRDefault="005270DD" w:rsidP="00EF4A43">
            <w:pPr>
              <w:jc w:val="center"/>
              <w:rPr>
                <w:sz w:val="20"/>
                <w:szCs w:val="20"/>
                <w:lang w:val="es-ES"/>
              </w:rPr>
            </w:pPr>
            <w:r w:rsidRPr="00C51FBB">
              <w:rPr>
                <w:sz w:val="20"/>
                <w:szCs w:val="20"/>
                <w:lang w:val="es-ES"/>
              </w:rPr>
              <w:t>n/a</w:t>
            </w:r>
            <w:r>
              <w:rPr>
                <w:sz w:val="20"/>
                <w:szCs w:val="20"/>
                <w:lang w:val="es-ES"/>
              </w:rPr>
              <w:t xml:space="preserve"> </w:t>
            </w:r>
          </w:p>
          <w:p w:rsidR="00A50364" w:rsidRDefault="00A50364" w:rsidP="00021C14">
            <w:pPr>
              <w:jc w:val="right"/>
              <w:rPr>
                <w:sz w:val="20"/>
                <w:szCs w:val="20"/>
                <w:lang w:val="es-ES"/>
              </w:rPr>
            </w:pPr>
          </w:p>
          <w:p w:rsidR="00A50364" w:rsidRDefault="00A50364" w:rsidP="00EF4A43">
            <w:pPr>
              <w:jc w:val="center"/>
              <w:rPr>
                <w:sz w:val="20"/>
                <w:szCs w:val="20"/>
                <w:lang w:val="es-ES"/>
              </w:rPr>
            </w:pPr>
          </w:p>
          <w:p w:rsidR="00BE3A49" w:rsidRDefault="00BE3A49" w:rsidP="00EF4A43">
            <w:pPr>
              <w:jc w:val="center"/>
              <w:rPr>
                <w:sz w:val="20"/>
                <w:szCs w:val="20"/>
                <w:lang w:val="es-ES"/>
              </w:rPr>
            </w:pPr>
          </w:p>
          <w:p w:rsidR="00EB30B3" w:rsidRDefault="00EB30B3" w:rsidP="00EF4A43">
            <w:pPr>
              <w:jc w:val="center"/>
              <w:rPr>
                <w:sz w:val="20"/>
                <w:szCs w:val="20"/>
                <w:lang w:val="es-ES"/>
              </w:rPr>
            </w:pPr>
            <w:r>
              <w:rPr>
                <w:sz w:val="20"/>
                <w:szCs w:val="20"/>
                <w:lang w:val="es-ES"/>
              </w:rPr>
              <w:t>n/a</w:t>
            </w:r>
          </w:p>
          <w:p w:rsidR="00EB30B3" w:rsidRDefault="00EB30B3" w:rsidP="00EF4A43">
            <w:pPr>
              <w:jc w:val="center"/>
              <w:rPr>
                <w:sz w:val="20"/>
                <w:szCs w:val="20"/>
                <w:lang w:val="es-ES"/>
              </w:rPr>
            </w:pPr>
          </w:p>
          <w:p w:rsidR="00EB30B3" w:rsidRDefault="00EB30B3" w:rsidP="00EF4A43">
            <w:pPr>
              <w:jc w:val="center"/>
              <w:rPr>
                <w:sz w:val="20"/>
                <w:szCs w:val="20"/>
                <w:lang w:val="es-ES"/>
              </w:rPr>
            </w:pPr>
          </w:p>
          <w:p w:rsidR="00EB30B3" w:rsidRDefault="00EB30B3" w:rsidP="00EF4A43">
            <w:pPr>
              <w:jc w:val="center"/>
              <w:rPr>
                <w:sz w:val="20"/>
                <w:szCs w:val="20"/>
                <w:lang w:val="es-ES"/>
              </w:rPr>
            </w:pPr>
          </w:p>
          <w:p w:rsidR="00A50364" w:rsidRPr="00C51FBB" w:rsidRDefault="005270DD" w:rsidP="00EF4A43">
            <w:pPr>
              <w:jc w:val="center"/>
              <w:rPr>
                <w:sz w:val="20"/>
                <w:szCs w:val="20"/>
                <w:lang w:val="es-ES"/>
              </w:rPr>
            </w:pPr>
            <w:r w:rsidRPr="00C51FBB">
              <w:rPr>
                <w:sz w:val="20"/>
                <w:szCs w:val="20"/>
                <w:lang w:val="es-ES"/>
              </w:rPr>
              <w:t xml:space="preserve">n/a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E3A49" w:rsidRDefault="00BE3A49" w:rsidP="00CE1E39">
            <w:pPr>
              <w:jc w:val="center"/>
              <w:rPr>
                <w:sz w:val="20"/>
                <w:szCs w:val="20"/>
                <w:lang w:val="es-ES"/>
              </w:rPr>
            </w:pPr>
          </w:p>
          <w:p w:rsidR="00BE3A49" w:rsidRDefault="00BE3A49" w:rsidP="00CE1E39">
            <w:pPr>
              <w:jc w:val="center"/>
              <w:rPr>
                <w:sz w:val="20"/>
                <w:szCs w:val="20"/>
                <w:lang w:val="es-ES"/>
              </w:rPr>
            </w:pPr>
          </w:p>
          <w:p w:rsidR="003F3917" w:rsidRDefault="00A50364" w:rsidP="00CE1E39">
            <w:pPr>
              <w:jc w:val="center"/>
              <w:rPr>
                <w:sz w:val="20"/>
                <w:szCs w:val="20"/>
                <w:lang w:val="es-ES"/>
              </w:rPr>
            </w:pPr>
            <w:r>
              <w:rPr>
                <w:sz w:val="20"/>
                <w:szCs w:val="20"/>
                <w:lang w:val="es-ES"/>
              </w:rPr>
              <w:t>3</w:t>
            </w:r>
            <w:r w:rsidR="003F3917" w:rsidRPr="00A50364">
              <w:rPr>
                <w:sz w:val="20"/>
                <w:szCs w:val="20"/>
                <w:lang w:val="es-ES"/>
              </w:rPr>
              <w:t>%</w:t>
            </w:r>
          </w:p>
          <w:p w:rsidR="00A50364" w:rsidRDefault="00A50364" w:rsidP="00CE1E39">
            <w:pPr>
              <w:jc w:val="center"/>
              <w:rPr>
                <w:sz w:val="20"/>
                <w:szCs w:val="20"/>
                <w:lang w:val="es-ES"/>
              </w:rPr>
            </w:pPr>
          </w:p>
          <w:p w:rsidR="00A50364" w:rsidRDefault="00A50364" w:rsidP="00CE1E39">
            <w:pPr>
              <w:jc w:val="center"/>
              <w:rPr>
                <w:sz w:val="20"/>
                <w:szCs w:val="20"/>
                <w:lang w:val="es-ES"/>
              </w:rPr>
            </w:pPr>
          </w:p>
          <w:p w:rsidR="00EB30B3" w:rsidRDefault="00EB30B3" w:rsidP="00CE1E39">
            <w:pPr>
              <w:jc w:val="center"/>
              <w:rPr>
                <w:sz w:val="20"/>
                <w:szCs w:val="20"/>
                <w:lang w:val="es-ES"/>
              </w:rPr>
            </w:pPr>
          </w:p>
          <w:p w:rsidR="00EB30B3" w:rsidRDefault="00EB30B3" w:rsidP="00CE1E39">
            <w:pPr>
              <w:jc w:val="center"/>
              <w:rPr>
                <w:sz w:val="20"/>
                <w:szCs w:val="20"/>
                <w:lang w:val="es-ES"/>
              </w:rPr>
            </w:pPr>
            <w:r>
              <w:rPr>
                <w:sz w:val="20"/>
                <w:szCs w:val="20"/>
                <w:lang w:val="es-ES"/>
              </w:rPr>
              <w:t>3%</w:t>
            </w:r>
          </w:p>
          <w:p w:rsidR="00EB30B3" w:rsidRDefault="00EB30B3" w:rsidP="00CE1E39">
            <w:pPr>
              <w:jc w:val="center"/>
              <w:rPr>
                <w:sz w:val="20"/>
                <w:szCs w:val="20"/>
                <w:lang w:val="es-ES"/>
              </w:rPr>
            </w:pPr>
          </w:p>
          <w:p w:rsidR="00EB30B3" w:rsidRDefault="00EB30B3" w:rsidP="00CE1E39">
            <w:pPr>
              <w:jc w:val="center"/>
              <w:rPr>
                <w:sz w:val="20"/>
                <w:szCs w:val="20"/>
                <w:lang w:val="es-ES"/>
              </w:rPr>
            </w:pPr>
          </w:p>
          <w:p w:rsidR="00D55506" w:rsidRDefault="00D55506" w:rsidP="00CE1E39">
            <w:pPr>
              <w:jc w:val="center"/>
              <w:rPr>
                <w:sz w:val="20"/>
                <w:szCs w:val="20"/>
                <w:lang w:val="es-ES"/>
              </w:rPr>
            </w:pPr>
          </w:p>
          <w:p w:rsidR="00A50364" w:rsidRDefault="00BE3A49" w:rsidP="00CE1E39">
            <w:pPr>
              <w:jc w:val="center"/>
              <w:rPr>
                <w:sz w:val="20"/>
                <w:szCs w:val="20"/>
                <w:lang w:val="es-ES"/>
              </w:rPr>
            </w:pPr>
            <w:r>
              <w:rPr>
                <w:sz w:val="20"/>
                <w:szCs w:val="20"/>
                <w:lang w:val="es-ES"/>
              </w:rPr>
              <w:t>13 meses o más</w:t>
            </w:r>
          </w:p>
          <w:p w:rsidR="00A50364" w:rsidRPr="00C51FBB" w:rsidRDefault="00A50364" w:rsidP="00CE1E39">
            <w:pPr>
              <w:jc w:val="center"/>
              <w:rPr>
                <w:sz w:val="20"/>
                <w:szCs w:val="20"/>
                <w:lang w:val="es-ES"/>
              </w:rPr>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040F32" w:rsidRDefault="00040F32" w:rsidP="00CE1E39">
            <w:pPr>
              <w:rPr>
                <w:sz w:val="20"/>
                <w:szCs w:val="20"/>
                <w:lang w:val="es-ES"/>
              </w:rPr>
            </w:pPr>
            <w:r>
              <w:rPr>
                <w:sz w:val="20"/>
                <w:szCs w:val="20"/>
                <w:lang w:val="es-ES"/>
              </w:rPr>
              <w:t>Los indicadores se restringen a</w:t>
            </w:r>
            <w:r w:rsidR="00B34F30">
              <w:rPr>
                <w:sz w:val="20"/>
                <w:szCs w:val="20"/>
                <w:lang w:val="es-ES"/>
              </w:rPr>
              <w:t xml:space="preserve">l sector de </w:t>
            </w:r>
            <w:r w:rsidR="00BE3A49">
              <w:rPr>
                <w:sz w:val="20"/>
                <w:szCs w:val="20"/>
                <w:lang w:val="es-ES"/>
              </w:rPr>
              <w:t xml:space="preserve">empresas del sector </w:t>
            </w:r>
            <w:r w:rsidR="00B34F30">
              <w:rPr>
                <w:sz w:val="20"/>
                <w:szCs w:val="20"/>
                <w:lang w:val="es-ES"/>
              </w:rPr>
              <w:t xml:space="preserve">TIC de Medellín </w:t>
            </w:r>
            <w:r w:rsidR="00BE3A49">
              <w:rPr>
                <w:sz w:val="20"/>
                <w:szCs w:val="20"/>
                <w:lang w:val="es-ES"/>
              </w:rPr>
              <w:t xml:space="preserve">que participan en el piloto sobre los </w:t>
            </w:r>
            <w:r>
              <w:rPr>
                <w:sz w:val="20"/>
                <w:szCs w:val="20"/>
                <w:lang w:val="es-ES"/>
              </w:rPr>
              <w:t>procesos de normalización, evaluación y certificación de las competencias laborales</w:t>
            </w:r>
            <w:r w:rsidR="00BE3A49">
              <w:rPr>
                <w:sz w:val="20"/>
                <w:szCs w:val="20"/>
                <w:lang w:val="es-ES"/>
              </w:rPr>
              <w:t>, y a las empresas que utilizan al SENA para la certificación de sus trabajadores</w:t>
            </w:r>
            <w:r>
              <w:rPr>
                <w:sz w:val="20"/>
                <w:szCs w:val="20"/>
                <w:lang w:val="es-ES"/>
              </w:rPr>
              <w:t xml:space="preserve">. </w:t>
            </w:r>
          </w:p>
          <w:p w:rsidR="00040F32" w:rsidRDefault="00040F32" w:rsidP="00CE1E39">
            <w:pPr>
              <w:rPr>
                <w:sz w:val="20"/>
                <w:szCs w:val="20"/>
                <w:lang w:val="es-ES"/>
              </w:rPr>
            </w:pPr>
          </w:p>
          <w:p w:rsidR="00434E45" w:rsidRDefault="00434E45" w:rsidP="00CE1E39">
            <w:pPr>
              <w:rPr>
                <w:sz w:val="20"/>
                <w:szCs w:val="20"/>
                <w:lang w:val="es-ES"/>
              </w:rPr>
            </w:pPr>
            <w:r w:rsidRPr="00434E45">
              <w:rPr>
                <w:sz w:val="20"/>
                <w:szCs w:val="20"/>
                <w:lang w:val="es-ES"/>
              </w:rPr>
              <w:t xml:space="preserve">La meta se calcula en base a la evidencia </w:t>
            </w:r>
            <w:r>
              <w:rPr>
                <w:sz w:val="20"/>
                <w:szCs w:val="20"/>
                <w:lang w:val="es-ES"/>
              </w:rPr>
              <w:t xml:space="preserve">sobre el impacto de la capacitación en la productividad laboral en el caso de los países desarrollados. </w:t>
            </w:r>
          </w:p>
          <w:p w:rsidR="00040F32" w:rsidRDefault="00040F32" w:rsidP="00CE1E39">
            <w:pPr>
              <w:rPr>
                <w:sz w:val="20"/>
                <w:szCs w:val="20"/>
                <w:lang w:val="es-ES"/>
              </w:rPr>
            </w:pPr>
          </w:p>
          <w:p w:rsidR="00D04587" w:rsidRPr="00C51FBB" w:rsidRDefault="00434E45" w:rsidP="00EB30B3">
            <w:pPr>
              <w:rPr>
                <w:sz w:val="20"/>
                <w:szCs w:val="20"/>
                <w:lang w:val="es-ES"/>
              </w:rPr>
            </w:pPr>
            <w:r>
              <w:rPr>
                <w:sz w:val="20"/>
                <w:szCs w:val="20"/>
                <w:lang w:val="es-ES"/>
              </w:rPr>
              <w:t xml:space="preserve">La fuente de datos que se espera utilizar para construir la información de línea de base y de meta final </w:t>
            </w:r>
            <w:r w:rsidR="00D04587">
              <w:rPr>
                <w:sz w:val="20"/>
                <w:szCs w:val="20"/>
                <w:lang w:val="es-ES"/>
              </w:rPr>
              <w:t>de</w:t>
            </w:r>
            <w:r w:rsidR="00BE3A49">
              <w:rPr>
                <w:sz w:val="20"/>
                <w:szCs w:val="20"/>
                <w:lang w:val="es-ES"/>
              </w:rPr>
              <w:t xml:space="preserve">l primer indicador </w:t>
            </w:r>
            <w:r>
              <w:rPr>
                <w:sz w:val="20"/>
                <w:szCs w:val="20"/>
                <w:lang w:val="es-ES"/>
              </w:rPr>
              <w:t xml:space="preserve">es la encuesta a empresas </w:t>
            </w:r>
            <w:r w:rsidR="00BD7F53">
              <w:rPr>
                <w:sz w:val="20"/>
                <w:szCs w:val="20"/>
                <w:lang w:val="es-ES"/>
              </w:rPr>
              <w:t>sobre productividad y formación del recurso humano.</w:t>
            </w:r>
            <w:r w:rsidR="00B34F30">
              <w:rPr>
                <w:sz w:val="20"/>
                <w:szCs w:val="20"/>
                <w:lang w:val="es-ES"/>
              </w:rPr>
              <w:t xml:space="preserve"> </w:t>
            </w:r>
            <w:r w:rsidR="00BE3A49">
              <w:rPr>
                <w:sz w:val="20"/>
                <w:szCs w:val="20"/>
                <w:lang w:val="es-ES"/>
              </w:rPr>
              <w:t xml:space="preserve"> </w:t>
            </w:r>
            <w:r w:rsidR="00EB30B3">
              <w:rPr>
                <w:sz w:val="20"/>
                <w:szCs w:val="20"/>
                <w:lang w:val="es-ES"/>
              </w:rPr>
              <w:t>También</w:t>
            </w:r>
            <w:r w:rsidR="00BE3A49">
              <w:rPr>
                <w:sz w:val="20"/>
                <w:szCs w:val="20"/>
                <w:lang w:val="es-ES"/>
              </w:rPr>
              <w:t xml:space="preserve"> se utilizará</w:t>
            </w:r>
            <w:r w:rsidR="00EB30B3">
              <w:rPr>
                <w:sz w:val="20"/>
                <w:szCs w:val="20"/>
                <w:lang w:val="es-ES"/>
              </w:rPr>
              <w:t>n</w:t>
            </w:r>
            <w:r w:rsidR="00BE3A49">
              <w:rPr>
                <w:sz w:val="20"/>
                <w:szCs w:val="20"/>
                <w:lang w:val="es-ES"/>
              </w:rPr>
              <w:t xml:space="preserve"> los datos administrativos del piloto y del SENA sobre las personas certificadas y la </w:t>
            </w:r>
            <w:r w:rsidR="00C12E9A">
              <w:rPr>
                <w:sz w:val="20"/>
                <w:szCs w:val="20"/>
                <w:lang w:val="es-ES"/>
              </w:rPr>
              <w:t xml:space="preserve">Planilla Integrada de Liquidación de Aportes </w:t>
            </w:r>
            <w:r w:rsidR="00C12E9A" w:rsidRPr="00C12E9A">
              <w:rPr>
                <w:sz w:val="20"/>
                <w:szCs w:val="20"/>
                <w:lang w:val="es-ES"/>
              </w:rPr>
              <w:t>(</w:t>
            </w:r>
            <w:r w:rsidR="00D04587" w:rsidRPr="00C21F2F">
              <w:rPr>
                <w:sz w:val="20"/>
                <w:szCs w:val="20"/>
                <w:lang w:val="es-ES"/>
              </w:rPr>
              <w:t>PILA</w:t>
            </w:r>
            <w:r w:rsidR="00C12E9A" w:rsidRPr="00C21F2F">
              <w:rPr>
                <w:sz w:val="20"/>
                <w:szCs w:val="20"/>
                <w:lang w:val="es-ES"/>
              </w:rPr>
              <w:t>)</w:t>
            </w:r>
            <w:r w:rsidR="00D04587" w:rsidRPr="00C21F2F">
              <w:rPr>
                <w:sz w:val="20"/>
                <w:szCs w:val="20"/>
                <w:lang w:val="es-ES"/>
              </w:rPr>
              <w:t>.</w:t>
            </w:r>
            <w:r w:rsidR="00D04587">
              <w:rPr>
                <w:sz w:val="20"/>
                <w:szCs w:val="20"/>
                <w:lang w:val="es-ES"/>
              </w:rPr>
              <w:t xml:space="preserve"> </w:t>
            </w:r>
          </w:p>
        </w:tc>
      </w:tr>
      <w:tr w:rsidR="005238C8" w:rsidRPr="00B44F76" w:rsidTr="003053B2">
        <w:trPr>
          <w:trHeight w:val="413"/>
          <w:tblHead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5238C8" w:rsidRDefault="005238C8" w:rsidP="006E4B84">
            <w:pPr>
              <w:rPr>
                <w:sz w:val="20"/>
                <w:szCs w:val="20"/>
                <w:u w:val="single"/>
                <w:lang w:val="es-ES"/>
              </w:rPr>
            </w:pPr>
            <w:r w:rsidRPr="005238C8">
              <w:rPr>
                <w:sz w:val="20"/>
                <w:szCs w:val="20"/>
                <w:u w:val="single"/>
                <w:lang w:val="es-ES"/>
              </w:rPr>
              <w:lastRenderedPageBreak/>
              <w:t xml:space="preserve">Resultados: </w:t>
            </w:r>
          </w:p>
          <w:p w:rsidR="005238C8" w:rsidRPr="005238C8" w:rsidRDefault="00EB30B3" w:rsidP="006E4B84">
            <w:pPr>
              <w:rPr>
                <w:sz w:val="20"/>
                <w:szCs w:val="20"/>
                <w:u w:val="single"/>
                <w:lang w:val="es-ES"/>
              </w:rPr>
            </w:pPr>
            <w:r>
              <w:rPr>
                <w:sz w:val="20"/>
                <w:szCs w:val="20"/>
                <w:u w:val="single"/>
                <w:lang w:val="es-ES"/>
              </w:rPr>
              <w:t>Al 2015</w:t>
            </w:r>
            <w:r w:rsidRPr="00B44F76">
              <w:rPr>
                <w:sz w:val="20"/>
                <w:szCs w:val="20"/>
                <w:lang w:val="es-ES"/>
              </w:rPr>
              <w:t>:</w:t>
            </w:r>
            <w:r>
              <w:rPr>
                <w:sz w:val="20"/>
                <w:szCs w:val="20"/>
                <w:u w:val="single"/>
                <w:lang w:val="es-ES"/>
              </w:rPr>
              <w:t xml:space="preserve"> </w:t>
            </w:r>
          </w:p>
          <w:p w:rsidR="00BE3A49" w:rsidRPr="00D51190" w:rsidRDefault="00BE3A49" w:rsidP="006E4B84">
            <w:pPr>
              <w:rPr>
                <w:sz w:val="20"/>
                <w:szCs w:val="20"/>
                <w:lang w:val="es-ES"/>
              </w:rPr>
            </w:pPr>
            <w:r w:rsidRPr="00D51190">
              <w:rPr>
                <w:sz w:val="20"/>
                <w:szCs w:val="20"/>
                <w:lang w:val="es-ES"/>
              </w:rPr>
              <w:t>Número de nuevas normas en el sector TIC de Medellín</w:t>
            </w:r>
            <w:r w:rsidR="00BE3DAD" w:rsidRPr="00D51190">
              <w:rPr>
                <w:sz w:val="20"/>
                <w:szCs w:val="20"/>
                <w:lang w:val="es-ES"/>
              </w:rPr>
              <w:t xml:space="preserve"> que son elaboradas conjuntamente con el Sector productivo, el Comité técnico de la CIGERH, del cual forma parte el SENA</w:t>
            </w:r>
            <w:r w:rsidR="00C12E9A">
              <w:rPr>
                <w:sz w:val="20"/>
                <w:szCs w:val="20"/>
                <w:lang w:val="es-ES"/>
              </w:rPr>
              <w:t>.</w:t>
            </w:r>
          </w:p>
          <w:p w:rsidR="005238C8" w:rsidRDefault="005238C8" w:rsidP="006E4B84">
            <w:pPr>
              <w:rPr>
                <w:sz w:val="20"/>
                <w:szCs w:val="20"/>
                <w:lang w:val="es-ES"/>
              </w:rPr>
            </w:pPr>
            <w:r>
              <w:rPr>
                <w:sz w:val="20"/>
                <w:szCs w:val="20"/>
                <w:lang w:val="es-ES"/>
              </w:rPr>
              <w:t>.</w:t>
            </w:r>
          </w:p>
          <w:p w:rsidR="00BE3A49" w:rsidRDefault="00BE3A49" w:rsidP="006E4B84">
            <w:pPr>
              <w:rPr>
                <w:sz w:val="20"/>
                <w:szCs w:val="20"/>
                <w:lang w:val="es-ES"/>
              </w:rPr>
            </w:pPr>
          </w:p>
          <w:p w:rsidR="00BE3A49" w:rsidRDefault="00BE3A49" w:rsidP="006E4B84">
            <w:pPr>
              <w:rPr>
                <w:sz w:val="20"/>
                <w:szCs w:val="20"/>
                <w:lang w:val="es-ES"/>
              </w:rPr>
            </w:pPr>
            <w:r>
              <w:rPr>
                <w:sz w:val="20"/>
                <w:szCs w:val="20"/>
                <w:lang w:val="es-ES"/>
              </w:rPr>
              <w:t>Número de empresas que participan en el piloto de normalización, evaluación, y certificación de competencias laborales</w:t>
            </w:r>
            <w:r w:rsidR="00C12E9A">
              <w:rPr>
                <w:sz w:val="20"/>
                <w:szCs w:val="20"/>
                <w:lang w:val="es-ES"/>
              </w:rPr>
              <w:t>.</w:t>
            </w:r>
          </w:p>
          <w:p w:rsidR="00BE3A49" w:rsidRDefault="00BE3A49" w:rsidP="006E4B84">
            <w:pPr>
              <w:rPr>
                <w:sz w:val="20"/>
                <w:szCs w:val="20"/>
                <w:lang w:val="es-ES"/>
              </w:rPr>
            </w:pPr>
          </w:p>
          <w:p w:rsidR="00BE3A49" w:rsidRDefault="00BE3A49" w:rsidP="006E4B84">
            <w:pPr>
              <w:rPr>
                <w:sz w:val="20"/>
                <w:szCs w:val="20"/>
                <w:lang w:val="es-ES"/>
              </w:rPr>
            </w:pPr>
          </w:p>
          <w:p w:rsidR="005238C8" w:rsidRDefault="00BE3A49" w:rsidP="006E4B84">
            <w:pPr>
              <w:rPr>
                <w:sz w:val="20"/>
                <w:szCs w:val="20"/>
                <w:lang w:val="es-ES"/>
              </w:rPr>
            </w:pPr>
            <w:r>
              <w:rPr>
                <w:sz w:val="20"/>
                <w:szCs w:val="20"/>
                <w:lang w:val="es-ES"/>
              </w:rPr>
              <w:t xml:space="preserve">Número de </w:t>
            </w:r>
            <w:r w:rsidR="00BE3DAD">
              <w:rPr>
                <w:sz w:val="20"/>
                <w:szCs w:val="20"/>
                <w:lang w:val="es-ES"/>
              </w:rPr>
              <w:t xml:space="preserve">directivos de las empresas </w:t>
            </w:r>
            <w:r>
              <w:rPr>
                <w:sz w:val="20"/>
                <w:szCs w:val="20"/>
                <w:lang w:val="es-ES"/>
              </w:rPr>
              <w:t xml:space="preserve">que son certificadas </w:t>
            </w:r>
            <w:r w:rsidR="00BE3DAD">
              <w:rPr>
                <w:sz w:val="20"/>
                <w:szCs w:val="20"/>
                <w:lang w:val="es-ES"/>
              </w:rPr>
              <w:t>bajo las nuevas normas elaboradas en el sector TIC de Medellín</w:t>
            </w:r>
            <w:r w:rsidR="00C12E9A">
              <w:rPr>
                <w:sz w:val="20"/>
                <w:szCs w:val="20"/>
                <w:lang w:val="es-ES"/>
              </w:rPr>
              <w:t>.</w:t>
            </w:r>
          </w:p>
          <w:p w:rsidR="00EB30B3" w:rsidRDefault="00EB30B3" w:rsidP="006E4B84">
            <w:pPr>
              <w:rPr>
                <w:sz w:val="20"/>
                <w:szCs w:val="20"/>
                <w:lang w:val="es-ES"/>
              </w:rPr>
            </w:pPr>
          </w:p>
          <w:p w:rsidR="00EB30B3" w:rsidRDefault="00EB30B3" w:rsidP="006E4B84">
            <w:pPr>
              <w:rPr>
                <w:sz w:val="20"/>
                <w:szCs w:val="20"/>
                <w:lang w:val="es-ES"/>
              </w:rPr>
            </w:pPr>
          </w:p>
          <w:p w:rsidR="00EB30B3" w:rsidRDefault="00EB30B3" w:rsidP="006E4B84">
            <w:pPr>
              <w:rPr>
                <w:sz w:val="20"/>
                <w:szCs w:val="20"/>
                <w:lang w:val="es-ES"/>
              </w:rPr>
            </w:pPr>
          </w:p>
          <w:p w:rsidR="00EB30B3" w:rsidRDefault="00EB30B3" w:rsidP="006E4B84">
            <w:pPr>
              <w:rPr>
                <w:sz w:val="20"/>
                <w:szCs w:val="20"/>
                <w:lang w:val="es-ES"/>
              </w:rPr>
            </w:pPr>
            <w:r>
              <w:rPr>
                <w:sz w:val="20"/>
                <w:szCs w:val="20"/>
                <w:u w:val="single"/>
                <w:lang w:val="es-ES"/>
              </w:rPr>
              <w:t>Al 2017</w:t>
            </w:r>
            <w:r w:rsidRPr="00B44F76">
              <w:rPr>
                <w:sz w:val="20"/>
                <w:szCs w:val="20"/>
                <w:lang w:val="es-ES"/>
              </w:rPr>
              <w:t>:</w:t>
            </w:r>
          </w:p>
          <w:p w:rsidR="00EB30B3" w:rsidRDefault="00DF2164" w:rsidP="006E4B84">
            <w:pPr>
              <w:rPr>
                <w:sz w:val="20"/>
                <w:szCs w:val="20"/>
                <w:lang w:val="es-ES"/>
              </w:rPr>
            </w:pPr>
            <w:r>
              <w:rPr>
                <w:sz w:val="20"/>
                <w:szCs w:val="20"/>
                <w:lang w:val="es-ES"/>
              </w:rPr>
              <w:t xml:space="preserve">Número </w:t>
            </w:r>
            <w:r w:rsidR="00EB30B3">
              <w:rPr>
                <w:sz w:val="20"/>
                <w:szCs w:val="20"/>
                <w:lang w:val="es-ES"/>
              </w:rPr>
              <w:t xml:space="preserve">de trabajadores certificados en competencias laborales bajo </w:t>
            </w:r>
            <w:r w:rsidR="000213D0">
              <w:rPr>
                <w:sz w:val="20"/>
                <w:szCs w:val="20"/>
                <w:lang w:val="es-ES"/>
              </w:rPr>
              <w:t>la</w:t>
            </w:r>
            <w:r w:rsidR="008B06FD">
              <w:rPr>
                <w:sz w:val="20"/>
                <w:szCs w:val="20"/>
                <w:lang w:val="es-ES"/>
              </w:rPr>
              <w:t>s nuevas R</w:t>
            </w:r>
            <w:r w:rsidR="000213D0">
              <w:rPr>
                <w:sz w:val="20"/>
                <w:szCs w:val="20"/>
                <w:lang w:val="es-ES"/>
              </w:rPr>
              <w:t xml:space="preserve">eglas </w:t>
            </w:r>
            <w:r w:rsidR="008B06FD">
              <w:rPr>
                <w:sz w:val="20"/>
                <w:szCs w:val="20"/>
                <w:lang w:val="es-ES"/>
              </w:rPr>
              <w:t>G</w:t>
            </w:r>
            <w:r w:rsidR="000213D0">
              <w:rPr>
                <w:sz w:val="20"/>
                <w:szCs w:val="20"/>
                <w:lang w:val="es-ES"/>
              </w:rPr>
              <w:t xml:space="preserve">enerales de </w:t>
            </w:r>
            <w:r w:rsidR="008B06FD">
              <w:rPr>
                <w:sz w:val="20"/>
                <w:szCs w:val="20"/>
                <w:lang w:val="es-ES"/>
              </w:rPr>
              <w:t>O</w:t>
            </w:r>
            <w:r w:rsidR="000213D0">
              <w:rPr>
                <w:sz w:val="20"/>
                <w:szCs w:val="20"/>
                <w:lang w:val="es-ES"/>
              </w:rPr>
              <w:t xml:space="preserve">peración </w:t>
            </w:r>
            <w:r w:rsidR="0031166C">
              <w:rPr>
                <w:sz w:val="20"/>
                <w:szCs w:val="20"/>
                <w:lang w:val="es-ES"/>
              </w:rPr>
              <w:t xml:space="preserve">de certificación de </w:t>
            </w:r>
            <w:proofErr w:type="gramStart"/>
            <w:r w:rsidR="0031166C">
              <w:rPr>
                <w:sz w:val="20"/>
                <w:szCs w:val="20"/>
                <w:lang w:val="es-ES"/>
              </w:rPr>
              <w:t xml:space="preserve">competencias </w:t>
            </w:r>
            <w:r w:rsidR="00EB30B3">
              <w:rPr>
                <w:sz w:val="20"/>
                <w:szCs w:val="20"/>
                <w:lang w:val="es-ES"/>
              </w:rPr>
              <w:t>.</w:t>
            </w:r>
            <w:proofErr w:type="gramEnd"/>
          </w:p>
          <w:p w:rsidR="00EB30B3" w:rsidRPr="00C51FBB" w:rsidRDefault="00EB30B3" w:rsidP="006E4B84">
            <w:pPr>
              <w:rPr>
                <w:sz w:val="20"/>
                <w:szCs w:val="20"/>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238C8" w:rsidRDefault="005238C8" w:rsidP="006E4B84">
            <w:pPr>
              <w:jc w:val="center"/>
              <w:rPr>
                <w:sz w:val="20"/>
                <w:szCs w:val="20"/>
                <w:lang w:val="es-ES"/>
              </w:rPr>
            </w:pPr>
          </w:p>
          <w:p w:rsidR="00C12E9A" w:rsidRDefault="00C12E9A" w:rsidP="00BE3A49">
            <w:pPr>
              <w:jc w:val="center"/>
              <w:rPr>
                <w:sz w:val="20"/>
                <w:szCs w:val="20"/>
                <w:lang w:val="es-ES"/>
              </w:rPr>
            </w:pPr>
          </w:p>
          <w:p w:rsidR="005238C8" w:rsidRDefault="005238C8" w:rsidP="00BE3A49">
            <w:pPr>
              <w:jc w:val="center"/>
              <w:rPr>
                <w:sz w:val="20"/>
                <w:szCs w:val="20"/>
                <w:lang w:val="es-ES"/>
              </w:rPr>
            </w:pPr>
            <w:r>
              <w:rPr>
                <w:sz w:val="20"/>
                <w:szCs w:val="20"/>
                <w:lang w:val="es-ES"/>
              </w:rPr>
              <w:t>0</w:t>
            </w:r>
          </w:p>
          <w:p w:rsidR="00BE3A49" w:rsidRDefault="00BE3A49" w:rsidP="00BE3A49">
            <w:pPr>
              <w:jc w:val="center"/>
              <w:rPr>
                <w:sz w:val="20"/>
                <w:szCs w:val="20"/>
                <w:lang w:val="es-ES"/>
              </w:rPr>
            </w:pPr>
          </w:p>
          <w:p w:rsidR="00BE3A49" w:rsidRDefault="00BE3A49" w:rsidP="00BE3A49">
            <w:pPr>
              <w:jc w:val="center"/>
              <w:rPr>
                <w:sz w:val="20"/>
                <w:szCs w:val="20"/>
                <w:lang w:val="es-ES"/>
              </w:rPr>
            </w:pPr>
          </w:p>
          <w:p w:rsidR="00BE3A49" w:rsidRDefault="00BE3A49" w:rsidP="00BE3A49">
            <w:pPr>
              <w:jc w:val="center"/>
              <w:rPr>
                <w:sz w:val="20"/>
                <w:szCs w:val="20"/>
                <w:lang w:val="es-ES"/>
              </w:rPr>
            </w:pPr>
          </w:p>
          <w:p w:rsidR="00BE3A49" w:rsidRDefault="00BE3A49" w:rsidP="00BE3A49">
            <w:pPr>
              <w:jc w:val="center"/>
              <w:rPr>
                <w:sz w:val="20"/>
                <w:szCs w:val="20"/>
                <w:lang w:val="es-ES"/>
              </w:rPr>
            </w:pPr>
          </w:p>
          <w:p w:rsidR="00BE3A49" w:rsidRDefault="00BE3A49" w:rsidP="00BE3A49">
            <w:pPr>
              <w:jc w:val="center"/>
              <w:rPr>
                <w:sz w:val="20"/>
                <w:szCs w:val="20"/>
                <w:lang w:val="es-ES"/>
              </w:rPr>
            </w:pPr>
          </w:p>
          <w:p w:rsidR="00BE3DAD" w:rsidRDefault="00BE3DAD" w:rsidP="00BE3A49">
            <w:pPr>
              <w:jc w:val="center"/>
              <w:rPr>
                <w:sz w:val="20"/>
                <w:szCs w:val="20"/>
                <w:lang w:val="es-ES"/>
              </w:rPr>
            </w:pPr>
          </w:p>
          <w:p w:rsidR="00BE3A49" w:rsidRDefault="00BE3A49" w:rsidP="00BE3A49">
            <w:pPr>
              <w:jc w:val="center"/>
              <w:rPr>
                <w:sz w:val="20"/>
                <w:szCs w:val="20"/>
                <w:lang w:val="es-ES"/>
              </w:rPr>
            </w:pPr>
            <w:r>
              <w:rPr>
                <w:sz w:val="20"/>
                <w:szCs w:val="20"/>
                <w:lang w:val="es-ES"/>
              </w:rPr>
              <w:t>0</w:t>
            </w:r>
          </w:p>
          <w:p w:rsidR="00BE3A49" w:rsidRDefault="00BE3A49" w:rsidP="00BE3A49">
            <w:pPr>
              <w:jc w:val="center"/>
              <w:rPr>
                <w:sz w:val="20"/>
                <w:szCs w:val="20"/>
                <w:lang w:val="es-ES"/>
              </w:rPr>
            </w:pPr>
          </w:p>
          <w:p w:rsidR="00BE3A49" w:rsidRDefault="00BE3A49" w:rsidP="00BE3A49">
            <w:pPr>
              <w:jc w:val="center"/>
              <w:rPr>
                <w:sz w:val="20"/>
                <w:szCs w:val="20"/>
                <w:lang w:val="es-ES"/>
              </w:rPr>
            </w:pPr>
          </w:p>
          <w:p w:rsidR="00BE3DAD" w:rsidRDefault="00BE3DAD" w:rsidP="00BE3A49">
            <w:pPr>
              <w:jc w:val="center"/>
              <w:rPr>
                <w:sz w:val="20"/>
                <w:szCs w:val="20"/>
                <w:lang w:val="es-ES"/>
              </w:rPr>
            </w:pPr>
          </w:p>
          <w:p w:rsidR="00BE3DAD" w:rsidRDefault="00BE3DAD" w:rsidP="00BE3A49">
            <w:pPr>
              <w:jc w:val="center"/>
              <w:rPr>
                <w:sz w:val="20"/>
                <w:szCs w:val="20"/>
                <w:lang w:val="es-ES"/>
              </w:rPr>
            </w:pPr>
          </w:p>
          <w:p w:rsidR="00BE3A49" w:rsidRDefault="00BE3DAD" w:rsidP="00BE3A49">
            <w:pPr>
              <w:jc w:val="center"/>
              <w:rPr>
                <w:sz w:val="20"/>
                <w:szCs w:val="20"/>
                <w:lang w:val="es-ES"/>
              </w:rPr>
            </w:pPr>
            <w:r>
              <w:rPr>
                <w:sz w:val="20"/>
                <w:szCs w:val="20"/>
                <w:lang w:val="es-ES"/>
              </w:rPr>
              <w:t>0</w:t>
            </w:r>
          </w:p>
          <w:p w:rsidR="00EB30B3" w:rsidRDefault="00EB30B3" w:rsidP="00BE3A49">
            <w:pPr>
              <w:jc w:val="center"/>
              <w:rPr>
                <w:sz w:val="20"/>
                <w:szCs w:val="20"/>
                <w:lang w:val="es-ES"/>
              </w:rPr>
            </w:pPr>
          </w:p>
          <w:p w:rsidR="00EB30B3" w:rsidRDefault="00EB30B3" w:rsidP="00BE3A49">
            <w:pPr>
              <w:jc w:val="center"/>
              <w:rPr>
                <w:sz w:val="20"/>
                <w:szCs w:val="20"/>
                <w:lang w:val="es-ES"/>
              </w:rPr>
            </w:pPr>
          </w:p>
          <w:p w:rsidR="00EB30B3" w:rsidRDefault="00EB30B3" w:rsidP="00BE3A49">
            <w:pPr>
              <w:jc w:val="center"/>
              <w:rPr>
                <w:sz w:val="20"/>
                <w:szCs w:val="20"/>
                <w:lang w:val="es-ES"/>
              </w:rPr>
            </w:pPr>
          </w:p>
          <w:p w:rsidR="00EB30B3" w:rsidRDefault="00EB30B3" w:rsidP="00BE3A49">
            <w:pPr>
              <w:jc w:val="center"/>
              <w:rPr>
                <w:sz w:val="20"/>
                <w:szCs w:val="20"/>
                <w:lang w:val="es-ES"/>
              </w:rPr>
            </w:pPr>
          </w:p>
          <w:p w:rsidR="00EB30B3" w:rsidRDefault="00EB30B3" w:rsidP="00BE3A49">
            <w:pPr>
              <w:jc w:val="center"/>
              <w:rPr>
                <w:sz w:val="20"/>
                <w:szCs w:val="20"/>
                <w:lang w:val="es-ES"/>
              </w:rPr>
            </w:pPr>
          </w:p>
          <w:p w:rsidR="00EB30B3" w:rsidRDefault="00EB30B3" w:rsidP="00BE3A49">
            <w:pPr>
              <w:jc w:val="center"/>
              <w:rPr>
                <w:sz w:val="20"/>
                <w:szCs w:val="20"/>
                <w:lang w:val="es-ES"/>
              </w:rPr>
            </w:pPr>
          </w:p>
          <w:p w:rsidR="00EB30B3" w:rsidRDefault="00EB30B3" w:rsidP="00BE3A49">
            <w:pPr>
              <w:jc w:val="center"/>
              <w:rPr>
                <w:sz w:val="20"/>
                <w:szCs w:val="20"/>
                <w:lang w:val="es-ES"/>
              </w:rPr>
            </w:pPr>
          </w:p>
          <w:p w:rsidR="00EB30B3" w:rsidRDefault="00EB30B3" w:rsidP="00BE3A49">
            <w:pPr>
              <w:jc w:val="center"/>
              <w:rPr>
                <w:sz w:val="20"/>
                <w:szCs w:val="20"/>
                <w:lang w:val="es-ES"/>
              </w:rPr>
            </w:pPr>
            <w:r>
              <w:rPr>
                <w:sz w:val="20"/>
                <w:szCs w:val="20"/>
                <w:lang w:val="es-ES"/>
              </w:rPr>
              <w:t>0%</w:t>
            </w:r>
          </w:p>
          <w:p w:rsidR="00EB30B3" w:rsidRPr="00C51FBB" w:rsidRDefault="00EB30B3" w:rsidP="00BE3A49">
            <w:pPr>
              <w:jc w:val="center"/>
              <w:rPr>
                <w:sz w:val="20"/>
                <w:szCs w:val="20"/>
                <w:lang w:val="es-ES"/>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238C8" w:rsidRDefault="005238C8" w:rsidP="006E4B84">
            <w:pPr>
              <w:jc w:val="center"/>
              <w:rPr>
                <w:sz w:val="20"/>
                <w:szCs w:val="20"/>
                <w:highlight w:val="yellow"/>
                <w:lang w:val="es-ES"/>
              </w:rPr>
            </w:pPr>
          </w:p>
          <w:p w:rsidR="00C12E9A" w:rsidRDefault="00C12E9A" w:rsidP="006E4B84">
            <w:pPr>
              <w:jc w:val="center"/>
              <w:rPr>
                <w:sz w:val="20"/>
                <w:szCs w:val="20"/>
                <w:lang w:val="es-ES"/>
              </w:rPr>
            </w:pPr>
          </w:p>
          <w:p w:rsidR="005238C8" w:rsidRDefault="00BE3A49" w:rsidP="006E4B84">
            <w:pPr>
              <w:jc w:val="center"/>
              <w:rPr>
                <w:sz w:val="20"/>
                <w:szCs w:val="20"/>
                <w:lang w:val="es-ES"/>
              </w:rPr>
            </w:pPr>
            <w:r>
              <w:rPr>
                <w:sz w:val="20"/>
                <w:szCs w:val="20"/>
                <w:lang w:val="es-ES"/>
              </w:rPr>
              <w:t>4</w:t>
            </w:r>
          </w:p>
          <w:p w:rsidR="00BE3A49" w:rsidRDefault="00BE3A49" w:rsidP="006E4B84">
            <w:pPr>
              <w:jc w:val="center"/>
              <w:rPr>
                <w:sz w:val="20"/>
                <w:szCs w:val="20"/>
                <w:lang w:val="es-ES"/>
              </w:rPr>
            </w:pPr>
          </w:p>
          <w:p w:rsidR="00BE3A49" w:rsidRDefault="00BE3A49" w:rsidP="006E4B84">
            <w:pPr>
              <w:jc w:val="center"/>
              <w:rPr>
                <w:sz w:val="20"/>
                <w:szCs w:val="20"/>
                <w:lang w:val="es-ES"/>
              </w:rPr>
            </w:pPr>
          </w:p>
          <w:p w:rsidR="00BE3A49" w:rsidRDefault="00BE3A49" w:rsidP="006E4B84">
            <w:pPr>
              <w:jc w:val="center"/>
              <w:rPr>
                <w:sz w:val="20"/>
                <w:szCs w:val="20"/>
                <w:lang w:val="es-ES"/>
              </w:rPr>
            </w:pPr>
          </w:p>
          <w:p w:rsidR="00BE3A49" w:rsidRDefault="00BE3A49" w:rsidP="006E4B84">
            <w:pPr>
              <w:jc w:val="center"/>
              <w:rPr>
                <w:sz w:val="20"/>
                <w:szCs w:val="20"/>
                <w:lang w:val="es-ES"/>
              </w:rPr>
            </w:pPr>
          </w:p>
          <w:p w:rsidR="00BE3A49" w:rsidRDefault="00BE3A49" w:rsidP="006E4B84">
            <w:pPr>
              <w:jc w:val="center"/>
              <w:rPr>
                <w:sz w:val="20"/>
                <w:szCs w:val="20"/>
                <w:lang w:val="es-ES"/>
              </w:rPr>
            </w:pPr>
          </w:p>
          <w:p w:rsidR="00C12E9A" w:rsidRDefault="00C12E9A" w:rsidP="006E4B84">
            <w:pPr>
              <w:jc w:val="center"/>
              <w:rPr>
                <w:sz w:val="20"/>
                <w:szCs w:val="20"/>
                <w:lang w:val="es-ES"/>
              </w:rPr>
            </w:pPr>
          </w:p>
          <w:p w:rsidR="00BE3A49" w:rsidRDefault="00BE3A49" w:rsidP="006E4B84">
            <w:pPr>
              <w:jc w:val="center"/>
              <w:rPr>
                <w:sz w:val="20"/>
                <w:szCs w:val="20"/>
                <w:lang w:val="es-ES"/>
              </w:rPr>
            </w:pPr>
            <w:r>
              <w:rPr>
                <w:sz w:val="20"/>
                <w:szCs w:val="20"/>
                <w:lang w:val="es-ES"/>
              </w:rPr>
              <w:t>15</w:t>
            </w:r>
          </w:p>
          <w:p w:rsidR="00BE3DAD" w:rsidRDefault="00BE3DAD" w:rsidP="006E4B84">
            <w:pPr>
              <w:jc w:val="center"/>
              <w:rPr>
                <w:sz w:val="20"/>
                <w:szCs w:val="20"/>
                <w:lang w:val="es-ES"/>
              </w:rPr>
            </w:pPr>
          </w:p>
          <w:p w:rsidR="00BE3DAD" w:rsidRDefault="00BE3DAD" w:rsidP="006E4B84">
            <w:pPr>
              <w:jc w:val="center"/>
              <w:rPr>
                <w:sz w:val="20"/>
                <w:szCs w:val="20"/>
                <w:lang w:val="es-ES"/>
              </w:rPr>
            </w:pPr>
          </w:p>
          <w:p w:rsidR="00BE3DAD" w:rsidRDefault="00BE3DAD" w:rsidP="006E4B84">
            <w:pPr>
              <w:jc w:val="center"/>
              <w:rPr>
                <w:sz w:val="20"/>
                <w:szCs w:val="20"/>
                <w:lang w:val="es-ES"/>
              </w:rPr>
            </w:pPr>
          </w:p>
          <w:p w:rsidR="00BE3DAD" w:rsidRDefault="00BE3DAD" w:rsidP="006E4B84">
            <w:pPr>
              <w:jc w:val="center"/>
              <w:rPr>
                <w:sz w:val="20"/>
                <w:szCs w:val="20"/>
                <w:lang w:val="es-ES"/>
              </w:rPr>
            </w:pPr>
          </w:p>
          <w:p w:rsidR="00BE3DAD" w:rsidRDefault="00BE3DAD" w:rsidP="00C21F2F">
            <w:pPr>
              <w:jc w:val="center"/>
              <w:rPr>
                <w:sz w:val="20"/>
                <w:szCs w:val="20"/>
                <w:lang w:val="es-ES"/>
              </w:rPr>
            </w:pPr>
            <w:r>
              <w:rPr>
                <w:sz w:val="20"/>
                <w:szCs w:val="20"/>
                <w:lang w:val="es-ES"/>
              </w:rPr>
              <w:t>15</w:t>
            </w:r>
          </w:p>
          <w:p w:rsidR="00EB30B3" w:rsidRDefault="00EB30B3" w:rsidP="00C21F2F">
            <w:pPr>
              <w:jc w:val="center"/>
              <w:rPr>
                <w:sz w:val="20"/>
                <w:szCs w:val="20"/>
                <w:lang w:val="es-ES"/>
              </w:rPr>
            </w:pPr>
          </w:p>
          <w:p w:rsidR="00EB30B3" w:rsidRDefault="00EB30B3" w:rsidP="00C21F2F">
            <w:pPr>
              <w:jc w:val="center"/>
              <w:rPr>
                <w:sz w:val="20"/>
                <w:szCs w:val="20"/>
                <w:lang w:val="es-ES"/>
              </w:rPr>
            </w:pPr>
          </w:p>
          <w:p w:rsidR="00EB30B3" w:rsidRDefault="00EB30B3" w:rsidP="00C21F2F">
            <w:pPr>
              <w:jc w:val="center"/>
              <w:rPr>
                <w:sz w:val="20"/>
                <w:szCs w:val="20"/>
                <w:lang w:val="es-ES"/>
              </w:rPr>
            </w:pPr>
          </w:p>
          <w:p w:rsidR="00EB30B3" w:rsidRDefault="00EB30B3" w:rsidP="00C21F2F">
            <w:pPr>
              <w:jc w:val="center"/>
              <w:rPr>
                <w:sz w:val="20"/>
                <w:szCs w:val="20"/>
                <w:lang w:val="es-ES"/>
              </w:rPr>
            </w:pPr>
          </w:p>
          <w:p w:rsidR="00EB30B3" w:rsidRDefault="00EB30B3" w:rsidP="00C21F2F">
            <w:pPr>
              <w:jc w:val="center"/>
              <w:rPr>
                <w:sz w:val="20"/>
                <w:szCs w:val="20"/>
                <w:lang w:val="es-ES"/>
              </w:rPr>
            </w:pPr>
          </w:p>
          <w:p w:rsidR="00EB30B3" w:rsidRDefault="00EB30B3" w:rsidP="00C21F2F">
            <w:pPr>
              <w:jc w:val="center"/>
              <w:rPr>
                <w:sz w:val="20"/>
                <w:szCs w:val="20"/>
                <w:lang w:val="es-ES"/>
              </w:rPr>
            </w:pPr>
          </w:p>
          <w:p w:rsidR="00EB30B3" w:rsidRDefault="00EB30B3" w:rsidP="00C21F2F">
            <w:pPr>
              <w:jc w:val="center"/>
              <w:rPr>
                <w:sz w:val="20"/>
                <w:szCs w:val="20"/>
                <w:lang w:val="es-ES"/>
              </w:rPr>
            </w:pPr>
          </w:p>
          <w:p w:rsidR="00EB30B3" w:rsidRDefault="00DF2164" w:rsidP="00C21F2F">
            <w:pPr>
              <w:jc w:val="center"/>
              <w:rPr>
                <w:sz w:val="20"/>
                <w:szCs w:val="20"/>
                <w:lang w:val="es-ES"/>
              </w:rPr>
            </w:pPr>
            <w:r>
              <w:rPr>
                <w:sz w:val="20"/>
                <w:szCs w:val="20"/>
                <w:lang w:val="es-ES"/>
              </w:rPr>
              <w:t>5,000</w:t>
            </w:r>
          </w:p>
          <w:p w:rsidR="00EB30B3" w:rsidRPr="00C51FBB" w:rsidRDefault="00EB30B3" w:rsidP="00C21F2F">
            <w:pPr>
              <w:jc w:val="center"/>
              <w:rPr>
                <w:sz w:val="20"/>
                <w:szCs w:val="20"/>
                <w:lang w:val="es-ES"/>
              </w:rPr>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5270DD" w:rsidRDefault="00BE3A49" w:rsidP="00040F32">
            <w:pPr>
              <w:rPr>
                <w:sz w:val="20"/>
                <w:szCs w:val="20"/>
                <w:lang w:val="es-ES"/>
              </w:rPr>
            </w:pPr>
            <w:r>
              <w:rPr>
                <w:sz w:val="20"/>
                <w:szCs w:val="20"/>
                <w:lang w:val="es-ES"/>
              </w:rPr>
              <w:t xml:space="preserve">Estos indicadores </w:t>
            </w:r>
            <w:r w:rsidR="00BE3DAD">
              <w:rPr>
                <w:sz w:val="20"/>
                <w:szCs w:val="20"/>
                <w:lang w:val="es-ES"/>
              </w:rPr>
              <w:t xml:space="preserve">son </w:t>
            </w:r>
            <w:r w:rsidR="005270DD">
              <w:rPr>
                <w:sz w:val="20"/>
                <w:szCs w:val="20"/>
                <w:lang w:val="es-ES"/>
              </w:rPr>
              <w:t>indicador</w:t>
            </w:r>
            <w:r w:rsidR="00BE3DAD">
              <w:rPr>
                <w:sz w:val="20"/>
                <w:szCs w:val="20"/>
                <w:lang w:val="es-ES"/>
              </w:rPr>
              <w:t>es</w:t>
            </w:r>
            <w:r w:rsidR="005270DD">
              <w:rPr>
                <w:sz w:val="20"/>
                <w:szCs w:val="20"/>
                <w:lang w:val="es-ES"/>
              </w:rPr>
              <w:t xml:space="preserve"> de calidad y pertinencia. </w:t>
            </w:r>
            <w:r w:rsidR="005270DD" w:rsidRPr="005270DD">
              <w:rPr>
                <w:sz w:val="20"/>
                <w:szCs w:val="20"/>
                <w:lang w:val="es-ES"/>
              </w:rPr>
              <w:t xml:space="preserve">El sistema de certificación de competencias laborales es un sistema de pertinencia y calidad. Por una parte, las normas de competencia laboral son definidas directamente por el sector productivo. Por otra parte,  los cursos de formación deben estar basados en estas normas ya que luego el sistema evalúa y certifica que los conocimientos, habilidades y destrezas adquiridos por las personas se basan </w:t>
            </w:r>
            <w:r w:rsidR="00C21F2F">
              <w:rPr>
                <w:sz w:val="20"/>
                <w:szCs w:val="20"/>
                <w:lang w:val="es-ES"/>
              </w:rPr>
              <w:t xml:space="preserve">en </w:t>
            </w:r>
            <w:r w:rsidR="005270DD" w:rsidRPr="005270DD">
              <w:rPr>
                <w:sz w:val="20"/>
                <w:szCs w:val="20"/>
                <w:lang w:val="es-ES"/>
              </w:rPr>
              <w:t xml:space="preserve">esos estándares. Es decir que las personas no son certificadas en tanto que no demuestran que poseen los conocimientos, habilidades y destrezas que la norma </w:t>
            </w:r>
            <w:proofErr w:type="spellStart"/>
            <w:proofErr w:type="gramStart"/>
            <w:r w:rsidR="00C21F2F" w:rsidRPr="005270DD">
              <w:rPr>
                <w:sz w:val="20"/>
                <w:szCs w:val="20"/>
                <w:lang w:val="es-ES"/>
              </w:rPr>
              <w:t>espec</w:t>
            </w:r>
            <w:r w:rsidR="00C21F2F">
              <w:rPr>
                <w:sz w:val="20"/>
                <w:szCs w:val="20"/>
                <w:lang w:val="es-ES"/>
              </w:rPr>
              <w:t>i</w:t>
            </w:r>
            <w:r w:rsidR="00C21F2F" w:rsidRPr="005270DD">
              <w:rPr>
                <w:sz w:val="20"/>
                <w:szCs w:val="20"/>
                <w:lang w:val="es-ES"/>
              </w:rPr>
              <w:t>fica</w:t>
            </w:r>
            <w:proofErr w:type="spellEnd"/>
            <w:proofErr w:type="gramEnd"/>
            <w:r w:rsidR="005270DD" w:rsidRPr="005270DD">
              <w:rPr>
                <w:sz w:val="20"/>
                <w:szCs w:val="20"/>
                <w:lang w:val="es-ES"/>
              </w:rPr>
              <w:t xml:space="preserve">. </w:t>
            </w:r>
          </w:p>
          <w:p w:rsidR="005270DD" w:rsidRDefault="005270DD" w:rsidP="00040F32">
            <w:pPr>
              <w:rPr>
                <w:sz w:val="20"/>
                <w:szCs w:val="20"/>
                <w:lang w:val="es-ES"/>
              </w:rPr>
            </w:pPr>
          </w:p>
          <w:p w:rsidR="005238C8" w:rsidRDefault="00040F32" w:rsidP="006E4B84">
            <w:pPr>
              <w:rPr>
                <w:sz w:val="20"/>
                <w:szCs w:val="20"/>
                <w:lang w:val="es-ES"/>
              </w:rPr>
            </w:pPr>
            <w:r>
              <w:rPr>
                <w:sz w:val="20"/>
                <w:szCs w:val="20"/>
                <w:lang w:val="es-ES"/>
              </w:rPr>
              <w:t xml:space="preserve">Los indicadores </w:t>
            </w:r>
            <w:r w:rsidR="00EB30B3">
              <w:rPr>
                <w:sz w:val="20"/>
                <w:szCs w:val="20"/>
                <w:lang w:val="es-ES"/>
              </w:rPr>
              <w:t xml:space="preserve">de resultado al 2015 </w:t>
            </w:r>
            <w:r>
              <w:rPr>
                <w:sz w:val="20"/>
                <w:szCs w:val="20"/>
                <w:lang w:val="es-ES"/>
              </w:rPr>
              <w:t xml:space="preserve">se restringen </w:t>
            </w:r>
            <w:r w:rsidR="00853764">
              <w:rPr>
                <w:sz w:val="20"/>
                <w:szCs w:val="20"/>
                <w:lang w:val="es-ES"/>
              </w:rPr>
              <w:t xml:space="preserve">al sector de </w:t>
            </w:r>
            <w:bookmarkStart w:id="0" w:name="_GoBack"/>
            <w:r w:rsidR="00853764">
              <w:rPr>
                <w:sz w:val="20"/>
                <w:szCs w:val="20"/>
                <w:lang w:val="es-ES"/>
              </w:rPr>
              <w:t>TIC</w:t>
            </w:r>
            <w:bookmarkEnd w:id="0"/>
            <w:r w:rsidR="00853764">
              <w:rPr>
                <w:sz w:val="20"/>
                <w:szCs w:val="20"/>
                <w:lang w:val="es-ES"/>
              </w:rPr>
              <w:t xml:space="preserve"> de Medellín donde será implementado el piloto de los procesos de normalización, evaluación y certificación de las competencias laborales</w:t>
            </w:r>
            <w:r w:rsidR="00BE3DAD">
              <w:rPr>
                <w:sz w:val="20"/>
                <w:szCs w:val="20"/>
                <w:lang w:val="es-ES"/>
              </w:rPr>
              <w:t xml:space="preserve"> ya que podrán ser medidos al finalizar la serie programática</w:t>
            </w:r>
            <w:r w:rsidR="00853764">
              <w:rPr>
                <w:sz w:val="20"/>
                <w:szCs w:val="20"/>
                <w:lang w:val="es-ES"/>
              </w:rPr>
              <w:t>.</w:t>
            </w:r>
            <w:r w:rsidR="00BE3DAD">
              <w:rPr>
                <w:sz w:val="20"/>
                <w:szCs w:val="20"/>
                <w:lang w:val="es-ES"/>
              </w:rPr>
              <w:t xml:space="preserve">  </w:t>
            </w:r>
          </w:p>
          <w:p w:rsidR="00C12E9A" w:rsidRPr="00CC2546" w:rsidRDefault="00C12E9A" w:rsidP="006E4B84">
            <w:pPr>
              <w:rPr>
                <w:sz w:val="20"/>
                <w:szCs w:val="20"/>
                <w:lang w:val="es-ES"/>
              </w:rPr>
            </w:pPr>
          </w:p>
          <w:p w:rsidR="005238C8" w:rsidRDefault="005238C8" w:rsidP="00CC2546">
            <w:pPr>
              <w:rPr>
                <w:sz w:val="20"/>
                <w:szCs w:val="20"/>
                <w:lang w:val="es-ES"/>
              </w:rPr>
            </w:pPr>
            <w:r w:rsidRPr="00CC2546">
              <w:rPr>
                <w:sz w:val="20"/>
                <w:szCs w:val="20"/>
                <w:lang w:val="es-ES"/>
              </w:rPr>
              <w:t xml:space="preserve">Para poder emitir un certificado se requiere que las personas hayan pasado por una evaluación previa que certifica que disponen de las competencias que constituyen una cierta norma de competencia laboral. Las normas son definidas conjuntamente </w:t>
            </w:r>
            <w:r w:rsidR="00CC2546">
              <w:rPr>
                <w:sz w:val="20"/>
                <w:szCs w:val="20"/>
                <w:lang w:val="es-ES"/>
              </w:rPr>
              <w:t>con</w:t>
            </w:r>
            <w:r w:rsidRPr="00CC2546">
              <w:rPr>
                <w:sz w:val="20"/>
                <w:szCs w:val="20"/>
                <w:lang w:val="es-ES"/>
              </w:rPr>
              <w:t xml:space="preserve"> el sector productivo</w:t>
            </w:r>
            <w:r w:rsidR="00CC2546">
              <w:rPr>
                <w:sz w:val="20"/>
                <w:szCs w:val="20"/>
                <w:lang w:val="es-ES"/>
              </w:rPr>
              <w:t xml:space="preserve">, lo cual asegura su pertinencia. </w:t>
            </w:r>
          </w:p>
          <w:p w:rsidR="00EB30B3" w:rsidRDefault="00EB30B3" w:rsidP="00CC2546">
            <w:pPr>
              <w:rPr>
                <w:sz w:val="20"/>
                <w:szCs w:val="20"/>
                <w:lang w:val="es-ES"/>
              </w:rPr>
            </w:pPr>
          </w:p>
          <w:p w:rsidR="00EB30B3" w:rsidRDefault="00EB30B3" w:rsidP="00CC2546">
            <w:pPr>
              <w:rPr>
                <w:sz w:val="20"/>
                <w:szCs w:val="20"/>
                <w:lang w:val="es-ES"/>
              </w:rPr>
            </w:pPr>
          </w:p>
          <w:p w:rsidR="00EB30B3" w:rsidRDefault="00EB30B3" w:rsidP="00CC2546">
            <w:pPr>
              <w:rPr>
                <w:sz w:val="20"/>
                <w:szCs w:val="20"/>
                <w:lang w:val="es-ES"/>
              </w:rPr>
            </w:pPr>
            <w:r>
              <w:rPr>
                <w:sz w:val="20"/>
                <w:szCs w:val="20"/>
                <w:lang w:val="es-ES"/>
              </w:rPr>
              <w:t>El indicador de resultado al 2017 se aplica a los trabajadores de las empresas que participan en el piloto del sector TIC pero también a</w:t>
            </w:r>
            <w:r w:rsidR="00DF2164">
              <w:rPr>
                <w:sz w:val="20"/>
                <w:szCs w:val="20"/>
                <w:lang w:val="es-ES"/>
              </w:rPr>
              <w:t>l 5% de los trabajadores que el SENA certifica actualmente (108.789 personas en el 2011). Se considera posible que el 5% de los</w:t>
            </w:r>
            <w:r>
              <w:rPr>
                <w:sz w:val="20"/>
                <w:szCs w:val="20"/>
                <w:lang w:val="es-ES"/>
              </w:rPr>
              <w:t xml:space="preserve"> </w:t>
            </w:r>
            <w:r w:rsidR="00DF2164">
              <w:rPr>
                <w:sz w:val="20"/>
                <w:szCs w:val="20"/>
                <w:lang w:val="es-ES"/>
              </w:rPr>
              <w:t>trabajadores certificados por e</w:t>
            </w:r>
            <w:r w:rsidR="00B44F76">
              <w:rPr>
                <w:sz w:val="20"/>
                <w:szCs w:val="20"/>
                <w:lang w:val="es-ES"/>
              </w:rPr>
              <w:t>l</w:t>
            </w:r>
            <w:r w:rsidR="00DF2164">
              <w:rPr>
                <w:sz w:val="20"/>
                <w:szCs w:val="20"/>
                <w:lang w:val="es-ES"/>
              </w:rPr>
              <w:t xml:space="preserve"> SENA lo sean bajo la</w:t>
            </w:r>
            <w:r w:rsidR="008E0CE1">
              <w:rPr>
                <w:sz w:val="20"/>
                <w:szCs w:val="20"/>
                <w:lang w:val="es-ES"/>
              </w:rPr>
              <w:t>s</w:t>
            </w:r>
            <w:r w:rsidR="00DF2164">
              <w:rPr>
                <w:sz w:val="20"/>
                <w:szCs w:val="20"/>
                <w:lang w:val="es-ES"/>
              </w:rPr>
              <w:t xml:space="preserve"> </w:t>
            </w:r>
            <w:r>
              <w:rPr>
                <w:sz w:val="20"/>
                <w:szCs w:val="20"/>
                <w:lang w:val="es-ES"/>
              </w:rPr>
              <w:t>nueva</w:t>
            </w:r>
            <w:r w:rsidR="008E0CE1">
              <w:rPr>
                <w:sz w:val="20"/>
                <w:szCs w:val="20"/>
                <w:lang w:val="es-ES"/>
              </w:rPr>
              <w:t>s</w:t>
            </w:r>
            <w:r>
              <w:rPr>
                <w:sz w:val="20"/>
                <w:szCs w:val="20"/>
                <w:lang w:val="es-ES"/>
              </w:rPr>
              <w:t xml:space="preserve"> </w:t>
            </w:r>
            <w:r w:rsidR="008B06FD">
              <w:rPr>
                <w:sz w:val="20"/>
                <w:szCs w:val="20"/>
                <w:lang w:val="es-ES"/>
              </w:rPr>
              <w:t>Reglas G</w:t>
            </w:r>
            <w:r w:rsidR="008E0CE1">
              <w:rPr>
                <w:sz w:val="20"/>
                <w:szCs w:val="20"/>
                <w:lang w:val="es-ES"/>
              </w:rPr>
              <w:t xml:space="preserve">enerales de </w:t>
            </w:r>
            <w:r w:rsidR="008B06FD">
              <w:rPr>
                <w:sz w:val="20"/>
                <w:szCs w:val="20"/>
                <w:lang w:val="es-ES"/>
              </w:rPr>
              <w:t>O</w:t>
            </w:r>
            <w:r w:rsidR="008E0CE1">
              <w:rPr>
                <w:sz w:val="20"/>
                <w:szCs w:val="20"/>
                <w:lang w:val="es-ES"/>
              </w:rPr>
              <w:t xml:space="preserve">peración </w:t>
            </w:r>
            <w:r>
              <w:rPr>
                <w:sz w:val="20"/>
                <w:szCs w:val="20"/>
                <w:lang w:val="es-ES"/>
              </w:rPr>
              <w:t xml:space="preserve">de certificación de competencias. </w:t>
            </w:r>
          </w:p>
          <w:p w:rsidR="00EB30B3" w:rsidRPr="00C51FBB" w:rsidRDefault="00EB30B3" w:rsidP="00CC2546">
            <w:pPr>
              <w:rPr>
                <w:sz w:val="20"/>
                <w:szCs w:val="20"/>
                <w:lang w:val="es-ES"/>
              </w:rPr>
            </w:pPr>
          </w:p>
        </w:tc>
      </w:tr>
    </w:tbl>
    <w:p w:rsidR="004B1C1B" w:rsidRPr="00C51FBB" w:rsidRDefault="004B1C1B" w:rsidP="004B1C1B">
      <w:pPr>
        <w:rPr>
          <w:sz w:val="20"/>
          <w:szCs w:val="20"/>
          <w:lang w:val="es-ES"/>
        </w:rPr>
      </w:pPr>
    </w:p>
    <w:p w:rsidR="00CE1E39" w:rsidRPr="00C51FBB" w:rsidRDefault="00CE1E39" w:rsidP="004B1C1B">
      <w:pPr>
        <w:rPr>
          <w:sz w:val="20"/>
          <w:szCs w:val="20"/>
          <w:lang w:val="es-ES"/>
        </w:rPr>
      </w:pPr>
    </w:p>
    <w:p w:rsidR="00CE1E39" w:rsidRPr="00C51FBB" w:rsidRDefault="00CE1E39" w:rsidP="004B1C1B">
      <w:pPr>
        <w:rPr>
          <w:sz w:val="20"/>
          <w:szCs w:val="20"/>
          <w:lang w:val="es-ES"/>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366"/>
        <w:gridCol w:w="3447"/>
        <w:gridCol w:w="3447"/>
      </w:tblGrid>
      <w:tr w:rsidR="004B1C1B" w:rsidRPr="00B44F76" w:rsidTr="0073274A">
        <w:trPr>
          <w:trHeight w:val="413"/>
          <w:tblHeader/>
        </w:trPr>
        <w:tc>
          <w:tcPr>
            <w:tcW w:w="3528" w:type="dxa"/>
            <w:tcBorders>
              <w:bottom w:val="single" w:sz="4" w:space="0" w:color="auto"/>
            </w:tcBorders>
            <w:shd w:val="clear" w:color="auto" w:fill="BFBFBF"/>
            <w:vAlign w:val="center"/>
          </w:tcPr>
          <w:p w:rsidR="004B1C1B" w:rsidRPr="00C51FBB" w:rsidRDefault="004B1C1B" w:rsidP="00DF5C0E">
            <w:pPr>
              <w:jc w:val="center"/>
              <w:rPr>
                <w:b/>
                <w:sz w:val="20"/>
                <w:szCs w:val="20"/>
                <w:lang w:val="es-ES"/>
              </w:rPr>
            </w:pPr>
          </w:p>
        </w:tc>
        <w:tc>
          <w:tcPr>
            <w:tcW w:w="3366" w:type="dxa"/>
            <w:tcBorders>
              <w:bottom w:val="single" w:sz="4" w:space="0" w:color="auto"/>
            </w:tcBorders>
            <w:shd w:val="clear" w:color="auto" w:fill="BFBFBF"/>
            <w:vAlign w:val="center"/>
          </w:tcPr>
          <w:p w:rsidR="004B1C1B" w:rsidRPr="00C51FBB" w:rsidRDefault="004B1C1B" w:rsidP="00DF5C0E">
            <w:pPr>
              <w:jc w:val="center"/>
              <w:rPr>
                <w:b/>
                <w:sz w:val="20"/>
                <w:szCs w:val="20"/>
                <w:lang w:val="es-ES"/>
              </w:rPr>
            </w:pPr>
            <w:r w:rsidRPr="00C51FBB">
              <w:rPr>
                <w:b/>
                <w:sz w:val="20"/>
                <w:szCs w:val="20"/>
                <w:lang w:val="es-ES"/>
              </w:rPr>
              <w:t>Base</w:t>
            </w:r>
          </w:p>
        </w:tc>
        <w:tc>
          <w:tcPr>
            <w:tcW w:w="3447" w:type="dxa"/>
            <w:tcBorders>
              <w:bottom w:val="single" w:sz="4" w:space="0" w:color="auto"/>
            </w:tcBorders>
            <w:shd w:val="clear" w:color="auto" w:fill="BFBFBF"/>
            <w:vAlign w:val="center"/>
          </w:tcPr>
          <w:p w:rsidR="004B1C1B" w:rsidRPr="00C51FBB" w:rsidRDefault="004B1C1B" w:rsidP="00DF5C0E">
            <w:pPr>
              <w:jc w:val="center"/>
              <w:rPr>
                <w:b/>
                <w:sz w:val="20"/>
                <w:szCs w:val="20"/>
                <w:lang w:val="es-ES"/>
              </w:rPr>
            </w:pPr>
            <w:r w:rsidRPr="00C51FBB">
              <w:rPr>
                <w:b/>
                <w:sz w:val="20"/>
                <w:szCs w:val="20"/>
                <w:lang w:val="es-ES"/>
              </w:rPr>
              <w:t>Meta final</w:t>
            </w:r>
          </w:p>
        </w:tc>
        <w:tc>
          <w:tcPr>
            <w:tcW w:w="3447" w:type="dxa"/>
            <w:tcBorders>
              <w:bottom w:val="single" w:sz="4" w:space="0" w:color="auto"/>
            </w:tcBorders>
            <w:shd w:val="clear" w:color="auto" w:fill="BFBFBF"/>
            <w:vAlign w:val="center"/>
          </w:tcPr>
          <w:p w:rsidR="004B1C1B" w:rsidRPr="00C51FBB" w:rsidRDefault="004B1C1B" w:rsidP="00DF5C0E">
            <w:pPr>
              <w:jc w:val="center"/>
              <w:rPr>
                <w:b/>
                <w:sz w:val="20"/>
                <w:szCs w:val="20"/>
                <w:lang w:val="es-ES"/>
              </w:rPr>
            </w:pPr>
            <w:r w:rsidRPr="00C51FBB">
              <w:rPr>
                <w:b/>
                <w:sz w:val="20"/>
                <w:szCs w:val="20"/>
                <w:lang w:val="es-ES"/>
              </w:rPr>
              <w:t>Observaciones</w:t>
            </w:r>
            <w:r w:rsidR="00E225A4">
              <w:rPr>
                <w:b/>
                <w:sz w:val="20"/>
                <w:szCs w:val="20"/>
                <w:lang w:val="es-ES"/>
              </w:rPr>
              <w:t xml:space="preserve"> y/o fuentes de información</w:t>
            </w:r>
          </w:p>
        </w:tc>
      </w:tr>
      <w:tr w:rsidR="002A5507" w:rsidRPr="00B44F76" w:rsidTr="00DF5C0E">
        <w:trPr>
          <w:trHeight w:val="350"/>
        </w:trPr>
        <w:tc>
          <w:tcPr>
            <w:tcW w:w="13788" w:type="dxa"/>
            <w:gridSpan w:val="4"/>
            <w:shd w:val="clear" w:color="auto" w:fill="D9D9D9"/>
            <w:vAlign w:val="center"/>
          </w:tcPr>
          <w:p w:rsidR="002A5507" w:rsidRPr="00C51FBB" w:rsidRDefault="002A5507" w:rsidP="00DF5C0E">
            <w:pPr>
              <w:numPr>
                <w:ilvl w:val="0"/>
                <w:numId w:val="21"/>
              </w:numPr>
              <w:ind w:left="360"/>
              <w:rPr>
                <w:sz w:val="20"/>
                <w:szCs w:val="20"/>
                <w:lang w:val="es-ES"/>
              </w:rPr>
            </w:pPr>
            <w:r w:rsidRPr="00C51FBB">
              <w:rPr>
                <w:b/>
                <w:sz w:val="20"/>
                <w:szCs w:val="20"/>
                <w:lang w:val="es-ES_tradnl"/>
              </w:rPr>
              <w:t>Marco General de Políticas Macroeconómicas:</w:t>
            </w:r>
            <w:r w:rsidRPr="00C51FBB">
              <w:rPr>
                <w:sz w:val="20"/>
                <w:szCs w:val="20"/>
                <w:lang w:val="es-ES_tradnl"/>
              </w:rPr>
              <w:t xml:space="preserve"> Mantener un marco macro-económico estable.</w:t>
            </w:r>
          </w:p>
        </w:tc>
      </w:tr>
      <w:tr w:rsidR="00F124AC" w:rsidRPr="00C51FBB" w:rsidTr="001E7268">
        <w:tc>
          <w:tcPr>
            <w:tcW w:w="3528" w:type="dxa"/>
            <w:tcBorders>
              <w:bottom w:val="single" w:sz="4" w:space="0" w:color="auto"/>
            </w:tcBorders>
          </w:tcPr>
          <w:p w:rsidR="00AF6B00" w:rsidRPr="003053B2" w:rsidRDefault="00F124AC" w:rsidP="00F124AC">
            <w:pPr>
              <w:rPr>
                <w:sz w:val="20"/>
                <w:szCs w:val="20"/>
                <w:lang w:val="es-ES_tradnl"/>
              </w:rPr>
            </w:pPr>
            <w:r w:rsidRPr="00C51FBB">
              <w:rPr>
                <w:sz w:val="20"/>
                <w:szCs w:val="20"/>
                <w:lang w:val="es-ES_tradnl"/>
              </w:rPr>
              <w:t>Marco macroeconómico consistente con los objetivos del Programa y con  los lineamientos establecidos en la carta de política sectorial.</w:t>
            </w:r>
          </w:p>
        </w:tc>
        <w:tc>
          <w:tcPr>
            <w:tcW w:w="3366" w:type="dxa"/>
            <w:tcBorders>
              <w:bottom w:val="single" w:sz="4" w:space="0" w:color="auto"/>
            </w:tcBorders>
          </w:tcPr>
          <w:p w:rsidR="00F124AC" w:rsidRPr="00C51FBB" w:rsidRDefault="00F124AC" w:rsidP="00DF5C0E">
            <w:pPr>
              <w:jc w:val="center"/>
              <w:rPr>
                <w:sz w:val="20"/>
                <w:szCs w:val="20"/>
                <w:lang w:val="es-ES"/>
              </w:rPr>
            </w:pPr>
            <w:r w:rsidRPr="00C51FBB">
              <w:rPr>
                <w:sz w:val="20"/>
                <w:szCs w:val="20"/>
                <w:lang w:val="es-ES"/>
              </w:rPr>
              <w:t>n/a</w:t>
            </w:r>
          </w:p>
        </w:tc>
        <w:tc>
          <w:tcPr>
            <w:tcW w:w="3447" w:type="dxa"/>
            <w:tcBorders>
              <w:bottom w:val="single" w:sz="4" w:space="0" w:color="auto"/>
            </w:tcBorders>
          </w:tcPr>
          <w:p w:rsidR="00F124AC" w:rsidRPr="00C51FBB" w:rsidRDefault="00F124AC" w:rsidP="00DF5C0E">
            <w:pPr>
              <w:jc w:val="center"/>
              <w:rPr>
                <w:sz w:val="20"/>
                <w:szCs w:val="20"/>
                <w:lang w:val="es-ES"/>
              </w:rPr>
            </w:pPr>
            <w:r w:rsidRPr="00C51FBB">
              <w:rPr>
                <w:sz w:val="20"/>
                <w:szCs w:val="20"/>
                <w:lang w:val="es-ES"/>
              </w:rPr>
              <w:t>n/a</w:t>
            </w:r>
          </w:p>
        </w:tc>
        <w:tc>
          <w:tcPr>
            <w:tcW w:w="3447" w:type="dxa"/>
            <w:tcBorders>
              <w:bottom w:val="single" w:sz="4" w:space="0" w:color="auto"/>
            </w:tcBorders>
          </w:tcPr>
          <w:p w:rsidR="00F124AC" w:rsidRPr="00C51FBB" w:rsidRDefault="00F124AC" w:rsidP="00DF5C0E">
            <w:pPr>
              <w:jc w:val="center"/>
              <w:rPr>
                <w:sz w:val="20"/>
                <w:szCs w:val="20"/>
                <w:lang w:val="es-ES"/>
              </w:rPr>
            </w:pPr>
          </w:p>
        </w:tc>
      </w:tr>
      <w:tr w:rsidR="00F124AC" w:rsidRPr="00B44F76" w:rsidTr="001E7268">
        <w:trPr>
          <w:trHeight w:val="638"/>
        </w:trPr>
        <w:tc>
          <w:tcPr>
            <w:tcW w:w="13788" w:type="dxa"/>
            <w:gridSpan w:val="4"/>
            <w:tcBorders>
              <w:bottom w:val="single" w:sz="4" w:space="0" w:color="auto"/>
            </w:tcBorders>
            <w:shd w:val="clear" w:color="auto" w:fill="D9D9D9"/>
            <w:vAlign w:val="center"/>
          </w:tcPr>
          <w:p w:rsidR="00F124AC" w:rsidRPr="00C51FBB" w:rsidRDefault="00E225A4" w:rsidP="00DF5C0E">
            <w:pPr>
              <w:numPr>
                <w:ilvl w:val="0"/>
                <w:numId w:val="21"/>
              </w:numPr>
              <w:ind w:left="360"/>
              <w:rPr>
                <w:sz w:val="20"/>
                <w:szCs w:val="20"/>
                <w:lang w:val="es-ES"/>
              </w:rPr>
            </w:pPr>
            <w:r w:rsidRPr="00BF473C">
              <w:rPr>
                <w:b/>
                <w:bCs/>
                <w:sz w:val="20"/>
                <w:szCs w:val="20"/>
                <w:lang w:val="es-ES"/>
              </w:rPr>
              <w:lastRenderedPageBreak/>
              <w:t>Fortalecimiento de la C</w:t>
            </w:r>
            <w:r>
              <w:rPr>
                <w:b/>
                <w:bCs/>
                <w:sz w:val="20"/>
                <w:szCs w:val="20"/>
                <w:lang w:val="es-ES"/>
              </w:rPr>
              <w:t>omisión Intersectorial de Gestión del Recurso Humano (C</w:t>
            </w:r>
            <w:r w:rsidRPr="00BF473C">
              <w:rPr>
                <w:b/>
                <w:bCs/>
                <w:sz w:val="20"/>
                <w:szCs w:val="20"/>
                <w:lang w:val="es-ES"/>
              </w:rPr>
              <w:t>IGERH</w:t>
            </w:r>
            <w:r>
              <w:rPr>
                <w:b/>
                <w:bCs/>
                <w:sz w:val="20"/>
                <w:szCs w:val="20"/>
                <w:lang w:val="es-ES"/>
              </w:rPr>
              <w:t>)</w:t>
            </w:r>
            <w:r w:rsidRPr="00BF473C">
              <w:rPr>
                <w:b/>
                <w:bCs/>
                <w:sz w:val="20"/>
                <w:szCs w:val="20"/>
                <w:lang w:val="es-ES"/>
              </w:rPr>
              <w:t xml:space="preserve"> e involucramiento del sector productivo en el Comité Técnico de la CIGERH</w:t>
            </w:r>
          </w:p>
        </w:tc>
      </w:tr>
      <w:tr w:rsidR="00F124AC" w:rsidRPr="00B44F76" w:rsidTr="001E7268">
        <w:tc>
          <w:tcPr>
            <w:tcW w:w="3528" w:type="dxa"/>
            <w:tcBorders>
              <w:bottom w:val="nil"/>
            </w:tcBorders>
          </w:tcPr>
          <w:p w:rsidR="00F124AC" w:rsidRDefault="00F124AC" w:rsidP="002A5507">
            <w:pPr>
              <w:rPr>
                <w:b/>
                <w:sz w:val="20"/>
                <w:szCs w:val="20"/>
                <w:lang w:val="es-ES"/>
              </w:rPr>
            </w:pPr>
            <w:r w:rsidRPr="00C51FBB">
              <w:rPr>
                <w:b/>
                <w:sz w:val="20"/>
                <w:szCs w:val="20"/>
                <w:u w:val="single"/>
                <w:lang w:val="es-ES"/>
              </w:rPr>
              <w:t>Productos</w:t>
            </w:r>
            <w:r w:rsidRPr="00C51FBB">
              <w:rPr>
                <w:b/>
                <w:sz w:val="20"/>
                <w:szCs w:val="20"/>
                <w:lang w:val="es-ES"/>
              </w:rPr>
              <w:t>:</w:t>
            </w:r>
          </w:p>
          <w:p w:rsidR="00F74FAD" w:rsidRPr="00C51FBB" w:rsidRDefault="00F74FAD" w:rsidP="002A5507">
            <w:pPr>
              <w:rPr>
                <w:b/>
                <w:sz w:val="20"/>
                <w:szCs w:val="20"/>
                <w:lang w:val="es-ES"/>
              </w:rPr>
            </w:pPr>
            <w:r>
              <w:rPr>
                <w:sz w:val="20"/>
                <w:szCs w:val="20"/>
                <w:lang w:val="es-ES_tradnl"/>
              </w:rPr>
              <w:t>Decreto de creación de la CIGERH</w:t>
            </w:r>
            <w:r w:rsidR="003053B2">
              <w:rPr>
                <w:sz w:val="20"/>
                <w:szCs w:val="20"/>
                <w:lang w:val="es-ES"/>
              </w:rPr>
              <w:t>.</w:t>
            </w:r>
          </w:p>
        </w:tc>
        <w:tc>
          <w:tcPr>
            <w:tcW w:w="3366" w:type="dxa"/>
            <w:tcBorders>
              <w:bottom w:val="nil"/>
            </w:tcBorders>
          </w:tcPr>
          <w:p w:rsidR="00F124AC" w:rsidRDefault="00F124AC" w:rsidP="00DF5C0E">
            <w:pPr>
              <w:jc w:val="center"/>
              <w:rPr>
                <w:sz w:val="20"/>
                <w:szCs w:val="20"/>
                <w:lang w:val="es-ES"/>
              </w:rPr>
            </w:pPr>
          </w:p>
          <w:p w:rsidR="00F74FAD" w:rsidRPr="00C51FBB" w:rsidRDefault="00F74FAD" w:rsidP="00DF5C0E">
            <w:pPr>
              <w:jc w:val="center"/>
              <w:rPr>
                <w:sz w:val="20"/>
                <w:szCs w:val="20"/>
                <w:lang w:val="es-ES"/>
              </w:rPr>
            </w:pPr>
            <w:r>
              <w:rPr>
                <w:sz w:val="20"/>
                <w:szCs w:val="20"/>
                <w:lang w:val="es-ES"/>
              </w:rPr>
              <w:t>0</w:t>
            </w:r>
          </w:p>
        </w:tc>
        <w:tc>
          <w:tcPr>
            <w:tcW w:w="3447" w:type="dxa"/>
            <w:tcBorders>
              <w:bottom w:val="nil"/>
            </w:tcBorders>
          </w:tcPr>
          <w:p w:rsidR="00F124AC" w:rsidRDefault="00F124AC" w:rsidP="00DF5C0E">
            <w:pPr>
              <w:jc w:val="center"/>
              <w:rPr>
                <w:sz w:val="20"/>
                <w:szCs w:val="20"/>
                <w:lang w:val="es-ES"/>
              </w:rPr>
            </w:pPr>
          </w:p>
          <w:p w:rsidR="00F74FAD" w:rsidRPr="00C51FBB" w:rsidRDefault="00F74FAD" w:rsidP="00DF5C0E">
            <w:pPr>
              <w:jc w:val="center"/>
              <w:rPr>
                <w:sz w:val="20"/>
                <w:szCs w:val="20"/>
                <w:lang w:val="es-ES"/>
              </w:rPr>
            </w:pPr>
            <w:r>
              <w:rPr>
                <w:sz w:val="20"/>
                <w:szCs w:val="20"/>
                <w:lang w:val="es-ES"/>
              </w:rPr>
              <w:t>1</w:t>
            </w:r>
          </w:p>
        </w:tc>
        <w:tc>
          <w:tcPr>
            <w:tcW w:w="3447" w:type="dxa"/>
            <w:tcBorders>
              <w:bottom w:val="nil"/>
            </w:tcBorders>
          </w:tcPr>
          <w:p w:rsidR="00F124AC" w:rsidRDefault="00F124AC" w:rsidP="00DF5C0E">
            <w:pPr>
              <w:jc w:val="center"/>
              <w:rPr>
                <w:sz w:val="20"/>
                <w:szCs w:val="20"/>
                <w:lang w:val="es-ES"/>
              </w:rPr>
            </w:pPr>
          </w:p>
          <w:p w:rsidR="00F74FAD" w:rsidRPr="00C51FBB" w:rsidRDefault="00F74FAD" w:rsidP="00DF5C0E">
            <w:pPr>
              <w:jc w:val="center"/>
              <w:rPr>
                <w:sz w:val="20"/>
                <w:szCs w:val="20"/>
                <w:lang w:val="es-ES"/>
              </w:rPr>
            </w:pPr>
            <w:r>
              <w:rPr>
                <w:sz w:val="20"/>
                <w:szCs w:val="20"/>
                <w:lang w:val="es-ES"/>
              </w:rPr>
              <w:t>Decreto de creación de la CIGERH.</w:t>
            </w:r>
          </w:p>
        </w:tc>
      </w:tr>
      <w:tr w:rsidR="00F74FAD" w:rsidRPr="00B34F30" w:rsidTr="00040F32">
        <w:trPr>
          <w:trHeight w:val="260"/>
        </w:trPr>
        <w:tc>
          <w:tcPr>
            <w:tcW w:w="3528" w:type="dxa"/>
            <w:tcBorders>
              <w:bottom w:val="nil"/>
            </w:tcBorders>
          </w:tcPr>
          <w:p w:rsidR="00F74FAD" w:rsidRPr="00C51FBB" w:rsidRDefault="00853764" w:rsidP="00853764">
            <w:pPr>
              <w:rPr>
                <w:b/>
                <w:sz w:val="20"/>
                <w:szCs w:val="20"/>
                <w:u w:val="single"/>
                <w:lang w:val="es-ES"/>
              </w:rPr>
            </w:pPr>
            <w:r>
              <w:rPr>
                <w:sz w:val="20"/>
                <w:szCs w:val="20"/>
                <w:lang w:val="es-ES_tradnl"/>
              </w:rPr>
              <w:t>A</w:t>
            </w:r>
            <w:r w:rsidRPr="00365897">
              <w:rPr>
                <w:sz w:val="20"/>
                <w:szCs w:val="20"/>
                <w:lang w:val="es-ES_tradnl"/>
              </w:rPr>
              <w:t>nálisis diagnóstico de las entidades más directamente involucradas en la gestión de la EGERH</w:t>
            </w:r>
          </w:p>
        </w:tc>
        <w:tc>
          <w:tcPr>
            <w:tcW w:w="3366" w:type="dxa"/>
            <w:tcBorders>
              <w:bottom w:val="nil"/>
            </w:tcBorders>
          </w:tcPr>
          <w:p w:rsidR="00F74FAD" w:rsidRPr="00C51FBB" w:rsidRDefault="00853764" w:rsidP="00DF5C0E">
            <w:pPr>
              <w:jc w:val="center"/>
              <w:rPr>
                <w:sz w:val="20"/>
                <w:szCs w:val="20"/>
                <w:lang w:val="es-ES"/>
              </w:rPr>
            </w:pPr>
            <w:r>
              <w:rPr>
                <w:sz w:val="20"/>
                <w:szCs w:val="20"/>
                <w:lang w:val="es-ES"/>
              </w:rPr>
              <w:t>0</w:t>
            </w:r>
          </w:p>
        </w:tc>
        <w:tc>
          <w:tcPr>
            <w:tcW w:w="3447" w:type="dxa"/>
            <w:tcBorders>
              <w:bottom w:val="nil"/>
            </w:tcBorders>
          </w:tcPr>
          <w:p w:rsidR="00F74FAD" w:rsidRPr="00C51FBB" w:rsidRDefault="00853764" w:rsidP="00DF5C0E">
            <w:pPr>
              <w:jc w:val="center"/>
              <w:rPr>
                <w:sz w:val="20"/>
                <w:szCs w:val="20"/>
                <w:lang w:val="es-ES"/>
              </w:rPr>
            </w:pPr>
            <w:r>
              <w:rPr>
                <w:sz w:val="20"/>
                <w:szCs w:val="20"/>
                <w:lang w:val="es-ES"/>
              </w:rPr>
              <w:t>1</w:t>
            </w:r>
          </w:p>
        </w:tc>
        <w:tc>
          <w:tcPr>
            <w:tcW w:w="3447" w:type="dxa"/>
            <w:tcBorders>
              <w:bottom w:val="nil"/>
            </w:tcBorders>
          </w:tcPr>
          <w:p w:rsidR="00F74FAD" w:rsidRPr="00C51FBB" w:rsidRDefault="00F74FAD" w:rsidP="00DF5C0E">
            <w:pPr>
              <w:jc w:val="center"/>
              <w:rPr>
                <w:sz w:val="20"/>
                <w:szCs w:val="20"/>
                <w:lang w:val="es-ES"/>
              </w:rPr>
            </w:pPr>
          </w:p>
        </w:tc>
      </w:tr>
      <w:tr w:rsidR="00853764" w:rsidRPr="00B34F30" w:rsidTr="001E7268">
        <w:tc>
          <w:tcPr>
            <w:tcW w:w="3528" w:type="dxa"/>
            <w:tcBorders>
              <w:top w:val="nil"/>
              <w:bottom w:val="single" w:sz="4" w:space="0" w:color="auto"/>
            </w:tcBorders>
          </w:tcPr>
          <w:p w:rsidR="00853764" w:rsidRDefault="00853764" w:rsidP="00853764">
            <w:pPr>
              <w:ind w:left="-34"/>
              <w:rPr>
                <w:sz w:val="20"/>
                <w:szCs w:val="20"/>
                <w:lang w:val="es-ES"/>
              </w:rPr>
            </w:pPr>
            <w:r>
              <w:rPr>
                <w:sz w:val="20"/>
                <w:szCs w:val="20"/>
                <w:lang w:val="es-ES_tradnl"/>
              </w:rPr>
              <w:t>A</w:t>
            </w:r>
            <w:r w:rsidRPr="00365897">
              <w:rPr>
                <w:sz w:val="20"/>
                <w:szCs w:val="20"/>
                <w:lang w:val="es-ES_tradnl"/>
              </w:rPr>
              <w:t>nálisis diagnóstico de las instancias de articulación de política pública del país relacionadas con la EGERH</w:t>
            </w:r>
            <w:r>
              <w:rPr>
                <w:sz w:val="20"/>
                <w:szCs w:val="20"/>
                <w:lang w:val="es-ES_tradnl"/>
              </w:rPr>
              <w:t>.</w:t>
            </w:r>
          </w:p>
        </w:tc>
        <w:tc>
          <w:tcPr>
            <w:tcW w:w="3366" w:type="dxa"/>
            <w:tcBorders>
              <w:top w:val="nil"/>
              <w:bottom w:val="single" w:sz="4" w:space="0" w:color="auto"/>
            </w:tcBorders>
          </w:tcPr>
          <w:p w:rsidR="00853764" w:rsidRPr="00C51FBB" w:rsidRDefault="00853764" w:rsidP="0078707F">
            <w:pPr>
              <w:jc w:val="center"/>
              <w:rPr>
                <w:sz w:val="20"/>
                <w:szCs w:val="20"/>
                <w:lang w:val="es-ES"/>
              </w:rPr>
            </w:pPr>
            <w:r>
              <w:rPr>
                <w:sz w:val="20"/>
                <w:szCs w:val="20"/>
                <w:lang w:val="es-ES"/>
              </w:rPr>
              <w:t>0</w:t>
            </w:r>
          </w:p>
        </w:tc>
        <w:tc>
          <w:tcPr>
            <w:tcW w:w="3447" w:type="dxa"/>
            <w:tcBorders>
              <w:top w:val="nil"/>
              <w:bottom w:val="single" w:sz="4" w:space="0" w:color="auto"/>
            </w:tcBorders>
          </w:tcPr>
          <w:p w:rsidR="00853764" w:rsidRPr="00C51FBB" w:rsidRDefault="00853764" w:rsidP="0078707F">
            <w:pPr>
              <w:jc w:val="center"/>
              <w:rPr>
                <w:sz w:val="20"/>
                <w:szCs w:val="20"/>
                <w:lang w:val="es-ES"/>
              </w:rPr>
            </w:pPr>
            <w:r>
              <w:rPr>
                <w:sz w:val="20"/>
                <w:szCs w:val="20"/>
                <w:lang w:val="es-ES"/>
              </w:rPr>
              <w:t>1</w:t>
            </w:r>
          </w:p>
        </w:tc>
        <w:tc>
          <w:tcPr>
            <w:tcW w:w="3447" w:type="dxa"/>
            <w:tcBorders>
              <w:top w:val="nil"/>
              <w:bottom w:val="single" w:sz="4" w:space="0" w:color="auto"/>
            </w:tcBorders>
          </w:tcPr>
          <w:p w:rsidR="00853764" w:rsidRDefault="00853764" w:rsidP="00853764">
            <w:pPr>
              <w:rPr>
                <w:sz w:val="20"/>
                <w:szCs w:val="20"/>
                <w:lang w:val="es-ES"/>
              </w:rPr>
            </w:pPr>
            <w:r>
              <w:rPr>
                <w:sz w:val="20"/>
                <w:szCs w:val="20"/>
                <w:lang w:val="es-ES"/>
              </w:rPr>
              <w:t>Documento de diagnóstico presentado al Comité Técnico</w:t>
            </w:r>
          </w:p>
        </w:tc>
      </w:tr>
      <w:tr w:rsidR="00853764" w:rsidRPr="00B34F30" w:rsidTr="001E7268">
        <w:tc>
          <w:tcPr>
            <w:tcW w:w="3528" w:type="dxa"/>
            <w:tcBorders>
              <w:top w:val="nil"/>
              <w:bottom w:val="single" w:sz="4" w:space="0" w:color="auto"/>
            </w:tcBorders>
          </w:tcPr>
          <w:p w:rsidR="00853764" w:rsidRPr="008A67DD" w:rsidRDefault="00853764" w:rsidP="00853764">
            <w:pPr>
              <w:ind w:left="-34"/>
              <w:rPr>
                <w:sz w:val="20"/>
                <w:szCs w:val="20"/>
                <w:lang w:val="es-ES_tradnl"/>
              </w:rPr>
            </w:pPr>
            <w:r>
              <w:rPr>
                <w:sz w:val="20"/>
                <w:szCs w:val="20"/>
                <w:lang w:val="es-ES_tradnl"/>
              </w:rPr>
              <w:t>Propuesta de e</w:t>
            </w:r>
            <w:r w:rsidRPr="00365897">
              <w:rPr>
                <w:sz w:val="20"/>
                <w:szCs w:val="20"/>
                <w:lang w:val="es-ES_tradnl"/>
              </w:rPr>
              <w:t>strategias institucionales para impulsar el desarrollo de la EGERH, los instrumentos de gestión, las reglas de toma de decisiones</w:t>
            </w:r>
            <w:r>
              <w:rPr>
                <w:sz w:val="20"/>
                <w:szCs w:val="20"/>
                <w:lang w:val="es-ES_tradnl"/>
              </w:rPr>
              <w:t>, que incluya al sector privado.</w:t>
            </w:r>
          </w:p>
        </w:tc>
        <w:tc>
          <w:tcPr>
            <w:tcW w:w="3366" w:type="dxa"/>
            <w:tcBorders>
              <w:top w:val="nil"/>
              <w:bottom w:val="single" w:sz="4" w:space="0" w:color="auto"/>
            </w:tcBorders>
          </w:tcPr>
          <w:p w:rsidR="00853764" w:rsidRPr="00C51FBB" w:rsidRDefault="00853764" w:rsidP="0078707F">
            <w:pPr>
              <w:jc w:val="center"/>
              <w:rPr>
                <w:sz w:val="20"/>
                <w:szCs w:val="20"/>
                <w:lang w:val="es-ES"/>
              </w:rPr>
            </w:pPr>
            <w:r>
              <w:rPr>
                <w:sz w:val="20"/>
                <w:szCs w:val="20"/>
                <w:lang w:val="es-ES"/>
              </w:rPr>
              <w:t>0</w:t>
            </w:r>
          </w:p>
        </w:tc>
        <w:tc>
          <w:tcPr>
            <w:tcW w:w="3447" w:type="dxa"/>
            <w:tcBorders>
              <w:top w:val="nil"/>
              <w:bottom w:val="single" w:sz="4" w:space="0" w:color="auto"/>
            </w:tcBorders>
          </w:tcPr>
          <w:p w:rsidR="00853764" w:rsidRPr="00C51FBB" w:rsidRDefault="00853764" w:rsidP="0078707F">
            <w:pPr>
              <w:jc w:val="center"/>
              <w:rPr>
                <w:sz w:val="20"/>
                <w:szCs w:val="20"/>
                <w:lang w:val="es-ES"/>
              </w:rPr>
            </w:pPr>
            <w:r>
              <w:rPr>
                <w:sz w:val="20"/>
                <w:szCs w:val="20"/>
                <w:lang w:val="es-ES"/>
              </w:rPr>
              <w:t>1</w:t>
            </w:r>
          </w:p>
        </w:tc>
        <w:tc>
          <w:tcPr>
            <w:tcW w:w="3447" w:type="dxa"/>
            <w:tcBorders>
              <w:top w:val="nil"/>
              <w:bottom w:val="single" w:sz="4" w:space="0" w:color="auto"/>
            </w:tcBorders>
          </w:tcPr>
          <w:p w:rsidR="00853764" w:rsidRDefault="00853764" w:rsidP="003053B2">
            <w:pPr>
              <w:rPr>
                <w:sz w:val="20"/>
                <w:szCs w:val="20"/>
                <w:lang w:val="es-ES"/>
              </w:rPr>
            </w:pPr>
            <w:r>
              <w:rPr>
                <w:sz w:val="20"/>
                <w:szCs w:val="20"/>
                <w:lang w:val="es-ES"/>
              </w:rPr>
              <w:t>Documento de propuesta presentado al Comité Técnico</w:t>
            </w:r>
          </w:p>
        </w:tc>
      </w:tr>
      <w:tr w:rsidR="00853764" w:rsidRPr="00B34F30" w:rsidTr="001E7268">
        <w:tc>
          <w:tcPr>
            <w:tcW w:w="3528" w:type="dxa"/>
            <w:tcBorders>
              <w:top w:val="nil"/>
              <w:bottom w:val="single" w:sz="4" w:space="0" w:color="auto"/>
            </w:tcBorders>
          </w:tcPr>
          <w:p w:rsidR="00853764" w:rsidRPr="008A67DD" w:rsidRDefault="00853764" w:rsidP="00C21F2F">
            <w:pPr>
              <w:ind w:left="-34"/>
              <w:rPr>
                <w:sz w:val="20"/>
                <w:szCs w:val="20"/>
                <w:lang w:val="es-ES_tradnl"/>
              </w:rPr>
            </w:pPr>
            <w:r>
              <w:rPr>
                <w:sz w:val="20"/>
                <w:szCs w:val="20"/>
                <w:lang w:val="es-ES_tradnl"/>
              </w:rPr>
              <w:t>Propuesta sobre c</w:t>
            </w:r>
            <w:r w:rsidR="00C21F2F">
              <w:rPr>
                <w:sz w:val="20"/>
                <w:szCs w:val="20"/>
                <w:lang w:val="es-ES_tradnl"/>
              </w:rPr>
              <w:t>ó</w:t>
            </w:r>
            <w:r>
              <w:rPr>
                <w:sz w:val="20"/>
                <w:szCs w:val="20"/>
                <w:lang w:val="es-ES_tradnl"/>
              </w:rPr>
              <w:t xml:space="preserve">mo </w:t>
            </w:r>
            <w:r w:rsidRPr="00365897">
              <w:rPr>
                <w:sz w:val="20"/>
                <w:szCs w:val="20"/>
                <w:lang w:val="es-ES_tradnl"/>
              </w:rPr>
              <w:t>deberá participar el sector privado en la implementación de la EGERH</w:t>
            </w:r>
            <w:r>
              <w:rPr>
                <w:sz w:val="20"/>
                <w:szCs w:val="20"/>
                <w:lang w:val="es-ES_tradnl"/>
              </w:rPr>
              <w:t>.</w:t>
            </w:r>
          </w:p>
        </w:tc>
        <w:tc>
          <w:tcPr>
            <w:tcW w:w="3366" w:type="dxa"/>
            <w:tcBorders>
              <w:top w:val="nil"/>
              <w:bottom w:val="single" w:sz="4" w:space="0" w:color="auto"/>
            </w:tcBorders>
          </w:tcPr>
          <w:p w:rsidR="00853764" w:rsidRPr="00C51FBB" w:rsidRDefault="00853764" w:rsidP="0078707F">
            <w:pPr>
              <w:jc w:val="center"/>
              <w:rPr>
                <w:sz w:val="20"/>
                <w:szCs w:val="20"/>
                <w:lang w:val="es-ES"/>
              </w:rPr>
            </w:pPr>
            <w:r>
              <w:rPr>
                <w:sz w:val="20"/>
                <w:szCs w:val="20"/>
                <w:lang w:val="es-ES"/>
              </w:rPr>
              <w:t>0</w:t>
            </w:r>
          </w:p>
        </w:tc>
        <w:tc>
          <w:tcPr>
            <w:tcW w:w="3447" w:type="dxa"/>
            <w:tcBorders>
              <w:top w:val="nil"/>
              <w:bottom w:val="single" w:sz="4" w:space="0" w:color="auto"/>
            </w:tcBorders>
          </w:tcPr>
          <w:p w:rsidR="00853764" w:rsidRPr="00C51FBB" w:rsidRDefault="00853764" w:rsidP="0078707F">
            <w:pPr>
              <w:jc w:val="center"/>
              <w:rPr>
                <w:sz w:val="20"/>
                <w:szCs w:val="20"/>
                <w:lang w:val="es-ES"/>
              </w:rPr>
            </w:pPr>
            <w:r>
              <w:rPr>
                <w:sz w:val="20"/>
                <w:szCs w:val="20"/>
                <w:lang w:val="es-ES"/>
              </w:rPr>
              <w:t>1</w:t>
            </w:r>
          </w:p>
        </w:tc>
        <w:tc>
          <w:tcPr>
            <w:tcW w:w="3447" w:type="dxa"/>
            <w:tcBorders>
              <w:top w:val="nil"/>
              <w:bottom w:val="single" w:sz="4" w:space="0" w:color="auto"/>
            </w:tcBorders>
          </w:tcPr>
          <w:p w:rsidR="00853764" w:rsidRDefault="00853764" w:rsidP="003053B2">
            <w:pPr>
              <w:rPr>
                <w:sz w:val="20"/>
                <w:szCs w:val="20"/>
                <w:lang w:val="es-ES"/>
              </w:rPr>
            </w:pPr>
            <w:r>
              <w:rPr>
                <w:sz w:val="20"/>
                <w:szCs w:val="20"/>
                <w:lang w:val="es-ES"/>
              </w:rPr>
              <w:t>Documento de propuesta presentado al Comité Técnico</w:t>
            </w:r>
          </w:p>
        </w:tc>
      </w:tr>
      <w:tr w:rsidR="00B62780" w:rsidRPr="00B44F76" w:rsidTr="001E7268">
        <w:tc>
          <w:tcPr>
            <w:tcW w:w="3528" w:type="dxa"/>
            <w:tcBorders>
              <w:top w:val="nil"/>
              <w:bottom w:val="single" w:sz="4" w:space="0" w:color="auto"/>
            </w:tcBorders>
          </w:tcPr>
          <w:p w:rsidR="00B62780" w:rsidRPr="00C51FBB" w:rsidRDefault="00B62780" w:rsidP="003053B2">
            <w:pPr>
              <w:ind w:left="-34"/>
              <w:rPr>
                <w:sz w:val="20"/>
                <w:szCs w:val="20"/>
                <w:lang w:val="es-ES"/>
              </w:rPr>
            </w:pPr>
            <w:r>
              <w:rPr>
                <w:sz w:val="20"/>
                <w:szCs w:val="20"/>
                <w:lang w:val="es-ES"/>
              </w:rPr>
              <w:t xml:space="preserve">Reglamento </w:t>
            </w:r>
            <w:r w:rsidR="00040F32">
              <w:rPr>
                <w:sz w:val="20"/>
                <w:szCs w:val="20"/>
                <w:lang w:val="es-ES"/>
              </w:rPr>
              <w:t xml:space="preserve">operativo </w:t>
            </w:r>
            <w:r>
              <w:rPr>
                <w:sz w:val="20"/>
                <w:szCs w:val="20"/>
                <w:lang w:val="es-ES"/>
              </w:rPr>
              <w:t>de la CIGERH</w:t>
            </w:r>
            <w:r w:rsidR="00040F32">
              <w:rPr>
                <w:sz w:val="20"/>
                <w:szCs w:val="20"/>
                <w:lang w:val="es-ES"/>
              </w:rPr>
              <w:t>,</w:t>
            </w:r>
            <w:r w:rsidR="00040F32">
              <w:rPr>
                <w:sz w:val="20"/>
                <w:szCs w:val="20"/>
                <w:lang w:val="es-ES_tradnl"/>
              </w:rPr>
              <w:t xml:space="preserve"> que refleja </w:t>
            </w:r>
            <w:r w:rsidR="00040F32" w:rsidRPr="00A94B99">
              <w:rPr>
                <w:sz w:val="20"/>
                <w:szCs w:val="20"/>
                <w:lang w:val="es-ES_tradnl"/>
              </w:rPr>
              <w:t>el modelo de gestión del proceso de implementación de la EGERH</w:t>
            </w:r>
            <w:r w:rsidR="00040F32">
              <w:rPr>
                <w:sz w:val="20"/>
                <w:szCs w:val="20"/>
                <w:lang w:val="es-ES_tradnl"/>
              </w:rPr>
              <w:t xml:space="preserve">, y define los alcances y responsabilidades del Comité Técnico, de su Gerencia, de las Subcomisiones Técnicas; y la forma en que se </w:t>
            </w:r>
            <w:r w:rsidR="00040F32" w:rsidRPr="00E748BE">
              <w:rPr>
                <w:sz w:val="20"/>
                <w:szCs w:val="20"/>
                <w:lang w:val="es-ES_tradnl"/>
              </w:rPr>
              <w:t>involucra</w:t>
            </w:r>
            <w:r w:rsidR="00040F32">
              <w:rPr>
                <w:sz w:val="20"/>
                <w:szCs w:val="20"/>
                <w:lang w:val="es-ES_tradnl"/>
              </w:rPr>
              <w:t xml:space="preserve"> al</w:t>
            </w:r>
            <w:r w:rsidR="00040F32" w:rsidRPr="00E748BE">
              <w:rPr>
                <w:sz w:val="20"/>
                <w:szCs w:val="20"/>
                <w:lang w:val="es-ES_tradnl"/>
              </w:rPr>
              <w:t xml:space="preserve"> sector productivo en el Comité Técnico</w:t>
            </w:r>
            <w:r>
              <w:rPr>
                <w:sz w:val="20"/>
                <w:szCs w:val="20"/>
                <w:lang w:val="es-ES"/>
              </w:rPr>
              <w:t>.</w:t>
            </w:r>
          </w:p>
        </w:tc>
        <w:tc>
          <w:tcPr>
            <w:tcW w:w="3366" w:type="dxa"/>
            <w:tcBorders>
              <w:top w:val="nil"/>
              <w:bottom w:val="single" w:sz="4" w:space="0" w:color="auto"/>
            </w:tcBorders>
          </w:tcPr>
          <w:p w:rsidR="00B62780" w:rsidRPr="00C51FBB" w:rsidRDefault="00B62780" w:rsidP="0078707F">
            <w:pPr>
              <w:jc w:val="center"/>
              <w:rPr>
                <w:sz w:val="20"/>
                <w:szCs w:val="20"/>
                <w:lang w:val="es-ES"/>
              </w:rPr>
            </w:pPr>
            <w:r w:rsidRPr="00C51FBB">
              <w:rPr>
                <w:sz w:val="20"/>
                <w:szCs w:val="20"/>
                <w:lang w:val="es-ES"/>
              </w:rPr>
              <w:t>0</w:t>
            </w:r>
          </w:p>
        </w:tc>
        <w:tc>
          <w:tcPr>
            <w:tcW w:w="3447" w:type="dxa"/>
            <w:tcBorders>
              <w:top w:val="nil"/>
              <w:bottom w:val="single" w:sz="4" w:space="0" w:color="auto"/>
            </w:tcBorders>
          </w:tcPr>
          <w:p w:rsidR="00B62780" w:rsidRPr="00C51FBB" w:rsidRDefault="00B62780" w:rsidP="0078707F">
            <w:pPr>
              <w:jc w:val="center"/>
              <w:rPr>
                <w:sz w:val="20"/>
                <w:szCs w:val="20"/>
                <w:lang w:val="es-ES"/>
              </w:rPr>
            </w:pPr>
            <w:r w:rsidRPr="00C51FBB">
              <w:rPr>
                <w:sz w:val="20"/>
                <w:szCs w:val="20"/>
                <w:lang w:val="es-ES"/>
              </w:rPr>
              <w:t>1</w:t>
            </w:r>
          </w:p>
        </w:tc>
        <w:tc>
          <w:tcPr>
            <w:tcW w:w="3447" w:type="dxa"/>
            <w:tcBorders>
              <w:top w:val="nil"/>
              <w:bottom w:val="single" w:sz="4" w:space="0" w:color="auto"/>
            </w:tcBorders>
          </w:tcPr>
          <w:p w:rsidR="00F74FAD" w:rsidRPr="00ED350A" w:rsidRDefault="00B62780" w:rsidP="003053B2">
            <w:pPr>
              <w:rPr>
                <w:sz w:val="20"/>
                <w:szCs w:val="20"/>
                <w:lang w:val="es-ES"/>
              </w:rPr>
            </w:pPr>
            <w:r>
              <w:rPr>
                <w:sz w:val="20"/>
                <w:szCs w:val="20"/>
                <w:lang w:val="es-ES"/>
              </w:rPr>
              <w:t>Reglamento Operativo de la CIGERH</w:t>
            </w:r>
            <w:r w:rsidR="003053B2">
              <w:rPr>
                <w:sz w:val="20"/>
                <w:szCs w:val="20"/>
                <w:lang w:val="es-ES"/>
              </w:rPr>
              <w:t>.</w:t>
            </w:r>
          </w:p>
        </w:tc>
      </w:tr>
      <w:tr w:rsidR="00B62780" w:rsidRPr="00B44F76" w:rsidTr="00021C14">
        <w:tc>
          <w:tcPr>
            <w:tcW w:w="13788" w:type="dxa"/>
            <w:gridSpan w:val="4"/>
            <w:tcBorders>
              <w:bottom w:val="single" w:sz="4" w:space="0" w:color="auto"/>
            </w:tcBorders>
            <w:shd w:val="clear" w:color="auto" w:fill="D9D9D9"/>
            <w:vAlign w:val="center"/>
          </w:tcPr>
          <w:p w:rsidR="00B62780" w:rsidRPr="00C51FBB" w:rsidRDefault="00AB74BE" w:rsidP="00021C14">
            <w:pPr>
              <w:numPr>
                <w:ilvl w:val="0"/>
                <w:numId w:val="21"/>
              </w:numPr>
              <w:spacing w:before="60" w:after="60"/>
              <w:ind w:left="360"/>
              <w:rPr>
                <w:sz w:val="20"/>
                <w:szCs w:val="20"/>
                <w:lang w:val="es-ES"/>
              </w:rPr>
            </w:pPr>
            <w:r w:rsidRPr="00401914">
              <w:rPr>
                <w:b/>
                <w:bCs/>
                <w:sz w:val="20"/>
                <w:szCs w:val="20"/>
                <w:lang w:val="es-ES"/>
              </w:rPr>
              <w:t>Desarrollo del Sistema Nacional de Cualificaci</w:t>
            </w:r>
            <w:r>
              <w:rPr>
                <w:b/>
                <w:bCs/>
                <w:sz w:val="20"/>
                <w:szCs w:val="20"/>
                <w:lang w:val="es-ES"/>
              </w:rPr>
              <w:t>o</w:t>
            </w:r>
            <w:r w:rsidRPr="00401914">
              <w:rPr>
                <w:b/>
                <w:bCs/>
                <w:sz w:val="20"/>
                <w:szCs w:val="20"/>
                <w:lang w:val="es-ES"/>
              </w:rPr>
              <w:t>n</w:t>
            </w:r>
            <w:r>
              <w:rPr>
                <w:b/>
                <w:bCs/>
                <w:sz w:val="20"/>
                <w:szCs w:val="20"/>
                <w:lang w:val="es-ES"/>
              </w:rPr>
              <w:t>es</w:t>
            </w:r>
            <w:r w:rsidRPr="00401914">
              <w:rPr>
                <w:b/>
                <w:bCs/>
                <w:sz w:val="20"/>
                <w:szCs w:val="20"/>
                <w:lang w:val="es-ES"/>
              </w:rPr>
              <w:t xml:space="preserve"> con el sector productivo</w:t>
            </w:r>
          </w:p>
        </w:tc>
      </w:tr>
      <w:tr w:rsidR="00B62780" w:rsidRPr="00C51FBB" w:rsidTr="001E7268">
        <w:tc>
          <w:tcPr>
            <w:tcW w:w="3528" w:type="dxa"/>
            <w:tcBorders>
              <w:bottom w:val="nil"/>
            </w:tcBorders>
          </w:tcPr>
          <w:p w:rsidR="00B62780" w:rsidRPr="00C51FBB" w:rsidRDefault="00B62780" w:rsidP="002A5507">
            <w:pPr>
              <w:rPr>
                <w:b/>
                <w:sz w:val="20"/>
                <w:szCs w:val="20"/>
                <w:lang w:val="es-ES"/>
              </w:rPr>
            </w:pPr>
            <w:r w:rsidRPr="00C51FBB">
              <w:rPr>
                <w:b/>
                <w:sz w:val="20"/>
                <w:szCs w:val="20"/>
                <w:u w:val="single"/>
                <w:lang w:val="es-ES"/>
              </w:rPr>
              <w:t>Productos</w:t>
            </w:r>
            <w:r w:rsidRPr="00C51FBB">
              <w:rPr>
                <w:b/>
                <w:sz w:val="20"/>
                <w:szCs w:val="20"/>
                <w:lang w:val="es-ES"/>
              </w:rPr>
              <w:t>:</w:t>
            </w:r>
          </w:p>
        </w:tc>
        <w:tc>
          <w:tcPr>
            <w:tcW w:w="3366" w:type="dxa"/>
            <w:tcBorders>
              <w:bottom w:val="nil"/>
            </w:tcBorders>
          </w:tcPr>
          <w:p w:rsidR="00B62780" w:rsidRPr="00C51FBB" w:rsidRDefault="00B62780" w:rsidP="00DF5C0E">
            <w:pPr>
              <w:jc w:val="center"/>
              <w:rPr>
                <w:sz w:val="20"/>
                <w:szCs w:val="20"/>
                <w:lang w:val="es-ES"/>
              </w:rPr>
            </w:pPr>
          </w:p>
        </w:tc>
        <w:tc>
          <w:tcPr>
            <w:tcW w:w="3447" w:type="dxa"/>
            <w:tcBorders>
              <w:bottom w:val="nil"/>
            </w:tcBorders>
          </w:tcPr>
          <w:p w:rsidR="00B62780" w:rsidRPr="00C51FBB" w:rsidRDefault="00B62780" w:rsidP="00DF5C0E">
            <w:pPr>
              <w:jc w:val="center"/>
              <w:rPr>
                <w:sz w:val="20"/>
                <w:szCs w:val="20"/>
                <w:lang w:val="es-ES"/>
              </w:rPr>
            </w:pPr>
          </w:p>
        </w:tc>
        <w:tc>
          <w:tcPr>
            <w:tcW w:w="3447" w:type="dxa"/>
            <w:tcBorders>
              <w:bottom w:val="nil"/>
            </w:tcBorders>
          </w:tcPr>
          <w:p w:rsidR="00B62780" w:rsidRPr="00C51FBB" w:rsidRDefault="00B62780" w:rsidP="003053B2">
            <w:pPr>
              <w:rPr>
                <w:sz w:val="20"/>
                <w:szCs w:val="20"/>
                <w:lang w:val="es-ES"/>
              </w:rPr>
            </w:pPr>
          </w:p>
        </w:tc>
      </w:tr>
      <w:tr w:rsidR="00B62780" w:rsidRPr="00B44F76" w:rsidTr="001E7268">
        <w:tc>
          <w:tcPr>
            <w:tcW w:w="3528" w:type="dxa"/>
            <w:tcBorders>
              <w:top w:val="nil"/>
              <w:bottom w:val="single" w:sz="4" w:space="0" w:color="auto"/>
            </w:tcBorders>
          </w:tcPr>
          <w:p w:rsidR="00B62780" w:rsidRPr="00C51FBB" w:rsidRDefault="00003335" w:rsidP="00003335">
            <w:pPr>
              <w:rPr>
                <w:sz w:val="20"/>
                <w:szCs w:val="20"/>
                <w:lang w:val="es-ES"/>
              </w:rPr>
            </w:pPr>
            <w:r w:rsidRPr="00365897">
              <w:rPr>
                <w:sz w:val="20"/>
                <w:szCs w:val="20"/>
                <w:lang w:val="es-ES_tradnl"/>
              </w:rPr>
              <w:t xml:space="preserve">Reglas Generales de Operación y estructura básica de funcionamiento de los procesos de normalización, evaluación y certificación de competencias </w:t>
            </w:r>
            <w:r w:rsidRPr="00F13C95">
              <w:rPr>
                <w:sz w:val="20"/>
                <w:szCs w:val="20"/>
                <w:lang w:val="es-ES_tradnl"/>
              </w:rPr>
              <w:t>laborales</w:t>
            </w:r>
            <w:r>
              <w:rPr>
                <w:sz w:val="20"/>
                <w:szCs w:val="20"/>
                <w:lang w:val="es-ES_tradnl"/>
              </w:rPr>
              <w:t xml:space="preserve"> </w:t>
            </w:r>
            <w:r w:rsidRPr="00365897">
              <w:rPr>
                <w:sz w:val="20"/>
                <w:szCs w:val="20"/>
                <w:lang w:val="es-ES_tradnl"/>
              </w:rPr>
              <w:t>del Sistema Nacional de Cualificaciones.</w:t>
            </w:r>
            <w:r w:rsidR="00787CD6">
              <w:rPr>
                <w:sz w:val="20"/>
                <w:szCs w:val="20"/>
                <w:lang w:val="es-ES"/>
              </w:rPr>
              <w:t xml:space="preserve"> </w:t>
            </w:r>
          </w:p>
        </w:tc>
        <w:tc>
          <w:tcPr>
            <w:tcW w:w="3366" w:type="dxa"/>
            <w:tcBorders>
              <w:top w:val="nil"/>
              <w:bottom w:val="single" w:sz="4" w:space="0" w:color="auto"/>
            </w:tcBorders>
          </w:tcPr>
          <w:p w:rsidR="00B62780" w:rsidRPr="00C51FBB" w:rsidRDefault="00B62780" w:rsidP="00DF5C0E">
            <w:pPr>
              <w:jc w:val="center"/>
              <w:rPr>
                <w:sz w:val="20"/>
                <w:szCs w:val="20"/>
                <w:lang w:val="es-ES"/>
              </w:rPr>
            </w:pPr>
            <w:r w:rsidRPr="00C51FBB">
              <w:rPr>
                <w:sz w:val="20"/>
                <w:szCs w:val="20"/>
                <w:lang w:val="es-ES"/>
              </w:rPr>
              <w:t>0</w:t>
            </w:r>
          </w:p>
          <w:p w:rsidR="00B62780" w:rsidRPr="00C51FBB" w:rsidRDefault="00B62780" w:rsidP="00DF5C0E">
            <w:pPr>
              <w:jc w:val="center"/>
              <w:rPr>
                <w:sz w:val="20"/>
                <w:szCs w:val="20"/>
                <w:lang w:val="es-ES"/>
              </w:rPr>
            </w:pPr>
          </w:p>
        </w:tc>
        <w:tc>
          <w:tcPr>
            <w:tcW w:w="3447" w:type="dxa"/>
            <w:tcBorders>
              <w:top w:val="nil"/>
              <w:bottom w:val="single" w:sz="4" w:space="0" w:color="auto"/>
            </w:tcBorders>
          </w:tcPr>
          <w:p w:rsidR="00B62780" w:rsidRPr="00C51FBB" w:rsidRDefault="00B62780" w:rsidP="00DF5C0E">
            <w:pPr>
              <w:jc w:val="center"/>
              <w:rPr>
                <w:sz w:val="20"/>
                <w:szCs w:val="20"/>
                <w:lang w:val="es-ES"/>
              </w:rPr>
            </w:pPr>
            <w:r w:rsidRPr="00C51FBB">
              <w:rPr>
                <w:sz w:val="20"/>
                <w:szCs w:val="20"/>
                <w:lang w:val="es-ES"/>
              </w:rPr>
              <w:t>1</w:t>
            </w:r>
          </w:p>
          <w:p w:rsidR="00B62780" w:rsidRPr="00C51FBB" w:rsidRDefault="00B62780" w:rsidP="00DF5C0E">
            <w:pPr>
              <w:jc w:val="center"/>
              <w:rPr>
                <w:sz w:val="20"/>
                <w:szCs w:val="20"/>
                <w:lang w:val="es-ES"/>
              </w:rPr>
            </w:pPr>
          </w:p>
        </w:tc>
        <w:tc>
          <w:tcPr>
            <w:tcW w:w="3447" w:type="dxa"/>
            <w:tcBorders>
              <w:top w:val="nil"/>
              <w:bottom w:val="single" w:sz="4" w:space="0" w:color="auto"/>
            </w:tcBorders>
          </w:tcPr>
          <w:p w:rsidR="00B62780" w:rsidRPr="00787CD6" w:rsidRDefault="00787CD6" w:rsidP="00C21F2F">
            <w:pPr>
              <w:rPr>
                <w:sz w:val="20"/>
                <w:szCs w:val="20"/>
                <w:lang w:val="es-ES"/>
              </w:rPr>
            </w:pPr>
            <w:r w:rsidRPr="00787CD6">
              <w:rPr>
                <w:sz w:val="20"/>
                <w:szCs w:val="20"/>
                <w:lang w:val="es-ES"/>
              </w:rPr>
              <w:t xml:space="preserve">Documento de </w:t>
            </w:r>
            <w:r w:rsidR="00003335">
              <w:rPr>
                <w:sz w:val="20"/>
                <w:szCs w:val="20"/>
                <w:lang w:val="es-ES"/>
              </w:rPr>
              <w:t>las Reglas Generales de estructura básica de funcionamiento de los principales procesos del SNC</w:t>
            </w:r>
            <w:r w:rsidR="00C21F2F">
              <w:rPr>
                <w:sz w:val="20"/>
                <w:szCs w:val="20"/>
                <w:lang w:val="es-ES"/>
              </w:rPr>
              <w:t>.</w:t>
            </w:r>
          </w:p>
        </w:tc>
      </w:tr>
      <w:tr w:rsidR="00B62780" w:rsidRPr="00B44F76" w:rsidTr="001E7268">
        <w:tc>
          <w:tcPr>
            <w:tcW w:w="3528" w:type="dxa"/>
            <w:tcBorders>
              <w:top w:val="single" w:sz="4" w:space="0" w:color="auto"/>
              <w:bottom w:val="single" w:sz="4" w:space="0" w:color="auto"/>
            </w:tcBorders>
          </w:tcPr>
          <w:p w:rsidR="00B62780" w:rsidRPr="00C51FBB" w:rsidRDefault="00787CD6" w:rsidP="002A5507">
            <w:pPr>
              <w:rPr>
                <w:sz w:val="20"/>
                <w:szCs w:val="20"/>
                <w:lang w:val="es-ES"/>
              </w:rPr>
            </w:pPr>
            <w:r>
              <w:rPr>
                <w:sz w:val="20"/>
                <w:szCs w:val="20"/>
                <w:lang w:val="es-ES"/>
              </w:rPr>
              <w:t>Diseño conceptual del MNC.</w:t>
            </w:r>
          </w:p>
        </w:tc>
        <w:tc>
          <w:tcPr>
            <w:tcW w:w="3366" w:type="dxa"/>
            <w:tcBorders>
              <w:top w:val="single" w:sz="4" w:space="0" w:color="auto"/>
              <w:bottom w:val="single" w:sz="4" w:space="0" w:color="auto"/>
            </w:tcBorders>
          </w:tcPr>
          <w:p w:rsidR="00B62780" w:rsidRPr="00C51FBB" w:rsidRDefault="00B62780" w:rsidP="00DF5C0E">
            <w:pPr>
              <w:jc w:val="center"/>
              <w:rPr>
                <w:sz w:val="20"/>
                <w:szCs w:val="20"/>
                <w:lang w:val="es-ES"/>
              </w:rPr>
            </w:pPr>
            <w:r w:rsidRPr="00C51FBB">
              <w:rPr>
                <w:sz w:val="20"/>
                <w:szCs w:val="20"/>
                <w:lang w:val="es-ES"/>
              </w:rPr>
              <w:t>0</w:t>
            </w:r>
          </w:p>
        </w:tc>
        <w:tc>
          <w:tcPr>
            <w:tcW w:w="3447" w:type="dxa"/>
            <w:tcBorders>
              <w:top w:val="single" w:sz="4" w:space="0" w:color="auto"/>
              <w:bottom w:val="single" w:sz="4" w:space="0" w:color="auto"/>
            </w:tcBorders>
          </w:tcPr>
          <w:p w:rsidR="00B62780" w:rsidRPr="00C51FBB" w:rsidRDefault="00787CD6" w:rsidP="00DF5C0E">
            <w:pPr>
              <w:jc w:val="center"/>
              <w:rPr>
                <w:sz w:val="20"/>
                <w:szCs w:val="20"/>
                <w:lang w:val="es-ES"/>
              </w:rPr>
            </w:pPr>
            <w:r>
              <w:rPr>
                <w:sz w:val="20"/>
                <w:szCs w:val="20"/>
                <w:lang w:val="es-ES"/>
              </w:rPr>
              <w:t>1</w:t>
            </w:r>
          </w:p>
        </w:tc>
        <w:tc>
          <w:tcPr>
            <w:tcW w:w="3447" w:type="dxa"/>
            <w:tcBorders>
              <w:top w:val="single" w:sz="4" w:space="0" w:color="auto"/>
              <w:bottom w:val="single" w:sz="4" w:space="0" w:color="auto"/>
            </w:tcBorders>
          </w:tcPr>
          <w:p w:rsidR="00B62780" w:rsidRPr="00C51FBB" w:rsidRDefault="00787CD6" w:rsidP="003053B2">
            <w:pPr>
              <w:rPr>
                <w:sz w:val="20"/>
                <w:szCs w:val="20"/>
                <w:lang w:val="es-ES"/>
              </w:rPr>
            </w:pPr>
            <w:r>
              <w:rPr>
                <w:sz w:val="20"/>
                <w:szCs w:val="20"/>
                <w:lang w:val="es-ES"/>
              </w:rPr>
              <w:t>Documento de Diseño del MNC.</w:t>
            </w:r>
            <w:r w:rsidR="00F74FAD">
              <w:rPr>
                <w:sz w:val="20"/>
                <w:szCs w:val="20"/>
                <w:lang w:val="es-ES"/>
              </w:rPr>
              <w:t xml:space="preserve"> </w:t>
            </w:r>
          </w:p>
        </w:tc>
      </w:tr>
      <w:tr w:rsidR="00B62780" w:rsidRPr="00B44F76" w:rsidTr="001E7268">
        <w:tc>
          <w:tcPr>
            <w:tcW w:w="3528" w:type="dxa"/>
            <w:tcBorders>
              <w:top w:val="single" w:sz="4" w:space="0" w:color="auto"/>
              <w:bottom w:val="single" w:sz="4" w:space="0" w:color="auto"/>
            </w:tcBorders>
          </w:tcPr>
          <w:p w:rsidR="00B62780" w:rsidRPr="00C51FBB" w:rsidRDefault="00787CD6" w:rsidP="00497E88">
            <w:pPr>
              <w:rPr>
                <w:sz w:val="20"/>
                <w:szCs w:val="20"/>
                <w:lang w:val="es-ES"/>
              </w:rPr>
            </w:pPr>
            <w:r>
              <w:rPr>
                <w:sz w:val="20"/>
                <w:szCs w:val="20"/>
                <w:lang w:val="es-ES"/>
              </w:rPr>
              <w:lastRenderedPageBreak/>
              <w:t>Diseño conceptual del Sistema de Información de Capital Humano.</w:t>
            </w:r>
          </w:p>
        </w:tc>
        <w:tc>
          <w:tcPr>
            <w:tcW w:w="3366" w:type="dxa"/>
            <w:tcBorders>
              <w:top w:val="single" w:sz="4" w:space="0" w:color="auto"/>
              <w:bottom w:val="single" w:sz="4" w:space="0" w:color="auto"/>
            </w:tcBorders>
          </w:tcPr>
          <w:p w:rsidR="00B62780" w:rsidRPr="00C51FBB" w:rsidRDefault="00B62780" w:rsidP="00DA02DF">
            <w:pPr>
              <w:jc w:val="center"/>
              <w:rPr>
                <w:sz w:val="20"/>
                <w:szCs w:val="20"/>
                <w:lang w:val="es-ES"/>
              </w:rPr>
            </w:pPr>
            <w:r w:rsidRPr="00C51FBB">
              <w:rPr>
                <w:sz w:val="20"/>
                <w:szCs w:val="20"/>
                <w:lang w:val="es-ES"/>
              </w:rPr>
              <w:t>0</w:t>
            </w:r>
          </w:p>
          <w:p w:rsidR="00B62780" w:rsidRPr="00C51FBB" w:rsidRDefault="00B62780" w:rsidP="00DA02DF">
            <w:pPr>
              <w:jc w:val="center"/>
              <w:rPr>
                <w:sz w:val="20"/>
                <w:szCs w:val="20"/>
                <w:lang w:val="es-ES"/>
              </w:rPr>
            </w:pPr>
          </w:p>
        </w:tc>
        <w:tc>
          <w:tcPr>
            <w:tcW w:w="3447" w:type="dxa"/>
            <w:tcBorders>
              <w:top w:val="single" w:sz="4" w:space="0" w:color="auto"/>
              <w:bottom w:val="single" w:sz="4" w:space="0" w:color="auto"/>
            </w:tcBorders>
          </w:tcPr>
          <w:p w:rsidR="00B62780" w:rsidRPr="00C51FBB" w:rsidRDefault="00B62780" w:rsidP="00DA02DF">
            <w:pPr>
              <w:jc w:val="center"/>
              <w:rPr>
                <w:sz w:val="20"/>
                <w:szCs w:val="20"/>
                <w:lang w:val="es-ES"/>
              </w:rPr>
            </w:pPr>
            <w:r w:rsidRPr="00C51FBB">
              <w:rPr>
                <w:sz w:val="20"/>
                <w:szCs w:val="20"/>
                <w:lang w:val="es-ES"/>
              </w:rPr>
              <w:t>1</w:t>
            </w:r>
          </w:p>
          <w:p w:rsidR="00B62780" w:rsidRPr="00C51FBB" w:rsidRDefault="00B62780" w:rsidP="00DA02DF">
            <w:pPr>
              <w:jc w:val="center"/>
              <w:rPr>
                <w:sz w:val="20"/>
                <w:szCs w:val="20"/>
                <w:lang w:val="es-ES"/>
              </w:rPr>
            </w:pPr>
          </w:p>
        </w:tc>
        <w:tc>
          <w:tcPr>
            <w:tcW w:w="3447" w:type="dxa"/>
            <w:tcBorders>
              <w:top w:val="single" w:sz="4" w:space="0" w:color="auto"/>
              <w:bottom w:val="single" w:sz="4" w:space="0" w:color="auto"/>
            </w:tcBorders>
          </w:tcPr>
          <w:p w:rsidR="003053B2" w:rsidRPr="00787CD6" w:rsidRDefault="00787CD6" w:rsidP="003053B2">
            <w:pPr>
              <w:rPr>
                <w:sz w:val="20"/>
                <w:szCs w:val="20"/>
                <w:lang w:val="es-ES"/>
              </w:rPr>
            </w:pPr>
            <w:r>
              <w:rPr>
                <w:sz w:val="20"/>
                <w:szCs w:val="20"/>
                <w:lang w:val="es-ES"/>
              </w:rPr>
              <w:t>Documento de diseño del sistema de información</w:t>
            </w:r>
            <w:r w:rsidR="003053B2">
              <w:rPr>
                <w:sz w:val="20"/>
                <w:szCs w:val="20"/>
                <w:lang w:val="es-ES"/>
              </w:rPr>
              <w:t>.</w:t>
            </w:r>
          </w:p>
        </w:tc>
      </w:tr>
      <w:tr w:rsidR="00B62780" w:rsidRPr="00B44F76" w:rsidTr="001E7268">
        <w:tc>
          <w:tcPr>
            <w:tcW w:w="3528" w:type="dxa"/>
            <w:tcBorders>
              <w:top w:val="single" w:sz="4" w:space="0" w:color="auto"/>
              <w:bottom w:val="single" w:sz="4" w:space="0" w:color="auto"/>
            </w:tcBorders>
          </w:tcPr>
          <w:p w:rsidR="00B62780" w:rsidRPr="00C51FBB" w:rsidRDefault="00787CD6" w:rsidP="00040F32">
            <w:pPr>
              <w:rPr>
                <w:sz w:val="20"/>
                <w:szCs w:val="20"/>
                <w:lang w:val="es-ES"/>
              </w:rPr>
            </w:pPr>
            <w:r>
              <w:rPr>
                <w:sz w:val="20"/>
                <w:szCs w:val="20"/>
                <w:lang w:val="es-ES"/>
              </w:rPr>
              <w:t xml:space="preserve">Levantamientos de la encuesta a empresas </w:t>
            </w:r>
            <w:r w:rsidR="00040F32">
              <w:rPr>
                <w:sz w:val="20"/>
                <w:szCs w:val="20"/>
                <w:lang w:val="es-ES"/>
              </w:rPr>
              <w:t xml:space="preserve">sobre productividad y formación del recurso humano, </w:t>
            </w:r>
            <w:r>
              <w:rPr>
                <w:sz w:val="20"/>
                <w:szCs w:val="20"/>
                <w:lang w:val="es-ES"/>
              </w:rPr>
              <w:t xml:space="preserve">en los últimos tres años.  </w:t>
            </w:r>
          </w:p>
        </w:tc>
        <w:tc>
          <w:tcPr>
            <w:tcW w:w="3366" w:type="dxa"/>
            <w:tcBorders>
              <w:top w:val="single" w:sz="4" w:space="0" w:color="auto"/>
              <w:bottom w:val="single" w:sz="4" w:space="0" w:color="auto"/>
            </w:tcBorders>
          </w:tcPr>
          <w:p w:rsidR="00B62780" w:rsidRPr="00C51FBB" w:rsidRDefault="00B62780" w:rsidP="00DF5C0E">
            <w:pPr>
              <w:jc w:val="center"/>
              <w:rPr>
                <w:sz w:val="20"/>
                <w:szCs w:val="20"/>
                <w:lang w:val="es-ES"/>
              </w:rPr>
            </w:pPr>
            <w:r w:rsidRPr="00C51FBB">
              <w:rPr>
                <w:sz w:val="20"/>
                <w:szCs w:val="20"/>
                <w:lang w:val="es-ES"/>
              </w:rPr>
              <w:t>0</w:t>
            </w:r>
          </w:p>
          <w:p w:rsidR="00B62780" w:rsidRPr="00C51FBB" w:rsidRDefault="00B62780" w:rsidP="00DF5C0E">
            <w:pPr>
              <w:jc w:val="center"/>
              <w:rPr>
                <w:sz w:val="20"/>
                <w:szCs w:val="20"/>
                <w:lang w:val="es-ES"/>
              </w:rPr>
            </w:pPr>
          </w:p>
        </w:tc>
        <w:tc>
          <w:tcPr>
            <w:tcW w:w="3447" w:type="dxa"/>
            <w:tcBorders>
              <w:top w:val="single" w:sz="4" w:space="0" w:color="auto"/>
              <w:bottom w:val="single" w:sz="4" w:space="0" w:color="auto"/>
            </w:tcBorders>
          </w:tcPr>
          <w:p w:rsidR="00B62780" w:rsidRPr="00C51FBB" w:rsidRDefault="00B62780" w:rsidP="00DF5C0E">
            <w:pPr>
              <w:jc w:val="center"/>
              <w:rPr>
                <w:sz w:val="20"/>
                <w:szCs w:val="20"/>
                <w:lang w:val="es-ES"/>
              </w:rPr>
            </w:pPr>
            <w:r w:rsidRPr="00C51FBB">
              <w:rPr>
                <w:sz w:val="20"/>
                <w:szCs w:val="20"/>
                <w:lang w:val="es-ES"/>
              </w:rPr>
              <w:t>2</w:t>
            </w:r>
          </w:p>
          <w:p w:rsidR="00B62780" w:rsidRPr="00C51FBB" w:rsidRDefault="00B62780" w:rsidP="00DF5C0E">
            <w:pPr>
              <w:jc w:val="center"/>
              <w:rPr>
                <w:sz w:val="20"/>
                <w:szCs w:val="20"/>
                <w:lang w:val="es-ES"/>
              </w:rPr>
            </w:pPr>
          </w:p>
        </w:tc>
        <w:tc>
          <w:tcPr>
            <w:tcW w:w="3447" w:type="dxa"/>
            <w:tcBorders>
              <w:top w:val="single" w:sz="4" w:space="0" w:color="auto"/>
              <w:bottom w:val="single" w:sz="4" w:space="0" w:color="auto"/>
            </w:tcBorders>
          </w:tcPr>
          <w:p w:rsidR="00B62780" w:rsidRPr="00C51FBB" w:rsidRDefault="00040F32" w:rsidP="00040F32">
            <w:pPr>
              <w:tabs>
                <w:tab w:val="left" w:pos="9"/>
              </w:tabs>
              <w:jc w:val="center"/>
              <w:rPr>
                <w:sz w:val="20"/>
                <w:szCs w:val="20"/>
                <w:lang w:val="es-ES"/>
              </w:rPr>
            </w:pPr>
            <w:r>
              <w:rPr>
                <w:sz w:val="20"/>
                <w:szCs w:val="20"/>
                <w:lang w:val="es-ES"/>
              </w:rPr>
              <w:t>Cuestionario y plan de</w:t>
            </w:r>
            <w:r w:rsidR="00787CD6">
              <w:rPr>
                <w:sz w:val="20"/>
                <w:szCs w:val="20"/>
                <w:lang w:val="es-ES"/>
              </w:rPr>
              <w:t xml:space="preserve"> implementación de la encuesta elaborado por el DANE</w:t>
            </w:r>
            <w:r w:rsidR="003053B2">
              <w:rPr>
                <w:sz w:val="20"/>
                <w:szCs w:val="20"/>
                <w:lang w:val="es-ES"/>
              </w:rPr>
              <w:t>.</w:t>
            </w:r>
          </w:p>
        </w:tc>
      </w:tr>
      <w:tr w:rsidR="00B62780" w:rsidRPr="00B44F76" w:rsidTr="00021C14">
        <w:tc>
          <w:tcPr>
            <w:tcW w:w="13788" w:type="dxa"/>
            <w:gridSpan w:val="4"/>
            <w:tcBorders>
              <w:bottom w:val="single" w:sz="4" w:space="0" w:color="auto"/>
            </w:tcBorders>
            <w:shd w:val="clear" w:color="auto" w:fill="D9D9D9"/>
            <w:vAlign w:val="center"/>
          </w:tcPr>
          <w:p w:rsidR="00B62780" w:rsidRPr="00C51FBB" w:rsidRDefault="005238C8" w:rsidP="00021C14">
            <w:pPr>
              <w:numPr>
                <w:ilvl w:val="0"/>
                <w:numId w:val="21"/>
              </w:numPr>
              <w:spacing w:before="60" w:after="60"/>
              <w:ind w:left="360"/>
              <w:rPr>
                <w:sz w:val="20"/>
                <w:szCs w:val="20"/>
                <w:lang w:val="es-ES"/>
              </w:rPr>
            </w:pPr>
            <w:r w:rsidRPr="00401914">
              <w:rPr>
                <w:b/>
                <w:bCs/>
                <w:sz w:val="20"/>
                <w:szCs w:val="20"/>
                <w:lang w:val="es-ES"/>
              </w:rPr>
              <w:t>Involucramiento del sector productivo</w:t>
            </w:r>
            <w:r>
              <w:rPr>
                <w:b/>
                <w:bCs/>
                <w:sz w:val="20"/>
                <w:szCs w:val="20"/>
                <w:lang w:val="es-ES"/>
              </w:rPr>
              <w:t xml:space="preserve"> en la </w:t>
            </w:r>
            <w:r w:rsidRPr="00BF473C">
              <w:rPr>
                <w:b/>
                <w:bCs/>
                <w:sz w:val="20"/>
                <w:szCs w:val="20"/>
                <w:lang w:val="es-ES"/>
              </w:rPr>
              <w:t>Estrategia de Gestión del Recurso Humano</w:t>
            </w:r>
            <w:r>
              <w:rPr>
                <w:b/>
                <w:bCs/>
                <w:sz w:val="20"/>
                <w:szCs w:val="20"/>
                <w:lang w:val="es-ES"/>
              </w:rPr>
              <w:t xml:space="preserve"> (EGERH).</w:t>
            </w:r>
          </w:p>
        </w:tc>
      </w:tr>
      <w:tr w:rsidR="00B62780" w:rsidRPr="00C51FBB" w:rsidTr="002B7802">
        <w:tc>
          <w:tcPr>
            <w:tcW w:w="3528" w:type="dxa"/>
            <w:tcBorders>
              <w:bottom w:val="nil"/>
            </w:tcBorders>
          </w:tcPr>
          <w:p w:rsidR="00B62780" w:rsidRPr="00C51FBB" w:rsidRDefault="00B62780" w:rsidP="00D55CDB">
            <w:pPr>
              <w:rPr>
                <w:sz w:val="20"/>
                <w:szCs w:val="20"/>
                <w:lang w:val="es-ES"/>
              </w:rPr>
            </w:pPr>
            <w:r w:rsidRPr="00C51FBB">
              <w:rPr>
                <w:b/>
                <w:sz w:val="20"/>
                <w:szCs w:val="20"/>
                <w:u w:val="single"/>
                <w:lang w:val="es-ES"/>
              </w:rPr>
              <w:t>Productos</w:t>
            </w:r>
            <w:r w:rsidRPr="00C51FBB">
              <w:rPr>
                <w:b/>
                <w:sz w:val="20"/>
                <w:szCs w:val="20"/>
                <w:lang w:val="es-ES"/>
              </w:rPr>
              <w:t xml:space="preserve">: </w:t>
            </w:r>
          </w:p>
        </w:tc>
        <w:tc>
          <w:tcPr>
            <w:tcW w:w="3366" w:type="dxa"/>
            <w:tcBorders>
              <w:bottom w:val="nil"/>
            </w:tcBorders>
          </w:tcPr>
          <w:p w:rsidR="00B62780" w:rsidRPr="00C51FBB" w:rsidRDefault="00B62780" w:rsidP="00D55CDB">
            <w:pPr>
              <w:jc w:val="center"/>
              <w:rPr>
                <w:sz w:val="20"/>
                <w:szCs w:val="20"/>
                <w:lang w:val="es-ES"/>
              </w:rPr>
            </w:pPr>
          </w:p>
        </w:tc>
        <w:tc>
          <w:tcPr>
            <w:tcW w:w="3447" w:type="dxa"/>
            <w:tcBorders>
              <w:bottom w:val="nil"/>
            </w:tcBorders>
          </w:tcPr>
          <w:p w:rsidR="00B62780" w:rsidRPr="00C51FBB" w:rsidRDefault="00B62780" w:rsidP="00D55CDB">
            <w:pPr>
              <w:jc w:val="center"/>
              <w:rPr>
                <w:sz w:val="20"/>
                <w:szCs w:val="20"/>
                <w:lang w:val="es-ES"/>
              </w:rPr>
            </w:pPr>
          </w:p>
        </w:tc>
        <w:tc>
          <w:tcPr>
            <w:tcW w:w="3447" w:type="dxa"/>
            <w:tcBorders>
              <w:bottom w:val="nil"/>
            </w:tcBorders>
          </w:tcPr>
          <w:p w:rsidR="00B62780" w:rsidRPr="00C51FBB" w:rsidRDefault="00B62780" w:rsidP="00DF5C0E">
            <w:pPr>
              <w:jc w:val="center"/>
              <w:rPr>
                <w:sz w:val="20"/>
                <w:szCs w:val="20"/>
                <w:lang w:val="es-ES"/>
              </w:rPr>
            </w:pPr>
          </w:p>
        </w:tc>
      </w:tr>
      <w:tr w:rsidR="00B62780" w:rsidRPr="00B44F76" w:rsidTr="002B7802">
        <w:tc>
          <w:tcPr>
            <w:tcW w:w="3528" w:type="dxa"/>
            <w:tcBorders>
              <w:top w:val="nil"/>
            </w:tcBorders>
          </w:tcPr>
          <w:p w:rsidR="00B62780" w:rsidRPr="005238C8" w:rsidRDefault="005238C8" w:rsidP="004B1C1B">
            <w:pPr>
              <w:rPr>
                <w:sz w:val="20"/>
                <w:szCs w:val="20"/>
                <w:lang w:val="es-ES_tradnl"/>
              </w:rPr>
            </w:pPr>
            <w:r w:rsidRPr="00531967">
              <w:rPr>
                <w:sz w:val="20"/>
                <w:szCs w:val="20"/>
                <w:lang w:val="es-ES_tradnl"/>
              </w:rPr>
              <w:t>Piloto de normalización, evaluaci</w:t>
            </w:r>
            <w:r>
              <w:rPr>
                <w:sz w:val="20"/>
                <w:szCs w:val="20"/>
                <w:lang w:val="es-ES_tradnl"/>
              </w:rPr>
              <w:t>ón y certificación de competencias laborales realizados conjuntamente con el sector productivo.</w:t>
            </w:r>
          </w:p>
        </w:tc>
        <w:tc>
          <w:tcPr>
            <w:tcW w:w="3366" w:type="dxa"/>
            <w:tcBorders>
              <w:top w:val="nil"/>
            </w:tcBorders>
          </w:tcPr>
          <w:p w:rsidR="00B62780" w:rsidRPr="00C51FBB" w:rsidRDefault="005238C8" w:rsidP="00D55CDB">
            <w:pPr>
              <w:jc w:val="center"/>
              <w:rPr>
                <w:sz w:val="20"/>
                <w:szCs w:val="20"/>
                <w:lang w:val="es-ES"/>
              </w:rPr>
            </w:pPr>
            <w:r>
              <w:rPr>
                <w:sz w:val="20"/>
                <w:szCs w:val="20"/>
                <w:lang w:val="es-ES"/>
              </w:rPr>
              <w:t>0</w:t>
            </w:r>
          </w:p>
          <w:p w:rsidR="00B62780" w:rsidRPr="00C51FBB" w:rsidRDefault="00B62780" w:rsidP="00483997">
            <w:pPr>
              <w:jc w:val="center"/>
              <w:rPr>
                <w:sz w:val="20"/>
                <w:szCs w:val="20"/>
                <w:lang w:val="es-ES"/>
              </w:rPr>
            </w:pPr>
          </w:p>
        </w:tc>
        <w:tc>
          <w:tcPr>
            <w:tcW w:w="3447" w:type="dxa"/>
            <w:tcBorders>
              <w:top w:val="nil"/>
            </w:tcBorders>
          </w:tcPr>
          <w:p w:rsidR="00B62780" w:rsidRPr="00C51FBB" w:rsidRDefault="00003335" w:rsidP="00D55CDB">
            <w:pPr>
              <w:jc w:val="center"/>
              <w:rPr>
                <w:sz w:val="20"/>
                <w:szCs w:val="20"/>
                <w:lang w:val="es-ES"/>
              </w:rPr>
            </w:pPr>
            <w:r>
              <w:rPr>
                <w:sz w:val="20"/>
                <w:szCs w:val="20"/>
                <w:lang w:val="es-ES"/>
              </w:rPr>
              <w:t>1</w:t>
            </w:r>
          </w:p>
          <w:p w:rsidR="00B62780" w:rsidRPr="00C51FBB" w:rsidRDefault="00B62780" w:rsidP="00D55CDB">
            <w:pPr>
              <w:jc w:val="center"/>
              <w:rPr>
                <w:sz w:val="20"/>
                <w:szCs w:val="20"/>
                <w:lang w:val="es-ES"/>
              </w:rPr>
            </w:pPr>
          </w:p>
        </w:tc>
        <w:tc>
          <w:tcPr>
            <w:tcW w:w="3447" w:type="dxa"/>
            <w:tcBorders>
              <w:top w:val="nil"/>
            </w:tcBorders>
          </w:tcPr>
          <w:p w:rsidR="005238C8" w:rsidRDefault="005238C8" w:rsidP="004B1C1B">
            <w:pPr>
              <w:rPr>
                <w:sz w:val="20"/>
                <w:szCs w:val="20"/>
                <w:lang w:val="es-ES"/>
              </w:rPr>
            </w:pPr>
            <w:r>
              <w:rPr>
                <w:sz w:val="20"/>
                <w:szCs w:val="20"/>
                <w:lang w:val="es-ES"/>
              </w:rPr>
              <w:t xml:space="preserve">Actas del Comité Técnico de la CIGERH y de las subcomisiones de </w:t>
            </w:r>
            <w:r w:rsidR="003053B2">
              <w:rPr>
                <w:sz w:val="20"/>
                <w:szCs w:val="20"/>
                <w:lang w:val="es-ES"/>
              </w:rPr>
              <w:t>é</w:t>
            </w:r>
            <w:r>
              <w:rPr>
                <w:sz w:val="20"/>
                <w:szCs w:val="20"/>
                <w:lang w:val="es-ES"/>
              </w:rPr>
              <w:t>sta</w:t>
            </w:r>
            <w:r w:rsidR="003053B2">
              <w:rPr>
                <w:sz w:val="20"/>
                <w:szCs w:val="20"/>
                <w:lang w:val="es-ES"/>
              </w:rPr>
              <w:t>.</w:t>
            </w:r>
          </w:p>
          <w:p w:rsidR="005238C8" w:rsidRDefault="005238C8" w:rsidP="004B1C1B">
            <w:pPr>
              <w:rPr>
                <w:sz w:val="20"/>
                <w:szCs w:val="20"/>
                <w:lang w:val="es-ES"/>
              </w:rPr>
            </w:pPr>
          </w:p>
          <w:p w:rsidR="00B62780" w:rsidRPr="00C51FBB" w:rsidRDefault="005238C8" w:rsidP="00003335">
            <w:pPr>
              <w:rPr>
                <w:sz w:val="20"/>
                <w:szCs w:val="20"/>
                <w:lang w:val="es-ES"/>
              </w:rPr>
            </w:pPr>
            <w:r>
              <w:rPr>
                <w:sz w:val="20"/>
                <w:szCs w:val="20"/>
                <w:lang w:val="es-ES"/>
              </w:rPr>
              <w:t>Minutas de la mesa sectorial de</w:t>
            </w:r>
            <w:r w:rsidR="00003335">
              <w:rPr>
                <w:sz w:val="20"/>
                <w:szCs w:val="20"/>
                <w:lang w:val="es-ES"/>
              </w:rPr>
              <w:t>l</w:t>
            </w:r>
            <w:r>
              <w:rPr>
                <w:sz w:val="20"/>
                <w:szCs w:val="20"/>
                <w:lang w:val="es-ES"/>
              </w:rPr>
              <w:t xml:space="preserve"> piloto que dan constancia de la participación del sector productivo. </w:t>
            </w:r>
          </w:p>
        </w:tc>
      </w:tr>
    </w:tbl>
    <w:p w:rsidR="00572A53" w:rsidRPr="00C61D5E" w:rsidRDefault="00572A53" w:rsidP="003053B2">
      <w:pPr>
        <w:rPr>
          <w:sz w:val="20"/>
          <w:szCs w:val="20"/>
          <w:lang w:val="es-ES"/>
        </w:rPr>
      </w:pPr>
    </w:p>
    <w:p w:rsidR="005B5144" w:rsidRDefault="006C48B4" w:rsidP="006C48B4">
      <w:pPr>
        <w:jc w:val="both"/>
        <w:rPr>
          <w:lang w:val="es-MX"/>
        </w:rPr>
      </w:pPr>
      <w:r w:rsidRPr="006C48B4">
        <w:rPr>
          <w:b/>
          <w:lang w:val="es-MX"/>
        </w:rPr>
        <w:t xml:space="preserve">Observaciones: </w:t>
      </w:r>
      <w:r>
        <w:rPr>
          <w:lang w:val="es-MX"/>
        </w:rPr>
        <w:t xml:space="preserve">El documento de proyecto explica que los sistemas de formación basados en competencias laborales implican un esfuerzo de mediano y largo plazo que va más allá de </w:t>
      </w:r>
      <w:r w:rsidR="00F47771">
        <w:rPr>
          <w:lang w:val="es-MX"/>
        </w:rPr>
        <w:t xml:space="preserve">los tres años de </w:t>
      </w:r>
      <w:r>
        <w:rPr>
          <w:lang w:val="es-MX"/>
        </w:rPr>
        <w:t xml:space="preserve">la serie programática. Por otra parte, en el marco de la serie se está apoyando al gobierno a desarrollar un piloto de certificación de competencias cuyo objetivo no es tener un número elevado de personas certificadas, </w:t>
      </w:r>
      <w:r w:rsidR="00C21F2F">
        <w:rPr>
          <w:lang w:val="es-MX"/>
        </w:rPr>
        <w:t xml:space="preserve">sino </w:t>
      </w:r>
      <w:r>
        <w:rPr>
          <w:lang w:val="es-MX"/>
        </w:rPr>
        <w:t xml:space="preserve">más bien de desarrollar, definir y documentar entre el sector productivo y los principales actores públicos del sistema de formación Colombia, del cual formará parte el SENA, los principales procesos y subsistemas de este sistema. En este sentido, los resultados que se tendrán al finalizar la serie serán los que muestre el piloto. Luego del piloto, el gobierno, en particular el SENA, y las empresas, como por ejemplo aquellas que participan en el piloto, adoptarán la nueva manera de certificar en competencias laborales e incrementarán el número de personas certificados. Así se espera que los impactos de la serie puedan empezar a ser observados en el 2017, año en que se realizaría el tercer levantamiento de la encuesta a empresas. </w:t>
      </w:r>
    </w:p>
    <w:sectPr w:rsidR="005B5144">
      <w:headerReference w:type="even" r:id="rId9"/>
      <w:headerReference w:type="default" r:id="rId10"/>
      <w:headerReference w:type="first" r:id="rId11"/>
      <w:footerReference w:type="first" r:id="rId12"/>
      <w:pgSz w:w="15840" w:h="12240" w:orient="landscape" w:code="1"/>
      <w:pgMar w:top="1440" w:right="1151" w:bottom="1440" w:left="11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06" w:rsidRDefault="00D55506">
      <w:r>
        <w:separator/>
      </w:r>
    </w:p>
  </w:endnote>
  <w:endnote w:type="continuationSeparator" w:id="0">
    <w:p w:rsidR="00D55506" w:rsidRDefault="00D5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06" w:rsidRDefault="00D55506">
    <w:pPr>
      <w:pStyle w:val="Footer"/>
      <w:jc w:val="right"/>
      <w:rPr>
        <w:sz w:val="20"/>
        <w:szCs w:val="20"/>
        <w:lang w:val="es-PE"/>
      </w:rPr>
    </w:pPr>
    <w:r>
      <w:rPr>
        <w:sz w:val="20"/>
        <w:szCs w:val="20"/>
        <w:lang w:val="es-PE"/>
      </w:rPr>
      <w:t xml:space="preserve">Página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rStyle w:val="PageNumber"/>
        <w:sz w:val="20"/>
        <w:szCs w:val="20"/>
      </w:rPr>
      <w:t xml:space="preserve"> de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06" w:rsidRDefault="00D55506">
      <w:r>
        <w:separator/>
      </w:r>
    </w:p>
  </w:footnote>
  <w:footnote w:type="continuationSeparator" w:id="0">
    <w:p w:rsidR="00D55506" w:rsidRDefault="00D5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06" w:rsidRDefault="00D555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55506" w:rsidRDefault="00D55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06" w:rsidRPr="00A35F8D" w:rsidRDefault="00D55506">
    <w:pPr>
      <w:pStyle w:val="Header"/>
      <w:jc w:val="right"/>
      <w:rPr>
        <w:sz w:val="20"/>
        <w:szCs w:val="20"/>
        <w:lang w:val="es-PE"/>
      </w:rPr>
    </w:pPr>
    <w:r>
      <w:rPr>
        <w:sz w:val="20"/>
        <w:szCs w:val="20"/>
        <w:lang w:val="es-PE"/>
      </w:rPr>
      <w:t>CO-L1128</w:t>
    </w:r>
  </w:p>
  <w:p w:rsidR="00D55506" w:rsidRPr="00A35F8D" w:rsidRDefault="00D55506">
    <w:pPr>
      <w:pStyle w:val="Header"/>
      <w:jc w:val="right"/>
      <w:rPr>
        <w:sz w:val="20"/>
        <w:szCs w:val="20"/>
        <w:lang w:val="es-PE"/>
      </w:rPr>
    </w:pPr>
    <w:r w:rsidRPr="00A35F8D">
      <w:rPr>
        <w:sz w:val="20"/>
        <w:szCs w:val="20"/>
        <w:lang w:val="es-PE"/>
      </w:rPr>
      <w:t xml:space="preserve">Página </w:t>
    </w:r>
    <w:r w:rsidRPr="00A35F8D">
      <w:rPr>
        <w:sz w:val="20"/>
        <w:szCs w:val="20"/>
        <w:lang w:val="es-PE"/>
      </w:rPr>
      <w:fldChar w:fldCharType="begin"/>
    </w:r>
    <w:r w:rsidRPr="00A35F8D">
      <w:rPr>
        <w:sz w:val="20"/>
        <w:szCs w:val="20"/>
        <w:lang w:val="es-PE"/>
      </w:rPr>
      <w:instrText xml:space="preserve"> PAGE </w:instrText>
    </w:r>
    <w:r w:rsidRPr="00A35F8D">
      <w:rPr>
        <w:sz w:val="20"/>
        <w:szCs w:val="20"/>
        <w:lang w:val="es-PE"/>
      </w:rPr>
      <w:fldChar w:fldCharType="separate"/>
    </w:r>
    <w:r w:rsidR="005E1324">
      <w:rPr>
        <w:noProof/>
        <w:sz w:val="20"/>
        <w:szCs w:val="20"/>
        <w:lang w:val="es-PE"/>
      </w:rPr>
      <w:t>1</w:t>
    </w:r>
    <w:r w:rsidRPr="00A35F8D">
      <w:rPr>
        <w:sz w:val="20"/>
        <w:szCs w:val="20"/>
        <w:lang w:val="es-PE"/>
      </w:rPr>
      <w:fldChar w:fldCharType="end"/>
    </w:r>
    <w:r w:rsidRPr="00A35F8D">
      <w:rPr>
        <w:sz w:val="20"/>
        <w:szCs w:val="20"/>
        <w:lang w:val="es-PE"/>
      </w:rPr>
      <w:t xml:space="preserve"> de </w:t>
    </w:r>
    <w:r w:rsidRPr="00A35F8D">
      <w:rPr>
        <w:sz w:val="20"/>
        <w:szCs w:val="20"/>
        <w:lang w:val="es-PE"/>
      </w:rPr>
      <w:fldChar w:fldCharType="begin"/>
    </w:r>
    <w:r w:rsidRPr="00A35F8D">
      <w:rPr>
        <w:sz w:val="20"/>
        <w:szCs w:val="20"/>
        <w:lang w:val="es-PE"/>
      </w:rPr>
      <w:instrText xml:space="preserve"> NUMPAGES </w:instrText>
    </w:r>
    <w:r w:rsidRPr="00A35F8D">
      <w:rPr>
        <w:sz w:val="20"/>
        <w:szCs w:val="20"/>
        <w:lang w:val="es-PE"/>
      </w:rPr>
      <w:fldChar w:fldCharType="separate"/>
    </w:r>
    <w:r w:rsidR="005E1324">
      <w:rPr>
        <w:noProof/>
        <w:sz w:val="20"/>
        <w:szCs w:val="20"/>
        <w:lang w:val="es-PE"/>
      </w:rPr>
      <w:t>4</w:t>
    </w:r>
    <w:r w:rsidRPr="00A35F8D">
      <w:rPr>
        <w:sz w:val="20"/>
        <w:szCs w:val="20"/>
        <w:lang w:val="es-PE"/>
      </w:rPr>
      <w:fldChar w:fldCharType="end"/>
    </w:r>
  </w:p>
  <w:p w:rsidR="00D55506" w:rsidRDefault="00D55506">
    <w:pPr>
      <w:pStyle w:val="Header"/>
      <w:jc w:val="right"/>
      <w:rPr>
        <w:u w:val="single"/>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06" w:rsidRDefault="00D55506">
    <w:pPr>
      <w:pStyle w:val="Header"/>
      <w:jc w:val="right"/>
      <w:rPr>
        <w:b/>
        <w:bCs/>
        <w:lang w:val="es-PE"/>
      </w:rPr>
    </w:pPr>
    <w:r>
      <w:rPr>
        <w:b/>
        <w:bCs/>
        <w:lang w:val="es-PE"/>
      </w:rPr>
      <w:t>Versión: 16.ene.07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B64"/>
    <w:multiLevelType w:val="hybridMultilevel"/>
    <w:tmpl w:val="88163584"/>
    <w:lvl w:ilvl="0" w:tplc="25ACA3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3270F"/>
    <w:multiLevelType w:val="hybridMultilevel"/>
    <w:tmpl w:val="33247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B7FC9"/>
    <w:multiLevelType w:val="multilevel"/>
    <w:tmpl w:val="D61201E6"/>
    <w:lvl w:ilvl="0">
      <w:start w:val="1"/>
      <w:numFmt w:val="upperRoman"/>
      <w:lvlRestart w:val="0"/>
      <w:pStyle w:val="Chapter"/>
      <w:lvlText w:val="%1."/>
      <w:lvlJc w:val="center"/>
      <w:pPr>
        <w:tabs>
          <w:tab w:val="num" w:pos="1800"/>
        </w:tabs>
        <w:ind w:left="1152" w:firstLine="288"/>
      </w:pPr>
      <w:rPr>
        <w:rFonts w:cs="Times New Roman"/>
        <w:b/>
        <w:i w:val="0"/>
      </w:rPr>
    </w:lvl>
    <w:lvl w:ilvl="1">
      <w:start w:val="1"/>
      <w:numFmt w:val="decimal"/>
      <w:pStyle w:val="Paragraph"/>
      <w:isLgl/>
      <w:lvlText w:val="%1.%2"/>
      <w:lvlJc w:val="left"/>
      <w:pPr>
        <w:tabs>
          <w:tab w:val="num" w:pos="1296"/>
        </w:tabs>
        <w:ind w:left="1296" w:hanging="1296"/>
      </w:pPr>
      <w:rPr>
        <w:rFonts w:ascii="Times Roman" w:hAnsi="Times Roman" w:cs="Times New Roman" w:hint="default"/>
        <w:b w:val="0"/>
        <w:sz w:val="24"/>
        <w:szCs w:val="24"/>
        <w:lang w:val="es-ES"/>
      </w:rPr>
    </w:lvl>
    <w:lvl w:ilvl="2">
      <w:start w:val="1"/>
      <w:numFmt w:val="lowerLetter"/>
      <w:pStyle w:val="subpar"/>
      <w:lvlText w:val="%3."/>
      <w:lvlJc w:val="left"/>
      <w:pPr>
        <w:tabs>
          <w:tab w:val="num" w:pos="2304"/>
        </w:tabs>
        <w:ind w:left="2304" w:hanging="432"/>
      </w:pPr>
      <w:rPr>
        <w:rFonts w:cs="Times New Roman"/>
      </w:rPr>
    </w:lvl>
    <w:lvl w:ilvl="3">
      <w:start w:val="1"/>
      <w:numFmt w:val="lowerRoman"/>
      <w:pStyle w:val="SubSubPar"/>
      <w:lvlText w:val="%4."/>
      <w:lvlJc w:val="right"/>
      <w:pPr>
        <w:tabs>
          <w:tab w:val="num" w:pos="2736"/>
        </w:tabs>
        <w:ind w:left="2736" w:hanging="288"/>
      </w:pPr>
      <w:rPr>
        <w:rFonts w:cs="Times New Roman"/>
      </w:rPr>
    </w:lvl>
    <w:lvl w:ilvl="4">
      <w:start w:val="1"/>
      <w:numFmt w:val="decimal"/>
      <w:lvlText w:val="%1.%2.%3.%4.%5"/>
      <w:lvlJc w:val="left"/>
      <w:pPr>
        <w:tabs>
          <w:tab w:val="num" w:pos="2160"/>
        </w:tabs>
        <w:ind w:left="2160" w:hanging="1008"/>
      </w:pPr>
      <w:rPr>
        <w:rFonts w:cs="Times New Roman"/>
      </w:rPr>
    </w:lvl>
    <w:lvl w:ilvl="5">
      <w:start w:val="1"/>
      <w:numFmt w:val="decimal"/>
      <w:lvlText w:val="%1.%2.%3.%4.%5.%6"/>
      <w:lvlJc w:val="left"/>
      <w:pPr>
        <w:tabs>
          <w:tab w:val="num" w:pos="2304"/>
        </w:tabs>
        <w:ind w:left="2304" w:hanging="1152"/>
      </w:pPr>
      <w:rPr>
        <w:rFonts w:cs="Times New Roman"/>
      </w:rPr>
    </w:lvl>
    <w:lvl w:ilvl="6">
      <w:start w:val="1"/>
      <w:numFmt w:val="decimal"/>
      <w:lvlText w:val="%1.%2.%3.%4.%5.%6.%7"/>
      <w:lvlJc w:val="left"/>
      <w:pPr>
        <w:tabs>
          <w:tab w:val="num" w:pos="2448"/>
        </w:tabs>
        <w:ind w:left="2448" w:hanging="1296"/>
      </w:pPr>
      <w:rPr>
        <w:rFonts w:cs="Times New Roman"/>
      </w:rPr>
    </w:lvl>
    <w:lvl w:ilvl="7">
      <w:start w:val="1"/>
      <w:numFmt w:val="decimal"/>
      <w:lvlText w:val="%1.%2.%3.%4.%5.%6.%7.%8"/>
      <w:lvlJc w:val="left"/>
      <w:pPr>
        <w:tabs>
          <w:tab w:val="num" w:pos="2592"/>
        </w:tabs>
        <w:ind w:left="2592" w:hanging="1440"/>
      </w:pPr>
      <w:rPr>
        <w:rFonts w:cs="Times New Roman"/>
      </w:rPr>
    </w:lvl>
    <w:lvl w:ilvl="8">
      <w:start w:val="1"/>
      <w:numFmt w:val="decimal"/>
      <w:lvlText w:val="%1.%2.%3.%4.%5.%6.%7.%8.%9"/>
      <w:lvlJc w:val="left"/>
      <w:pPr>
        <w:tabs>
          <w:tab w:val="num" w:pos="2736"/>
        </w:tabs>
        <w:ind w:left="2736" w:hanging="1584"/>
      </w:pPr>
      <w:rPr>
        <w:rFonts w:cs="Times New Roman"/>
      </w:rPr>
    </w:lvl>
  </w:abstractNum>
  <w:abstractNum w:abstractNumId="3">
    <w:nsid w:val="0EA87555"/>
    <w:multiLevelType w:val="hybridMultilevel"/>
    <w:tmpl w:val="AD401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B63324"/>
    <w:multiLevelType w:val="hybridMultilevel"/>
    <w:tmpl w:val="26A0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A5F03"/>
    <w:multiLevelType w:val="hybridMultilevel"/>
    <w:tmpl w:val="86304D5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80253F"/>
    <w:multiLevelType w:val="hybridMultilevel"/>
    <w:tmpl w:val="2230E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C177DE"/>
    <w:multiLevelType w:val="hybridMultilevel"/>
    <w:tmpl w:val="9D007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920B9F"/>
    <w:multiLevelType w:val="hybridMultilevel"/>
    <w:tmpl w:val="D026CE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590009D"/>
    <w:multiLevelType w:val="hybridMultilevel"/>
    <w:tmpl w:val="6244210C"/>
    <w:lvl w:ilvl="0" w:tplc="8A16E23A">
      <w:start w:val="1"/>
      <w:numFmt w:val="bullet"/>
      <w:lvlText w:val=""/>
      <w:lvlJc w:val="left"/>
      <w:pPr>
        <w:tabs>
          <w:tab w:val="num" w:pos="292"/>
        </w:tabs>
        <w:ind w:left="292" w:hanging="360"/>
      </w:pPr>
      <w:rPr>
        <w:rFonts w:ascii="Symbol" w:hAnsi="Symbol" w:hint="default"/>
        <w:sz w:val="20"/>
        <w:szCs w:val="22"/>
      </w:rPr>
    </w:lvl>
    <w:lvl w:ilvl="1" w:tplc="0C0A0019" w:tentative="1">
      <w:start w:val="1"/>
      <w:numFmt w:val="lowerLetter"/>
      <w:lvlText w:val="%2."/>
      <w:lvlJc w:val="left"/>
      <w:pPr>
        <w:tabs>
          <w:tab w:val="num" w:pos="1406"/>
        </w:tabs>
        <w:ind w:left="1406" w:hanging="360"/>
      </w:pPr>
    </w:lvl>
    <w:lvl w:ilvl="2" w:tplc="0C0A001B" w:tentative="1">
      <w:start w:val="1"/>
      <w:numFmt w:val="lowerRoman"/>
      <w:lvlText w:val="%3."/>
      <w:lvlJc w:val="right"/>
      <w:pPr>
        <w:tabs>
          <w:tab w:val="num" w:pos="2126"/>
        </w:tabs>
        <w:ind w:left="2126" w:hanging="180"/>
      </w:pPr>
    </w:lvl>
    <w:lvl w:ilvl="3" w:tplc="0C0A000F" w:tentative="1">
      <w:start w:val="1"/>
      <w:numFmt w:val="decimal"/>
      <w:lvlText w:val="%4."/>
      <w:lvlJc w:val="left"/>
      <w:pPr>
        <w:tabs>
          <w:tab w:val="num" w:pos="2846"/>
        </w:tabs>
        <w:ind w:left="2846" w:hanging="360"/>
      </w:pPr>
    </w:lvl>
    <w:lvl w:ilvl="4" w:tplc="0C0A0019" w:tentative="1">
      <w:start w:val="1"/>
      <w:numFmt w:val="lowerLetter"/>
      <w:lvlText w:val="%5."/>
      <w:lvlJc w:val="left"/>
      <w:pPr>
        <w:tabs>
          <w:tab w:val="num" w:pos="3566"/>
        </w:tabs>
        <w:ind w:left="3566" w:hanging="360"/>
      </w:pPr>
    </w:lvl>
    <w:lvl w:ilvl="5" w:tplc="0C0A001B" w:tentative="1">
      <w:start w:val="1"/>
      <w:numFmt w:val="lowerRoman"/>
      <w:lvlText w:val="%6."/>
      <w:lvlJc w:val="right"/>
      <w:pPr>
        <w:tabs>
          <w:tab w:val="num" w:pos="4286"/>
        </w:tabs>
        <w:ind w:left="4286" w:hanging="180"/>
      </w:pPr>
    </w:lvl>
    <w:lvl w:ilvl="6" w:tplc="0C0A000F" w:tentative="1">
      <w:start w:val="1"/>
      <w:numFmt w:val="decimal"/>
      <w:lvlText w:val="%7."/>
      <w:lvlJc w:val="left"/>
      <w:pPr>
        <w:tabs>
          <w:tab w:val="num" w:pos="5006"/>
        </w:tabs>
        <w:ind w:left="5006" w:hanging="360"/>
      </w:pPr>
    </w:lvl>
    <w:lvl w:ilvl="7" w:tplc="0C0A0019" w:tentative="1">
      <w:start w:val="1"/>
      <w:numFmt w:val="lowerLetter"/>
      <w:lvlText w:val="%8."/>
      <w:lvlJc w:val="left"/>
      <w:pPr>
        <w:tabs>
          <w:tab w:val="num" w:pos="5726"/>
        </w:tabs>
        <w:ind w:left="5726" w:hanging="360"/>
      </w:pPr>
    </w:lvl>
    <w:lvl w:ilvl="8" w:tplc="0C0A001B" w:tentative="1">
      <w:start w:val="1"/>
      <w:numFmt w:val="lowerRoman"/>
      <w:lvlText w:val="%9."/>
      <w:lvlJc w:val="right"/>
      <w:pPr>
        <w:tabs>
          <w:tab w:val="num" w:pos="6446"/>
        </w:tabs>
        <w:ind w:left="6446" w:hanging="180"/>
      </w:pPr>
    </w:lvl>
  </w:abstractNum>
  <w:abstractNum w:abstractNumId="10">
    <w:nsid w:val="36190AEB"/>
    <w:multiLevelType w:val="hybridMultilevel"/>
    <w:tmpl w:val="7258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DC3E53"/>
    <w:multiLevelType w:val="hybridMultilevel"/>
    <w:tmpl w:val="5060086C"/>
    <w:lvl w:ilvl="0" w:tplc="43BA8FBE">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092204"/>
    <w:multiLevelType w:val="hybridMultilevel"/>
    <w:tmpl w:val="6878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888421E"/>
    <w:multiLevelType w:val="hybridMultilevel"/>
    <w:tmpl w:val="45AEA27E"/>
    <w:lvl w:ilvl="0" w:tplc="C216619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51691C"/>
    <w:multiLevelType w:val="hybridMultilevel"/>
    <w:tmpl w:val="3F400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67001C"/>
    <w:multiLevelType w:val="hybridMultilevel"/>
    <w:tmpl w:val="F1A04022"/>
    <w:lvl w:ilvl="0" w:tplc="43BA8FB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BE7806"/>
    <w:multiLevelType w:val="hybridMultilevel"/>
    <w:tmpl w:val="9590355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nsid w:val="5A2637E7"/>
    <w:multiLevelType w:val="hybridMultilevel"/>
    <w:tmpl w:val="C224806E"/>
    <w:lvl w:ilvl="0" w:tplc="8A16E23A">
      <w:start w:val="1"/>
      <w:numFmt w:val="bullet"/>
      <w:lvlText w:val=""/>
      <w:lvlJc w:val="left"/>
      <w:pPr>
        <w:tabs>
          <w:tab w:val="num" w:pos="360"/>
        </w:tabs>
        <w:ind w:left="360" w:hanging="360"/>
      </w:pPr>
      <w:rPr>
        <w:rFonts w:ascii="Symbol" w:hAnsi="Symbol" w:hint="default"/>
        <w:sz w:val="20"/>
        <w:szCs w:val="22"/>
      </w:rPr>
    </w:lvl>
    <w:lvl w:ilvl="1" w:tplc="0C0A0019" w:tentative="1">
      <w:start w:val="1"/>
      <w:numFmt w:val="lowerLetter"/>
      <w:lvlText w:val="%2."/>
      <w:lvlJc w:val="left"/>
      <w:pPr>
        <w:tabs>
          <w:tab w:val="num" w:pos="1406"/>
        </w:tabs>
        <w:ind w:left="1406" w:hanging="360"/>
      </w:pPr>
    </w:lvl>
    <w:lvl w:ilvl="2" w:tplc="0C0A001B" w:tentative="1">
      <w:start w:val="1"/>
      <w:numFmt w:val="lowerRoman"/>
      <w:lvlText w:val="%3."/>
      <w:lvlJc w:val="right"/>
      <w:pPr>
        <w:tabs>
          <w:tab w:val="num" w:pos="2126"/>
        </w:tabs>
        <w:ind w:left="2126" w:hanging="180"/>
      </w:pPr>
    </w:lvl>
    <w:lvl w:ilvl="3" w:tplc="0C0A000F" w:tentative="1">
      <w:start w:val="1"/>
      <w:numFmt w:val="decimal"/>
      <w:lvlText w:val="%4."/>
      <w:lvlJc w:val="left"/>
      <w:pPr>
        <w:tabs>
          <w:tab w:val="num" w:pos="2846"/>
        </w:tabs>
        <w:ind w:left="2846" w:hanging="360"/>
      </w:pPr>
    </w:lvl>
    <w:lvl w:ilvl="4" w:tplc="0C0A0019" w:tentative="1">
      <w:start w:val="1"/>
      <w:numFmt w:val="lowerLetter"/>
      <w:lvlText w:val="%5."/>
      <w:lvlJc w:val="left"/>
      <w:pPr>
        <w:tabs>
          <w:tab w:val="num" w:pos="3566"/>
        </w:tabs>
        <w:ind w:left="3566" w:hanging="360"/>
      </w:pPr>
    </w:lvl>
    <w:lvl w:ilvl="5" w:tplc="0C0A001B" w:tentative="1">
      <w:start w:val="1"/>
      <w:numFmt w:val="lowerRoman"/>
      <w:lvlText w:val="%6."/>
      <w:lvlJc w:val="right"/>
      <w:pPr>
        <w:tabs>
          <w:tab w:val="num" w:pos="4286"/>
        </w:tabs>
        <w:ind w:left="4286" w:hanging="180"/>
      </w:pPr>
    </w:lvl>
    <w:lvl w:ilvl="6" w:tplc="0C0A000F" w:tentative="1">
      <w:start w:val="1"/>
      <w:numFmt w:val="decimal"/>
      <w:lvlText w:val="%7."/>
      <w:lvlJc w:val="left"/>
      <w:pPr>
        <w:tabs>
          <w:tab w:val="num" w:pos="5006"/>
        </w:tabs>
        <w:ind w:left="5006" w:hanging="360"/>
      </w:pPr>
    </w:lvl>
    <w:lvl w:ilvl="7" w:tplc="0C0A0019" w:tentative="1">
      <w:start w:val="1"/>
      <w:numFmt w:val="lowerLetter"/>
      <w:lvlText w:val="%8."/>
      <w:lvlJc w:val="left"/>
      <w:pPr>
        <w:tabs>
          <w:tab w:val="num" w:pos="5726"/>
        </w:tabs>
        <w:ind w:left="5726" w:hanging="360"/>
      </w:pPr>
    </w:lvl>
    <w:lvl w:ilvl="8" w:tplc="0C0A001B" w:tentative="1">
      <w:start w:val="1"/>
      <w:numFmt w:val="lowerRoman"/>
      <w:lvlText w:val="%9."/>
      <w:lvlJc w:val="right"/>
      <w:pPr>
        <w:tabs>
          <w:tab w:val="num" w:pos="6446"/>
        </w:tabs>
        <w:ind w:left="6446" w:hanging="180"/>
      </w:pPr>
    </w:lvl>
  </w:abstractNum>
  <w:abstractNum w:abstractNumId="18">
    <w:nsid w:val="5CC66ECB"/>
    <w:multiLevelType w:val="hybridMultilevel"/>
    <w:tmpl w:val="2D7AE560"/>
    <w:lvl w:ilvl="0" w:tplc="571C41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D351E6"/>
    <w:multiLevelType w:val="multilevel"/>
    <w:tmpl w:val="45AEA27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AC7927"/>
    <w:multiLevelType w:val="hybridMultilevel"/>
    <w:tmpl w:val="64744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147D2F"/>
    <w:multiLevelType w:val="hybridMultilevel"/>
    <w:tmpl w:val="7CECDFDE"/>
    <w:lvl w:ilvl="0" w:tplc="8A16E23A">
      <w:start w:val="1"/>
      <w:numFmt w:val="bullet"/>
      <w:lvlText w:val=""/>
      <w:lvlJc w:val="left"/>
      <w:pPr>
        <w:tabs>
          <w:tab w:val="num" w:pos="360"/>
        </w:tabs>
        <w:ind w:left="360" w:hanging="360"/>
      </w:pPr>
      <w:rPr>
        <w:rFonts w:ascii="Symbol" w:hAnsi="Symbol" w:hint="default"/>
        <w:sz w:val="20"/>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21"/>
  </w:num>
  <w:num w:numId="3">
    <w:abstractNumId w:val="17"/>
  </w:num>
  <w:num w:numId="4">
    <w:abstractNumId w:val="3"/>
  </w:num>
  <w:num w:numId="5">
    <w:abstractNumId w:val="6"/>
  </w:num>
  <w:num w:numId="6">
    <w:abstractNumId w:val="12"/>
  </w:num>
  <w:num w:numId="7">
    <w:abstractNumId w:val="16"/>
  </w:num>
  <w:num w:numId="8">
    <w:abstractNumId w:val="1"/>
  </w:num>
  <w:num w:numId="9">
    <w:abstractNumId w:val="18"/>
  </w:num>
  <w:num w:numId="10">
    <w:abstractNumId w:val="10"/>
  </w:num>
  <w:num w:numId="11">
    <w:abstractNumId w:val="0"/>
  </w:num>
  <w:num w:numId="12">
    <w:abstractNumId w:val="20"/>
  </w:num>
  <w:num w:numId="13">
    <w:abstractNumId w:val="5"/>
  </w:num>
  <w:num w:numId="14">
    <w:abstractNumId w:val="13"/>
  </w:num>
  <w:num w:numId="15">
    <w:abstractNumId w:val="15"/>
  </w:num>
  <w:num w:numId="16">
    <w:abstractNumId w:val="19"/>
  </w:num>
  <w:num w:numId="17">
    <w:abstractNumId w:val="11"/>
  </w:num>
  <w:num w:numId="18">
    <w:abstractNumId w:val="7"/>
  </w:num>
  <w:num w:numId="19">
    <w:abstractNumId w:val="14"/>
  </w:num>
  <w:num w:numId="20">
    <w:abstractNumId w:val="8"/>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CF"/>
    <w:rsid w:val="00003335"/>
    <w:rsid w:val="0002032E"/>
    <w:rsid w:val="000213D0"/>
    <w:rsid w:val="00021C14"/>
    <w:rsid w:val="00022D93"/>
    <w:rsid w:val="00035817"/>
    <w:rsid w:val="000407F4"/>
    <w:rsid w:val="00040F32"/>
    <w:rsid w:val="0004438C"/>
    <w:rsid w:val="00056576"/>
    <w:rsid w:val="000703C9"/>
    <w:rsid w:val="00070942"/>
    <w:rsid w:val="000765E8"/>
    <w:rsid w:val="0008677C"/>
    <w:rsid w:val="000C4198"/>
    <w:rsid w:val="000C48D9"/>
    <w:rsid w:val="000C549D"/>
    <w:rsid w:val="000D6CC0"/>
    <w:rsid w:val="000E2504"/>
    <w:rsid w:val="000F31F2"/>
    <w:rsid w:val="001011E6"/>
    <w:rsid w:val="00107881"/>
    <w:rsid w:val="0013015F"/>
    <w:rsid w:val="001415C9"/>
    <w:rsid w:val="00151142"/>
    <w:rsid w:val="001541E5"/>
    <w:rsid w:val="00186E20"/>
    <w:rsid w:val="001A2854"/>
    <w:rsid w:val="001B3CDD"/>
    <w:rsid w:val="001B4D15"/>
    <w:rsid w:val="001C3390"/>
    <w:rsid w:val="001D004F"/>
    <w:rsid w:val="001E7268"/>
    <w:rsid w:val="001E7E79"/>
    <w:rsid w:val="001F2342"/>
    <w:rsid w:val="001F3125"/>
    <w:rsid w:val="001F40CD"/>
    <w:rsid w:val="001F54F4"/>
    <w:rsid w:val="002043CF"/>
    <w:rsid w:val="00212969"/>
    <w:rsid w:val="00224329"/>
    <w:rsid w:val="00233DA3"/>
    <w:rsid w:val="00236FB7"/>
    <w:rsid w:val="00256BBD"/>
    <w:rsid w:val="00257334"/>
    <w:rsid w:val="00260A49"/>
    <w:rsid w:val="00284C1C"/>
    <w:rsid w:val="002A4CC1"/>
    <w:rsid w:val="002A5507"/>
    <w:rsid w:val="002A7CEA"/>
    <w:rsid w:val="002B0DE9"/>
    <w:rsid w:val="002B1A9B"/>
    <w:rsid w:val="002B69FA"/>
    <w:rsid w:val="002B7802"/>
    <w:rsid w:val="002C0E76"/>
    <w:rsid w:val="002D49A5"/>
    <w:rsid w:val="002F1836"/>
    <w:rsid w:val="002F6717"/>
    <w:rsid w:val="002F6A63"/>
    <w:rsid w:val="00300086"/>
    <w:rsid w:val="003053B2"/>
    <w:rsid w:val="003102BB"/>
    <w:rsid w:val="0031166C"/>
    <w:rsid w:val="00314DF2"/>
    <w:rsid w:val="0031758B"/>
    <w:rsid w:val="00317DFC"/>
    <w:rsid w:val="003251D2"/>
    <w:rsid w:val="003321A5"/>
    <w:rsid w:val="00340AC4"/>
    <w:rsid w:val="003509B4"/>
    <w:rsid w:val="00357C73"/>
    <w:rsid w:val="00360DF2"/>
    <w:rsid w:val="00381594"/>
    <w:rsid w:val="00394DE2"/>
    <w:rsid w:val="003952D5"/>
    <w:rsid w:val="003A2824"/>
    <w:rsid w:val="003A6337"/>
    <w:rsid w:val="003C5BBF"/>
    <w:rsid w:val="003D1488"/>
    <w:rsid w:val="003D4D67"/>
    <w:rsid w:val="003D6302"/>
    <w:rsid w:val="003D6D2A"/>
    <w:rsid w:val="003E2CF2"/>
    <w:rsid w:val="003E63D0"/>
    <w:rsid w:val="003F0CF2"/>
    <w:rsid w:val="003F3917"/>
    <w:rsid w:val="003F5E99"/>
    <w:rsid w:val="003F70BE"/>
    <w:rsid w:val="00412A68"/>
    <w:rsid w:val="00421B69"/>
    <w:rsid w:val="004243A4"/>
    <w:rsid w:val="00427BFF"/>
    <w:rsid w:val="00434E45"/>
    <w:rsid w:val="00477578"/>
    <w:rsid w:val="0048031E"/>
    <w:rsid w:val="00482F98"/>
    <w:rsid w:val="00483997"/>
    <w:rsid w:val="00493300"/>
    <w:rsid w:val="00497E88"/>
    <w:rsid w:val="004B1C1B"/>
    <w:rsid w:val="004B4B32"/>
    <w:rsid w:val="004C5C97"/>
    <w:rsid w:val="004D5446"/>
    <w:rsid w:val="004D6426"/>
    <w:rsid w:val="004F3692"/>
    <w:rsid w:val="00500EFE"/>
    <w:rsid w:val="00520199"/>
    <w:rsid w:val="005238C8"/>
    <w:rsid w:val="00525149"/>
    <w:rsid w:val="005270DD"/>
    <w:rsid w:val="00534369"/>
    <w:rsid w:val="005521A2"/>
    <w:rsid w:val="00564C9D"/>
    <w:rsid w:val="00564E22"/>
    <w:rsid w:val="00567D17"/>
    <w:rsid w:val="00572A53"/>
    <w:rsid w:val="0057485A"/>
    <w:rsid w:val="00586689"/>
    <w:rsid w:val="0059130C"/>
    <w:rsid w:val="0059167E"/>
    <w:rsid w:val="005941DE"/>
    <w:rsid w:val="005A1842"/>
    <w:rsid w:val="005B5144"/>
    <w:rsid w:val="005D0D06"/>
    <w:rsid w:val="005D2022"/>
    <w:rsid w:val="005D32D5"/>
    <w:rsid w:val="005E1324"/>
    <w:rsid w:val="00611EB3"/>
    <w:rsid w:val="00624CD5"/>
    <w:rsid w:val="00656E9F"/>
    <w:rsid w:val="00692463"/>
    <w:rsid w:val="00692DF4"/>
    <w:rsid w:val="00693314"/>
    <w:rsid w:val="006943A8"/>
    <w:rsid w:val="00695164"/>
    <w:rsid w:val="00696982"/>
    <w:rsid w:val="006972F4"/>
    <w:rsid w:val="006A2C11"/>
    <w:rsid w:val="006A7376"/>
    <w:rsid w:val="006B0EB8"/>
    <w:rsid w:val="006B6F4C"/>
    <w:rsid w:val="006C1944"/>
    <w:rsid w:val="006C48B4"/>
    <w:rsid w:val="006E4B84"/>
    <w:rsid w:val="006F6AAF"/>
    <w:rsid w:val="00700938"/>
    <w:rsid w:val="00704275"/>
    <w:rsid w:val="00710781"/>
    <w:rsid w:val="007124E0"/>
    <w:rsid w:val="00717C20"/>
    <w:rsid w:val="00725FDD"/>
    <w:rsid w:val="0073274A"/>
    <w:rsid w:val="00735336"/>
    <w:rsid w:val="00745441"/>
    <w:rsid w:val="00747886"/>
    <w:rsid w:val="00757809"/>
    <w:rsid w:val="00762BD2"/>
    <w:rsid w:val="00784480"/>
    <w:rsid w:val="00784919"/>
    <w:rsid w:val="0078707F"/>
    <w:rsid w:val="00787CD6"/>
    <w:rsid w:val="007955F0"/>
    <w:rsid w:val="007B459D"/>
    <w:rsid w:val="007B5B4F"/>
    <w:rsid w:val="007D2003"/>
    <w:rsid w:val="007E73B1"/>
    <w:rsid w:val="007F5B66"/>
    <w:rsid w:val="0080296B"/>
    <w:rsid w:val="00815BC1"/>
    <w:rsid w:val="00822DBA"/>
    <w:rsid w:val="00832AB9"/>
    <w:rsid w:val="0084021A"/>
    <w:rsid w:val="00853764"/>
    <w:rsid w:val="008801E7"/>
    <w:rsid w:val="008851AA"/>
    <w:rsid w:val="00890559"/>
    <w:rsid w:val="008A67DD"/>
    <w:rsid w:val="008B06FD"/>
    <w:rsid w:val="008B10C2"/>
    <w:rsid w:val="008B31FD"/>
    <w:rsid w:val="008C0261"/>
    <w:rsid w:val="008C0728"/>
    <w:rsid w:val="008C534F"/>
    <w:rsid w:val="008D21C8"/>
    <w:rsid w:val="008D7E04"/>
    <w:rsid w:val="008E0CE1"/>
    <w:rsid w:val="008E674E"/>
    <w:rsid w:val="008F087A"/>
    <w:rsid w:val="008F49A3"/>
    <w:rsid w:val="008F7260"/>
    <w:rsid w:val="00913A7B"/>
    <w:rsid w:val="00913CE9"/>
    <w:rsid w:val="0092122F"/>
    <w:rsid w:val="00926020"/>
    <w:rsid w:val="009409B2"/>
    <w:rsid w:val="00942826"/>
    <w:rsid w:val="009552EE"/>
    <w:rsid w:val="00970E10"/>
    <w:rsid w:val="009A1C73"/>
    <w:rsid w:val="009A4311"/>
    <w:rsid w:val="009C6152"/>
    <w:rsid w:val="009D6994"/>
    <w:rsid w:val="009E472E"/>
    <w:rsid w:val="009E64BA"/>
    <w:rsid w:val="009F7A9A"/>
    <w:rsid w:val="00A03CCF"/>
    <w:rsid w:val="00A04398"/>
    <w:rsid w:val="00A100CF"/>
    <w:rsid w:val="00A20FC4"/>
    <w:rsid w:val="00A35F8D"/>
    <w:rsid w:val="00A41ED3"/>
    <w:rsid w:val="00A50364"/>
    <w:rsid w:val="00A560A2"/>
    <w:rsid w:val="00A567D0"/>
    <w:rsid w:val="00A639FA"/>
    <w:rsid w:val="00A77FCA"/>
    <w:rsid w:val="00A8377D"/>
    <w:rsid w:val="00AA7322"/>
    <w:rsid w:val="00AB74BE"/>
    <w:rsid w:val="00AE0845"/>
    <w:rsid w:val="00AE4C8C"/>
    <w:rsid w:val="00AF0C0C"/>
    <w:rsid w:val="00AF2F4D"/>
    <w:rsid w:val="00AF6B00"/>
    <w:rsid w:val="00AF7107"/>
    <w:rsid w:val="00B01E0C"/>
    <w:rsid w:val="00B25FAB"/>
    <w:rsid w:val="00B34F30"/>
    <w:rsid w:val="00B41923"/>
    <w:rsid w:val="00B44238"/>
    <w:rsid w:val="00B44F76"/>
    <w:rsid w:val="00B4570D"/>
    <w:rsid w:val="00B541DD"/>
    <w:rsid w:val="00B61475"/>
    <w:rsid w:val="00B61E85"/>
    <w:rsid w:val="00B62780"/>
    <w:rsid w:val="00B70353"/>
    <w:rsid w:val="00B708F7"/>
    <w:rsid w:val="00BA2A68"/>
    <w:rsid w:val="00BA2B51"/>
    <w:rsid w:val="00BB546C"/>
    <w:rsid w:val="00BB5C3A"/>
    <w:rsid w:val="00BC1A68"/>
    <w:rsid w:val="00BC667B"/>
    <w:rsid w:val="00BD234D"/>
    <w:rsid w:val="00BD60A3"/>
    <w:rsid w:val="00BD6170"/>
    <w:rsid w:val="00BD7F53"/>
    <w:rsid w:val="00BE3A49"/>
    <w:rsid w:val="00BE3DAD"/>
    <w:rsid w:val="00BE42B4"/>
    <w:rsid w:val="00BE63C5"/>
    <w:rsid w:val="00BF04B8"/>
    <w:rsid w:val="00BF1A5E"/>
    <w:rsid w:val="00BF436F"/>
    <w:rsid w:val="00BF5062"/>
    <w:rsid w:val="00C04B4A"/>
    <w:rsid w:val="00C076F7"/>
    <w:rsid w:val="00C12E9A"/>
    <w:rsid w:val="00C21F2F"/>
    <w:rsid w:val="00C23471"/>
    <w:rsid w:val="00C240C1"/>
    <w:rsid w:val="00C24F79"/>
    <w:rsid w:val="00C303AE"/>
    <w:rsid w:val="00C51FBB"/>
    <w:rsid w:val="00C57BD2"/>
    <w:rsid w:val="00C61D5E"/>
    <w:rsid w:val="00C663B7"/>
    <w:rsid w:val="00C67452"/>
    <w:rsid w:val="00C7035B"/>
    <w:rsid w:val="00C736ED"/>
    <w:rsid w:val="00C97EB4"/>
    <w:rsid w:val="00CA362F"/>
    <w:rsid w:val="00CC0705"/>
    <w:rsid w:val="00CC2546"/>
    <w:rsid w:val="00CD0C2C"/>
    <w:rsid w:val="00CD18D4"/>
    <w:rsid w:val="00CD69A4"/>
    <w:rsid w:val="00CE1E39"/>
    <w:rsid w:val="00D04587"/>
    <w:rsid w:val="00D0554E"/>
    <w:rsid w:val="00D117E5"/>
    <w:rsid w:val="00D20846"/>
    <w:rsid w:val="00D24F98"/>
    <w:rsid w:val="00D33F6A"/>
    <w:rsid w:val="00D37C0B"/>
    <w:rsid w:val="00D449B7"/>
    <w:rsid w:val="00D51190"/>
    <w:rsid w:val="00D51F2D"/>
    <w:rsid w:val="00D52AA8"/>
    <w:rsid w:val="00D54969"/>
    <w:rsid w:val="00D55506"/>
    <w:rsid w:val="00D55CDB"/>
    <w:rsid w:val="00D609BE"/>
    <w:rsid w:val="00D67BF6"/>
    <w:rsid w:val="00D71E52"/>
    <w:rsid w:val="00D81473"/>
    <w:rsid w:val="00D819AE"/>
    <w:rsid w:val="00D83A42"/>
    <w:rsid w:val="00D97E7E"/>
    <w:rsid w:val="00DA02DF"/>
    <w:rsid w:val="00DA16CC"/>
    <w:rsid w:val="00DC08A8"/>
    <w:rsid w:val="00DD0D5D"/>
    <w:rsid w:val="00DE6A29"/>
    <w:rsid w:val="00DF00BF"/>
    <w:rsid w:val="00DF2164"/>
    <w:rsid w:val="00DF5C0E"/>
    <w:rsid w:val="00E037B6"/>
    <w:rsid w:val="00E064A0"/>
    <w:rsid w:val="00E16B7C"/>
    <w:rsid w:val="00E20589"/>
    <w:rsid w:val="00E225A4"/>
    <w:rsid w:val="00E226B1"/>
    <w:rsid w:val="00E43249"/>
    <w:rsid w:val="00E453AA"/>
    <w:rsid w:val="00E56A2C"/>
    <w:rsid w:val="00E75526"/>
    <w:rsid w:val="00E75C57"/>
    <w:rsid w:val="00E76CBF"/>
    <w:rsid w:val="00E94B40"/>
    <w:rsid w:val="00EB30B3"/>
    <w:rsid w:val="00EB5E64"/>
    <w:rsid w:val="00EC404A"/>
    <w:rsid w:val="00EC7567"/>
    <w:rsid w:val="00ED350A"/>
    <w:rsid w:val="00ED5E0C"/>
    <w:rsid w:val="00ED6425"/>
    <w:rsid w:val="00EE310C"/>
    <w:rsid w:val="00EE470E"/>
    <w:rsid w:val="00EE4B77"/>
    <w:rsid w:val="00EE695B"/>
    <w:rsid w:val="00EF1E5D"/>
    <w:rsid w:val="00EF37BB"/>
    <w:rsid w:val="00EF4A43"/>
    <w:rsid w:val="00EF6337"/>
    <w:rsid w:val="00EF745F"/>
    <w:rsid w:val="00F01318"/>
    <w:rsid w:val="00F07095"/>
    <w:rsid w:val="00F124AC"/>
    <w:rsid w:val="00F20998"/>
    <w:rsid w:val="00F47771"/>
    <w:rsid w:val="00F55BD7"/>
    <w:rsid w:val="00F74FAD"/>
    <w:rsid w:val="00F83D7A"/>
    <w:rsid w:val="00F93203"/>
    <w:rsid w:val="00FA4B81"/>
    <w:rsid w:val="00FC1F1A"/>
    <w:rsid w:val="00FD3AC6"/>
    <w:rsid w:val="00FE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Paris Heading 1"/>
    <w:basedOn w:val="Normal"/>
    <w:next w:val="Normal"/>
    <w:qFormat/>
    <w:pPr>
      <w:keepNext/>
      <w:outlineLvl w:val="0"/>
    </w:pPr>
    <w:rPr>
      <w:b/>
      <w:bCs/>
      <w:szCs w:val="20"/>
    </w:rPr>
  </w:style>
  <w:style w:type="paragraph" w:styleId="Heading2">
    <w:name w:val="heading 2"/>
    <w:aliases w:val="Heading 2 Paris doc"/>
    <w:basedOn w:val="Normal"/>
    <w:next w:val="Normal"/>
    <w:qFormat/>
    <w:pPr>
      <w:keepNext/>
      <w:outlineLvl w:val="1"/>
    </w:pPr>
    <w:rPr>
      <w:szCs w:val="20"/>
    </w:rPr>
  </w:style>
  <w:style w:type="paragraph" w:styleId="Heading3">
    <w:name w:val="heading 3"/>
    <w:basedOn w:val="Normal"/>
    <w:next w:val="Normal"/>
    <w:qFormat/>
    <w:pPr>
      <w:keepNext/>
      <w:jc w:val="center"/>
      <w:outlineLvl w:val="2"/>
    </w:pPr>
    <w:rPr>
      <w:b/>
      <w:bCs/>
      <w:lang w:val="es-ES"/>
    </w:rPr>
  </w:style>
  <w:style w:type="paragraph" w:styleId="Heading4">
    <w:name w:val="heading 4"/>
    <w:basedOn w:val="Normal"/>
    <w:next w:val="Normal"/>
    <w:qFormat/>
    <w:pPr>
      <w:keepNext/>
      <w:ind w:left="-34"/>
      <w:jc w:val="both"/>
      <w:outlineLvl w:val="3"/>
    </w:pPr>
    <w:rPr>
      <w:b/>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rPr>
      <w:lang w:val="es-ES" w:eastAsia="es-ES"/>
    </w:rPr>
  </w:style>
  <w:style w:type="paragraph" w:styleId="BodyTextIndent">
    <w:name w:val="Body Text Indent"/>
    <w:basedOn w:val="Normal"/>
    <w:pPr>
      <w:ind w:left="1080"/>
      <w:jc w:val="both"/>
    </w:pPr>
    <w:rPr>
      <w:sz w:val="20"/>
      <w:szCs w:val="20"/>
      <w:lang w:val="es-ES_tradnl"/>
    </w:rPr>
  </w:style>
  <w:style w:type="paragraph" w:styleId="BodyTextIndent2">
    <w:name w:val="Body Text Indent 2"/>
    <w:basedOn w:val="Normal"/>
    <w:pPr>
      <w:ind w:left="810"/>
    </w:pPr>
    <w:rPr>
      <w:szCs w:val="20"/>
      <w:lang w:val="es-ES_tradnl"/>
    </w:rPr>
  </w:style>
  <w:style w:type="character" w:styleId="FootnoteReference">
    <w:name w:val="footnote reference"/>
    <w:semiHidden/>
    <w:rPr>
      <w:vertAlign w:val="superscript"/>
    </w:rPr>
  </w:style>
  <w:style w:type="paragraph" w:styleId="FootnoteText">
    <w:name w:val="footnote text"/>
    <w:basedOn w:val="Normal"/>
    <w:semiHidden/>
    <w:rPr>
      <w:szCs w:val="20"/>
      <w:lang w:val="es-ES_tradn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lang w:val="es-ES_tradnl"/>
    </w:rPr>
  </w:style>
  <w:style w:type="paragraph" w:styleId="Footer">
    <w:name w:val="footer"/>
    <w:basedOn w:val="Normal"/>
    <w:pPr>
      <w:tabs>
        <w:tab w:val="center" w:pos="4320"/>
        <w:tab w:val="right" w:pos="8640"/>
      </w:tabs>
    </w:pPr>
  </w:style>
  <w:style w:type="paragraph" w:styleId="BodyTextIndent3">
    <w:name w:val="Body Text Indent 3"/>
    <w:basedOn w:val="Normal"/>
    <w:pPr>
      <w:ind w:left="360"/>
      <w:jc w:val="both"/>
    </w:pPr>
    <w:rPr>
      <w:lang w:val="es-ES"/>
    </w:rPr>
  </w:style>
  <w:style w:type="character" w:styleId="Hyperlink">
    <w:name w:val="Hyperlink"/>
    <w:rPr>
      <w:color w:val="0000FF"/>
      <w:u w:val="single"/>
    </w:rPr>
  </w:style>
  <w:style w:type="table" w:styleId="TableGrid">
    <w:name w:val="Table Grid"/>
    <w:basedOn w:val="TableNormal"/>
    <w:rsid w:val="00ED5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8677C"/>
    <w:rPr>
      <w:color w:val="800080"/>
      <w:u w:val="single"/>
    </w:rPr>
  </w:style>
  <w:style w:type="character" w:styleId="CommentReference">
    <w:name w:val="annotation reference"/>
    <w:rsid w:val="00483997"/>
    <w:rPr>
      <w:sz w:val="16"/>
      <w:szCs w:val="16"/>
    </w:rPr>
  </w:style>
  <w:style w:type="paragraph" w:styleId="CommentText">
    <w:name w:val="annotation text"/>
    <w:basedOn w:val="Normal"/>
    <w:link w:val="CommentTextChar"/>
    <w:rsid w:val="00483997"/>
    <w:rPr>
      <w:sz w:val="20"/>
      <w:szCs w:val="20"/>
    </w:rPr>
  </w:style>
  <w:style w:type="character" w:customStyle="1" w:styleId="CommentTextChar">
    <w:name w:val="Comment Text Char"/>
    <w:basedOn w:val="DefaultParagraphFont"/>
    <w:link w:val="CommentText"/>
    <w:rsid w:val="00483997"/>
  </w:style>
  <w:style w:type="paragraph" w:customStyle="1" w:styleId="Chapter">
    <w:name w:val="Chapter"/>
    <w:basedOn w:val="Normal"/>
    <w:next w:val="Normal"/>
    <w:rsid w:val="00624CD5"/>
    <w:pPr>
      <w:keepNext/>
      <w:numPr>
        <w:numId w:val="22"/>
      </w:numPr>
      <w:tabs>
        <w:tab w:val="left" w:pos="1440"/>
      </w:tabs>
      <w:spacing w:before="240" w:after="240"/>
      <w:jc w:val="center"/>
    </w:pPr>
    <w:rPr>
      <w:b/>
      <w:smallCaps/>
      <w:szCs w:val="20"/>
    </w:rPr>
  </w:style>
  <w:style w:type="paragraph" w:customStyle="1" w:styleId="Paragraph">
    <w:name w:val="Paragraph"/>
    <w:aliases w:val="p,PARAGRAPH,PG,pa,at,paragraph"/>
    <w:basedOn w:val="BodyTextIndent"/>
    <w:link w:val="ParagraphChar"/>
    <w:rsid w:val="00624CD5"/>
    <w:pPr>
      <w:numPr>
        <w:ilvl w:val="1"/>
        <w:numId w:val="22"/>
      </w:numPr>
      <w:spacing w:before="120" w:after="120"/>
      <w:outlineLvl w:val="1"/>
    </w:pPr>
    <w:rPr>
      <w:sz w:val="24"/>
      <w:lang w:val="en-US"/>
    </w:rPr>
  </w:style>
  <w:style w:type="paragraph" w:customStyle="1" w:styleId="subpar">
    <w:name w:val="subpar"/>
    <w:basedOn w:val="BodyTextIndent3"/>
    <w:rsid w:val="00624CD5"/>
    <w:pPr>
      <w:numPr>
        <w:ilvl w:val="2"/>
        <w:numId w:val="22"/>
      </w:numPr>
      <w:tabs>
        <w:tab w:val="clear" w:pos="2304"/>
        <w:tab w:val="num" w:pos="1152"/>
      </w:tabs>
      <w:spacing w:before="120" w:after="120"/>
      <w:ind w:left="1152"/>
      <w:outlineLvl w:val="2"/>
    </w:pPr>
    <w:rPr>
      <w:szCs w:val="20"/>
      <w:lang w:val="en-US"/>
    </w:rPr>
  </w:style>
  <w:style w:type="paragraph" w:customStyle="1" w:styleId="SubSubPar">
    <w:name w:val="SubSubPar"/>
    <w:basedOn w:val="subpar"/>
    <w:rsid w:val="00624CD5"/>
    <w:pPr>
      <w:numPr>
        <w:ilvl w:val="3"/>
      </w:numPr>
      <w:tabs>
        <w:tab w:val="clear" w:pos="2736"/>
        <w:tab w:val="left" w:pos="0"/>
        <w:tab w:val="num" w:pos="1296"/>
      </w:tabs>
      <w:ind w:left="1296"/>
    </w:pPr>
  </w:style>
  <w:style w:type="character" w:customStyle="1" w:styleId="ParagraphChar">
    <w:name w:val="Paragraph Char"/>
    <w:basedOn w:val="DefaultParagraphFont"/>
    <w:link w:val="Paragraph"/>
    <w:rsid w:val="00624CD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Paris Heading 1"/>
    <w:basedOn w:val="Normal"/>
    <w:next w:val="Normal"/>
    <w:qFormat/>
    <w:pPr>
      <w:keepNext/>
      <w:outlineLvl w:val="0"/>
    </w:pPr>
    <w:rPr>
      <w:b/>
      <w:bCs/>
      <w:szCs w:val="20"/>
    </w:rPr>
  </w:style>
  <w:style w:type="paragraph" w:styleId="Heading2">
    <w:name w:val="heading 2"/>
    <w:aliases w:val="Heading 2 Paris doc"/>
    <w:basedOn w:val="Normal"/>
    <w:next w:val="Normal"/>
    <w:qFormat/>
    <w:pPr>
      <w:keepNext/>
      <w:outlineLvl w:val="1"/>
    </w:pPr>
    <w:rPr>
      <w:szCs w:val="20"/>
    </w:rPr>
  </w:style>
  <w:style w:type="paragraph" w:styleId="Heading3">
    <w:name w:val="heading 3"/>
    <w:basedOn w:val="Normal"/>
    <w:next w:val="Normal"/>
    <w:qFormat/>
    <w:pPr>
      <w:keepNext/>
      <w:jc w:val="center"/>
      <w:outlineLvl w:val="2"/>
    </w:pPr>
    <w:rPr>
      <w:b/>
      <w:bCs/>
      <w:lang w:val="es-ES"/>
    </w:rPr>
  </w:style>
  <w:style w:type="paragraph" w:styleId="Heading4">
    <w:name w:val="heading 4"/>
    <w:basedOn w:val="Normal"/>
    <w:next w:val="Normal"/>
    <w:qFormat/>
    <w:pPr>
      <w:keepNext/>
      <w:ind w:left="-34"/>
      <w:jc w:val="both"/>
      <w:outlineLvl w:val="3"/>
    </w:pPr>
    <w:rPr>
      <w:b/>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rPr>
      <w:lang w:val="es-ES" w:eastAsia="es-ES"/>
    </w:rPr>
  </w:style>
  <w:style w:type="paragraph" w:styleId="BodyTextIndent">
    <w:name w:val="Body Text Indent"/>
    <w:basedOn w:val="Normal"/>
    <w:pPr>
      <w:ind w:left="1080"/>
      <w:jc w:val="both"/>
    </w:pPr>
    <w:rPr>
      <w:sz w:val="20"/>
      <w:szCs w:val="20"/>
      <w:lang w:val="es-ES_tradnl"/>
    </w:rPr>
  </w:style>
  <w:style w:type="paragraph" w:styleId="BodyTextIndent2">
    <w:name w:val="Body Text Indent 2"/>
    <w:basedOn w:val="Normal"/>
    <w:pPr>
      <w:ind w:left="810"/>
    </w:pPr>
    <w:rPr>
      <w:szCs w:val="20"/>
      <w:lang w:val="es-ES_tradnl"/>
    </w:rPr>
  </w:style>
  <w:style w:type="character" w:styleId="FootnoteReference">
    <w:name w:val="footnote reference"/>
    <w:semiHidden/>
    <w:rPr>
      <w:vertAlign w:val="superscript"/>
    </w:rPr>
  </w:style>
  <w:style w:type="paragraph" w:styleId="FootnoteText">
    <w:name w:val="footnote text"/>
    <w:basedOn w:val="Normal"/>
    <w:semiHidden/>
    <w:rPr>
      <w:szCs w:val="20"/>
      <w:lang w:val="es-ES_tradn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lang w:val="es-ES_tradnl"/>
    </w:rPr>
  </w:style>
  <w:style w:type="paragraph" w:styleId="Footer">
    <w:name w:val="footer"/>
    <w:basedOn w:val="Normal"/>
    <w:pPr>
      <w:tabs>
        <w:tab w:val="center" w:pos="4320"/>
        <w:tab w:val="right" w:pos="8640"/>
      </w:tabs>
    </w:pPr>
  </w:style>
  <w:style w:type="paragraph" w:styleId="BodyTextIndent3">
    <w:name w:val="Body Text Indent 3"/>
    <w:basedOn w:val="Normal"/>
    <w:pPr>
      <w:ind w:left="360"/>
      <w:jc w:val="both"/>
    </w:pPr>
    <w:rPr>
      <w:lang w:val="es-ES"/>
    </w:rPr>
  </w:style>
  <w:style w:type="character" w:styleId="Hyperlink">
    <w:name w:val="Hyperlink"/>
    <w:rPr>
      <w:color w:val="0000FF"/>
      <w:u w:val="single"/>
    </w:rPr>
  </w:style>
  <w:style w:type="table" w:styleId="TableGrid">
    <w:name w:val="Table Grid"/>
    <w:basedOn w:val="TableNormal"/>
    <w:rsid w:val="00ED5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8677C"/>
    <w:rPr>
      <w:color w:val="800080"/>
      <w:u w:val="single"/>
    </w:rPr>
  </w:style>
  <w:style w:type="character" w:styleId="CommentReference">
    <w:name w:val="annotation reference"/>
    <w:rsid w:val="00483997"/>
    <w:rPr>
      <w:sz w:val="16"/>
      <w:szCs w:val="16"/>
    </w:rPr>
  </w:style>
  <w:style w:type="paragraph" w:styleId="CommentText">
    <w:name w:val="annotation text"/>
    <w:basedOn w:val="Normal"/>
    <w:link w:val="CommentTextChar"/>
    <w:rsid w:val="00483997"/>
    <w:rPr>
      <w:sz w:val="20"/>
      <w:szCs w:val="20"/>
    </w:rPr>
  </w:style>
  <w:style w:type="character" w:customStyle="1" w:styleId="CommentTextChar">
    <w:name w:val="Comment Text Char"/>
    <w:basedOn w:val="DefaultParagraphFont"/>
    <w:link w:val="CommentText"/>
    <w:rsid w:val="00483997"/>
  </w:style>
  <w:style w:type="paragraph" w:customStyle="1" w:styleId="Chapter">
    <w:name w:val="Chapter"/>
    <w:basedOn w:val="Normal"/>
    <w:next w:val="Normal"/>
    <w:rsid w:val="00624CD5"/>
    <w:pPr>
      <w:keepNext/>
      <w:numPr>
        <w:numId w:val="22"/>
      </w:numPr>
      <w:tabs>
        <w:tab w:val="left" w:pos="1440"/>
      </w:tabs>
      <w:spacing w:before="240" w:after="240"/>
      <w:jc w:val="center"/>
    </w:pPr>
    <w:rPr>
      <w:b/>
      <w:smallCaps/>
      <w:szCs w:val="20"/>
    </w:rPr>
  </w:style>
  <w:style w:type="paragraph" w:customStyle="1" w:styleId="Paragraph">
    <w:name w:val="Paragraph"/>
    <w:aliases w:val="p,PARAGRAPH,PG,pa,at,paragraph"/>
    <w:basedOn w:val="BodyTextIndent"/>
    <w:link w:val="ParagraphChar"/>
    <w:rsid w:val="00624CD5"/>
    <w:pPr>
      <w:numPr>
        <w:ilvl w:val="1"/>
        <w:numId w:val="22"/>
      </w:numPr>
      <w:spacing w:before="120" w:after="120"/>
      <w:outlineLvl w:val="1"/>
    </w:pPr>
    <w:rPr>
      <w:sz w:val="24"/>
      <w:lang w:val="en-US"/>
    </w:rPr>
  </w:style>
  <w:style w:type="paragraph" w:customStyle="1" w:styleId="subpar">
    <w:name w:val="subpar"/>
    <w:basedOn w:val="BodyTextIndent3"/>
    <w:rsid w:val="00624CD5"/>
    <w:pPr>
      <w:numPr>
        <w:ilvl w:val="2"/>
        <w:numId w:val="22"/>
      </w:numPr>
      <w:tabs>
        <w:tab w:val="clear" w:pos="2304"/>
        <w:tab w:val="num" w:pos="1152"/>
      </w:tabs>
      <w:spacing w:before="120" w:after="120"/>
      <w:ind w:left="1152"/>
      <w:outlineLvl w:val="2"/>
    </w:pPr>
    <w:rPr>
      <w:szCs w:val="20"/>
      <w:lang w:val="en-US"/>
    </w:rPr>
  </w:style>
  <w:style w:type="paragraph" w:customStyle="1" w:styleId="SubSubPar">
    <w:name w:val="SubSubPar"/>
    <w:basedOn w:val="subpar"/>
    <w:rsid w:val="00624CD5"/>
    <w:pPr>
      <w:numPr>
        <w:ilvl w:val="3"/>
      </w:numPr>
      <w:tabs>
        <w:tab w:val="clear" w:pos="2736"/>
        <w:tab w:val="left" w:pos="0"/>
        <w:tab w:val="num" w:pos="1296"/>
      </w:tabs>
      <w:ind w:left="1296"/>
    </w:pPr>
  </w:style>
  <w:style w:type="character" w:customStyle="1" w:styleId="ParagraphChar">
    <w:name w:val="Paragraph Char"/>
    <w:basedOn w:val="DefaultParagraphFont"/>
    <w:link w:val="Paragraph"/>
    <w:rsid w:val="00624C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mso-contentType ?>
<FormUrls xmlns="http://schemas.microsoft.com/sharepoint/v3/contenttype/forms/url">
  <Display>_catalogs/masterpage/ECMForms/OperationsCT/View.aspx</Display>
  <Edit>_catalogs/masterpage/ECMForms/OperationsCT/Edit.aspx</Edit>
</FormUrls>
</file>

<file path=customXml/item11.xml><?xml version="1.0" encoding="utf-8"?>
<?mso-contentType ?>
<FormUrls xmlns="http://schemas.microsoft.com/sharepoint/v3/contenttype/forms/url">
  <Display>_catalogs/masterpage/ECMForms/OperationsCT/View.aspx</Display>
  <Edit>_catalogs/masterpage/ECMForms/OperationsCT/Edit.aspx</Edit>
</FormUrls>
</file>

<file path=customXml/item12.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E9C3FFE4691EC64A934017225A2DE873" ma:contentTypeVersion="1671" ma:contentTypeDescription="The base project type from which other project content types inherit their information." ma:contentTypeScope="" ma:versionID="07e9b51804e58abbb1321fa0f6322b09">
  <xsd:schema xmlns:xsd="http://www.w3.org/2001/XMLSchema" xmlns:xs="http://www.w3.org/2001/XMLSchema" xmlns:p="http://schemas.microsoft.com/office/2006/metadata/properties" xmlns:ns2="cdc7663a-08f0-4737-9e8c-148ce897a09c" targetNamespace="http://schemas.microsoft.com/office/2006/metadata/properties" ma:root="true" ma:fieldsID="0bf517080ced17408f998f322b7f179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CO-L1128"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R0002733400</Record_x0020_Number>
    <Key_x0020_Document xmlns="cdc7663a-08f0-4737-9e8c-148ce897a09c">false</Key_x0020_Document>
    <Division_x0020_or_x0020_Unit xmlns="cdc7663a-08f0-4737-9e8c-148ce897a09c">SCL/LMK</Division_x0020_or_x0020_Unit>
    <Other_x0020_Author xmlns="cdc7663a-08f0-4737-9e8c-148ce897a09c" xsi:nil="true"/>
    <IDBDocs_x0020_Number xmlns="cdc7663a-08f0-4737-9e8c-148ce897a09c">37763414</IDBDocs_x0020_Number>
    <Document_x0020_Author xmlns="cdc7663a-08f0-4737-9e8c-148ce897a09c">Rosas Shady, G. David</Document_x0020_Author>
    <Operation_x0020_Type xmlns="cdc7663a-08f0-4737-9e8c-148ce897a09c" xsi:nil="true"/>
    <TaxCatchAll xmlns="cdc7663a-08f0-4737-9e8c-148ce897a09c">
      <Value>27</Value>
      <Value>11</Value>
      <Value>1</Value>
    </TaxCatchAll>
    <Fiscal_x0020_Year_x0020_IDB xmlns="cdc7663a-08f0-4737-9e8c-148ce897a09c">2013</Fiscal_x0020_Year_x0020_IDB>
    <Project_x0020_Number xmlns="cdc7663a-08f0-4737-9e8c-148ce897a09c">CO-L1128</Project_x0020_Number>
    <Package_x0020_Code xmlns="cdc7663a-08f0-4737-9e8c-148ce897a09c" xsi:nil="true"/>
    <Migration_x0020_Info xmlns="cdc7663a-08f0-4737-9e8c-148ce897a09c">MS WORDLPLoan ProposalDEBoard of Executive Directors0Oct  9 2013 12&amp;#58;00AMNAndean Community</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EZSHARE-2031497570-32</_dlc_DocId>
    <From_x003a_ xmlns="cdc7663a-08f0-4737-9e8c-148ce897a09c" xsi:nil="true"/>
    <To_x003a_ xmlns="cdc7663a-08f0-4737-9e8c-148ce897a09c" xsi:nil="true"/>
    <_dlc_DocIdUrl xmlns="cdc7663a-08f0-4737-9e8c-148ce897a09c">
      <Url>https://idbg.sharepoint.com/teams/EZ-CO-LON/CO-L1128/_layouts/15/DocIdRedir.aspx?ID=EZSHARE-2031497570-32</Url>
      <Description>EZSHARE-2031497570-32</Description>
    </_dlc_DocIdUrl>
  </documentManagement>
</p:properti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CFDB8FEA-DAFF-4F5D-9BA3-8871C3BC6CAE}"/>
</file>

<file path=customXml/itemProps10.xml><?xml version="1.0" encoding="utf-8"?>
<ds:datastoreItem xmlns:ds="http://schemas.openxmlformats.org/officeDocument/2006/customXml" ds:itemID="{790C44CC-849B-4F2D-8583-21E2DC4576F8}"/>
</file>

<file path=customXml/itemProps11.xml><?xml version="1.0" encoding="utf-8"?>
<ds:datastoreItem xmlns:ds="http://schemas.openxmlformats.org/officeDocument/2006/customXml" ds:itemID="{E370B91F-CFA5-4B11-9B16-49B82053401E}"/>
</file>

<file path=customXml/itemProps12.xml><?xml version="1.0" encoding="utf-8"?>
<ds:datastoreItem xmlns:ds="http://schemas.openxmlformats.org/officeDocument/2006/customXml" ds:itemID="{9BC90FDE-81B2-4DBD-BE06-2F827ED8E289}"/>
</file>

<file path=customXml/itemProps2.xml><?xml version="1.0" encoding="utf-8"?>
<ds:datastoreItem xmlns:ds="http://schemas.openxmlformats.org/officeDocument/2006/customXml" ds:itemID="{5B66F3AD-D2F1-4948-9FA7-03E75493D696}"/>
</file>

<file path=customXml/itemProps3.xml><?xml version="1.0" encoding="utf-8"?>
<ds:datastoreItem xmlns:ds="http://schemas.openxmlformats.org/officeDocument/2006/customXml" ds:itemID="{178B6D7A-D327-432A-8BF3-05CDE91BB295}"/>
</file>

<file path=customXml/itemProps4.xml><?xml version="1.0" encoding="utf-8"?>
<ds:datastoreItem xmlns:ds="http://schemas.openxmlformats.org/officeDocument/2006/customXml" ds:itemID="{82D7C404-44F2-4A44-9B68-B97B296D83A4}"/>
</file>

<file path=customXml/itemProps5.xml><?xml version="1.0" encoding="utf-8"?>
<ds:datastoreItem xmlns:ds="http://schemas.openxmlformats.org/officeDocument/2006/customXml" ds:itemID="{413BA057-5A63-4323-976D-364A03474C96}"/>
</file>

<file path=customXml/itemProps6.xml><?xml version="1.0" encoding="utf-8"?>
<ds:datastoreItem xmlns:ds="http://schemas.openxmlformats.org/officeDocument/2006/customXml" ds:itemID="{D98E8B79-84CC-475C-A5D1-663FD51309F7}"/>
</file>

<file path=customXml/itemProps7.xml><?xml version="1.0" encoding="utf-8"?>
<ds:datastoreItem xmlns:ds="http://schemas.openxmlformats.org/officeDocument/2006/customXml" ds:itemID="{105DBD6D-B4B4-4B3F-9882-2BB33F8A79C0}"/>
</file>

<file path=customXml/itemProps8.xml><?xml version="1.0" encoding="utf-8"?>
<ds:datastoreItem xmlns:ds="http://schemas.openxmlformats.org/officeDocument/2006/customXml" ds:itemID="{42C07702-09F7-4A98-86B5-1A218B9D20EE}"/>
</file>

<file path=customXml/itemProps9.xml><?xml version="1.0" encoding="utf-8"?>
<ds:datastoreItem xmlns:ds="http://schemas.openxmlformats.org/officeDocument/2006/customXml" ds:itemID="{A5543D9B-4015-4D8D-8901-0EB7316EA43D}"/>
</file>

<file path=docProps/app.xml><?xml version="1.0" encoding="utf-8"?>
<Properties xmlns="http://schemas.openxmlformats.org/officeDocument/2006/extended-properties" xmlns:vt="http://schemas.openxmlformats.org/officeDocument/2006/docPropsVTypes">
  <Template>Normal.dotm</Template>
  <TotalTime>6</TotalTime>
  <Pages>4</Pages>
  <Words>1216</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AYUDA MEMORIA</vt:lpstr>
    </vt:vector>
  </TitlesOfParts>
  <Company>Inter-American Development Bank</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Resultados - Elink COL1128 POD a QRR</dc:title>
  <dc:creator>FERNANDOB</dc:creator>
  <cp:lastModifiedBy>Test</cp:lastModifiedBy>
  <cp:revision>5</cp:revision>
  <cp:lastPrinted>2013-05-22T15:23:00Z</cp:lastPrinted>
  <dcterms:created xsi:type="dcterms:W3CDTF">2013-05-29T20:17:00Z</dcterms:created>
  <dcterms:modified xsi:type="dcterms:W3CDTF">2013-06-13T20:19:00Z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0x010100ACF722E9F6B0B149B0CD8BE2560A667200E9C3FFE4691EC64A934017225A2DE873</vt:lpwstr>
  </property>
  <property fmtid="{D5CDD505-2E9C-101B-9397-08002B2CF9AE}" pid="5" name="TaxKeywordTaxHTField">
    <vt:lpwstr/>
  </property>
  <property fmtid="{D5CDD505-2E9C-101B-9397-08002B2CF9AE}" pid="6" name="Series Operations IDB">
    <vt:lpwstr>14;#Loan Proposal|6ee86b6f-6e46-485b-8bfb-87a1f44622ac</vt:lpwstr>
  </property>
  <property fmtid="{D5CDD505-2E9C-101B-9397-08002B2CF9AE}" pid="7" name="Sub-Sector">
    <vt:lpwstr/>
  </property>
  <property fmtid="{D5CDD505-2E9C-101B-9397-08002B2CF9AE}" pid="8" name="Country">
    <vt:lpwstr>27;#Colombia|c7d386d6-75f3-4fc0-bde8-e021ccd68f5c</vt:lpwstr>
  </property>
  <property fmtid="{D5CDD505-2E9C-101B-9397-08002B2CF9AE}" pid="9" name="Fund IDB">
    <vt:lpwstr/>
  </property>
  <property fmtid="{D5CDD505-2E9C-101B-9397-08002B2CF9AE}" pid="10" name="Series_x0020_Operations_x0020_IDB">
    <vt:lpwstr>14;#Loan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6" name="Disclosure Activity">
    <vt:lpwstr>Loan Proposal</vt:lpwstr>
  </property>
  <property fmtid="{D5CDD505-2E9C-101B-9397-08002B2CF9AE}" pid="20" name="Webtopic">
    <vt:lpwstr>Employment and the Workforce;Labor and Training</vt:lpwstr>
  </property>
  <property fmtid="{D5CDD505-2E9C-101B-9397-08002B2CF9AE}" pid="22" name="Disclosed">
    <vt:bool>true</vt:bool>
  </property>
  <property fmtid="{D5CDD505-2E9C-101B-9397-08002B2CF9AE}" pid="26" name="_dlc_DocIdItemGuid">
    <vt:lpwstr>b64e2912-b6e8-4dd5-87b3-0e7df6971417</vt:lpwstr>
  </property>
</Properties>
</file>