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88" w:rsidRPr="007F1FD3" w:rsidRDefault="00336988" w:rsidP="009B24AA">
      <w:pPr>
        <w:spacing w:line="360" w:lineRule="auto"/>
        <w:jc w:val="center"/>
        <w:rPr>
          <w:rFonts w:ascii="Garamond" w:hAnsi="Garamond" w:cstheme="minorHAnsi"/>
        </w:rPr>
      </w:pPr>
    </w:p>
    <w:p w:rsidR="00336988" w:rsidRPr="007F1FD3" w:rsidRDefault="00336988" w:rsidP="009B24AA">
      <w:pPr>
        <w:spacing w:line="360" w:lineRule="auto"/>
        <w:jc w:val="center"/>
        <w:rPr>
          <w:rFonts w:ascii="Garamond" w:hAnsi="Garamond" w:cstheme="minorHAnsi"/>
        </w:rPr>
      </w:pPr>
    </w:p>
    <w:p w:rsidR="00336988" w:rsidRPr="007F1FD3" w:rsidRDefault="00336988" w:rsidP="009B24AA">
      <w:pPr>
        <w:spacing w:line="360" w:lineRule="auto"/>
        <w:jc w:val="center"/>
        <w:rPr>
          <w:rFonts w:ascii="Garamond" w:hAnsi="Garamond" w:cstheme="minorHAnsi"/>
        </w:rPr>
      </w:pPr>
    </w:p>
    <w:p w:rsidR="00336988" w:rsidRPr="007F1FD3" w:rsidRDefault="00336988" w:rsidP="009B24AA">
      <w:pPr>
        <w:spacing w:line="360" w:lineRule="auto"/>
        <w:jc w:val="center"/>
        <w:rPr>
          <w:rFonts w:ascii="Garamond" w:hAnsi="Garamond" w:cstheme="minorHAnsi"/>
        </w:rPr>
      </w:pPr>
    </w:p>
    <w:p w:rsidR="00336988" w:rsidRPr="007F1FD3" w:rsidRDefault="007F1FD3" w:rsidP="009B24AA">
      <w:pPr>
        <w:spacing w:line="360" w:lineRule="auto"/>
        <w:jc w:val="center"/>
        <w:rPr>
          <w:rFonts w:ascii="Garamond" w:hAnsi="Garamond" w:cstheme="minorHAnsi"/>
        </w:rPr>
      </w:pPr>
      <w:r>
        <w:rPr>
          <w:rFonts w:ascii="Garamond" w:hAnsi="Garamond" w:cstheme="minorHAnsi"/>
        </w:rPr>
        <w:t>DOCUMENT</w:t>
      </w:r>
      <w:r w:rsidR="00336988" w:rsidRPr="007F1FD3">
        <w:rPr>
          <w:rFonts w:ascii="Garamond" w:hAnsi="Garamond" w:cstheme="minorHAnsi"/>
        </w:rPr>
        <w:t xml:space="preserve"> OF THE INTER-AMERICAN DEVELOPMENT BANK</w:t>
      </w:r>
    </w:p>
    <w:p w:rsidR="00336988" w:rsidRPr="007F1FD3" w:rsidRDefault="00336988" w:rsidP="009B24AA">
      <w:pPr>
        <w:spacing w:line="360" w:lineRule="auto"/>
        <w:jc w:val="center"/>
        <w:rPr>
          <w:rFonts w:ascii="Garamond" w:hAnsi="Garamond" w:cstheme="minorHAnsi"/>
        </w:rPr>
      </w:pPr>
    </w:p>
    <w:p w:rsidR="007F1FD3" w:rsidRDefault="007F1FD3" w:rsidP="009B24AA">
      <w:pPr>
        <w:spacing w:line="360" w:lineRule="auto"/>
        <w:jc w:val="center"/>
        <w:rPr>
          <w:rFonts w:ascii="Garamond" w:hAnsi="Garamond" w:cstheme="minorHAnsi"/>
        </w:rPr>
      </w:pPr>
    </w:p>
    <w:p w:rsidR="00336988" w:rsidRPr="007F1FD3" w:rsidRDefault="00336988" w:rsidP="009B24AA">
      <w:pPr>
        <w:spacing w:line="360" w:lineRule="auto"/>
        <w:jc w:val="center"/>
        <w:rPr>
          <w:rFonts w:ascii="Garamond" w:hAnsi="Garamond" w:cstheme="minorHAnsi"/>
        </w:rPr>
      </w:pPr>
      <w:r w:rsidRPr="007F1FD3">
        <w:rPr>
          <w:rFonts w:ascii="Garamond" w:hAnsi="Garamond" w:cstheme="minorHAnsi"/>
        </w:rPr>
        <w:t>E</w:t>
      </w:r>
      <w:r w:rsidR="007C16F5" w:rsidRPr="007F1FD3">
        <w:rPr>
          <w:rFonts w:ascii="Garamond" w:hAnsi="Garamond" w:cstheme="minorHAnsi"/>
        </w:rPr>
        <w:t>CUADOR</w:t>
      </w:r>
    </w:p>
    <w:p w:rsidR="00336988" w:rsidRPr="007F1FD3" w:rsidRDefault="00336988" w:rsidP="009B24AA">
      <w:pPr>
        <w:spacing w:line="360" w:lineRule="auto"/>
        <w:jc w:val="center"/>
        <w:rPr>
          <w:rFonts w:ascii="Garamond" w:hAnsi="Garamond" w:cstheme="minorHAnsi"/>
        </w:rPr>
      </w:pPr>
      <w:r w:rsidRPr="007F1FD3">
        <w:rPr>
          <w:rFonts w:ascii="Garamond" w:hAnsi="Garamond" w:cstheme="minorHAnsi"/>
        </w:rPr>
        <w:t>CHIMBORAZO RURAL INVESTMENT PROJECT (PIDD)</w:t>
      </w:r>
    </w:p>
    <w:p w:rsidR="00336988" w:rsidRDefault="00DA530A" w:rsidP="009B24AA">
      <w:pPr>
        <w:spacing w:line="360" w:lineRule="auto"/>
        <w:jc w:val="center"/>
        <w:rPr>
          <w:rFonts w:ascii="Garamond" w:hAnsi="Garamond" w:cstheme="minorHAnsi"/>
        </w:rPr>
      </w:pPr>
      <w:r w:rsidRPr="007F1FD3">
        <w:rPr>
          <w:rFonts w:ascii="Garamond" w:hAnsi="Garamond" w:cstheme="minorHAnsi"/>
        </w:rPr>
        <w:t>(</w:t>
      </w:r>
      <w:r w:rsidR="005C2912" w:rsidRPr="007F1FD3">
        <w:rPr>
          <w:rFonts w:ascii="Garamond" w:hAnsi="Garamond" w:cstheme="minorHAnsi"/>
        </w:rPr>
        <w:t>EC-L1121</w:t>
      </w:r>
      <w:r w:rsidRPr="007F1FD3">
        <w:rPr>
          <w:rFonts w:ascii="Garamond" w:hAnsi="Garamond" w:cstheme="minorHAnsi"/>
        </w:rPr>
        <w:t>)</w:t>
      </w:r>
    </w:p>
    <w:p w:rsidR="007F1FD3" w:rsidRPr="007F1FD3" w:rsidRDefault="007F1FD3" w:rsidP="009B24AA">
      <w:pPr>
        <w:spacing w:line="360" w:lineRule="auto"/>
        <w:jc w:val="center"/>
        <w:rPr>
          <w:rFonts w:ascii="Garamond" w:hAnsi="Garamond" w:cstheme="minorHAnsi"/>
        </w:rPr>
      </w:pPr>
    </w:p>
    <w:p w:rsidR="00336988" w:rsidRPr="007F1FD3" w:rsidRDefault="00336988" w:rsidP="009B24AA">
      <w:pPr>
        <w:spacing w:line="360" w:lineRule="auto"/>
        <w:jc w:val="center"/>
        <w:rPr>
          <w:rFonts w:ascii="Garamond" w:hAnsi="Garamond" w:cstheme="minorHAnsi"/>
        </w:rPr>
      </w:pPr>
    </w:p>
    <w:p w:rsidR="00336988" w:rsidRPr="007F1FD3" w:rsidRDefault="00BC50EC" w:rsidP="009B24AA">
      <w:pPr>
        <w:tabs>
          <w:tab w:val="center" w:pos="4680"/>
          <w:tab w:val="left" w:pos="6932"/>
        </w:tabs>
        <w:spacing w:line="360" w:lineRule="auto"/>
        <w:rPr>
          <w:rFonts w:ascii="Garamond" w:hAnsi="Garamond" w:cstheme="minorHAnsi"/>
        </w:rPr>
      </w:pPr>
      <w:r w:rsidRPr="007F1FD3">
        <w:rPr>
          <w:rFonts w:ascii="Garamond" w:hAnsi="Garamond" w:cstheme="minorHAnsi"/>
        </w:rPr>
        <w:tab/>
      </w:r>
      <w:r w:rsidR="00336988" w:rsidRPr="007F1FD3">
        <w:rPr>
          <w:rFonts w:ascii="Garamond" w:hAnsi="Garamond" w:cstheme="minorHAnsi"/>
        </w:rPr>
        <w:t>EVALUATION PLAN</w:t>
      </w:r>
      <w:r w:rsidRPr="007F1FD3">
        <w:rPr>
          <w:rFonts w:ascii="Garamond" w:hAnsi="Garamond" w:cstheme="minorHAnsi"/>
          <w:vertAlign w:val="superscript"/>
        </w:rPr>
        <w:tab/>
      </w: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7F1FD3" w:rsidRDefault="007F1FD3" w:rsidP="009B24AA">
      <w:pPr>
        <w:spacing w:line="360" w:lineRule="auto"/>
        <w:jc w:val="center"/>
        <w:rPr>
          <w:rFonts w:ascii="Garamond" w:hAnsi="Garamond" w:cstheme="minorHAnsi"/>
        </w:rPr>
      </w:pPr>
    </w:p>
    <w:p w:rsidR="00336988" w:rsidRPr="007F1FD3" w:rsidRDefault="007F1FD3" w:rsidP="009B24AA">
      <w:pPr>
        <w:spacing w:line="360" w:lineRule="auto"/>
        <w:jc w:val="center"/>
        <w:rPr>
          <w:rFonts w:ascii="Garamond" w:hAnsi="Garamond" w:cstheme="minorHAnsi"/>
        </w:rPr>
      </w:pPr>
      <w:r>
        <w:rPr>
          <w:rFonts w:ascii="Garamond" w:hAnsi="Garamond" w:cstheme="minorHAnsi"/>
        </w:rPr>
        <w:br/>
      </w:r>
      <w:r w:rsidR="00445918" w:rsidRPr="007F1FD3">
        <w:rPr>
          <w:rFonts w:ascii="Garamond" w:hAnsi="Garamond" w:cstheme="minorHAnsi"/>
        </w:rPr>
        <w:t>CONTENT</w:t>
      </w:r>
    </w:p>
    <w:p w:rsidR="00DA530A" w:rsidRPr="007F1FD3" w:rsidRDefault="00445918" w:rsidP="009B24AA">
      <w:pPr>
        <w:spacing w:line="360" w:lineRule="auto"/>
        <w:jc w:val="center"/>
        <w:rPr>
          <w:rFonts w:ascii="Garamond" w:hAnsi="Garamond" w:cstheme="minorHAnsi"/>
        </w:rPr>
      </w:pPr>
      <w:r w:rsidRPr="007F1FD3">
        <w:rPr>
          <w:rFonts w:ascii="Garamond" w:hAnsi="Garamond" w:cstheme="minorHAnsi"/>
        </w:rPr>
        <w:t>EVALUATION PLAN SUMMARY</w:t>
      </w:r>
    </w:p>
    <w:p w:rsidR="00336988" w:rsidRPr="007F1FD3" w:rsidRDefault="00336988" w:rsidP="009B24AA">
      <w:pPr>
        <w:spacing w:line="360" w:lineRule="auto"/>
        <w:rPr>
          <w:rFonts w:ascii="Garamond" w:hAnsi="Garamond" w:cstheme="minorHAnsi"/>
        </w:rPr>
      </w:pPr>
    </w:p>
    <w:p w:rsidR="00336988" w:rsidRPr="007F1FD3" w:rsidRDefault="00DA530A" w:rsidP="009B24AA">
      <w:pPr>
        <w:pStyle w:val="NoSpacing"/>
        <w:numPr>
          <w:ilvl w:val="0"/>
          <w:numId w:val="6"/>
        </w:numPr>
        <w:spacing w:line="360" w:lineRule="auto"/>
        <w:rPr>
          <w:rFonts w:ascii="Garamond" w:hAnsi="Garamond" w:cstheme="minorHAnsi"/>
        </w:rPr>
      </w:pPr>
      <w:r w:rsidRPr="007F1FD3">
        <w:rPr>
          <w:rFonts w:ascii="Garamond" w:hAnsi="Garamond" w:cstheme="minorHAnsi"/>
        </w:rPr>
        <w:t>INTRODUCTION</w:t>
      </w:r>
    </w:p>
    <w:p w:rsidR="00DA530A" w:rsidRPr="007F1FD3" w:rsidRDefault="00DA530A" w:rsidP="009B24AA">
      <w:pPr>
        <w:pStyle w:val="NoSpacing"/>
        <w:spacing w:line="360" w:lineRule="auto"/>
        <w:rPr>
          <w:rFonts w:ascii="Garamond" w:hAnsi="Garamond" w:cstheme="minorHAnsi"/>
        </w:rPr>
      </w:pPr>
    </w:p>
    <w:p w:rsidR="00DA530A" w:rsidRPr="007F1FD3" w:rsidRDefault="00336988" w:rsidP="009B24AA">
      <w:pPr>
        <w:pStyle w:val="NoSpacing"/>
        <w:numPr>
          <w:ilvl w:val="0"/>
          <w:numId w:val="6"/>
        </w:numPr>
        <w:spacing w:line="360" w:lineRule="auto"/>
        <w:rPr>
          <w:rFonts w:ascii="Garamond" w:hAnsi="Garamond" w:cstheme="minorHAnsi"/>
        </w:rPr>
      </w:pPr>
      <w:r w:rsidRPr="007F1FD3">
        <w:rPr>
          <w:rFonts w:ascii="Garamond" w:hAnsi="Garamond" w:cstheme="minorHAnsi"/>
        </w:rPr>
        <w:t>M</w:t>
      </w:r>
      <w:r w:rsidR="00445918" w:rsidRPr="007F1FD3">
        <w:rPr>
          <w:rFonts w:ascii="Garamond" w:hAnsi="Garamond" w:cstheme="minorHAnsi"/>
        </w:rPr>
        <w:t>AIN EVALUATION QUESTION</w:t>
      </w:r>
      <w:r w:rsidR="005E5122" w:rsidRPr="007F1FD3">
        <w:rPr>
          <w:rFonts w:ascii="Garamond" w:hAnsi="Garamond" w:cstheme="minorHAnsi"/>
        </w:rPr>
        <w:t>S</w:t>
      </w:r>
    </w:p>
    <w:p w:rsidR="00445918" w:rsidRPr="007F1FD3" w:rsidRDefault="00445918" w:rsidP="009B24AA">
      <w:pPr>
        <w:pStyle w:val="NoSpacing"/>
        <w:spacing w:line="360" w:lineRule="auto"/>
        <w:rPr>
          <w:rFonts w:ascii="Garamond" w:hAnsi="Garamond" w:cstheme="minorHAnsi"/>
        </w:rPr>
      </w:pPr>
    </w:p>
    <w:p w:rsidR="00DA530A" w:rsidRPr="007F1FD3" w:rsidRDefault="00336988" w:rsidP="009B24AA">
      <w:pPr>
        <w:pStyle w:val="NoSpacing"/>
        <w:numPr>
          <w:ilvl w:val="0"/>
          <w:numId w:val="6"/>
        </w:numPr>
        <w:spacing w:line="360" w:lineRule="auto"/>
        <w:rPr>
          <w:rFonts w:ascii="Garamond" w:hAnsi="Garamond" w:cstheme="minorHAnsi"/>
        </w:rPr>
      </w:pPr>
      <w:r w:rsidRPr="007F1FD3">
        <w:rPr>
          <w:rFonts w:ascii="Garamond" w:hAnsi="Garamond" w:cstheme="minorHAnsi"/>
        </w:rPr>
        <w:t>K</w:t>
      </w:r>
      <w:r w:rsidR="00445918" w:rsidRPr="007F1FD3">
        <w:rPr>
          <w:rFonts w:ascii="Garamond" w:hAnsi="Garamond" w:cstheme="minorHAnsi"/>
        </w:rPr>
        <w:t>EY</w:t>
      </w:r>
      <w:r w:rsidRPr="007F1FD3">
        <w:rPr>
          <w:rFonts w:ascii="Garamond" w:hAnsi="Garamond" w:cstheme="minorHAnsi"/>
        </w:rPr>
        <w:t xml:space="preserve"> </w:t>
      </w:r>
      <w:r w:rsidR="00445918" w:rsidRPr="007F1FD3">
        <w:rPr>
          <w:rFonts w:ascii="Garamond" w:hAnsi="Garamond" w:cstheme="minorHAnsi"/>
        </w:rPr>
        <w:t>OUTCOME</w:t>
      </w:r>
      <w:r w:rsidRPr="007F1FD3">
        <w:rPr>
          <w:rFonts w:ascii="Garamond" w:hAnsi="Garamond" w:cstheme="minorHAnsi"/>
        </w:rPr>
        <w:t xml:space="preserve"> </w:t>
      </w:r>
      <w:r w:rsidR="00445918" w:rsidRPr="007F1FD3">
        <w:rPr>
          <w:rFonts w:ascii="Garamond" w:hAnsi="Garamond" w:cstheme="minorHAnsi"/>
        </w:rPr>
        <w:t>INDICATORS</w:t>
      </w:r>
      <w:r w:rsidR="00DA530A" w:rsidRPr="007F1FD3">
        <w:rPr>
          <w:rFonts w:ascii="Garamond" w:hAnsi="Garamond" w:cstheme="minorHAnsi"/>
        </w:rPr>
        <w:tab/>
      </w:r>
    </w:p>
    <w:p w:rsidR="00DA530A" w:rsidRPr="007F1FD3" w:rsidRDefault="00DA530A" w:rsidP="009B24AA">
      <w:pPr>
        <w:pStyle w:val="NoSpacing"/>
        <w:spacing w:line="360" w:lineRule="auto"/>
        <w:rPr>
          <w:rFonts w:ascii="Garamond" w:hAnsi="Garamond" w:cstheme="minorHAnsi"/>
        </w:rPr>
      </w:pPr>
    </w:p>
    <w:p w:rsidR="00023E8F" w:rsidRDefault="00445918" w:rsidP="009B24AA">
      <w:pPr>
        <w:pStyle w:val="NoSpacing"/>
        <w:numPr>
          <w:ilvl w:val="0"/>
          <w:numId w:val="6"/>
        </w:numPr>
        <w:spacing w:line="360" w:lineRule="auto"/>
        <w:rPr>
          <w:rFonts w:ascii="Garamond" w:hAnsi="Garamond" w:cstheme="minorHAnsi"/>
        </w:rPr>
      </w:pPr>
      <w:r w:rsidRPr="007F1FD3">
        <w:rPr>
          <w:rFonts w:ascii="Garamond" w:hAnsi="Garamond" w:cstheme="minorHAnsi"/>
        </w:rPr>
        <w:t>EVALUATION</w:t>
      </w:r>
      <w:r w:rsidR="00336988" w:rsidRPr="007F1FD3">
        <w:rPr>
          <w:rFonts w:ascii="Garamond" w:hAnsi="Garamond" w:cstheme="minorHAnsi"/>
        </w:rPr>
        <w:t xml:space="preserve"> </w:t>
      </w:r>
      <w:r w:rsidRPr="007F1FD3">
        <w:rPr>
          <w:rFonts w:ascii="Garamond" w:hAnsi="Garamond" w:cstheme="minorHAnsi"/>
        </w:rPr>
        <w:t>METHODOLOGY</w:t>
      </w:r>
    </w:p>
    <w:p w:rsidR="00023E8F" w:rsidRDefault="00023E8F" w:rsidP="009B24AA">
      <w:pPr>
        <w:pStyle w:val="NoSpacing"/>
        <w:spacing w:line="360" w:lineRule="auto"/>
        <w:rPr>
          <w:rFonts w:ascii="Garamond" w:hAnsi="Garamond" w:cstheme="minorHAnsi"/>
        </w:rPr>
      </w:pPr>
    </w:p>
    <w:p w:rsidR="00336988" w:rsidRPr="007F1FD3" w:rsidRDefault="00023E8F" w:rsidP="009B24AA">
      <w:pPr>
        <w:pStyle w:val="NoSpacing"/>
        <w:numPr>
          <w:ilvl w:val="0"/>
          <w:numId w:val="6"/>
        </w:numPr>
        <w:spacing w:line="360" w:lineRule="auto"/>
        <w:rPr>
          <w:rFonts w:ascii="Garamond" w:hAnsi="Garamond" w:cstheme="minorHAnsi"/>
        </w:rPr>
      </w:pPr>
      <w:r>
        <w:rPr>
          <w:rFonts w:ascii="Garamond" w:hAnsi="Garamond" w:cstheme="minorHAnsi"/>
        </w:rPr>
        <w:t>TECHNICAL AND PRACTICAL ASPECTS OF THE EVALUATION</w:t>
      </w:r>
    </w:p>
    <w:p w:rsidR="00DA530A" w:rsidRPr="007F1FD3" w:rsidRDefault="00DA530A" w:rsidP="009B24AA">
      <w:pPr>
        <w:pStyle w:val="NoSpacing"/>
        <w:spacing w:line="360" w:lineRule="auto"/>
        <w:rPr>
          <w:rFonts w:ascii="Garamond" w:hAnsi="Garamond" w:cstheme="minorHAnsi"/>
        </w:rPr>
      </w:pPr>
    </w:p>
    <w:p w:rsidR="00336988" w:rsidRPr="007F1FD3" w:rsidRDefault="00DA530A" w:rsidP="009B24AA">
      <w:pPr>
        <w:pStyle w:val="NoSpacing"/>
        <w:spacing w:line="360" w:lineRule="auto"/>
        <w:rPr>
          <w:rFonts w:ascii="Garamond" w:hAnsi="Garamond" w:cstheme="minorHAnsi"/>
        </w:rPr>
      </w:pPr>
      <w:r w:rsidRPr="007F1FD3">
        <w:rPr>
          <w:rFonts w:ascii="Garamond" w:hAnsi="Garamond" w:cstheme="minorHAnsi"/>
        </w:rPr>
        <w:t>REFERENCES</w:t>
      </w:r>
    </w:p>
    <w:p w:rsidR="00336988" w:rsidRPr="007F1FD3" w:rsidRDefault="00336988" w:rsidP="009B24AA">
      <w:pPr>
        <w:pStyle w:val="ListParagraph"/>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336988" w:rsidRPr="007F1FD3" w:rsidRDefault="00336988" w:rsidP="009B24AA">
      <w:pPr>
        <w:spacing w:line="360" w:lineRule="auto"/>
        <w:rPr>
          <w:rFonts w:ascii="Garamond" w:hAnsi="Garamond" w:cstheme="minorHAnsi"/>
        </w:rPr>
      </w:pPr>
    </w:p>
    <w:p w:rsidR="00C26703" w:rsidRPr="007F1FD3" w:rsidRDefault="00C26703" w:rsidP="009B24AA">
      <w:pPr>
        <w:spacing w:line="360" w:lineRule="auto"/>
        <w:rPr>
          <w:rFonts w:ascii="Garamond" w:hAnsi="Garamond" w:cstheme="minorHAnsi"/>
        </w:rPr>
      </w:pPr>
    </w:p>
    <w:p w:rsidR="00C26703" w:rsidRPr="007F1FD3" w:rsidRDefault="00C26703" w:rsidP="009B24AA">
      <w:pPr>
        <w:spacing w:line="360" w:lineRule="auto"/>
        <w:rPr>
          <w:rFonts w:ascii="Garamond" w:hAnsi="Garamond" w:cstheme="minorHAnsi"/>
        </w:rPr>
      </w:pPr>
    </w:p>
    <w:p w:rsidR="002921A3" w:rsidRPr="007F1FD3" w:rsidRDefault="002921A3" w:rsidP="009B24AA">
      <w:pPr>
        <w:spacing w:line="360" w:lineRule="auto"/>
        <w:rPr>
          <w:rFonts w:ascii="Garamond" w:hAnsi="Garamond" w:cstheme="minorHAnsi"/>
        </w:rPr>
      </w:pPr>
    </w:p>
    <w:p w:rsidR="00C26703" w:rsidRPr="007F1FD3" w:rsidRDefault="007C16F5" w:rsidP="009B24AA">
      <w:pPr>
        <w:pStyle w:val="ListParagraph"/>
        <w:numPr>
          <w:ilvl w:val="0"/>
          <w:numId w:val="2"/>
        </w:numPr>
        <w:spacing w:line="360" w:lineRule="auto"/>
        <w:rPr>
          <w:rFonts w:ascii="Garamond" w:hAnsi="Garamond" w:cstheme="minorHAnsi"/>
        </w:rPr>
      </w:pPr>
      <w:r w:rsidRPr="007F1FD3">
        <w:rPr>
          <w:rFonts w:ascii="Garamond" w:hAnsi="Garamond" w:cstheme="minorHAnsi"/>
        </w:rPr>
        <w:lastRenderedPageBreak/>
        <w:t>INTRODUCTION</w:t>
      </w:r>
    </w:p>
    <w:p w:rsidR="00AC072C" w:rsidRDefault="007A6785" w:rsidP="009B24AA">
      <w:pPr>
        <w:spacing w:line="360" w:lineRule="auto"/>
        <w:jc w:val="both"/>
        <w:rPr>
          <w:rFonts w:ascii="Garamond" w:hAnsi="Garamond" w:cstheme="minorHAnsi"/>
        </w:rPr>
      </w:pPr>
      <w:r w:rsidRPr="007F1FD3">
        <w:rPr>
          <w:rFonts w:ascii="Garamond" w:hAnsi="Garamond" w:cstheme="minorHAnsi"/>
        </w:rPr>
        <w:t>In 2008, t</w:t>
      </w:r>
      <w:r w:rsidR="00590D90" w:rsidRPr="007F1FD3">
        <w:rPr>
          <w:rFonts w:ascii="Garamond" w:hAnsi="Garamond" w:cstheme="minorHAnsi"/>
        </w:rPr>
        <w:t xml:space="preserve">he </w:t>
      </w:r>
      <w:r w:rsidR="00DD45C5">
        <w:rPr>
          <w:rFonts w:ascii="Garamond" w:hAnsi="Garamond" w:cstheme="minorHAnsi"/>
        </w:rPr>
        <w:t xml:space="preserve">Ecuadorian </w:t>
      </w:r>
      <w:r w:rsidR="0061680A" w:rsidRPr="007F1FD3">
        <w:rPr>
          <w:rFonts w:ascii="Garamond" w:hAnsi="Garamond" w:cstheme="minorHAnsi"/>
        </w:rPr>
        <w:t xml:space="preserve">Central Bank noted that the </w:t>
      </w:r>
      <w:r w:rsidR="00590D90" w:rsidRPr="007F1FD3">
        <w:rPr>
          <w:rFonts w:ascii="Garamond" w:hAnsi="Garamond" w:cstheme="minorHAnsi"/>
        </w:rPr>
        <w:t>province of Chimborazo</w:t>
      </w:r>
      <w:r w:rsidRPr="007F1FD3">
        <w:rPr>
          <w:rFonts w:ascii="Garamond" w:hAnsi="Garamond" w:cstheme="minorHAnsi"/>
        </w:rPr>
        <w:t xml:space="preserve"> </w:t>
      </w:r>
      <w:r w:rsidR="00590D90" w:rsidRPr="007F1FD3">
        <w:rPr>
          <w:rFonts w:ascii="Garamond" w:hAnsi="Garamond" w:cstheme="minorHAnsi"/>
        </w:rPr>
        <w:t xml:space="preserve">was </w:t>
      </w:r>
      <w:r w:rsidR="00C26703" w:rsidRPr="007F1FD3">
        <w:rPr>
          <w:rFonts w:ascii="Garamond" w:hAnsi="Garamond" w:cstheme="minorHAnsi"/>
        </w:rPr>
        <w:t xml:space="preserve">one of the poorest </w:t>
      </w:r>
      <w:r w:rsidR="0061680A" w:rsidRPr="007F1FD3">
        <w:rPr>
          <w:rFonts w:ascii="Garamond" w:hAnsi="Garamond" w:cstheme="minorHAnsi"/>
        </w:rPr>
        <w:t>in</w:t>
      </w:r>
      <w:r w:rsidR="00DD45C5">
        <w:rPr>
          <w:rFonts w:ascii="Garamond" w:hAnsi="Garamond" w:cstheme="minorHAnsi"/>
        </w:rPr>
        <w:t xml:space="preserve"> the country</w:t>
      </w:r>
      <w:r w:rsidR="00531245" w:rsidRPr="007F1FD3">
        <w:rPr>
          <w:rFonts w:ascii="Garamond" w:hAnsi="Garamond" w:cstheme="minorHAnsi"/>
        </w:rPr>
        <w:t>.</w:t>
      </w:r>
      <w:r w:rsidRPr="007F1FD3">
        <w:rPr>
          <w:rFonts w:ascii="Garamond" w:hAnsi="Garamond" w:cstheme="minorHAnsi"/>
        </w:rPr>
        <w:t xml:space="preserve"> </w:t>
      </w:r>
      <w:r w:rsidR="0061680A" w:rsidRPr="007F1FD3">
        <w:rPr>
          <w:rFonts w:ascii="Garamond" w:hAnsi="Garamond" w:cstheme="minorHAnsi"/>
        </w:rPr>
        <w:t>In general, t</w:t>
      </w:r>
      <w:r w:rsidRPr="007F1FD3">
        <w:rPr>
          <w:rFonts w:ascii="Garamond" w:hAnsi="Garamond" w:cstheme="minorHAnsi"/>
        </w:rPr>
        <w:t xml:space="preserve">he province did not benefit </w:t>
      </w:r>
      <w:r w:rsidR="00342798" w:rsidRPr="007F1FD3">
        <w:rPr>
          <w:rFonts w:ascii="Garamond" w:hAnsi="Garamond" w:cstheme="minorHAnsi"/>
        </w:rPr>
        <w:t>f</w:t>
      </w:r>
      <w:r w:rsidRPr="007F1FD3">
        <w:rPr>
          <w:rFonts w:ascii="Garamond" w:hAnsi="Garamond" w:cstheme="minorHAnsi"/>
        </w:rPr>
        <w:t>rom</w:t>
      </w:r>
      <w:r w:rsidR="00C26703" w:rsidRPr="007F1FD3">
        <w:rPr>
          <w:rFonts w:ascii="Garamond" w:hAnsi="Garamond" w:cstheme="minorHAnsi"/>
        </w:rPr>
        <w:t xml:space="preserve"> the</w:t>
      </w:r>
      <w:r w:rsidR="0061680A" w:rsidRPr="007F1FD3">
        <w:rPr>
          <w:rFonts w:ascii="Garamond" w:hAnsi="Garamond" w:cstheme="minorHAnsi"/>
        </w:rPr>
        <w:t xml:space="preserve"> broad</w:t>
      </w:r>
      <w:r w:rsidR="00AC53B6">
        <w:rPr>
          <w:rFonts w:ascii="Garamond" w:hAnsi="Garamond" w:cstheme="minorHAnsi"/>
        </w:rPr>
        <w:t>-based</w:t>
      </w:r>
      <w:r w:rsidR="0061680A" w:rsidRPr="007F1FD3">
        <w:rPr>
          <w:rFonts w:ascii="Garamond" w:hAnsi="Garamond" w:cstheme="minorHAnsi"/>
        </w:rPr>
        <w:t xml:space="preserve"> </w:t>
      </w:r>
      <w:r w:rsidR="00C26703" w:rsidRPr="007F1FD3">
        <w:rPr>
          <w:rFonts w:ascii="Garamond" w:hAnsi="Garamond" w:cstheme="minorHAnsi"/>
        </w:rPr>
        <w:t xml:space="preserve">economic growth </w:t>
      </w:r>
      <w:r w:rsidRPr="007F1FD3">
        <w:rPr>
          <w:rFonts w:ascii="Garamond" w:hAnsi="Garamond" w:cstheme="minorHAnsi"/>
        </w:rPr>
        <w:t xml:space="preserve">that occurred </w:t>
      </w:r>
      <w:r w:rsidR="0061680A" w:rsidRPr="007F1FD3">
        <w:rPr>
          <w:rFonts w:ascii="Garamond" w:hAnsi="Garamond" w:cstheme="minorHAnsi"/>
        </w:rPr>
        <w:t xml:space="preserve">in the country </w:t>
      </w:r>
      <w:r w:rsidRPr="007F1FD3">
        <w:rPr>
          <w:rFonts w:ascii="Garamond" w:hAnsi="Garamond" w:cstheme="minorHAnsi"/>
        </w:rPr>
        <w:t>during the</w:t>
      </w:r>
      <w:r w:rsidR="00C26703" w:rsidRPr="007F1FD3">
        <w:rPr>
          <w:rFonts w:ascii="Garamond" w:hAnsi="Garamond" w:cstheme="minorHAnsi"/>
        </w:rPr>
        <w:t xml:space="preserve"> last decade</w:t>
      </w:r>
      <w:r w:rsidR="004905DA" w:rsidRPr="007F1FD3">
        <w:rPr>
          <w:rFonts w:ascii="Garamond" w:hAnsi="Garamond" w:cstheme="minorHAnsi"/>
        </w:rPr>
        <w:t xml:space="preserve"> and</w:t>
      </w:r>
      <w:r w:rsidR="00AC53B6">
        <w:rPr>
          <w:rFonts w:ascii="Garamond" w:hAnsi="Garamond" w:cstheme="minorHAnsi"/>
        </w:rPr>
        <w:t>, as such, has seemingly</w:t>
      </w:r>
      <w:r w:rsidR="00342798" w:rsidRPr="007F1FD3">
        <w:rPr>
          <w:rFonts w:ascii="Garamond" w:hAnsi="Garamond" w:cstheme="minorHAnsi"/>
        </w:rPr>
        <w:t xml:space="preserve"> stagnated.</w:t>
      </w:r>
      <w:r w:rsidRPr="007F1FD3">
        <w:rPr>
          <w:rFonts w:ascii="Garamond" w:hAnsi="Garamond" w:cstheme="minorHAnsi"/>
        </w:rPr>
        <w:t xml:space="preserve"> </w:t>
      </w:r>
      <w:r w:rsidR="00342798" w:rsidRPr="007F1FD3">
        <w:rPr>
          <w:rFonts w:ascii="Garamond" w:hAnsi="Garamond" w:cstheme="minorHAnsi"/>
        </w:rPr>
        <w:t xml:space="preserve">The </w:t>
      </w:r>
      <w:r w:rsidR="002E4061" w:rsidRPr="007F1FD3">
        <w:rPr>
          <w:rFonts w:ascii="Garamond" w:hAnsi="Garamond" w:cstheme="minorHAnsi"/>
        </w:rPr>
        <w:t>poverty rate</w:t>
      </w:r>
      <w:r w:rsidR="00AC53B6">
        <w:rPr>
          <w:rFonts w:ascii="Garamond" w:hAnsi="Garamond" w:cstheme="minorHAnsi"/>
        </w:rPr>
        <w:t>, for example,</w:t>
      </w:r>
      <w:r w:rsidR="002E4061" w:rsidRPr="007F1FD3">
        <w:rPr>
          <w:rFonts w:ascii="Garamond" w:hAnsi="Garamond" w:cstheme="minorHAnsi"/>
        </w:rPr>
        <w:t xml:space="preserve"> has </w:t>
      </w:r>
      <w:r w:rsidR="00BC50EC" w:rsidRPr="007F1FD3">
        <w:rPr>
          <w:rFonts w:ascii="Garamond" w:hAnsi="Garamond" w:cstheme="minorHAnsi"/>
        </w:rPr>
        <w:t xml:space="preserve">oscillated </w:t>
      </w:r>
      <w:r w:rsidR="002E4061" w:rsidRPr="007F1FD3">
        <w:rPr>
          <w:rFonts w:ascii="Garamond" w:hAnsi="Garamond" w:cstheme="minorHAnsi"/>
        </w:rPr>
        <w:t xml:space="preserve">and is currently </w:t>
      </w:r>
      <w:r w:rsidR="00342798" w:rsidRPr="007F1FD3">
        <w:rPr>
          <w:rFonts w:ascii="Garamond" w:hAnsi="Garamond" w:cstheme="minorHAnsi"/>
        </w:rPr>
        <w:t xml:space="preserve">around </w:t>
      </w:r>
      <w:r w:rsidR="00BC50EC" w:rsidRPr="007F1FD3">
        <w:rPr>
          <w:rFonts w:ascii="Garamond" w:hAnsi="Garamond" w:cstheme="minorHAnsi"/>
        </w:rPr>
        <w:t>70</w:t>
      </w:r>
      <w:r w:rsidR="00DA21F9">
        <w:rPr>
          <w:rFonts w:ascii="Garamond" w:hAnsi="Garamond" w:cstheme="minorHAnsi"/>
        </w:rPr>
        <w:t xml:space="preserve">%. </w:t>
      </w:r>
      <w:r w:rsidR="0027738E">
        <w:rPr>
          <w:rFonts w:ascii="Garamond" w:hAnsi="Garamond" w:cstheme="minorHAnsi"/>
        </w:rPr>
        <w:t>Much of Chimborazo’s population – which represents</w:t>
      </w:r>
      <w:r w:rsidR="00AC53B6">
        <w:rPr>
          <w:rFonts w:ascii="Garamond" w:hAnsi="Garamond" w:cstheme="minorHAnsi"/>
        </w:rPr>
        <w:t xml:space="preserve"> approximately 3% of Ecuador’</w:t>
      </w:r>
      <w:r w:rsidR="0027738E">
        <w:rPr>
          <w:rFonts w:ascii="Garamond" w:hAnsi="Garamond" w:cstheme="minorHAnsi"/>
        </w:rPr>
        <w:t>s total – is of</w:t>
      </w:r>
      <w:r w:rsidR="00DA21F9">
        <w:rPr>
          <w:rFonts w:ascii="Garamond" w:hAnsi="Garamond" w:cstheme="minorHAnsi"/>
        </w:rPr>
        <w:t xml:space="preserve"> indigenous descent and resides in rural areas. T</w:t>
      </w:r>
      <w:r w:rsidR="00531245" w:rsidRPr="007F1FD3">
        <w:rPr>
          <w:rFonts w:ascii="Garamond" w:hAnsi="Garamond" w:cstheme="minorHAnsi"/>
        </w:rPr>
        <w:t xml:space="preserve">he </w:t>
      </w:r>
      <w:r w:rsidR="0027738E">
        <w:rPr>
          <w:rFonts w:ascii="Garamond" w:hAnsi="Garamond" w:cstheme="minorHAnsi"/>
        </w:rPr>
        <w:t xml:space="preserve">local </w:t>
      </w:r>
      <w:r w:rsidR="00531245" w:rsidRPr="007F1FD3">
        <w:rPr>
          <w:rFonts w:ascii="Garamond" w:hAnsi="Garamond" w:cstheme="minorHAnsi"/>
        </w:rPr>
        <w:t>economy</w:t>
      </w:r>
      <w:r w:rsidR="005A56D8">
        <w:rPr>
          <w:rFonts w:ascii="Garamond" w:hAnsi="Garamond" w:cstheme="minorHAnsi"/>
        </w:rPr>
        <w:t xml:space="preserve"> thus</w:t>
      </w:r>
      <w:r w:rsidR="00342798" w:rsidRPr="007F1FD3">
        <w:rPr>
          <w:rFonts w:ascii="Garamond" w:hAnsi="Garamond" w:cstheme="minorHAnsi"/>
        </w:rPr>
        <w:t xml:space="preserve"> </w:t>
      </w:r>
      <w:r w:rsidR="00531245" w:rsidRPr="007F1FD3">
        <w:rPr>
          <w:rFonts w:ascii="Garamond" w:hAnsi="Garamond" w:cstheme="minorHAnsi"/>
        </w:rPr>
        <w:t>revolves ar</w:t>
      </w:r>
      <w:r w:rsidR="00BC50EC" w:rsidRPr="007F1FD3">
        <w:rPr>
          <w:rFonts w:ascii="Garamond" w:hAnsi="Garamond" w:cstheme="minorHAnsi"/>
        </w:rPr>
        <w:t xml:space="preserve">ound agricultural </w:t>
      </w:r>
      <w:r w:rsidR="00342798" w:rsidRPr="007F1FD3">
        <w:rPr>
          <w:rFonts w:ascii="Garamond" w:hAnsi="Garamond" w:cstheme="minorHAnsi"/>
        </w:rPr>
        <w:t>production</w:t>
      </w:r>
      <w:r w:rsidR="00AC072C">
        <w:rPr>
          <w:rFonts w:ascii="Garamond" w:hAnsi="Garamond" w:cstheme="minorHAnsi"/>
        </w:rPr>
        <w:t>. Furthermore</w:t>
      </w:r>
      <w:r w:rsidR="005A56D8">
        <w:rPr>
          <w:rFonts w:ascii="Garamond" w:hAnsi="Garamond" w:cstheme="minorHAnsi"/>
        </w:rPr>
        <w:t xml:space="preserve">, </w:t>
      </w:r>
      <w:r w:rsidR="00DA21F9">
        <w:rPr>
          <w:rFonts w:ascii="Garamond" w:hAnsi="Garamond" w:cstheme="minorHAnsi"/>
        </w:rPr>
        <w:t>p</w:t>
      </w:r>
      <w:r w:rsidR="005E4DA4" w:rsidRPr="007F1FD3">
        <w:rPr>
          <w:rFonts w:ascii="Garamond" w:hAnsi="Garamond" w:cstheme="minorHAnsi"/>
        </w:rPr>
        <w:t>art of th</w:t>
      </w:r>
      <w:r w:rsidRPr="007F1FD3">
        <w:rPr>
          <w:rFonts w:ascii="Garamond" w:hAnsi="Garamond" w:cstheme="minorHAnsi"/>
        </w:rPr>
        <w:t>e</w:t>
      </w:r>
      <w:r w:rsidR="005E4DA4" w:rsidRPr="007F1FD3">
        <w:rPr>
          <w:rFonts w:ascii="Garamond" w:hAnsi="Garamond" w:cstheme="minorHAnsi"/>
        </w:rPr>
        <w:t xml:space="preserve"> stagnation </w:t>
      </w:r>
      <w:r w:rsidRPr="007F1FD3">
        <w:rPr>
          <w:rFonts w:ascii="Garamond" w:hAnsi="Garamond" w:cstheme="minorHAnsi"/>
        </w:rPr>
        <w:t xml:space="preserve">of the provincial economy </w:t>
      </w:r>
      <w:r w:rsidR="00992BE7">
        <w:rPr>
          <w:rFonts w:ascii="Garamond" w:hAnsi="Garamond" w:cstheme="minorHAnsi"/>
        </w:rPr>
        <w:t>can be attributed to a</w:t>
      </w:r>
      <w:r w:rsidR="00AC072C">
        <w:rPr>
          <w:rFonts w:ascii="Garamond" w:hAnsi="Garamond" w:cstheme="minorHAnsi"/>
        </w:rPr>
        <w:t xml:space="preserve"> limited ability to expand and market agricultural production, which is generally considered to result from a lack of</w:t>
      </w:r>
      <w:r w:rsidR="00AC072C" w:rsidRPr="007F1FD3">
        <w:rPr>
          <w:rFonts w:ascii="Garamond" w:hAnsi="Garamond" w:cstheme="minorHAnsi"/>
        </w:rPr>
        <w:t xml:space="preserve"> </w:t>
      </w:r>
      <w:r w:rsidR="00AC072C">
        <w:rPr>
          <w:rFonts w:ascii="Garamond" w:hAnsi="Garamond" w:cstheme="minorHAnsi"/>
        </w:rPr>
        <w:t xml:space="preserve">local </w:t>
      </w:r>
      <w:r w:rsidR="00AC072C" w:rsidRPr="007F1FD3">
        <w:rPr>
          <w:rFonts w:ascii="Garamond" w:hAnsi="Garamond" w:cstheme="minorHAnsi"/>
        </w:rPr>
        <w:t>infrastructure</w:t>
      </w:r>
      <w:r w:rsidR="00AC072C">
        <w:rPr>
          <w:rFonts w:ascii="Garamond" w:hAnsi="Garamond" w:cstheme="minorHAnsi"/>
        </w:rPr>
        <w:t>.</w:t>
      </w:r>
    </w:p>
    <w:p w:rsidR="00AC7A8C" w:rsidRPr="007F1FD3" w:rsidRDefault="005554D0" w:rsidP="009B24AA">
      <w:pPr>
        <w:spacing w:line="360" w:lineRule="auto"/>
        <w:jc w:val="both"/>
        <w:rPr>
          <w:rFonts w:ascii="Garamond" w:hAnsi="Garamond" w:cstheme="minorHAnsi"/>
        </w:rPr>
      </w:pPr>
      <w:r w:rsidRPr="007F1FD3">
        <w:rPr>
          <w:rFonts w:ascii="Garamond" w:hAnsi="Garamond" w:cstheme="minorHAnsi"/>
        </w:rPr>
        <w:t>The</w:t>
      </w:r>
      <w:r w:rsidR="007A6785" w:rsidRPr="007F1FD3">
        <w:rPr>
          <w:rFonts w:ascii="Garamond" w:hAnsi="Garamond" w:cstheme="minorHAnsi"/>
        </w:rPr>
        <w:t xml:space="preserve"> most</w:t>
      </w:r>
      <w:r w:rsidRPr="007F1FD3">
        <w:rPr>
          <w:rFonts w:ascii="Garamond" w:hAnsi="Garamond" w:cstheme="minorHAnsi"/>
        </w:rPr>
        <w:t xml:space="preserve"> common c</w:t>
      </w:r>
      <w:r w:rsidR="007A6785" w:rsidRPr="007F1FD3">
        <w:rPr>
          <w:rFonts w:ascii="Garamond" w:hAnsi="Garamond" w:cstheme="minorHAnsi"/>
        </w:rPr>
        <w:t>rops produced in Chimborazo are</w:t>
      </w:r>
      <w:r w:rsidRPr="007F1FD3">
        <w:rPr>
          <w:rFonts w:ascii="Garamond" w:hAnsi="Garamond" w:cstheme="minorHAnsi"/>
        </w:rPr>
        <w:t xml:space="preserve"> potatoes, beans, and sweet peas.</w:t>
      </w:r>
      <w:r w:rsidR="007A6785" w:rsidRPr="007F1FD3">
        <w:rPr>
          <w:rFonts w:ascii="Garamond" w:hAnsi="Garamond" w:cstheme="minorHAnsi"/>
        </w:rPr>
        <w:t xml:space="preserve"> </w:t>
      </w:r>
      <w:r w:rsidR="0061680A" w:rsidRPr="007F1FD3">
        <w:rPr>
          <w:rFonts w:ascii="Garamond" w:hAnsi="Garamond" w:cstheme="minorHAnsi"/>
        </w:rPr>
        <w:t>According to the provincial government</w:t>
      </w:r>
      <w:r w:rsidR="00F43C1A" w:rsidRPr="007F1FD3">
        <w:rPr>
          <w:rFonts w:ascii="Garamond" w:hAnsi="Garamond" w:cstheme="minorHAnsi"/>
        </w:rPr>
        <w:t>,</w:t>
      </w:r>
      <w:r w:rsidR="00AC7A8C">
        <w:rPr>
          <w:rFonts w:ascii="Garamond" w:hAnsi="Garamond" w:cstheme="minorHAnsi"/>
        </w:rPr>
        <w:t xml:space="preserve"> however,</w:t>
      </w:r>
      <w:r w:rsidR="00F43C1A" w:rsidRPr="007F1FD3">
        <w:rPr>
          <w:rFonts w:ascii="Garamond" w:hAnsi="Garamond" w:cstheme="minorHAnsi"/>
        </w:rPr>
        <w:t xml:space="preserve"> 99% of Chimborazo </w:t>
      </w:r>
      <w:r w:rsidR="002604BF" w:rsidRPr="007F1FD3">
        <w:rPr>
          <w:rFonts w:ascii="Garamond" w:hAnsi="Garamond" w:cstheme="minorHAnsi"/>
        </w:rPr>
        <w:t>farmers</w:t>
      </w:r>
      <w:r w:rsidR="00193FE4" w:rsidRPr="007F1FD3">
        <w:rPr>
          <w:rFonts w:ascii="Garamond" w:hAnsi="Garamond" w:cstheme="minorHAnsi"/>
        </w:rPr>
        <w:t xml:space="preserve"> </w:t>
      </w:r>
      <w:r w:rsidR="00BC50EC" w:rsidRPr="007F1FD3">
        <w:rPr>
          <w:rFonts w:ascii="Garamond" w:hAnsi="Garamond" w:cstheme="minorHAnsi"/>
        </w:rPr>
        <w:t>lack formal</w:t>
      </w:r>
      <w:r w:rsidR="008C70A4" w:rsidRPr="007F1FD3">
        <w:rPr>
          <w:rFonts w:ascii="Garamond" w:hAnsi="Garamond" w:cstheme="minorHAnsi"/>
        </w:rPr>
        <w:t xml:space="preserve"> training in</w:t>
      </w:r>
      <w:r w:rsidR="002604BF" w:rsidRPr="007F1FD3">
        <w:rPr>
          <w:rFonts w:ascii="Garamond" w:hAnsi="Garamond" w:cstheme="minorHAnsi"/>
        </w:rPr>
        <w:t xml:space="preserve"> production for</w:t>
      </w:r>
      <w:r w:rsidR="008C70A4" w:rsidRPr="007F1FD3">
        <w:rPr>
          <w:rFonts w:ascii="Garamond" w:hAnsi="Garamond" w:cstheme="minorHAnsi"/>
        </w:rPr>
        <w:t xml:space="preserve"> </w:t>
      </w:r>
      <w:r w:rsidR="00AC7A8C">
        <w:rPr>
          <w:rFonts w:ascii="Garamond" w:hAnsi="Garamond" w:cstheme="minorHAnsi"/>
        </w:rPr>
        <w:t xml:space="preserve">high-value agricultural </w:t>
      </w:r>
      <w:r w:rsidR="002604BF" w:rsidRPr="007F1FD3">
        <w:rPr>
          <w:rFonts w:ascii="Garamond" w:hAnsi="Garamond" w:cstheme="minorHAnsi"/>
        </w:rPr>
        <w:t>markets</w:t>
      </w:r>
      <w:r w:rsidR="00B31292" w:rsidRPr="007F1FD3">
        <w:rPr>
          <w:rFonts w:ascii="Garamond" w:hAnsi="Garamond" w:cstheme="minorHAnsi"/>
        </w:rPr>
        <w:t>.</w:t>
      </w:r>
      <w:r w:rsidR="007A6785" w:rsidRPr="007F1FD3">
        <w:rPr>
          <w:rFonts w:ascii="Garamond" w:hAnsi="Garamond" w:cstheme="minorHAnsi"/>
        </w:rPr>
        <w:t xml:space="preserve"> </w:t>
      </w:r>
      <w:r w:rsidR="00AC7A8C">
        <w:rPr>
          <w:rFonts w:ascii="Garamond" w:hAnsi="Garamond" w:cstheme="minorHAnsi"/>
        </w:rPr>
        <w:t xml:space="preserve">Further, 96% of local producers </w:t>
      </w:r>
      <w:r w:rsidR="00B31292" w:rsidRPr="007F1FD3">
        <w:rPr>
          <w:rFonts w:ascii="Garamond" w:hAnsi="Garamond" w:cstheme="minorHAnsi"/>
        </w:rPr>
        <w:t>have less than 20 hectares of land to cultivate, and 90% of those producers have between 1 and 5 hectares.</w:t>
      </w:r>
      <w:r w:rsidR="007A6785" w:rsidRPr="007F1FD3">
        <w:rPr>
          <w:rFonts w:ascii="Garamond" w:hAnsi="Garamond" w:cstheme="minorHAnsi"/>
        </w:rPr>
        <w:t xml:space="preserve"> </w:t>
      </w:r>
      <w:r w:rsidR="00B31292" w:rsidRPr="007F1FD3">
        <w:rPr>
          <w:rFonts w:ascii="Garamond" w:hAnsi="Garamond" w:cstheme="minorHAnsi"/>
        </w:rPr>
        <w:t>Currently</w:t>
      </w:r>
      <w:r w:rsidR="00D35C1A">
        <w:rPr>
          <w:rFonts w:ascii="Garamond" w:hAnsi="Garamond" w:cstheme="minorHAnsi"/>
        </w:rPr>
        <w:t>,</w:t>
      </w:r>
      <w:r w:rsidR="00B31292" w:rsidRPr="007F1FD3">
        <w:rPr>
          <w:rFonts w:ascii="Garamond" w:hAnsi="Garamond" w:cstheme="minorHAnsi"/>
        </w:rPr>
        <w:t xml:space="preserve"> 32% of the producers within the province have irrigation </w:t>
      </w:r>
      <w:r w:rsidR="002604BF" w:rsidRPr="007F1FD3">
        <w:rPr>
          <w:rFonts w:ascii="Garamond" w:hAnsi="Garamond" w:cstheme="minorHAnsi"/>
        </w:rPr>
        <w:t>f</w:t>
      </w:r>
      <w:r w:rsidR="00B31292" w:rsidRPr="007F1FD3">
        <w:rPr>
          <w:rFonts w:ascii="Garamond" w:hAnsi="Garamond" w:cstheme="minorHAnsi"/>
        </w:rPr>
        <w:t xml:space="preserve">or </w:t>
      </w:r>
      <w:r w:rsidR="00BD6ED2">
        <w:rPr>
          <w:rFonts w:ascii="Garamond" w:hAnsi="Garamond" w:cstheme="minorHAnsi"/>
        </w:rPr>
        <w:t>agricultural</w:t>
      </w:r>
      <w:r w:rsidR="002604BF" w:rsidRPr="007F1FD3">
        <w:rPr>
          <w:rFonts w:ascii="Garamond" w:hAnsi="Garamond" w:cstheme="minorHAnsi"/>
        </w:rPr>
        <w:t xml:space="preserve"> </w:t>
      </w:r>
      <w:r w:rsidR="00BD6ED2">
        <w:rPr>
          <w:rFonts w:ascii="Garamond" w:hAnsi="Garamond" w:cstheme="minorHAnsi"/>
        </w:rPr>
        <w:t>production;</w:t>
      </w:r>
      <w:r w:rsidR="005E0460" w:rsidRPr="007F1FD3">
        <w:rPr>
          <w:rFonts w:ascii="Garamond" w:hAnsi="Garamond" w:cstheme="minorHAnsi"/>
        </w:rPr>
        <w:t xml:space="preserve"> h</w:t>
      </w:r>
      <w:r w:rsidR="00B31292" w:rsidRPr="007F1FD3">
        <w:rPr>
          <w:rFonts w:ascii="Garamond" w:hAnsi="Garamond" w:cstheme="minorHAnsi"/>
        </w:rPr>
        <w:t>owever, most are in need of construction, improvement</w:t>
      </w:r>
      <w:r w:rsidR="00BD6ED2">
        <w:rPr>
          <w:rFonts w:ascii="Garamond" w:hAnsi="Garamond" w:cstheme="minorHAnsi"/>
        </w:rPr>
        <w:t>,</w:t>
      </w:r>
      <w:r w:rsidR="00B31292" w:rsidRPr="007F1FD3">
        <w:rPr>
          <w:rFonts w:ascii="Garamond" w:hAnsi="Garamond" w:cstheme="minorHAnsi"/>
        </w:rPr>
        <w:t xml:space="preserve"> or rehabilitation</w:t>
      </w:r>
      <w:r w:rsidR="00BD6ED2">
        <w:rPr>
          <w:rFonts w:ascii="Garamond" w:hAnsi="Garamond" w:cstheme="minorHAnsi"/>
        </w:rPr>
        <w:t xml:space="preserve"> </w:t>
      </w:r>
      <w:r w:rsidR="00BD6ED2" w:rsidRPr="00BD6ED2">
        <w:rPr>
          <w:rFonts w:ascii="Garamond" w:hAnsi="Garamond" w:cstheme="minorHAnsi"/>
        </w:rPr>
        <w:t>(GADPC 2012)</w:t>
      </w:r>
      <w:r w:rsidR="005E4DA4" w:rsidRPr="007F1FD3">
        <w:rPr>
          <w:rFonts w:ascii="Garamond" w:hAnsi="Garamond" w:cstheme="minorHAnsi"/>
        </w:rPr>
        <w:t>.</w:t>
      </w:r>
      <w:r w:rsidR="007A6785" w:rsidRPr="007F1FD3">
        <w:rPr>
          <w:rFonts w:ascii="Garamond" w:hAnsi="Garamond" w:cstheme="minorHAnsi"/>
        </w:rPr>
        <w:t xml:space="preserve"> </w:t>
      </w:r>
      <w:r w:rsidR="008C70A4" w:rsidRPr="007F1FD3">
        <w:rPr>
          <w:rFonts w:ascii="Garamond" w:hAnsi="Garamond" w:cstheme="minorHAnsi"/>
        </w:rPr>
        <w:t>Irrigation is</w:t>
      </w:r>
      <w:r w:rsidR="00BD6ED2">
        <w:rPr>
          <w:rFonts w:ascii="Garamond" w:hAnsi="Garamond" w:cstheme="minorHAnsi"/>
        </w:rPr>
        <w:t>, thus,</w:t>
      </w:r>
      <w:r w:rsidR="008C70A4" w:rsidRPr="007F1FD3">
        <w:rPr>
          <w:rFonts w:ascii="Garamond" w:hAnsi="Garamond" w:cstheme="minorHAnsi"/>
        </w:rPr>
        <w:t xml:space="preserve"> a </w:t>
      </w:r>
      <w:r w:rsidR="00D35C1A">
        <w:rPr>
          <w:rFonts w:ascii="Garamond" w:hAnsi="Garamond" w:cstheme="minorHAnsi"/>
        </w:rPr>
        <w:t xml:space="preserve">potential </w:t>
      </w:r>
      <w:r w:rsidR="008C70A4" w:rsidRPr="007F1FD3">
        <w:rPr>
          <w:rFonts w:ascii="Garamond" w:hAnsi="Garamond" w:cstheme="minorHAnsi"/>
        </w:rPr>
        <w:t>gateway to greater production and ultimately a</w:t>
      </w:r>
      <w:r w:rsidR="002604BF" w:rsidRPr="007F1FD3">
        <w:rPr>
          <w:rFonts w:ascii="Garamond" w:hAnsi="Garamond" w:cstheme="minorHAnsi"/>
        </w:rPr>
        <w:t>n</w:t>
      </w:r>
      <w:r w:rsidR="00D9562E">
        <w:rPr>
          <w:rFonts w:ascii="Garamond" w:hAnsi="Garamond" w:cstheme="minorHAnsi"/>
        </w:rPr>
        <w:t xml:space="preserve"> improvement in welfare</w:t>
      </w:r>
      <w:r w:rsidR="008C70A4" w:rsidRPr="007F1FD3">
        <w:rPr>
          <w:rFonts w:ascii="Garamond" w:hAnsi="Garamond" w:cstheme="minorHAnsi"/>
        </w:rPr>
        <w:t>.</w:t>
      </w:r>
      <w:r w:rsidR="007A6785" w:rsidRPr="007F1FD3">
        <w:rPr>
          <w:rFonts w:ascii="Garamond" w:hAnsi="Garamond" w:cstheme="minorHAnsi"/>
        </w:rPr>
        <w:t xml:space="preserve"> </w:t>
      </w:r>
    </w:p>
    <w:p w:rsidR="004905DA" w:rsidRPr="007F1FD3" w:rsidRDefault="004905DA" w:rsidP="009B24AA">
      <w:pPr>
        <w:spacing w:line="360" w:lineRule="auto"/>
        <w:jc w:val="both"/>
        <w:rPr>
          <w:rFonts w:ascii="Garamond" w:hAnsi="Garamond" w:cstheme="minorHAnsi"/>
        </w:rPr>
      </w:pPr>
      <w:r w:rsidRPr="007F1FD3">
        <w:rPr>
          <w:rFonts w:ascii="Garamond" w:hAnsi="Garamond" w:cstheme="minorHAnsi"/>
        </w:rPr>
        <w:t xml:space="preserve">To address these issues, </w:t>
      </w:r>
      <w:r w:rsidR="0061680A" w:rsidRPr="007F1FD3">
        <w:rPr>
          <w:rFonts w:ascii="Garamond" w:hAnsi="Garamond" w:cstheme="minorHAnsi"/>
        </w:rPr>
        <w:t>t</w:t>
      </w:r>
      <w:r w:rsidR="008F6D1E" w:rsidRPr="007F1FD3">
        <w:rPr>
          <w:rFonts w:ascii="Garamond" w:hAnsi="Garamond" w:cstheme="minorHAnsi"/>
        </w:rPr>
        <w:t xml:space="preserve">he </w:t>
      </w:r>
      <w:r w:rsidRPr="00CB3CD2">
        <w:rPr>
          <w:rFonts w:ascii="Garamond" w:hAnsi="Garamond" w:cstheme="minorHAnsi"/>
          <w:i/>
        </w:rPr>
        <w:t>Proyec</w:t>
      </w:r>
      <w:r w:rsidR="008F6D1E" w:rsidRPr="00CB3CD2">
        <w:rPr>
          <w:rFonts w:ascii="Garamond" w:hAnsi="Garamond" w:cstheme="minorHAnsi"/>
          <w:i/>
        </w:rPr>
        <w:t>to de Inversiones de Desarrollo</w:t>
      </w:r>
      <w:r w:rsidRPr="007F1FD3">
        <w:rPr>
          <w:rFonts w:ascii="Garamond" w:hAnsi="Garamond" w:cstheme="minorHAnsi"/>
        </w:rPr>
        <w:t xml:space="preserve">-Chimborazo </w:t>
      </w:r>
      <w:r w:rsidR="008F6D1E" w:rsidRPr="007F1FD3">
        <w:rPr>
          <w:rFonts w:ascii="Garamond" w:hAnsi="Garamond" w:cstheme="minorHAnsi"/>
        </w:rPr>
        <w:t xml:space="preserve">(PIDD) </w:t>
      </w:r>
      <w:r w:rsidRPr="007F1FD3">
        <w:rPr>
          <w:rFonts w:ascii="Garamond" w:hAnsi="Garamond" w:cstheme="minorHAnsi"/>
        </w:rPr>
        <w:t xml:space="preserve">was </w:t>
      </w:r>
      <w:r w:rsidR="00404D79" w:rsidRPr="007F1FD3">
        <w:rPr>
          <w:rFonts w:ascii="Garamond" w:hAnsi="Garamond" w:cstheme="minorHAnsi"/>
        </w:rPr>
        <w:t>initiated</w:t>
      </w:r>
      <w:r w:rsidRPr="007F1FD3">
        <w:rPr>
          <w:rFonts w:ascii="Garamond" w:hAnsi="Garamond" w:cstheme="minorHAnsi"/>
        </w:rPr>
        <w:t xml:space="preserve"> in 2008 with the objective of increasing </w:t>
      </w:r>
      <w:r w:rsidR="00413AF8">
        <w:rPr>
          <w:rFonts w:ascii="Garamond" w:hAnsi="Garamond" w:cstheme="minorHAnsi"/>
        </w:rPr>
        <w:t xml:space="preserve">agricultural production and improving access to markets for rural families. </w:t>
      </w:r>
      <w:r w:rsidR="00404D79" w:rsidRPr="007F1FD3">
        <w:rPr>
          <w:rFonts w:ascii="Garamond" w:hAnsi="Garamond" w:cstheme="minorHAnsi"/>
        </w:rPr>
        <w:t>Towards this end</w:t>
      </w:r>
      <w:r w:rsidR="0061680A" w:rsidRPr="007F1FD3">
        <w:rPr>
          <w:rFonts w:ascii="Garamond" w:hAnsi="Garamond" w:cstheme="minorHAnsi"/>
        </w:rPr>
        <w:t>,</w:t>
      </w:r>
      <w:r w:rsidR="00413AF8">
        <w:rPr>
          <w:rFonts w:ascii="Garamond" w:hAnsi="Garamond" w:cstheme="minorHAnsi"/>
        </w:rPr>
        <w:t xml:space="preserve"> the project entailed</w:t>
      </w:r>
      <w:r w:rsidR="00404D79" w:rsidRPr="007F1FD3">
        <w:rPr>
          <w:rFonts w:ascii="Garamond" w:hAnsi="Garamond" w:cstheme="minorHAnsi"/>
        </w:rPr>
        <w:t xml:space="preserve"> two primary investments</w:t>
      </w:r>
      <w:r w:rsidR="008F6D1E" w:rsidRPr="007F1FD3">
        <w:rPr>
          <w:rFonts w:ascii="Garamond" w:hAnsi="Garamond" w:cstheme="minorHAnsi"/>
        </w:rPr>
        <w:t>,</w:t>
      </w:r>
      <w:r w:rsidR="00404D79" w:rsidRPr="007F1FD3">
        <w:rPr>
          <w:rFonts w:ascii="Garamond" w:hAnsi="Garamond" w:cstheme="minorHAnsi"/>
        </w:rPr>
        <w:t xml:space="preserve"> the first in irrigation improvement and the second in roads improvement. </w:t>
      </w:r>
      <w:r w:rsidR="00413AF8">
        <w:rPr>
          <w:rFonts w:ascii="Garamond" w:hAnsi="Garamond" w:cstheme="minorHAnsi"/>
        </w:rPr>
        <w:t>As a result of the</w:t>
      </w:r>
      <w:r w:rsidR="00404D79" w:rsidRPr="007F1FD3">
        <w:rPr>
          <w:rFonts w:ascii="Garamond" w:hAnsi="Garamond" w:cstheme="minorHAnsi"/>
        </w:rPr>
        <w:t xml:space="preserve"> project, approximately 50 irrigation systems were to be rehabilitated</w:t>
      </w:r>
      <w:r w:rsidR="00413AF8">
        <w:rPr>
          <w:rFonts w:ascii="Garamond" w:hAnsi="Garamond" w:cstheme="minorHAnsi"/>
        </w:rPr>
        <w:t>,</w:t>
      </w:r>
      <w:r w:rsidR="00404D79" w:rsidRPr="007F1FD3">
        <w:rPr>
          <w:rFonts w:ascii="Garamond" w:hAnsi="Garamond" w:cstheme="minorHAnsi"/>
        </w:rPr>
        <w:t xml:space="preserve"> benefiting approximately 8</w:t>
      </w:r>
      <w:r w:rsidR="00413AF8">
        <w:rPr>
          <w:rFonts w:ascii="Garamond" w:hAnsi="Garamond" w:cstheme="minorHAnsi"/>
        </w:rPr>
        <w:t>,000 families. Further,</w:t>
      </w:r>
      <w:r w:rsidR="00404D79" w:rsidRPr="007F1FD3">
        <w:rPr>
          <w:rFonts w:ascii="Garamond" w:hAnsi="Garamond" w:cstheme="minorHAnsi"/>
        </w:rPr>
        <w:t xml:space="preserve"> just over 90 km of roads </w:t>
      </w:r>
      <w:r w:rsidR="00413AF8">
        <w:rPr>
          <w:rFonts w:ascii="Garamond" w:hAnsi="Garamond" w:cstheme="minorHAnsi"/>
        </w:rPr>
        <w:t>were to be improved,</w:t>
      </w:r>
      <w:r w:rsidR="00404D79" w:rsidRPr="007F1FD3">
        <w:rPr>
          <w:rFonts w:ascii="Garamond" w:hAnsi="Garamond" w:cstheme="minorHAnsi"/>
        </w:rPr>
        <w:t xml:space="preserve"> </w:t>
      </w:r>
      <w:r w:rsidR="00413AF8">
        <w:rPr>
          <w:rFonts w:ascii="Garamond" w:hAnsi="Garamond" w:cstheme="minorHAnsi"/>
        </w:rPr>
        <w:t xml:space="preserve">primarily </w:t>
      </w:r>
      <w:r w:rsidR="00404D79" w:rsidRPr="007F1FD3">
        <w:rPr>
          <w:rFonts w:ascii="Garamond" w:hAnsi="Garamond" w:cstheme="minorHAnsi"/>
        </w:rPr>
        <w:t>benefi</w:t>
      </w:r>
      <w:r w:rsidR="00922E51">
        <w:rPr>
          <w:rFonts w:ascii="Garamond" w:hAnsi="Garamond" w:cstheme="minorHAnsi"/>
        </w:rPr>
        <w:t>ting families living along three</w:t>
      </w:r>
      <w:r w:rsidR="00404D79" w:rsidRPr="007F1FD3">
        <w:rPr>
          <w:rFonts w:ascii="Garamond" w:hAnsi="Garamond" w:cstheme="minorHAnsi"/>
        </w:rPr>
        <w:t xml:space="preserve"> road segments. </w:t>
      </w:r>
      <w:r w:rsidR="003F09C3" w:rsidRPr="007F1FD3">
        <w:rPr>
          <w:rFonts w:ascii="Garamond" w:hAnsi="Garamond" w:cstheme="minorHAnsi"/>
        </w:rPr>
        <w:t>Although</w:t>
      </w:r>
      <w:r w:rsidR="008F6D1E" w:rsidRPr="007F1FD3">
        <w:rPr>
          <w:rFonts w:ascii="Garamond" w:hAnsi="Garamond" w:cstheme="minorHAnsi"/>
        </w:rPr>
        <w:t xml:space="preserve"> </w:t>
      </w:r>
      <w:r w:rsidR="003F09C3" w:rsidRPr="007F1FD3">
        <w:rPr>
          <w:rFonts w:ascii="Garamond" w:hAnsi="Garamond" w:cstheme="minorHAnsi"/>
        </w:rPr>
        <w:t>the project did provide these investments,</w:t>
      </w:r>
      <w:r w:rsidR="00413AF8">
        <w:rPr>
          <w:rFonts w:ascii="Garamond" w:hAnsi="Garamond" w:cstheme="minorHAnsi"/>
        </w:rPr>
        <w:t xml:space="preserve"> there does not appear to exist an impact evaluation,</w:t>
      </w:r>
      <w:r w:rsidR="003F09C3" w:rsidRPr="007F1FD3">
        <w:rPr>
          <w:rFonts w:ascii="Garamond" w:hAnsi="Garamond" w:cstheme="minorHAnsi"/>
        </w:rPr>
        <w:t xml:space="preserve"> making the effectiveness of the project in achieving </w:t>
      </w:r>
      <w:r w:rsidR="00413AF8">
        <w:rPr>
          <w:rFonts w:ascii="Garamond" w:hAnsi="Garamond" w:cstheme="minorHAnsi"/>
        </w:rPr>
        <w:t xml:space="preserve">the </w:t>
      </w:r>
      <w:r w:rsidR="003F09C3" w:rsidRPr="007F1FD3">
        <w:rPr>
          <w:rFonts w:ascii="Garamond" w:hAnsi="Garamond" w:cstheme="minorHAnsi"/>
        </w:rPr>
        <w:t>stated objectives unclear</w:t>
      </w:r>
      <w:r w:rsidR="008F6D1E" w:rsidRPr="007F1FD3">
        <w:rPr>
          <w:rFonts w:ascii="Garamond" w:hAnsi="Garamond" w:cstheme="minorHAnsi"/>
        </w:rPr>
        <w:t>.</w:t>
      </w:r>
    </w:p>
    <w:p w:rsidR="002921A3" w:rsidRPr="007F1FD3" w:rsidRDefault="008A6BDB" w:rsidP="009B24AA">
      <w:pPr>
        <w:spacing w:line="360" w:lineRule="auto"/>
        <w:jc w:val="both"/>
        <w:rPr>
          <w:rFonts w:ascii="Garamond" w:hAnsi="Garamond" w:cstheme="minorHAnsi"/>
        </w:rPr>
      </w:pPr>
      <w:r w:rsidRPr="007F1FD3">
        <w:rPr>
          <w:rFonts w:ascii="Garamond" w:hAnsi="Garamond" w:cstheme="minorHAnsi"/>
        </w:rPr>
        <w:t xml:space="preserve">The </w:t>
      </w:r>
      <w:r w:rsidR="008F6D1E" w:rsidRPr="007F1FD3">
        <w:rPr>
          <w:rFonts w:ascii="Garamond" w:hAnsi="Garamond" w:cstheme="minorHAnsi"/>
        </w:rPr>
        <w:t xml:space="preserve">proposed loan is then a follow-up to the original </w:t>
      </w:r>
      <w:r w:rsidR="002604BF" w:rsidRPr="007F1FD3">
        <w:rPr>
          <w:rFonts w:ascii="Garamond" w:hAnsi="Garamond" w:cstheme="minorHAnsi"/>
        </w:rPr>
        <w:t>PIDD-Chimbora</w:t>
      </w:r>
      <w:r w:rsidR="008F6D1E" w:rsidRPr="007F1FD3">
        <w:rPr>
          <w:rFonts w:ascii="Garamond" w:hAnsi="Garamond" w:cstheme="minorHAnsi"/>
        </w:rPr>
        <w:t>zo</w:t>
      </w:r>
      <w:r w:rsidR="002604BF" w:rsidRPr="007F1FD3">
        <w:rPr>
          <w:rFonts w:ascii="Garamond" w:hAnsi="Garamond" w:cstheme="minorHAnsi"/>
        </w:rPr>
        <w:t xml:space="preserve"> (</w:t>
      </w:r>
      <w:r w:rsidR="008B5313">
        <w:rPr>
          <w:rFonts w:ascii="Garamond" w:hAnsi="Garamond" w:cstheme="minorHAnsi"/>
        </w:rPr>
        <w:t xml:space="preserve">i.e. </w:t>
      </w:r>
      <w:r w:rsidR="002604BF" w:rsidRPr="007F1FD3">
        <w:rPr>
          <w:rFonts w:ascii="Garamond" w:hAnsi="Garamond" w:cstheme="minorHAnsi"/>
        </w:rPr>
        <w:t xml:space="preserve">PIDD-2) </w:t>
      </w:r>
      <w:r w:rsidR="008F6D1E" w:rsidRPr="007F1FD3">
        <w:rPr>
          <w:rFonts w:ascii="Garamond" w:hAnsi="Garamond" w:cstheme="minorHAnsi"/>
        </w:rPr>
        <w:t>and retains a similar emphasis on irrigation and rural roa</w:t>
      </w:r>
      <w:r w:rsidR="00F8557F" w:rsidRPr="007F1FD3">
        <w:rPr>
          <w:rFonts w:ascii="Garamond" w:hAnsi="Garamond" w:cstheme="minorHAnsi"/>
        </w:rPr>
        <w:t>d rehabilitation. For PIDD-2</w:t>
      </w:r>
      <w:r w:rsidR="003F09C3" w:rsidRPr="007F1FD3">
        <w:rPr>
          <w:rFonts w:ascii="Garamond" w:hAnsi="Garamond" w:cstheme="minorHAnsi"/>
        </w:rPr>
        <w:t>,</w:t>
      </w:r>
      <w:r w:rsidR="00F8557F" w:rsidRPr="007F1FD3">
        <w:rPr>
          <w:rFonts w:ascii="Garamond" w:hAnsi="Garamond" w:cstheme="minorHAnsi"/>
        </w:rPr>
        <w:t xml:space="preserve"> an</w:t>
      </w:r>
      <w:r w:rsidR="008F6D1E" w:rsidRPr="007F1FD3">
        <w:rPr>
          <w:rFonts w:ascii="Garamond" w:hAnsi="Garamond" w:cstheme="minorHAnsi"/>
        </w:rPr>
        <w:t xml:space="preserve"> impact evaluation is envisioned and the objective of this document is to describe in specific detail the plan for conducting t</w:t>
      </w:r>
      <w:r w:rsidR="007F6251">
        <w:rPr>
          <w:rFonts w:ascii="Garamond" w:hAnsi="Garamond" w:cstheme="minorHAnsi"/>
        </w:rPr>
        <w:t>his evaluation. Accordingly</w:t>
      </w:r>
      <w:r w:rsidR="008F6D1E" w:rsidRPr="007F1FD3">
        <w:rPr>
          <w:rFonts w:ascii="Garamond" w:hAnsi="Garamond" w:cstheme="minorHAnsi"/>
        </w:rPr>
        <w:t xml:space="preserve">, the next section provides the underlying theory of change of the project and the </w:t>
      </w:r>
      <w:r w:rsidR="00F8557F" w:rsidRPr="007F1FD3">
        <w:rPr>
          <w:rFonts w:ascii="Garamond" w:hAnsi="Garamond" w:cstheme="minorHAnsi"/>
        </w:rPr>
        <w:t xml:space="preserve">primary </w:t>
      </w:r>
      <w:r w:rsidR="008F6D1E" w:rsidRPr="007F1FD3">
        <w:rPr>
          <w:rFonts w:ascii="Garamond" w:hAnsi="Garamond" w:cstheme="minorHAnsi"/>
        </w:rPr>
        <w:t>evaluation questions th</w:t>
      </w:r>
      <w:r w:rsidR="007F6251">
        <w:rPr>
          <w:rFonts w:ascii="Garamond" w:hAnsi="Garamond" w:cstheme="minorHAnsi"/>
        </w:rPr>
        <w:t>at emerge. This is followed in S</w:t>
      </w:r>
      <w:r w:rsidR="008F6D1E" w:rsidRPr="007F1FD3">
        <w:rPr>
          <w:rFonts w:ascii="Garamond" w:hAnsi="Garamond" w:cstheme="minorHAnsi"/>
        </w:rPr>
        <w:t>ection III by a description of the key indicators for the evaluation, which of course correspond to t</w:t>
      </w:r>
      <w:r w:rsidR="00F8557F" w:rsidRPr="007F1FD3">
        <w:rPr>
          <w:rFonts w:ascii="Garamond" w:hAnsi="Garamond" w:cstheme="minorHAnsi"/>
        </w:rPr>
        <w:t>hose included</w:t>
      </w:r>
      <w:r w:rsidR="008F6D1E" w:rsidRPr="007F1FD3">
        <w:rPr>
          <w:rFonts w:ascii="Garamond" w:hAnsi="Garamond" w:cstheme="minorHAnsi"/>
        </w:rPr>
        <w:t xml:space="preserve"> in the Results Matrix. </w:t>
      </w:r>
      <w:r w:rsidR="00F8557F" w:rsidRPr="007F1FD3">
        <w:rPr>
          <w:rFonts w:ascii="Garamond" w:hAnsi="Garamond" w:cstheme="minorHAnsi"/>
        </w:rPr>
        <w:t>Section IV then provides the overall strategy for creating a counterfactual to ensure that any estimate of impact is unbiased. Given the nature of the project, a non-experimenta</w:t>
      </w:r>
      <w:r w:rsidR="00AC4DF7">
        <w:rPr>
          <w:rFonts w:ascii="Garamond" w:hAnsi="Garamond" w:cstheme="minorHAnsi"/>
        </w:rPr>
        <w:t>l approach is proposed. Section</w:t>
      </w:r>
      <w:r w:rsidR="00F8557F" w:rsidRPr="007F1FD3">
        <w:rPr>
          <w:rFonts w:ascii="Garamond" w:hAnsi="Garamond" w:cstheme="minorHAnsi"/>
        </w:rPr>
        <w:t xml:space="preserve"> V then provide</w:t>
      </w:r>
      <w:r w:rsidR="00AC4DF7">
        <w:rPr>
          <w:rFonts w:ascii="Garamond" w:hAnsi="Garamond" w:cstheme="minorHAnsi"/>
        </w:rPr>
        <w:t>s</w:t>
      </w:r>
      <w:r w:rsidR="00F8557F" w:rsidRPr="007F1FD3">
        <w:rPr>
          <w:rFonts w:ascii="Garamond" w:hAnsi="Garamond" w:cstheme="minorHAnsi"/>
        </w:rPr>
        <w:t xml:space="preserve"> the technical and practical details of the evaluation plan.</w:t>
      </w:r>
    </w:p>
    <w:p w:rsidR="008F6D1E" w:rsidRPr="007F1FD3" w:rsidRDefault="008F6D1E" w:rsidP="009B24AA">
      <w:pPr>
        <w:pStyle w:val="ListParagraph"/>
        <w:numPr>
          <w:ilvl w:val="0"/>
          <w:numId w:val="2"/>
        </w:numPr>
        <w:spacing w:line="360" w:lineRule="auto"/>
        <w:rPr>
          <w:rFonts w:ascii="Garamond" w:hAnsi="Garamond" w:cstheme="minorHAnsi"/>
        </w:rPr>
      </w:pPr>
      <w:r w:rsidRPr="007F1FD3">
        <w:rPr>
          <w:rFonts w:ascii="Garamond" w:hAnsi="Garamond" w:cstheme="minorHAnsi"/>
        </w:rPr>
        <w:lastRenderedPageBreak/>
        <w:t>MAIN EVALUATION QUESTIONS</w:t>
      </w:r>
    </w:p>
    <w:p w:rsidR="00C82C4F" w:rsidRPr="007F1FD3" w:rsidRDefault="00AE1FF8" w:rsidP="009B24AA">
      <w:pPr>
        <w:spacing w:line="360" w:lineRule="auto"/>
        <w:jc w:val="both"/>
        <w:rPr>
          <w:rFonts w:ascii="Garamond" w:hAnsi="Garamond" w:cstheme="minorHAnsi"/>
        </w:rPr>
      </w:pPr>
      <w:r w:rsidRPr="007F1FD3">
        <w:rPr>
          <w:rFonts w:ascii="Garamond" w:hAnsi="Garamond" w:cstheme="minorHAnsi"/>
        </w:rPr>
        <w:t>Figure 1 provides the theory of change for PIDD-2</w:t>
      </w:r>
      <w:r w:rsidR="003F09C3" w:rsidRPr="007F1FD3">
        <w:rPr>
          <w:rFonts w:ascii="Garamond" w:hAnsi="Garamond" w:cstheme="minorHAnsi"/>
        </w:rPr>
        <w:t xml:space="preserve"> and includes</w:t>
      </w:r>
      <w:r w:rsidRPr="007F1FD3">
        <w:rPr>
          <w:rFonts w:ascii="Garamond" w:hAnsi="Garamond" w:cstheme="minorHAnsi"/>
        </w:rPr>
        <w:t xml:space="preserve"> the overall causal logic of the </w:t>
      </w:r>
      <w:r w:rsidR="00AF0AC2">
        <w:rPr>
          <w:rFonts w:ascii="Garamond" w:hAnsi="Garamond" w:cstheme="minorHAnsi"/>
        </w:rPr>
        <w:t>project</w:t>
      </w:r>
      <w:r w:rsidRPr="007F1FD3">
        <w:rPr>
          <w:rFonts w:ascii="Garamond" w:hAnsi="Garamond" w:cstheme="minorHAnsi"/>
        </w:rPr>
        <w:t xml:space="preserve">. As can be seen under Activities, PIDD-2 contains two primary </w:t>
      </w:r>
      <w:r w:rsidR="008A6BDB" w:rsidRPr="007F1FD3">
        <w:rPr>
          <w:rFonts w:ascii="Garamond" w:hAnsi="Garamond" w:cstheme="minorHAnsi"/>
        </w:rPr>
        <w:t>components</w:t>
      </w:r>
      <w:r w:rsidR="00FC37D7">
        <w:rPr>
          <w:rFonts w:ascii="Garamond" w:hAnsi="Garamond" w:cstheme="minorHAnsi"/>
        </w:rPr>
        <w:t xml:space="preserve"> to improve the welfare</w:t>
      </w:r>
      <w:r w:rsidR="002604BF" w:rsidRPr="007F1FD3">
        <w:rPr>
          <w:rFonts w:ascii="Garamond" w:hAnsi="Garamond" w:cstheme="minorHAnsi"/>
        </w:rPr>
        <w:t xml:space="preserve"> of Chimborazo producers</w:t>
      </w:r>
      <w:r w:rsidR="008A6BDB" w:rsidRPr="007F1FD3">
        <w:rPr>
          <w:rFonts w:ascii="Garamond" w:hAnsi="Garamond" w:cstheme="minorHAnsi"/>
        </w:rPr>
        <w:t>.</w:t>
      </w:r>
      <w:r w:rsidR="007A6785" w:rsidRPr="007F1FD3">
        <w:rPr>
          <w:rFonts w:ascii="Garamond" w:hAnsi="Garamond" w:cstheme="minorHAnsi"/>
        </w:rPr>
        <w:t xml:space="preserve"> </w:t>
      </w:r>
    </w:p>
    <w:p w:rsidR="0071024D" w:rsidRDefault="005E4DA4" w:rsidP="009B24AA">
      <w:pPr>
        <w:spacing w:line="360" w:lineRule="auto"/>
        <w:jc w:val="both"/>
        <w:rPr>
          <w:rFonts w:ascii="Garamond" w:hAnsi="Garamond" w:cstheme="minorHAnsi"/>
        </w:rPr>
      </w:pPr>
      <w:r w:rsidRPr="007F1FD3">
        <w:rPr>
          <w:rFonts w:ascii="Garamond" w:hAnsi="Garamond" w:cstheme="minorHAnsi"/>
        </w:rPr>
        <w:t xml:space="preserve">The first component is an irrigation </w:t>
      </w:r>
      <w:r w:rsidR="009E2B66">
        <w:rPr>
          <w:rFonts w:ascii="Garamond" w:hAnsi="Garamond" w:cstheme="minorHAnsi"/>
        </w:rPr>
        <w:t>project</w:t>
      </w:r>
      <w:r w:rsidRPr="007F1FD3">
        <w:rPr>
          <w:rFonts w:ascii="Garamond" w:hAnsi="Garamond" w:cstheme="minorHAnsi"/>
        </w:rPr>
        <w:t xml:space="preserve"> </w:t>
      </w:r>
      <w:r w:rsidR="002604BF" w:rsidRPr="007F1FD3">
        <w:rPr>
          <w:rFonts w:ascii="Garamond" w:hAnsi="Garamond" w:cstheme="minorHAnsi"/>
        </w:rPr>
        <w:t>designed</w:t>
      </w:r>
      <w:r w:rsidRPr="007F1FD3">
        <w:rPr>
          <w:rFonts w:ascii="Garamond" w:hAnsi="Garamond" w:cstheme="minorHAnsi"/>
        </w:rPr>
        <w:t xml:space="preserve"> to give farmers g</w:t>
      </w:r>
      <w:r w:rsidR="00193FE4" w:rsidRPr="007F1FD3">
        <w:rPr>
          <w:rFonts w:ascii="Garamond" w:hAnsi="Garamond" w:cstheme="minorHAnsi"/>
        </w:rPr>
        <w:t>reater access to water</w:t>
      </w:r>
      <w:r w:rsidR="00AA71C3" w:rsidRPr="007F1FD3">
        <w:rPr>
          <w:rFonts w:ascii="Garamond" w:hAnsi="Garamond" w:cstheme="minorHAnsi"/>
        </w:rPr>
        <w:t>,</w:t>
      </w:r>
      <w:r w:rsidR="00AE1FF8" w:rsidRPr="007F1FD3">
        <w:rPr>
          <w:rFonts w:ascii="Garamond" w:hAnsi="Garamond" w:cstheme="minorHAnsi"/>
        </w:rPr>
        <w:t xml:space="preserve"> </w:t>
      </w:r>
      <w:r w:rsidR="00AA71C3" w:rsidRPr="007F1FD3">
        <w:rPr>
          <w:rFonts w:ascii="Garamond" w:hAnsi="Garamond" w:cstheme="minorHAnsi"/>
        </w:rPr>
        <w:t xml:space="preserve">to </w:t>
      </w:r>
      <w:r w:rsidR="00AE1FF8" w:rsidRPr="007F1FD3">
        <w:rPr>
          <w:rFonts w:ascii="Garamond" w:hAnsi="Garamond" w:cstheme="minorHAnsi"/>
        </w:rPr>
        <w:t>improve their ability to manage that water</w:t>
      </w:r>
      <w:r w:rsidR="003F09C3" w:rsidRPr="007F1FD3">
        <w:rPr>
          <w:rFonts w:ascii="Garamond" w:hAnsi="Garamond" w:cstheme="minorHAnsi"/>
        </w:rPr>
        <w:t>,</w:t>
      </w:r>
      <w:r w:rsidR="00AE1FF8" w:rsidRPr="007F1FD3">
        <w:rPr>
          <w:rFonts w:ascii="Garamond" w:hAnsi="Garamond" w:cstheme="minorHAnsi"/>
        </w:rPr>
        <w:t xml:space="preserve"> and </w:t>
      </w:r>
      <w:r w:rsidR="00AA71C3" w:rsidRPr="007F1FD3">
        <w:rPr>
          <w:rFonts w:ascii="Garamond" w:hAnsi="Garamond" w:cstheme="minorHAnsi"/>
        </w:rPr>
        <w:t xml:space="preserve">to provide support to alter agricultural production to take advantage of that water. The irrigation component targets seventeen communities located across Chimborazo that were prioritized in a province-level participatory process. </w:t>
      </w:r>
      <w:r w:rsidR="00C82C4F" w:rsidRPr="007F1FD3">
        <w:rPr>
          <w:rFonts w:ascii="Garamond" w:hAnsi="Garamond" w:cstheme="minorHAnsi"/>
        </w:rPr>
        <w:t>The investments include improving the infrastructure of the irrigation system</w:t>
      </w:r>
      <w:r w:rsidR="009965F5">
        <w:rPr>
          <w:rFonts w:ascii="Garamond" w:hAnsi="Garamond" w:cstheme="minorHAnsi"/>
        </w:rPr>
        <w:t>s</w:t>
      </w:r>
      <w:r w:rsidR="00C82C4F" w:rsidRPr="007F1FD3">
        <w:rPr>
          <w:rFonts w:ascii="Garamond" w:hAnsi="Garamond" w:cstheme="minorHAnsi"/>
        </w:rPr>
        <w:t xml:space="preserve"> as well as the management of the system</w:t>
      </w:r>
      <w:r w:rsidR="009965F5">
        <w:rPr>
          <w:rFonts w:ascii="Garamond" w:hAnsi="Garamond" w:cstheme="minorHAnsi"/>
        </w:rPr>
        <w:t>s</w:t>
      </w:r>
      <w:r w:rsidR="00C82C4F" w:rsidRPr="007F1FD3">
        <w:rPr>
          <w:rFonts w:ascii="Garamond" w:hAnsi="Garamond" w:cstheme="minorHAnsi"/>
        </w:rPr>
        <w:t xml:space="preserve"> through technical support to water users association (WUA). </w:t>
      </w:r>
      <w:r w:rsidR="009E2B66">
        <w:rPr>
          <w:rFonts w:ascii="Garamond" w:hAnsi="Garamond" w:cstheme="minorHAnsi"/>
        </w:rPr>
        <w:t xml:space="preserve">Watershed protection activities aimed at assuring the availability and quality of water at the source are also envisioned. </w:t>
      </w:r>
      <w:r w:rsidR="00C82C4F" w:rsidRPr="007F1FD3">
        <w:rPr>
          <w:rFonts w:ascii="Garamond" w:hAnsi="Garamond" w:cstheme="minorHAnsi"/>
        </w:rPr>
        <w:t>The technical support should help maintain the irrigation system</w:t>
      </w:r>
      <w:r w:rsidR="009965F5">
        <w:rPr>
          <w:rFonts w:ascii="Garamond" w:hAnsi="Garamond" w:cstheme="minorHAnsi"/>
        </w:rPr>
        <w:t>s</w:t>
      </w:r>
      <w:r w:rsidR="00C82C4F" w:rsidRPr="007F1FD3">
        <w:rPr>
          <w:rFonts w:ascii="Garamond" w:hAnsi="Garamond" w:cstheme="minorHAnsi"/>
        </w:rPr>
        <w:t xml:space="preserve"> in the long-term as the members of the WUA should be trained in management of the systems. To ensure that both men and women benefit from the training and development of the WUA, training will include men and women</w:t>
      </w:r>
      <w:r w:rsidR="005735E0">
        <w:rPr>
          <w:rFonts w:ascii="Garamond" w:hAnsi="Garamond" w:cstheme="minorHAnsi"/>
        </w:rPr>
        <w:t>,</w:t>
      </w:r>
      <w:r w:rsidR="00C82C4F" w:rsidRPr="007F1FD3">
        <w:rPr>
          <w:rFonts w:ascii="Garamond" w:hAnsi="Garamond" w:cstheme="minorHAnsi"/>
        </w:rPr>
        <w:t xml:space="preserve"> and the WUA management structure</w:t>
      </w:r>
      <w:r w:rsidR="009965F5">
        <w:rPr>
          <w:rFonts w:ascii="Garamond" w:hAnsi="Garamond" w:cstheme="minorHAnsi"/>
        </w:rPr>
        <w:t>s are</w:t>
      </w:r>
      <w:r w:rsidR="00C82C4F" w:rsidRPr="007F1FD3">
        <w:rPr>
          <w:rFonts w:ascii="Garamond" w:hAnsi="Garamond" w:cstheme="minorHAnsi"/>
        </w:rPr>
        <w:t xml:space="preserve"> expected to include female leaders. To facilitate the beneficial usage </w:t>
      </w:r>
      <w:r w:rsidR="003F09C3" w:rsidRPr="007F1FD3">
        <w:rPr>
          <w:rFonts w:ascii="Garamond" w:hAnsi="Garamond" w:cstheme="minorHAnsi"/>
        </w:rPr>
        <w:t>of improved water access, technical training on agricultural production is also envisioned.</w:t>
      </w:r>
      <w:r w:rsidR="000E12C0">
        <w:rPr>
          <w:rFonts w:ascii="Garamond" w:hAnsi="Garamond" w:cstheme="minorHAnsi"/>
        </w:rPr>
        <w:t xml:space="preserve"> Further, select beneficiary communities are expected to receive educational outreach consisting of workshops discussing issues of nutrition and health.</w:t>
      </w:r>
    </w:p>
    <w:p w:rsidR="007D3E40" w:rsidRDefault="0071024D" w:rsidP="0071024D">
      <w:pPr>
        <w:spacing w:line="360" w:lineRule="auto"/>
        <w:jc w:val="both"/>
        <w:rPr>
          <w:rFonts w:ascii="Garamond" w:hAnsi="Garamond" w:cstheme="minorHAnsi"/>
        </w:rPr>
      </w:pPr>
      <w:r w:rsidRPr="007F1FD3">
        <w:rPr>
          <w:rFonts w:ascii="Garamond" w:hAnsi="Garamond" w:cstheme="minorHAnsi"/>
        </w:rPr>
        <w:t>The second co</w:t>
      </w:r>
      <w:r>
        <w:rPr>
          <w:rFonts w:ascii="Garamond" w:hAnsi="Garamond" w:cstheme="minorHAnsi"/>
        </w:rPr>
        <w:t>mponent is a road access project</w:t>
      </w:r>
      <w:r w:rsidRPr="007F1FD3">
        <w:rPr>
          <w:rFonts w:ascii="Garamond" w:hAnsi="Garamond" w:cstheme="minorHAnsi"/>
        </w:rPr>
        <w:t xml:space="preserve"> designed to reduce future cost of transportation thereby giving rural areas in the targeted region better access to markets, health facilities</w:t>
      </w:r>
      <w:r>
        <w:rPr>
          <w:rFonts w:ascii="Garamond" w:hAnsi="Garamond" w:cstheme="minorHAnsi"/>
        </w:rPr>
        <w:t>,</w:t>
      </w:r>
      <w:r w:rsidRPr="007F1FD3">
        <w:rPr>
          <w:rFonts w:ascii="Garamond" w:hAnsi="Garamond" w:cstheme="minorHAnsi"/>
        </w:rPr>
        <w:t xml:space="preserve"> and schools. The road access </w:t>
      </w:r>
      <w:r>
        <w:rPr>
          <w:rFonts w:ascii="Garamond" w:hAnsi="Garamond" w:cstheme="minorHAnsi"/>
        </w:rPr>
        <w:t>project</w:t>
      </w:r>
      <w:r w:rsidRPr="007F1FD3">
        <w:rPr>
          <w:rFonts w:ascii="Garamond" w:hAnsi="Garamond" w:cstheme="minorHAnsi"/>
        </w:rPr>
        <w:t xml:space="preserve"> focuses on two primary locations. First, a road between </w:t>
      </w:r>
      <w:r w:rsidR="000B4F46">
        <w:rPr>
          <w:rFonts w:ascii="Garamond" w:hAnsi="Garamond" w:cstheme="minorHAnsi"/>
        </w:rPr>
        <w:t>Pallatanga and Guamote</w:t>
      </w:r>
      <w:r>
        <w:rPr>
          <w:rFonts w:ascii="Garamond" w:hAnsi="Garamond" w:cstheme="minorHAnsi"/>
        </w:rPr>
        <w:t xml:space="preserve"> – paved in sections</w:t>
      </w:r>
      <w:r w:rsidRPr="007F1FD3">
        <w:rPr>
          <w:rFonts w:ascii="Garamond" w:hAnsi="Garamond" w:cstheme="minorHAnsi"/>
        </w:rPr>
        <w:t xml:space="preserve"> and scheduled to finish in less than two years</w:t>
      </w:r>
      <w:r>
        <w:rPr>
          <w:rFonts w:ascii="Garamond" w:hAnsi="Garamond" w:cstheme="minorHAnsi"/>
        </w:rPr>
        <w:t xml:space="preserve"> –</w:t>
      </w:r>
      <w:r w:rsidRPr="007F1FD3">
        <w:rPr>
          <w:rFonts w:ascii="Garamond" w:hAnsi="Garamond" w:cstheme="minorHAnsi"/>
        </w:rPr>
        <w:t xml:space="preserve"> that will connect tw</w:t>
      </w:r>
      <w:r>
        <w:rPr>
          <w:rFonts w:ascii="Garamond" w:hAnsi="Garamond" w:cstheme="minorHAnsi"/>
        </w:rPr>
        <w:t>o large agricultural</w:t>
      </w:r>
      <w:r w:rsidRPr="007F1FD3">
        <w:rPr>
          <w:rFonts w:ascii="Garamond" w:hAnsi="Garamond" w:cstheme="minorHAnsi"/>
        </w:rPr>
        <w:t xml:space="preserve"> markets located in each </w:t>
      </w:r>
      <w:r w:rsidRPr="00F57AC3">
        <w:rPr>
          <w:rFonts w:ascii="Garamond" w:hAnsi="Garamond" w:cstheme="minorHAnsi"/>
          <w:i/>
        </w:rPr>
        <w:t>canton</w:t>
      </w:r>
      <w:r>
        <w:rPr>
          <w:rFonts w:ascii="Garamond" w:hAnsi="Garamond" w:cstheme="minorHAnsi"/>
        </w:rPr>
        <w:t>,</w:t>
      </w:r>
      <w:r w:rsidRPr="007F1FD3">
        <w:rPr>
          <w:rFonts w:ascii="Garamond" w:hAnsi="Garamond" w:cstheme="minorHAnsi"/>
        </w:rPr>
        <w:t xml:space="preserve"> respectively. The second road is a repaving project of an evacuation route in Penipe.</w:t>
      </w:r>
      <w:r>
        <w:rPr>
          <w:rFonts w:ascii="Garamond" w:hAnsi="Garamond" w:cstheme="minorHAnsi"/>
        </w:rPr>
        <w:t xml:space="preserve"> </w:t>
      </w:r>
      <w:r w:rsidRPr="007F1FD3">
        <w:rPr>
          <w:rFonts w:ascii="Garamond" w:hAnsi="Garamond" w:cstheme="minorHAnsi"/>
        </w:rPr>
        <w:t>While potentially a valuable investment, the benefits of investing in this road are likely to be seen only when volcani</w:t>
      </w:r>
      <w:r>
        <w:rPr>
          <w:rFonts w:ascii="Garamond" w:hAnsi="Garamond" w:cstheme="minorHAnsi"/>
        </w:rPr>
        <w:t>c events occur. G</w:t>
      </w:r>
      <w:r w:rsidRPr="007F1FD3">
        <w:rPr>
          <w:rFonts w:ascii="Garamond" w:hAnsi="Garamond" w:cstheme="minorHAnsi"/>
        </w:rPr>
        <w:t xml:space="preserve">iven the </w:t>
      </w:r>
      <w:r>
        <w:rPr>
          <w:rFonts w:ascii="Garamond" w:hAnsi="Garamond" w:cstheme="minorHAnsi"/>
        </w:rPr>
        <w:t xml:space="preserve">uncertainty associated with the occurrence of </w:t>
      </w:r>
      <w:r w:rsidRPr="007F1FD3">
        <w:rPr>
          <w:rFonts w:ascii="Garamond" w:hAnsi="Garamond" w:cstheme="minorHAnsi"/>
        </w:rPr>
        <w:t>such event</w:t>
      </w:r>
      <w:r>
        <w:rPr>
          <w:rFonts w:ascii="Garamond" w:hAnsi="Garamond" w:cstheme="minorHAnsi"/>
        </w:rPr>
        <w:t>s,</w:t>
      </w:r>
      <w:r w:rsidRPr="007F1FD3">
        <w:rPr>
          <w:rFonts w:ascii="Garamond" w:hAnsi="Garamond" w:cstheme="minorHAnsi"/>
        </w:rPr>
        <w:t xml:space="preserve"> the impact evaluation of the road component focus</w:t>
      </w:r>
      <w:r w:rsidR="000B4F46">
        <w:rPr>
          <w:rFonts w:ascii="Garamond" w:hAnsi="Garamond" w:cstheme="minorHAnsi"/>
        </w:rPr>
        <w:t xml:space="preserve">es on the impact of the </w:t>
      </w:r>
      <w:r w:rsidR="000B4F46" w:rsidRPr="007F1FD3">
        <w:rPr>
          <w:rFonts w:ascii="Garamond" w:hAnsi="Garamond" w:cstheme="minorHAnsi"/>
        </w:rPr>
        <w:t>Pallatanga</w:t>
      </w:r>
      <w:r w:rsidR="000B4F46">
        <w:rPr>
          <w:rFonts w:ascii="Garamond" w:hAnsi="Garamond" w:cstheme="minorHAnsi"/>
        </w:rPr>
        <w:t>-Guamote</w:t>
      </w:r>
      <w:r w:rsidR="000B4F46" w:rsidRPr="007F1FD3">
        <w:rPr>
          <w:rFonts w:ascii="Garamond" w:hAnsi="Garamond" w:cstheme="minorHAnsi"/>
        </w:rPr>
        <w:t xml:space="preserve"> </w:t>
      </w:r>
      <w:r w:rsidRPr="007F1FD3">
        <w:rPr>
          <w:rFonts w:ascii="Garamond" w:hAnsi="Garamond" w:cstheme="minorHAnsi"/>
        </w:rPr>
        <w:t>road.</w:t>
      </w:r>
    </w:p>
    <w:p w:rsidR="00A95D60" w:rsidRDefault="007D3E40" w:rsidP="009B24AA">
      <w:pPr>
        <w:spacing w:line="360" w:lineRule="auto"/>
        <w:jc w:val="both"/>
        <w:rPr>
          <w:rFonts w:ascii="Garamond" w:hAnsi="Garamond" w:cstheme="minorHAnsi"/>
        </w:rPr>
      </w:pPr>
      <w:r w:rsidRPr="007F1FD3">
        <w:rPr>
          <w:rFonts w:ascii="Garamond" w:hAnsi="Garamond" w:cstheme="minorHAnsi"/>
        </w:rPr>
        <w:t>The investment in the irrigation systems and roads should lead to a series of outputs or products. If the investments occur as planned, the irrigation systems should be created/rehabilitated and functioning efficiently</w:t>
      </w:r>
      <w:r>
        <w:rPr>
          <w:rFonts w:ascii="Garamond" w:hAnsi="Garamond" w:cstheme="minorHAnsi"/>
        </w:rPr>
        <w:t xml:space="preserve"> and sustainably</w:t>
      </w:r>
      <w:r w:rsidRPr="007F1FD3">
        <w:rPr>
          <w:rFonts w:ascii="Garamond" w:hAnsi="Garamond" w:cstheme="minorHAnsi"/>
        </w:rPr>
        <w:t xml:space="preserve"> under the management of the water users associations. </w:t>
      </w:r>
      <w:r w:rsidR="00D27A86">
        <w:rPr>
          <w:rFonts w:ascii="Garamond" w:hAnsi="Garamond" w:cstheme="minorHAnsi"/>
        </w:rPr>
        <w:t>This should ensure improved water flow for rehabilitated systems and greater</w:t>
      </w:r>
      <w:r w:rsidR="002076CE">
        <w:rPr>
          <w:rFonts w:ascii="Garamond" w:hAnsi="Garamond" w:cstheme="minorHAnsi"/>
        </w:rPr>
        <w:t xml:space="preserve"> water access for everyone in the irrigation system. </w:t>
      </w:r>
      <w:r w:rsidRPr="007F1FD3">
        <w:rPr>
          <w:rFonts w:ascii="Garamond" w:hAnsi="Garamond" w:cstheme="minorHAnsi"/>
        </w:rPr>
        <w:t xml:space="preserve">The </w:t>
      </w:r>
      <w:r>
        <w:rPr>
          <w:rFonts w:ascii="Garamond" w:hAnsi="Garamond" w:cstheme="minorHAnsi"/>
        </w:rPr>
        <w:t xml:space="preserve">project will aim to ensure </w:t>
      </w:r>
      <w:r w:rsidRPr="007F1FD3">
        <w:rPr>
          <w:rFonts w:ascii="Garamond" w:hAnsi="Garamond" w:cstheme="minorHAnsi"/>
        </w:rPr>
        <w:t>that the management of t</w:t>
      </w:r>
      <w:r>
        <w:rPr>
          <w:rFonts w:ascii="Garamond" w:hAnsi="Garamond" w:cstheme="minorHAnsi"/>
        </w:rPr>
        <w:t xml:space="preserve">he water users association </w:t>
      </w:r>
      <w:r w:rsidRPr="007F1FD3">
        <w:rPr>
          <w:rFonts w:ascii="Garamond" w:hAnsi="Garamond" w:cstheme="minorHAnsi"/>
        </w:rPr>
        <w:t>includes both men and women in the management structure</w:t>
      </w:r>
      <w:r>
        <w:rPr>
          <w:rFonts w:ascii="Garamond" w:hAnsi="Garamond" w:cstheme="minorHAnsi"/>
        </w:rPr>
        <w:t>,</w:t>
      </w:r>
      <w:r w:rsidRPr="007F1FD3">
        <w:rPr>
          <w:rFonts w:ascii="Garamond" w:hAnsi="Garamond" w:cstheme="minorHAnsi"/>
        </w:rPr>
        <w:t xml:space="preserve"> thereby providing benefits to all members of the community. With the improved management of the irrigation system</w:t>
      </w:r>
      <w:r>
        <w:rPr>
          <w:rFonts w:ascii="Garamond" w:hAnsi="Garamond" w:cstheme="minorHAnsi"/>
        </w:rPr>
        <w:t>s</w:t>
      </w:r>
      <w:r w:rsidRPr="007F1FD3">
        <w:rPr>
          <w:rFonts w:ascii="Garamond" w:hAnsi="Garamond" w:cstheme="minorHAnsi"/>
        </w:rPr>
        <w:t>,</w:t>
      </w:r>
      <w:r>
        <w:rPr>
          <w:rFonts w:ascii="Garamond" w:hAnsi="Garamond" w:cstheme="minorHAnsi"/>
        </w:rPr>
        <w:t xml:space="preserve"> protection of the watersheds in which they operate should also improve water availability and quality. </w:t>
      </w:r>
      <w:r w:rsidRPr="007F1FD3">
        <w:rPr>
          <w:rFonts w:ascii="Garamond" w:hAnsi="Garamond" w:cstheme="minorHAnsi"/>
        </w:rPr>
        <w:t>Farmers in the irrigation system</w:t>
      </w:r>
      <w:r>
        <w:rPr>
          <w:rFonts w:ascii="Garamond" w:hAnsi="Garamond" w:cstheme="minorHAnsi"/>
        </w:rPr>
        <w:t>s</w:t>
      </w:r>
      <w:r w:rsidRPr="007F1FD3">
        <w:rPr>
          <w:rFonts w:ascii="Garamond" w:hAnsi="Garamond" w:cstheme="minorHAnsi"/>
        </w:rPr>
        <w:t xml:space="preserve"> should also have received </w:t>
      </w:r>
      <w:r w:rsidRPr="007F1FD3">
        <w:rPr>
          <w:rFonts w:ascii="Garamond" w:hAnsi="Garamond" w:cstheme="minorHAnsi"/>
        </w:rPr>
        <w:lastRenderedPageBreak/>
        <w:t xml:space="preserve">training on production practices that will allow them to take advantage of the improved water access.  With respect to the roads, the expectation is that the rehabilitation activities should have occurred allowing for the road to be used. </w:t>
      </w:r>
    </w:p>
    <w:p w:rsidR="00A95D60" w:rsidRDefault="00A95D60" w:rsidP="009B24AA">
      <w:pPr>
        <w:spacing w:line="360" w:lineRule="auto"/>
        <w:jc w:val="both"/>
        <w:rPr>
          <w:rFonts w:ascii="Garamond" w:hAnsi="Garamond" w:cstheme="minorHAnsi"/>
        </w:rPr>
      </w:pPr>
      <w:r w:rsidRPr="007F1FD3">
        <w:rPr>
          <w:rFonts w:ascii="Garamond" w:hAnsi="Garamond" w:cstheme="minorHAnsi"/>
        </w:rPr>
        <w:t>Verification of whether</w:t>
      </w:r>
      <w:r>
        <w:rPr>
          <w:rFonts w:ascii="Garamond" w:hAnsi="Garamond" w:cstheme="minorHAnsi"/>
        </w:rPr>
        <w:t xml:space="preserve"> and when</w:t>
      </w:r>
      <w:r w:rsidRPr="007F1FD3">
        <w:rPr>
          <w:rFonts w:ascii="Garamond" w:hAnsi="Garamond" w:cstheme="minorHAnsi"/>
        </w:rPr>
        <w:t xml:space="preserve"> these activities and products occurred will primarily be obtained through the monitoring system of the </w:t>
      </w:r>
      <w:r>
        <w:rPr>
          <w:rFonts w:ascii="Garamond" w:hAnsi="Garamond" w:cstheme="minorHAnsi"/>
        </w:rPr>
        <w:t>project,</w:t>
      </w:r>
      <w:r w:rsidRPr="007F1FD3">
        <w:rPr>
          <w:rFonts w:ascii="Garamond" w:hAnsi="Garamond" w:cstheme="minorHAnsi"/>
        </w:rPr>
        <w:t xml:space="preserve"> which is designed to capture this information. The Results and the Impacts identified in Figure 1 then note the expected effects of the </w:t>
      </w:r>
      <w:r>
        <w:rPr>
          <w:rFonts w:ascii="Garamond" w:hAnsi="Garamond" w:cstheme="minorHAnsi"/>
        </w:rPr>
        <w:t>project</w:t>
      </w:r>
      <w:r w:rsidRPr="007F1FD3">
        <w:rPr>
          <w:rFonts w:ascii="Garamond" w:hAnsi="Garamond" w:cstheme="minorHAnsi"/>
        </w:rPr>
        <w:t xml:space="preserve"> if farmers and households in the in</w:t>
      </w:r>
      <w:r>
        <w:rPr>
          <w:rFonts w:ascii="Garamond" w:hAnsi="Garamond" w:cstheme="minorHAnsi"/>
        </w:rPr>
        <w:t>tervention regions respond in the</w:t>
      </w:r>
      <w:r w:rsidRPr="007F1FD3">
        <w:rPr>
          <w:rFonts w:ascii="Garamond" w:hAnsi="Garamond" w:cstheme="minorHAnsi"/>
        </w:rPr>
        <w:t xml:space="preserve"> anticipated manner. The impact evaluation plan is primarily designed to capture this level of effects and these drive our evaluation questions.</w:t>
      </w:r>
    </w:p>
    <w:p w:rsidR="002076CE" w:rsidRDefault="00A95D60" w:rsidP="002F5A30">
      <w:pPr>
        <w:spacing w:line="360" w:lineRule="auto"/>
        <w:jc w:val="both"/>
        <w:rPr>
          <w:rFonts w:ascii="Garamond" w:hAnsi="Garamond" w:cstheme="minorHAnsi"/>
        </w:rPr>
      </w:pPr>
      <w:r w:rsidRPr="007F1FD3">
        <w:rPr>
          <w:rFonts w:ascii="Garamond" w:hAnsi="Garamond" w:cstheme="minorHAnsi"/>
        </w:rPr>
        <w:t>With respect to the irrigation system investment, the p</w:t>
      </w:r>
      <w:r>
        <w:rPr>
          <w:rFonts w:ascii="Garamond" w:hAnsi="Garamond" w:cstheme="minorHAnsi"/>
        </w:rPr>
        <w:t xml:space="preserve">rimary anticipated results are to </w:t>
      </w:r>
      <w:r w:rsidRPr="007F1FD3">
        <w:rPr>
          <w:rFonts w:ascii="Garamond" w:hAnsi="Garamond" w:cstheme="minorHAnsi"/>
        </w:rPr>
        <w:t>come th</w:t>
      </w:r>
      <w:r>
        <w:rPr>
          <w:rFonts w:ascii="Garamond" w:hAnsi="Garamond" w:cstheme="minorHAnsi"/>
        </w:rPr>
        <w:t>rough farming practices. With</w:t>
      </w:r>
      <w:r w:rsidRPr="007F1FD3">
        <w:rPr>
          <w:rFonts w:ascii="Garamond" w:hAnsi="Garamond" w:cstheme="minorHAnsi"/>
        </w:rPr>
        <w:t xml:space="preserve"> improved irrigation system</w:t>
      </w:r>
      <w:r>
        <w:rPr>
          <w:rFonts w:ascii="Garamond" w:hAnsi="Garamond" w:cstheme="minorHAnsi"/>
        </w:rPr>
        <w:t>s</w:t>
      </w:r>
      <w:r w:rsidRPr="007F1FD3">
        <w:rPr>
          <w:rFonts w:ascii="Garamond" w:hAnsi="Garamond" w:cstheme="minorHAnsi"/>
        </w:rPr>
        <w:t xml:space="preserve"> and training both in managing water and in new agricultural practices, the expectation is that farmers will adopt </w:t>
      </w:r>
      <w:r w:rsidR="002076CE">
        <w:rPr>
          <w:rFonts w:ascii="Garamond" w:hAnsi="Garamond" w:cstheme="minorHAnsi"/>
        </w:rPr>
        <w:t xml:space="preserve">efficient </w:t>
      </w:r>
      <w:r w:rsidRPr="007F1FD3">
        <w:rPr>
          <w:rFonts w:ascii="Garamond" w:hAnsi="Garamond" w:cstheme="minorHAnsi"/>
        </w:rPr>
        <w:t>water use technologies, new agricultural practices</w:t>
      </w:r>
      <w:r>
        <w:rPr>
          <w:rFonts w:ascii="Garamond" w:hAnsi="Garamond" w:cstheme="minorHAnsi"/>
        </w:rPr>
        <w:t>,</w:t>
      </w:r>
      <w:r w:rsidRPr="007F1FD3">
        <w:rPr>
          <w:rFonts w:ascii="Garamond" w:hAnsi="Garamond" w:cstheme="minorHAnsi"/>
        </w:rPr>
        <w:t xml:space="preserve"> and</w:t>
      </w:r>
      <w:r>
        <w:rPr>
          <w:rFonts w:ascii="Garamond" w:hAnsi="Garamond" w:cstheme="minorHAnsi"/>
        </w:rPr>
        <w:t xml:space="preserve"> expand the number of crop seasons in the agricultural year</w:t>
      </w:r>
      <w:r w:rsidRPr="007F1FD3">
        <w:rPr>
          <w:rFonts w:ascii="Garamond" w:hAnsi="Garamond" w:cstheme="minorHAnsi"/>
        </w:rPr>
        <w:t xml:space="preserve">. These actions should lead farmers to increase their agricultural spending on inputs and increase their agricultural investments. </w:t>
      </w:r>
      <w:r w:rsidR="002076CE">
        <w:rPr>
          <w:rFonts w:ascii="Garamond" w:hAnsi="Garamond" w:cstheme="minorHAnsi"/>
        </w:rPr>
        <w:t xml:space="preserve">The expanded production and new crops should lead farmers to increase the likelihood they will sell individual agricultural products and increase the ales amounts that farmers tend to receive. </w:t>
      </w:r>
      <w:r w:rsidRPr="007F1FD3">
        <w:rPr>
          <w:rFonts w:ascii="Garamond" w:hAnsi="Garamond" w:cstheme="minorHAnsi"/>
        </w:rPr>
        <w:t>Taken together, the response to improved water access should lead to an impact on the level of crop and livestock production as measured</w:t>
      </w:r>
      <w:r w:rsidR="002F5A30">
        <w:rPr>
          <w:rFonts w:ascii="Garamond" w:hAnsi="Garamond" w:cstheme="minorHAnsi"/>
        </w:rPr>
        <w:t xml:space="preserve"> </w:t>
      </w:r>
      <w:r w:rsidR="00B93000" w:rsidRPr="007F1FD3">
        <w:rPr>
          <w:rFonts w:ascii="Garamond" w:hAnsi="Garamond" w:cstheme="minorHAnsi"/>
        </w:rPr>
        <w:t>by increased productivity and gross margins</w:t>
      </w:r>
      <w:r w:rsidR="00B93000">
        <w:rPr>
          <w:rFonts w:ascii="Garamond" w:hAnsi="Garamond" w:cstheme="minorHAnsi"/>
        </w:rPr>
        <w:t>,</w:t>
      </w:r>
      <w:r w:rsidR="00B93000" w:rsidRPr="007F1FD3">
        <w:rPr>
          <w:rFonts w:ascii="Garamond" w:hAnsi="Garamond" w:cstheme="minorHAnsi"/>
        </w:rPr>
        <w:t xml:space="preserve"> as well</w:t>
      </w:r>
      <w:r w:rsidR="002076CE">
        <w:rPr>
          <w:rFonts w:ascii="Garamond" w:hAnsi="Garamond" w:cstheme="minorHAnsi"/>
        </w:rPr>
        <w:t xml:space="preserve"> as on agricultural income generated</w:t>
      </w:r>
      <w:r w:rsidR="00B93000" w:rsidRPr="007F1FD3">
        <w:rPr>
          <w:rFonts w:ascii="Garamond" w:hAnsi="Garamond" w:cstheme="minorHAnsi"/>
        </w:rPr>
        <w:t xml:space="preserve">. </w:t>
      </w:r>
    </w:p>
    <w:p w:rsidR="00C82C4F" w:rsidRPr="007F1FD3" w:rsidRDefault="00B93000" w:rsidP="002F5A30">
      <w:pPr>
        <w:spacing w:line="360" w:lineRule="auto"/>
        <w:jc w:val="both"/>
        <w:rPr>
          <w:rFonts w:ascii="Garamond" w:hAnsi="Garamond" w:cstheme="minorHAnsi"/>
        </w:rPr>
      </w:pPr>
      <w:r w:rsidRPr="007F1FD3">
        <w:rPr>
          <w:rFonts w:ascii="Garamond" w:hAnsi="Garamond" w:cstheme="minorHAnsi"/>
        </w:rPr>
        <w:t>The ability to produce more on the land, given the increased water access, should also lead to higher land values</w:t>
      </w:r>
      <w:r>
        <w:rPr>
          <w:rFonts w:ascii="Garamond" w:hAnsi="Garamond" w:cstheme="minorHAnsi"/>
        </w:rPr>
        <w:t>, as the value of land is the discounted future stream of profits.</w:t>
      </w:r>
      <w:r w:rsidR="002076CE">
        <w:rPr>
          <w:rFonts w:ascii="Garamond" w:hAnsi="Garamond" w:cstheme="minorHAnsi"/>
        </w:rPr>
        <w:t xml:space="preserve"> Additionally, the project should create an incentive to invest in land management as it becomes a more important resource for the livelihoods of farmers. This combined with the other </w:t>
      </w:r>
      <w:r w:rsidR="00986F93">
        <w:rPr>
          <w:rFonts w:ascii="Garamond" w:hAnsi="Garamond" w:cstheme="minorHAnsi"/>
        </w:rPr>
        <w:t>project components, especially related to management of the local watersheds, should lead to improved resource management.</w:t>
      </w:r>
      <w:r w:rsidR="002076CE">
        <w:rPr>
          <w:rFonts w:ascii="Garamond" w:hAnsi="Garamond" w:cstheme="minorHAnsi"/>
        </w:rPr>
        <w:t xml:space="preserve"> </w:t>
      </w:r>
    </w:p>
    <w:p w:rsidR="008121F0" w:rsidRPr="007F1FD3" w:rsidRDefault="00D565A5" w:rsidP="009B24AA">
      <w:pPr>
        <w:tabs>
          <w:tab w:val="center" w:pos="4680"/>
        </w:tabs>
        <w:spacing w:line="360" w:lineRule="auto"/>
        <w:jc w:val="both"/>
        <w:rPr>
          <w:rFonts w:ascii="Garamond" w:hAnsi="Garamond" w:cstheme="minorHAnsi"/>
        </w:rPr>
      </w:pPr>
      <w:r w:rsidRPr="007F1FD3">
        <w:rPr>
          <w:rFonts w:ascii="Garamond" w:hAnsi="Garamond" w:cstheme="minorHAnsi"/>
        </w:rPr>
        <w:t>With training of both men and women and the inclusion of women in leadership positions in the WUA, the expectation is that income gains will benefit both men and women within the households as well as children</w:t>
      </w:r>
      <w:r w:rsidR="007D28D5" w:rsidRPr="007F1FD3">
        <w:rPr>
          <w:rFonts w:ascii="Garamond" w:hAnsi="Garamond" w:cstheme="minorHAnsi"/>
        </w:rPr>
        <w:t>. These higher income levels</w:t>
      </w:r>
      <w:r w:rsidR="00986F93">
        <w:rPr>
          <w:rFonts w:ascii="Garamond" w:hAnsi="Garamond" w:cstheme="minorHAnsi"/>
        </w:rPr>
        <w:t>,</w:t>
      </w:r>
      <w:r w:rsidR="007D28D5" w:rsidRPr="007F1FD3">
        <w:rPr>
          <w:rFonts w:ascii="Garamond" w:hAnsi="Garamond" w:cstheme="minorHAnsi"/>
        </w:rPr>
        <w:t xml:space="preserve"> and the production of </w:t>
      </w:r>
      <w:r w:rsidR="000A2B44">
        <w:rPr>
          <w:rFonts w:ascii="Garamond" w:hAnsi="Garamond" w:cstheme="minorHAnsi"/>
        </w:rPr>
        <w:t xml:space="preserve">a </w:t>
      </w:r>
      <w:r w:rsidR="007D28D5" w:rsidRPr="007F1FD3">
        <w:rPr>
          <w:rFonts w:ascii="Garamond" w:hAnsi="Garamond" w:cstheme="minorHAnsi"/>
        </w:rPr>
        <w:t>diversified crop portfolio</w:t>
      </w:r>
      <w:r w:rsidR="00986F93">
        <w:rPr>
          <w:rFonts w:ascii="Garamond" w:hAnsi="Garamond" w:cstheme="minorHAnsi"/>
        </w:rPr>
        <w:t>,</w:t>
      </w:r>
      <w:r w:rsidR="007D28D5" w:rsidRPr="007F1FD3">
        <w:rPr>
          <w:rFonts w:ascii="Garamond" w:hAnsi="Garamond" w:cstheme="minorHAnsi"/>
        </w:rPr>
        <w:t xml:space="preserve"> should improve food security and nutrition. The active inclusion of women in the training should also enhance agency and empowerment for women.</w:t>
      </w:r>
    </w:p>
    <w:p w:rsidR="002F5A30" w:rsidRDefault="002F5A30">
      <w:pPr>
        <w:rPr>
          <w:rFonts w:ascii="Garamond" w:hAnsi="Garamond" w:cstheme="minorHAnsi"/>
        </w:rPr>
      </w:pPr>
      <w:r>
        <w:rPr>
          <w:rFonts w:ascii="Garamond" w:hAnsi="Garamond" w:cstheme="minorHAnsi"/>
        </w:rPr>
        <w:br w:type="page"/>
      </w:r>
    </w:p>
    <w:p w:rsidR="00986F93" w:rsidRPr="007F1FD3" w:rsidRDefault="00FD56C7" w:rsidP="00802C32">
      <w:pPr>
        <w:tabs>
          <w:tab w:val="center" w:pos="4680"/>
        </w:tabs>
        <w:spacing w:line="360" w:lineRule="auto"/>
        <w:jc w:val="both"/>
        <w:rPr>
          <w:rFonts w:ascii="Garamond" w:hAnsi="Garamond" w:cstheme="minorHAnsi"/>
        </w:rPr>
      </w:pPr>
      <w:r w:rsidRPr="00FD56C7">
        <w:rPr>
          <w:noProof/>
        </w:rPr>
        <w:lastRenderedPageBreak/>
        <w:drawing>
          <wp:anchor distT="0" distB="0" distL="114300" distR="114300" simplePos="0" relativeHeight="251658240" behindDoc="0" locked="0" layoutInCell="1" allowOverlap="1">
            <wp:simplePos x="0" y="0"/>
            <wp:positionH relativeFrom="margin">
              <wp:posOffset>-843280</wp:posOffset>
            </wp:positionH>
            <wp:positionV relativeFrom="margin">
              <wp:posOffset>815975</wp:posOffset>
            </wp:positionV>
            <wp:extent cx="7776210" cy="6193155"/>
            <wp:effectExtent l="0" t="800100" r="0" b="7410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rot="16200000">
                      <a:off x="0" y="0"/>
                      <a:ext cx="7776210" cy="6193155"/>
                    </a:xfrm>
                    <a:prstGeom prst="rect">
                      <a:avLst/>
                    </a:prstGeom>
                    <a:noFill/>
                    <a:ln w="9525">
                      <a:noFill/>
                      <a:miter lim="800000"/>
                      <a:headEnd/>
                      <a:tailEnd/>
                    </a:ln>
                  </pic:spPr>
                </pic:pic>
              </a:graphicData>
            </a:graphic>
          </wp:anchor>
        </w:drawing>
      </w:r>
      <w:r w:rsidR="002F5A30">
        <w:rPr>
          <w:rFonts w:ascii="Garamond" w:hAnsi="Garamond" w:cstheme="minorHAnsi"/>
        </w:rPr>
        <w:br w:type="page"/>
      </w:r>
      <w:r w:rsidR="00986F93" w:rsidRPr="007F1FD3">
        <w:rPr>
          <w:rFonts w:ascii="Garamond" w:hAnsi="Garamond" w:cstheme="minorHAnsi"/>
        </w:rPr>
        <w:lastRenderedPageBreak/>
        <w:t xml:space="preserve">The rehabilitation of the </w:t>
      </w:r>
      <w:r w:rsidR="000B4F46" w:rsidRPr="007F1FD3">
        <w:rPr>
          <w:rFonts w:ascii="Garamond" w:hAnsi="Garamond" w:cstheme="minorHAnsi"/>
        </w:rPr>
        <w:t>Pallatanga</w:t>
      </w:r>
      <w:r w:rsidR="000B4F46">
        <w:rPr>
          <w:rFonts w:ascii="Garamond" w:hAnsi="Garamond" w:cstheme="minorHAnsi"/>
        </w:rPr>
        <w:t>-Guamote</w:t>
      </w:r>
      <w:r w:rsidR="000B4F46" w:rsidRPr="007F1FD3">
        <w:rPr>
          <w:rFonts w:ascii="Garamond" w:hAnsi="Garamond" w:cstheme="minorHAnsi"/>
        </w:rPr>
        <w:t xml:space="preserve"> </w:t>
      </w:r>
      <w:r w:rsidR="00986F93" w:rsidRPr="007F1FD3">
        <w:rPr>
          <w:rFonts w:ascii="Garamond" w:hAnsi="Garamond" w:cstheme="minorHAnsi"/>
        </w:rPr>
        <w:t>road should lower transactions cost</w:t>
      </w:r>
      <w:r w:rsidR="00986F93">
        <w:rPr>
          <w:rFonts w:ascii="Garamond" w:hAnsi="Garamond" w:cstheme="minorHAnsi"/>
        </w:rPr>
        <w:t>s since it will decrease</w:t>
      </w:r>
      <w:r w:rsidR="00986F93" w:rsidRPr="007F1FD3">
        <w:rPr>
          <w:rFonts w:ascii="Garamond" w:hAnsi="Garamond" w:cstheme="minorHAnsi"/>
        </w:rPr>
        <w:t xml:space="preserve"> travel time</w:t>
      </w:r>
      <w:r w:rsidR="00986F93">
        <w:rPr>
          <w:rFonts w:ascii="Garamond" w:hAnsi="Garamond" w:cstheme="minorHAnsi"/>
        </w:rPr>
        <w:t>s</w:t>
      </w:r>
      <w:r w:rsidR="00986F93" w:rsidRPr="007F1FD3">
        <w:rPr>
          <w:rFonts w:ascii="Garamond" w:hAnsi="Garamond" w:cstheme="minorHAnsi"/>
        </w:rPr>
        <w:t xml:space="preserve"> between the two locations. </w:t>
      </w:r>
      <w:r w:rsidR="00986F93">
        <w:rPr>
          <w:rFonts w:ascii="Garamond" w:hAnsi="Garamond" w:cstheme="minorHAnsi"/>
        </w:rPr>
        <w:t xml:space="preserve">It is also likely to reduce travel disruptions during the rainy season. </w:t>
      </w:r>
      <w:r w:rsidR="00986F93" w:rsidRPr="007F1FD3">
        <w:rPr>
          <w:rFonts w:ascii="Garamond" w:hAnsi="Garamond" w:cstheme="minorHAnsi"/>
        </w:rPr>
        <w:t>The lower transaction costs should improve market access and allow for greater use of productive inputs and increased sale of outputs</w:t>
      </w:r>
      <w:r w:rsidR="00986F93">
        <w:rPr>
          <w:rFonts w:ascii="Garamond" w:hAnsi="Garamond" w:cstheme="minorHAnsi"/>
        </w:rPr>
        <w:t xml:space="preserve"> throughout the year</w:t>
      </w:r>
      <w:r w:rsidR="00986F93" w:rsidRPr="007F1FD3">
        <w:rPr>
          <w:rFonts w:ascii="Garamond" w:hAnsi="Garamond" w:cstheme="minorHAnsi"/>
        </w:rPr>
        <w:t>. As with the irrigation project this should lead to improved agricultural outcomes as well as higher consumption. The lower transportation costs should also lower the cost of access</w:t>
      </w:r>
      <w:r w:rsidR="00986F93">
        <w:rPr>
          <w:rFonts w:ascii="Garamond" w:hAnsi="Garamond" w:cstheme="minorHAnsi"/>
        </w:rPr>
        <w:t xml:space="preserve"> to</w:t>
      </w:r>
      <w:r w:rsidR="00986F93" w:rsidRPr="007F1FD3">
        <w:rPr>
          <w:rFonts w:ascii="Garamond" w:hAnsi="Garamond" w:cstheme="minorHAnsi"/>
        </w:rPr>
        <w:t xml:space="preserve"> key services such as health centers and schools. Finally, since the roads will be improved, the operation and maintenance costs of vehicles should be reduced saving households income.</w:t>
      </w:r>
    </w:p>
    <w:p w:rsidR="00CF0801" w:rsidRPr="007F1FD3" w:rsidRDefault="00CF0801" w:rsidP="009B24AA">
      <w:pPr>
        <w:spacing w:line="360" w:lineRule="auto"/>
        <w:jc w:val="both"/>
        <w:rPr>
          <w:rFonts w:ascii="Garamond" w:hAnsi="Garamond" w:cstheme="minorHAnsi"/>
        </w:rPr>
      </w:pPr>
      <w:r w:rsidRPr="007F1FD3">
        <w:rPr>
          <w:rFonts w:ascii="Garamond" w:hAnsi="Garamond" w:cstheme="minorHAnsi"/>
        </w:rPr>
        <w:t>Given these impacts, the key evaluation questions that will be address</w:t>
      </w:r>
      <w:r w:rsidR="0002466B">
        <w:rPr>
          <w:rFonts w:ascii="Garamond" w:hAnsi="Garamond" w:cstheme="minorHAnsi"/>
        </w:rPr>
        <w:t>ed</w:t>
      </w:r>
      <w:r w:rsidRPr="007F1FD3">
        <w:rPr>
          <w:rFonts w:ascii="Garamond" w:hAnsi="Garamond" w:cstheme="minorHAnsi"/>
        </w:rPr>
        <w:t xml:space="preserve"> in this impact evaluation will be the following:</w:t>
      </w:r>
    </w:p>
    <w:p w:rsidR="00CF0801" w:rsidRPr="007F1FD3" w:rsidRDefault="00CF0801" w:rsidP="009B24AA">
      <w:pPr>
        <w:pStyle w:val="ListParagraph"/>
        <w:numPr>
          <w:ilvl w:val="0"/>
          <w:numId w:val="18"/>
        </w:numPr>
        <w:spacing w:line="360" w:lineRule="auto"/>
        <w:jc w:val="both"/>
        <w:rPr>
          <w:rFonts w:ascii="Garamond" w:hAnsi="Garamond" w:cstheme="minorHAnsi"/>
        </w:rPr>
      </w:pPr>
      <w:r w:rsidRPr="007F1FD3">
        <w:rPr>
          <w:rFonts w:ascii="Garamond" w:hAnsi="Garamond" w:cstheme="minorHAnsi"/>
        </w:rPr>
        <w:t>Will the irrigation investment lead to an alteration of crop and livestock production</w:t>
      </w:r>
      <w:r w:rsidR="0002466B">
        <w:rPr>
          <w:rFonts w:ascii="Garamond" w:hAnsi="Garamond" w:cstheme="minorHAnsi"/>
        </w:rPr>
        <w:t xml:space="preserve"> practices, resulting</w:t>
      </w:r>
      <w:r w:rsidRPr="007F1FD3">
        <w:rPr>
          <w:rFonts w:ascii="Garamond" w:hAnsi="Garamond" w:cstheme="minorHAnsi"/>
        </w:rPr>
        <w:t xml:space="preserve"> in</w:t>
      </w:r>
      <w:r w:rsidR="0002466B">
        <w:rPr>
          <w:rFonts w:ascii="Garamond" w:hAnsi="Garamond" w:cstheme="minorHAnsi"/>
        </w:rPr>
        <w:t xml:space="preserve"> higher yields</w:t>
      </w:r>
      <w:r w:rsidRPr="007F1FD3">
        <w:rPr>
          <w:rFonts w:ascii="Garamond" w:hAnsi="Garamond" w:cstheme="minorHAnsi"/>
        </w:rPr>
        <w:t>, higher gross margins</w:t>
      </w:r>
      <w:r w:rsidR="0002466B">
        <w:rPr>
          <w:rFonts w:ascii="Garamond" w:hAnsi="Garamond" w:cstheme="minorHAnsi"/>
        </w:rPr>
        <w:t>,</w:t>
      </w:r>
      <w:r w:rsidRPr="007F1FD3">
        <w:rPr>
          <w:rFonts w:ascii="Garamond" w:hAnsi="Garamond" w:cstheme="minorHAnsi"/>
        </w:rPr>
        <w:t xml:space="preserve"> and greater </w:t>
      </w:r>
      <w:r w:rsidR="00986F93">
        <w:rPr>
          <w:rFonts w:ascii="Garamond" w:hAnsi="Garamond" w:cstheme="minorHAnsi"/>
        </w:rPr>
        <w:t xml:space="preserve">agricultural </w:t>
      </w:r>
      <w:r w:rsidRPr="007F1FD3">
        <w:rPr>
          <w:rFonts w:ascii="Garamond" w:hAnsi="Garamond" w:cstheme="minorHAnsi"/>
        </w:rPr>
        <w:t>income?</w:t>
      </w:r>
    </w:p>
    <w:p w:rsidR="00CF0801" w:rsidRDefault="00CF0801" w:rsidP="009B24AA">
      <w:pPr>
        <w:pStyle w:val="ListParagraph"/>
        <w:numPr>
          <w:ilvl w:val="0"/>
          <w:numId w:val="18"/>
        </w:numPr>
        <w:spacing w:line="360" w:lineRule="auto"/>
        <w:jc w:val="both"/>
        <w:rPr>
          <w:rFonts w:ascii="Garamond" w:hAnsi="Garamond" w:cstheme="minorHAnsi"/>
        </w:rPr>
      </w:pPr>
      <w:r w:rsidRPr="007F1FD3">
        <w:rPr>
          <w:rFonts w:ascii="Garamond" w:hAnsi="Garamond" w:cstheme="minorHAnsi"/>
        </w:rPr>
        <w:t>Will the irrigation investment result in improved food security and nutrition?</w:t>
      </w:r>
    </w:p>
    <w:p w:rsidR="00986F93" w:rsidRPr="007F1FD3" w:rsidRDefault="00986F93" w:rsidP="009B24AA">
      <w:pPr>
        <w:pStyle w:val="ListParagraph"/>
        <w:numPr>
          <w:ilvl w:val="0"/>
          <w:numId w:val="18"/>
        </w:numPr>
        <w:spacing w:line="360" w:lineRule="auto"/>
        <w:jc w:val="both"/>
        <w:rPr>
          <w:rFonts w:ascii="Garamond" w:hAnsi="Garamond" w:cstheme="minorHAnsi"/>
        </w:rPr>
      </w:pPr>
      <w:r>
        <w:rPr>
          <w:rFonts w:ascii="Garamond" w:hAnsi="Garamond" w:cstheme="minorHAnsi"/>
        </w:rPr>
        <w:t>Will irrigation system investments and improved watershed management lead to better natural resource management?</w:t>
      </w:r>
    </w:p>
    <w:p w:rsidR="00CF0801" w:rsidRPr="007F1FD3" w:rsidRDefault="00CF0801" w:rsidP="009B24AA">
      <w:pPr>
        <w:pStyle w:val="ListParagraph"/>
        <w:numPr>
          <w:ilvl w:val="0"/>
          <w:numId w:val="18"/>
        </w:numPr>
        <w:spacing w:line="360" w:lineRule="auto"/>
        <w:jc w:val="both"/>
        <w:rPr>
          <w:rFonts w:ascii="Garamond" w:hAnsi="Garamond" w:cstheme="minorHAnsi"/>
        </w:rPr>
      </w:pPr>
      <w:r w:rsidRPr="007F1FD3">
        <w:rPr>
          <w:rFonts w:ascii="Garamond" w:hAnsi="Garamond" w:cstheme="minorHAnsi"/>
        </w:rPr>
        <w:t>Will the inclusion of women in the technical training and management of the WUA cause increased agency and empowerment for women?</w:t>
      </w:r>
    </w:p>
    <w:p w:rsidR="00CF0801" w:rsidRPr="007F1FD3" w:rsidRDefault="00CF0801" w:rsidP="009B24AA">
      <w:pPr>
        <w:pStyle w:val="ListParagraph"/>
        <w:numPr>
          <w:ilvl w:val="0"/>
          <w:numId w:val="18"/>
        </w:numPr>
        <w:spacing w:line="360" w:lineRule="auto"/>
        <w:jc w:val="both"/>
        <w:rPr>
          <w:rFonts w:ascii="Garamond" w:hAnsi="Garamond" w:cstheme="minorHAnsi"/>
        </w:rPr>
      </w:pPr>
      <w:r w:rsidRPr="007F1FD3">
        <w:rPr>
          <w:rFonts w:ascii="Garamond" w:hAnsi="Garamond" w:cstheme="minorHAnsi"/>
        </w:rPr>
        <w:t xml:space="preserve">Will improved road access lower transactions costs leading to greater returns to agriculture and thus increased </w:t>
      </w:r>
      <w:r w:rsidR="00986F93">
        <w:rPr>
          <w:rFonts w:ascii="Garamond" w:hAnsi="Garamond" w:cstheme="minorHAnsi"/>
        </w:rPr>
        <w:t xml:space="preserve">agricultural </w:t>
      </w:r>
      <w:r w:rsidRPr="007F1FD3">
        <w:rPr>
          <w:rFonts w:ascii="Garamond" w:hAnsi="Garamond" w:cstheme="minorHAnsi"/>
        </w:rPr>
        <w:t xml:space="preserve">income and </w:t>
      </w:r>
      <w:r w:rsidR="00986F93">
        <w:rPr>
          <w:rFonts w:ascii="Garamond" w:hAnsi="Garamond" w:cstheme="minorHAnsi"/>
        </w:rPr>
        <w:t>food security</w:t>
      </w:r>
      <w:r w:rsidRPr="007F1FD3">
        <w:rPr>
          <w:rFonts w:ascii="Garamond" w:hAnsi="Garamond" w:cstheme="minorHAnsi"/>
        </w:rPr>
        <w:t xml:space="preserve">? </w:t>
      </w:r>
    </w:p>
    <w:p w:rsidR="00CF0801" w:rsidRPr="007F1FD3" w:rsidRDefault="00CF0801" w:rsidP="009B24AA">
      <w:pPr>
        <w:pStyle w:val="ListParagraph"/>
        <w:numPr>
          <w:ilvl w:val="0"/>
          <w:numId w:val="18"/>
        </w:numPr>
        <w:spacing w:line="360" w:lineRule="auto"/>
        <w:jc w:val="both"/>
        <w:rPr>
          <w:rFonts w:ascii="Garamond" w:hAnsi="Garamond" w:cstheme="minorHAnsi"/>
        </w:rPr>
      </w:pPr>
      <w:r w:rsidRPr="007F1FD3">
        <w:rPr>
          <w:rFonts w:ascii="Garamond" w:hAnsi="Garamond" w:cstheme="minorHAnsi"/>
        </w:rPr>
        <w:t xml:space="preserve">Will improved road access lower transactions costs leading to greater access to services? </w:t>
      </w:r>
    </w:p>
    <w:p w:rsidR="00574B7D" w:rsidRPr="007F1FD3" w:rsidRDefault="00845B27" w:rsidP="009B24AA">
      <w:pPr>
        <w:spacing w:line="360" w:lineRule="auto"/>
        <w:jc w:val="both"/>
        <w:rPr>
          <w:rFonts w:ascii="Garamond" w:hAnsi="Garamond" w:cstheme="minorHAnsi"/>
        </w:rPr>
      </w:pPr>
      <w:r w:rsidRPr="007F1FD3">
        <w:rPr>
          <w:rFonts w:ascii="Garamond" w:hAnsi="Garamond" w:cstheme="minorHAnsi"/>
        </w:rPr>
        <w:t>Before moving to the</w:t>
      </w:r>
      <w:r w:rsidR="00B33028">
        <w:rPr>
          <w:rFonts w:ascii="Garamond" w:hAnsi="Garamond" w:cstheme="minorHAnsi"/>
        </w:rPr>
        <w:t xml:space="preserve"> key outcome indicators</w:t>
      </w:r>
      <w:r w:rsidRPr="007F1FD3">
        <w:rPr>
          <w:rFonts w:ascii="Garamond" w:hAnsi="Garamond" w:cstheme="minorHAnsi"/>
        </w:rPr>
        <w:t xml:space="preserve">, first it is important to discuss </w:t>
      </w:r>
      <w:r w:rsidR="004B3D3C" w:rsidRPr="007F1FD3">
        <w:rPr>
          <w:rFonts w:ascii="Garamond" w:hAnsi="Garamond" w:cstheme="minorHAnsi"/>
        </w:rPr>
        <w:t>the existing knowledge</w:t>
      </w:r>
      <w:r w:rsidRPr="007F1FD3">
        <w:rPr>
          <w:rFonts w:ascii="Garamond" w:hAnsi="Garamond" w:cstheme="minorHAnsi"/>
        </w:rPr>
        <w:t xml:space="preserve"> linke</w:t>
      </w:r>
      <w:r w:rsidR="00F302ED">
        <w:rPr>
          <w:rFonts w:ascii="Garamond" w:hAnsi="Garamond" w:cstheme="minorHAnsi"/>
        </w:rPr>
        <w:t xml:space="preserve">d to these </w:t>
      </w:r>
      <w:r w:rsidRPr="007F1FD3">
        <w:rPr>
          <w:rFonts w:ascii="Garamond" w:hAnsi="Garamond" w:cstheme="minorHAnsi"/>
        </w:rPr>
        <w:t>questions</w:t>
      </w:r>
      <w:r w:rsidR="00170DBC" w:rsidRPr="007F1FD3">
        <w:rPr>
          <w:rFonts w:ascii="Garamond" w:hAnsi="Garamond" w:cstheme="minorHAnsi"/>
        </w:rPr>
        <w:t>.</w:t>
      </w:r>
      <w:r w:rsidR="007A6785" w:rsidRPr="007F1FD3">
        <w:rPr>
          <w:rFonts w:ascii="Garamond" w:hAnsi="Garamond" w:cstheme="minorHAnsi"/>
        </w:rPr>
        <w:t xml:space="preserve"> </w:t>
      </w:r>
      <w:r w:rsidR="00574B7D" w:rsidRPr="007F1FD3">
        <w:rPr>
          <w:rFonts w:ascii="Garamond" w:hAnsi="Garamond" w:cstheme="minorHAnsi"/>
        </w:rPr>
        <w:t>The idea</w:t>
      </w:r>
      <w:r w:rsidRPr="007F1FD3">
        <w:rPr>
          <w:rFonts w:ascii="Garamond" w:hAnsi="Garamond" w:cstheme="minorHAnsi"/>
        </w:rPr>
        <w:t xml:space="preserve"> that improved irrigation systems a</w:t>
      </w:r>
      <w:r w:rsidR="00001219">
        <w:rPr>
          <w:rFonts w:ascii="Garamond" w:hAnsi="Garamond" w:cstheme="minorHAnsi"/>
        </w:rPr>
        <w:t>nd road access can lead to the aforementioned</w:t>
      </w:r>
      <w:r w:rsidRPr="007F1FD3">
        <w:rPr>
          <w:rFonts w:ascii="Garamond" w:hAnsi="Garamond" w:cstheme="minorHAnsi"/>
        </w:rPr>
        <w:t xml:space="preserve"> benefits has </w:t>
      </w:r>
      <w:r w:rsidR="00001219">
        <w:rPr>
          <w:rFonts w:ascii="Garamond" w:hAnsi="Garamond" w:cstheme="minorHAnsi"/>
        </w:rPr>
        <w:t xml:space="preserve">indeed </w:t>
      </w:r>
      <w:r w:rsidRPr="007F1FD3">
        <w:rPr>
          <w:rFonts w:ascii="Garamond" w:hAnsi="Garamond" w:cstheme="minorHAnsi"/>
        </w:rPr>
        <w:t xml:space="preserve">been considered in </w:t>
      </w:r>
      <w:r w:rsidR="00001219">
        <w:rPr>
          <w:rFonts w:ascii="Garamond" w:hAnsi="Garamond" w:cstheme="minorHAnsi"/>
        </w:rPr>
        <w:t>similar</w:t>
      </w:r>
      <w:r w:rsidR="00A428D5" w:rsidRPr="007F1FD3">
        <w:rPr>
          <w:rFonts w:ascii="Garamond" w:hAnsi="Garamond" w:cstheme="minorHAnsi"/>
        </w:rPr>
        <w:t xml:space="preserve"> projects</w:t>
      </w:r>
      <w:r w:rsidR="00001219">
        <w:rPr>
          <w:rFonts w:ascii="Garamond" w:hAnsi="Garamond" w:cstheme="minorHAnsi"/>
        </w:rPr>
        <w:t>/studies</w:t>
      </w:r>
      <w:r w:rsidR="00A428D5" w:rsidRPr="007F1FD3">
        <w:rPr>
          <w:rFonts w:ascii="Garamond" w:hAnsi="Garamond" w:cstheme="minorHAnsi"/>
        </w:rPr>
        <w:t xml:space="preserve"> </w:t>
      </w:r>
      <w:r w:rsidR="00100120" w:rsidRPr="007F1FD3">
        <w:rPr>
          <w:rFonts w:ascii="Garamond" w:hAnsi="Garamond" w:cstheme="minorHAnsi"/>
        </w:rPr>
        <w:t>fr</w:t>
      </w:r>
      <w:r w:rsidR="00170DBC" w:rsidRPr="007F1FD3">
        <w:rPr>
          <w:rFonts w:ascii="Garamond" w:hAnsi="Garamond" w:cstheme="minorHAnsi"/>
        </w:rPr>
        <w:t xml:space="preserve">om other developing countries. </w:t>
      </w:r>
      <w:r w:rsidR="00001219">
        <w:rPr>
          <w:rFonts w:ascii="Garamond" w:hAnsi="Garamond" w:cstheme="minorHAnsi"/>
        </w:rPr>
        <w:t>As such</w:t>
      </w:r>
      <w:r w:rsidRPr="007F1FD3">
        <w:rPr>
          <w:rFonts w:ascii="Garamond" w:hAnsi="Garamond" w:cstheme="minorHAnsi"/>
        </w:rPr>
        <w:t xml:space="preserve">, </w:t>
      </w:r>
      <w:r w:rsidR="00001219">
        <w:rPr>
          <w:rFonts w:ascii="Garamond" w:hAnsi="Garamond" w:cstheme="minorHAnsi"/>
        </w:rPr>
        <w:t>it is beneficial to further discuss some of the associated literature.</w:t>
      </w:r>
    </w:p>
    <w:p w:rsidR="000E1165" w:rsidRDefault="00746B84" w:rsidP="009B24AA">
      <w:pPr>
        <w:spacing w:line="360" w:lineRule="auto"/>
        <w:jc w:val="both"/>
        <w:rPr>
          <w:rFonts w:ascii="Garamond" w:hAnsi="Garamond" w:cstheme="minorHAnsi"/>
        </w:rPr>
      </w:pPr>
      <w:r>
        <w:rPr>
          <w:rFonts w:ascii="Garamond" w:hAnsi="Garamond" w:cstheme="minorHAnsi"/>
        </w:rPr>
        <w:t>Regarding road improvements</w:t>
      </w:r>
      <w:r w:rsidR="008062EB">
        <w:rPr>
          <w:rFonts w:ascii="Garamond" w:hAnsi="Garamond" w:cstheme="minorHAnsi"/>
        </w:rPr>
        <w:t xml:space="preserve">, BIDS (2004) </w:t>
      </w:r>
      <w:r w:rsidR="008062EB" w:rsidRPr="007F1FD3">
        <w:rPr>
          <w:rFonts w:ascii="Garamond" w:hAnsi="Garamond" w:cstheme="minorHAnsi"/>
        </w:rPr>
        <w:t xml:space="preserve">found </w:t>
      </w:r>
      <w:r w:rsidR="008062EB">
        <w:rPr>
          <w:rFonts w:ascii="Garamond" w:hAnsi="Garamond" w:cstheme="minorHAnsi"/>
        </w:rPr>
        <w:t xml:space="preserve">that </w:t>
      </w:r>
      <w:r w:rsidR="008062EB" w:rsidRPr="007F1FD3">
        <w:rPr>
          <w:rFonts w:ascii="Garamond" w:hAnsi="Garamond" w:cstheme="minorHAnsi"/>
        </w:rPr>
        <w:t>with</w:t>
      </w:r>
      <w:r w:rsidR="008062EB">
        <w:rPr>
          <w:rFonts w:ascii="Garamond" w:hAnsi="Garamond" w:cstheme="minorHAnsi"/>
        </w:rPr>
        <w:t xml:space="preserve"> improved</w:t>
      </w:r>
      <w:r w:rsidR="008062EB" w:rsidRPr="007F1FD3">
        <w:rPr>
          <w:rFonts w:ascii="Garamond" w:hAnsi="Garamond" w:cstheme="minorHAnsi"/>
        </w:rPr>
        <w:t xml:space="preserve"> road access, </w:t>
      </w:r>
      <w:r w:rsidR="008062EB">
        <w:rPr>
          <w:rFonts w:ascii="Garamond" w:hAnsi="Garamond" w:cstheme="minorHAnsi"/>
        </w:rPr>
        <w:t xml:space="preserve">costs associated with production, consumption, as well as transportation for goods and services </w:t>
      </w:r>
      <w:r w:rsidR="008062EB" w:rsidRPr="007F1FD3">
        <w:rPr>
          <w:rFonts w:ascii="Garamond" w:hAnsi="Garamond" w:cstheme="minorHAnsi"/>
        </w:rPr>
        <w:t xml:space="preserve">decreased </w:t>
      </w:r>
      <w:r w:rsidR="000E1165">
        <w:rPr>
          <w:rFonts w:ascii="Garamond" w:hAnsi="Garamond" w:cstheme="minorHAnsi"/>
        </w:rPr>
        <w:t>for</w:t>
      </w:r>
      <w:r w:rsidR="008062EB">
        <w:rPr>
          <w:rFonts w:ascii="Garamond" w:hAnsi="Garamond" w:cstheme="minorHAnsi"/>
        </w:rPr>
        <w:t xml:space="preserve"> </w:t>
      </w:r>
      <w:r w:rsidR="00C64C67">
        <w:rPr>
          <w:rFonts w:ascii="Garamond" w:hAnsi="Garamond" w:cstheme="minorHAnsi"/>
        </w:rPr>
        <w:t xml:space="preserve">agricultural </w:t>
      </w:r>
      <w:r w:rsidR="008062EB">
        <w:rPr>
          <w:rFonts w:ascii="Garamond" w:hAnsi="Garamond" w:cstheme="minorHAnsi"/>
        </w:rPr>
        <w:t>producers</w:t>
      </w:r>
      <w:r w:rsidR="008062EB" w:rsidRPr="007F1FD3">
        <w:rPr>
          <w:rFonts w:ascii="Garamond" w:hAnsi="Garamond" w:cstheme="minorHAnsi"/>
        </w:rPr>
        <w:t>.</w:t>
      </w:r>
      <w:r w:rsidR="008062EB">
        <w:rPr>
          <w:rFonts w:ascii="Garamond" w:hAnsi="Garamond" w:cstheme="minorHAnsi"/>
        </w:rPr>
        <w:t xml:space="preserve"> </w:t>
      </w:r>
      <w:r w:rsidR="000E1165">
        <w:rPr>
          <w:rFonts w:ascii="Garamond" w:hAnsi="Garamond" w:cstheme="minorHAnsi"/>
        </w:rPr>
        <w:t>Such decreased costs have been found to increase the probability and degree of participation in product markets (Vakis et al. 2003; Nkhori</w:t>
      </w:r>
      <w:r w:rsidR="000E1165" w:rsidRPr="000E1165">
        <w:rPr>
          <w:rFonts w:ascii="Garamond" w:hAnsi="Garamond" w:cstheme="minorHAnsi"/>
        </w:rPr>
        <w:t xml:space="preserve"> 2004).</w:t>
      </w:r>
      <w:r w:rsidR="000E1165">
        <w:rPr>
          <w:rFonts w:ascii="Garamond" w:hAnsi="Garamond" w:cstheme="minorHAnsi"/>
        </w:rPr>
        <w:t xml:space="preserve"> </w:t>
      </w:r>
      <w:r w:rsidR="000E1165" w:rsidRPr="000E1165">
        <w:rPr>
          <w:rFonts w:ascii="Garamond" w:hAnsi="Garamond" w:cstheme="minorHAnsi"/>
        </w:rPr>
        <w:t>For example, for Peruvian farmers, an additional hour of travel</w:t>
      </w:r>
      <w:r w:rsidR="000E1165">
        <w:rPr>
          <w:rFonts w:ascii="Garamond" w:hAnsi="Garamond" w:cstheme="minorHAnsi"/>
        </w:rPr>
        <w:t xml:space="preserve"> was found to decrease</w:t>
      </w:r>
      <w:r w:rsidR="000E1165" w:rsidRPr="000E1165">
        <w:rPr>
          <w:rFonts w:ascii="Garamond" w:hAnsi="Garamond" w:cstheme="minorHAnsi"/>
        </w:rPr>
        <w:t xml:space="preserve"> the probability of selecting a particul</w:t>
      </w:r>
      <w:r w:rsidR="000E1165">
        <w:rPr>
          <w:rFonts w:ascii="Garamond" w:hAnsi="Garamond" w:cstheme="minorHAnsi"/>
        </w:rPr>
        <w:t>ar market by 29% (Valkis et al.</w:t>
      </w:r>
      <w:r w:rsidR="000E1165" w:rsidRPr="000E1165">
        <w:rPr>
          <w:rFonts w:ascii="Garamond" w:hAnsi="Garamond" w:cstheme="minorHAnsi"/>
        </w:rPr>
        <w:t xml:space="preserve"> 2003).</w:t>
      </w:r>
      <w:r w:rsidR="00363488">
        <w:rPr>
          <w:rFonts w:ascii="Garamond" w:hAnsi="Garamond" w:cstheme="minorHAnsi"/>
        </w:rPr>
        <w:t xml:space="preserve"> </w:t>
      </w:r>
      <w:r w:rsidR="00663BC4">
        <w:rPr>
          <w:rFonts w:ascii="Garamond" w:hAnsi="Garamond" w:cstheme="minorHAnsi"/>
        </w:rPr>
        <w:t xml:space="preserve">Moreover, </w:t>
      </w:r>
      <w:r w:rsidR="002B39C4" w:rsidRPr="002B39C4">
        <w:rPr>
          <w:rFonts w:ascii="Garamond" w:hAnsi="Garamond" w:cstheme="minorHAnsi"/>
        </w:rPr>
        <w:t>Binswanger et</w:t>
      </w:r>
      <w:r w:rsidR="00C64C67">
        <w:rPr>
          <w:rFonts w:ascii="Garamond" w:hAnsi="Garamond" w:cstheme="minorHAnsi"/>
        </w:rPr>
        <w:t xml:space="preserve"> al. (1993) and Khandke (2009) </w:t>
      </w:r>
      <w:r w:rsidR="002B39C4" w:rsidRPr="002B39C4">
        <w:rPr>
          <w:rFonts w:ascii="Garamond" w:hAnsi="Garamond" w:cstheme="minorHAnsi"/>
        </w:rPr>
        <w:t>illustrated that better road access can lead to increased</w:t>
      </w:r>
      <w:r w:rsidR="002B39C4">
        <w:rPr>
          <w:rFonts w:ascii="Garamond" w:hAnsi="Garamond" w:cstheme="minorHAnsi"/>
        </w:rPr>
        <w:t xml:space="preserve"> </w:t>
      </w:r>
      <w:r w:rsidR="00C64C67">
        <w:rPr>
          <w:rFonts w:ascii="Garamond" w:hAnsi="Garamond" w:cstheme="minorHAnsi"/>
        </w:rPr>
        <w:t>agr</w:t>
      </w:r>
      <w:r w:rsidR="00663BC4">
        <w:rPr>
          <w:rFonts w:ascii="Garamond" w:hAnsi="Garamond" w:cstheme="minorHAnsi"/>
        </w:rPr>
        <w:t xml:space="preserve">icultural production. Benziger (1996) further </w:t>
      </w:r>
      <w:r w:rsidR="002B39C4" w:rsidRPr="002B39C4">
        <w:rPr>
          <w:rFonts w:ascii="Garamond" w:hAnsi="Garamond" w:cstheme="minorHAnsi"/>
        </w:rPr>
        <w:t>demonstrated that long-term developments in productivity can be expected.</w:t>
      </w:r>
      <w:r w:rsidR="00363488">
        <w:rPr>
          <w:rFonts w:ascii="Garamond" w:hAnsi="Garamond" w:cstheme="minorHAnsi"/>
        </w:rPr>
        <w:t xml:space="preserve"> </w:t>
      </w:r>
      <w:r w:rsidR="00B6122F">
        <w:rPr>
          <w:rFonts w:ascii="Garamond" w:hAnsi="Garamond" w:cstheme="minorHAnsi"/>
        </w:rPr>
        <w:t>F</w:t>
      </w:r>
      <w:r w:rsidR="00363488">
        <w:rPr>
          <w:rFonts w:ascii="Garamond" w:hAnsi="Garamond" w:cstheme="minorHAnsi"/>
        </w:rPr>
        <w:t>or example,</w:t>
      </w:r>
      <w:r w:rsidR="00A90BF7">
        <w:rPr>
          <w:rFonts w:ascii="Garamond" w:hAnsi="Garamond" w:cstheme="minorHAnsi"/>
        </w:rPr>
        <w:t xml:space="preserve"> </w:t>
      </w:r>
      <w:r w:rsidR="00B6122F">
        <w:rPr>
          <w:rFonts w:ascii="Garamond" w:hAnsi="Garamond" w:cstheme="minorHAnsi"/>
        </w:rPr>
        <w:t xml:space="preserve">Levy (1996) </w:t>
      </w:r>
      <w:r w:rsidR="003E59BC">
        <w:rPr>
          <w:rFonts w:ascii="Garamond" w:hAnsi="Garamond" w:cstheme="minorHAnsi"/>
        </w:rPr>
        <w:t xml:space="preserve">found that </w:t>
      </w:r>
      <w:r w:rsidR="00224F93" w:rsidRPr="007F1FD3">
        <w:rPr>
          <w:rFonts w:ascii="Garamond" w:hAnsi="Garamond" w:cstheme="minorHAnsi"/>
        </w:rPr>
        <w:t>with better access to markets</w:t>
      </w:r>
      <w:r w:rsidR="003E59BC">
        <w:rPr>
          <w:rFonts w:ascii="Garamond" w:hAnsi="Garamond" w:cstheme="minorHAnsi"/>
        </w:rPr>
        <w:t xml:space="preserve"> add</w:t>
      </w:r>
      <w:r w:rsidR="00670699">
        <w:rPr>
          <w:rFonts w:ascii="Garamond" w:hAnsi="Garamond" w:cstheme="minorHAnsi"/>
        </w:rPr>
        <w:t>itional agricultural inputs beco</w:t>
      </w:r>
      <w:r w:rsidR="003E59BC">
        <w:rPr>
          <w:rFonts w:ascii="Garamond" w:hAnsi="Garamond" w:cstheme="minorHAnsi"/>
        </w:rPr>
        <w:t xml:space="preserve">me available to producers, </w:t>
      </w:r>
      <w:r w:rsidR="00A90BF7">
        <w:rPr>
          <w:rFonts w:ascii="Garamond" w:hAnsi="Garamond" w:cstheme="minorHAnsi"/>
        </w:rPr>
        <w:t>and further</w:t>
      </w:r>
      <w:r w:rsidR="00670699">
        <w:rPr>
          <w:rFonts w:ascii="Garamond" w:hAnsi="Garamond" w:cstheme="minorHAnsi"/>
        </w:rPr>
        <w:t xml:space="preserve"> reduce</w:t>
      </w:r>
      <w:r>
        <w:rPr>
          <w:rFonts w:ascii="Garamond" w:hAnsi="Garamond" w:cstheme="minorHAnsi"/>
        </w:rPr>
        <w:t>s</w:t>
      </w:r>
      <w:r w:rsidR="00224F93" w:rsidRPr="007F1FD3">
        <w:rPr>
          <w:rFonts w:ascii="Garamond" w:hAnsi="Garamond" w:cstheme="minorHAnsi"/>
        </w:rPr>
        <w:t xml:space="preserve"> the costs of </w:t>
      </w:r>
      <w:r w:rsidR="003E59BC">
        <w:rPr>
          <w:rFonts w:ascii="Garamond" w:hAnsi="Garamond" w:cstheme="minorHAnsi"/>
        </w:rPr>
        <w:t xml:space="preserve">existing </w:t>
      </w:r>
      <w:r w:rsidR="00224F93" w:rsidRPr="007F1FD3">
        <w:rPr>
          <w:rFonts w:ascii="Garamond" w:hAnsi="Garamond" w:cstheme="minorHAnsi"/>
        </w:rPr>
        <w:t>inputs.</w:t>
      </w:r>
      <w:r w:rsidR="007A6785" w:rsidRPr="007F1FD3">
        <w:rPr>
          <w:rFonts w:ascii="Garamond" w:hAnsi="Garamond" w:cstheme="minorHAnsi"/>
        </w:rPr>
        <w:t xml:space="preserve"> </w:t>
      </w:r>
      <w:r w:rsidR="00363488">
        <w:rPr>
          <w:rFonts w:ascii="Garamond" w:hAnsi="Garamond" w:cstheme="minorHAnsi"/>
        </w:rPr>
        <w:t>Importantly, t</w:t>
      </w:r>
      <w:r w:rsidR="00DD6959">
        <w:rPr>
          <w:rFonts w:ascii="Garamond" w:hAnsi="Garamond" w:cstheme="minorHAnsi"/>
        </w:rPr>
        <w:t xml:space="preserve">he author also demonstrated that </w:t>
      </w:r>
      <w:r w:rsidR="00DD6959" w:rsidRPr="00DD6959">
        <w:rPr>
          <w:rFonts w:ascii="Garamond" w:hAnsi="Garamond" w:cstheme="minorHAnsi"/>
        </w:rPr>
        <w:t xml:space="preserve">with road improvements women </w:t>
      </w:r>
      <w:r w:rsidR="00670699">
        <w:rPr>
          <w:rFonts w:ascii="Garamond" w:hAnsi="Garamond" w:cstheme="minorHAnsi"/>
        </w:rPr>
        <w:t>potentially witness</w:t>
      </w:r>
      <w:r w:rsidR="00DD6959" w:rsidRPr="00DD6959">
        <w:rPr>
          <w:rFonts w:ascii="Garamond" w:hAnsi="Garamond" w:cstheme="minorHAnsi"/>
        </w:rPr>
        <w:t xml:space="preserve"> improved </w:t>
      </w:r>
      <w:r w:rsidR="00DD6959" w:rsidRPr="00DD6959">
        <w:rPr>
          <w:rFonts w:ascii="Garamond" w:hAnsi="Garamond" w:cstheme="minorHAnsi"/>
        </w:rPr>
        <w:lastRenderedPageBreak/>
        <w:t>overall health and education outcomes.</w:t>
      </w:r>
      <w:r w:rsidR="00DD6959">
        <w:rPr>
          <w:rFonts w:ascii="Garamond" w:hAnsi="Garamond" w:cstheme="minorHAnsi"/>
        </w:rPr>
        <w:t xml:space="preserve"> </w:t>
      </w:r>
      <w:r w:rsidR="002B39C4">
        <w:rPr>
          <w:rFonts w:ascii="Garamond" w:hAnsi="Garamond" w:cstheme="minorHAnsi"/>
        </w:rPr>
        <w:t>Finally</w:t>
      </w:r>
      <w:r w:rsidR="00DD6959" w:rsidRPr="00DD6959">
        <w:rPr>
          <w:rFonts w:ascii="Garamond" w:hAnsi="Garamond" w:cstheme="minorHAnsi"/>
        </w:rPr>
        <w:t>,</w:t>
      </w:r>
      <w:r w:rsidR="00A90BF7">
        <w:rPr>
          <w:rFonts w:ascii="Garamond" w:hAnsi="Garamond" w:cstheme="minorHAnsi"/>
        </w:rPr>
        <w:t xml:space="preserve"> </w:t>
      </w:r>
      <w:r w:rsidR="00DD6959" w:rsidRPr="00DD6959">
        <w:rPr>
          <w:rFonts w:ascii="Garamond" w:hAnsi="Garamond" w:cstheme="minorHAnsi"/>
        </w:rPr>
        <w:t>Bryceson (2008) echoed the findings of Levy (1996)</w:t>
      </w:r>
      <w:r w:rsidR="002B39C4">
        <w:rPr>
          <w:rFonts w:ascii="Garamond" w:hAnsi="Garamond" w:cstheme="minorHAnsi"/>
        </w:rPr>
        <w:t>,</w:t>
      </w:r>
      <w:r w:rsidR="00DD6959" w:rsidRPr="00DD6959">
        <w:rPr>
          <w:rFonts w:ascii="Garamond" w:hAnsi="Garamond" w:cstheme="minorHAnsi"/>
        </w:rPr>
        <w:t xml:space="preserve"> as the author foun</w:t>
      </w:r>
      <w:r w:rsidR="00670699">
        <w:rPr>
          <w:rFonts w:ascii="Garamond" w:hAnsi="Garamond" w:cstheme="minorHAnsi"/>
        </w:rPr>
        <w:t>d that transportation access can lead</w:t>
      </w:r>
      <w:r w:rsidR="00DD6959" w:rsidRPr="00DD6959">
        <w:rPr>
          <w:rFonts w:ascii="Garamond" w:hAnsi="Garamond" w:cstheme="minorHAnsi"/>
        </w:rPr>
        <w:t xml:space="preserve"> to improved health and education for young girls.</w:t>
      </w:r>
    </w:p>
    <w:p w:rsidR="000D023E" w:rsidRDefault="00545B57" w:rsidP="009B24AA">
      <w:pPr>
        <w:spacing w:line="360" w:lineRule="auto"/>
        <w:jc w:val="both"/>
        <w:rPr>
          <w:rFonts w:ascii="Garamond" w:hAnsi="Garamond" w:cstheme="minorHAnsi"/>
        </w:rPr>
      </w:pPr>
      <w:r>
        <w:rPr>
          <w:rFonts w:ascii="Garamond" w:hAnsi="Garamond" w:cstheme="minorHAnsi"/>
        </w:rPr>
        <w:t>Turning to irrigation, it has been suggested that such infrastructure</w:t>
      </w:r>
      <w:r w:rsidR="00F87F62">
        <w:rPr>
          <w:rFonts w:ascii="Garamond" w:hAnsi="Garamond" w:cstheme="minorHAnsi"/>
        </w:rPr>
        <w:t xml:space="preserve"> </w:t>
      </w:r>
      <w:r>
        <w:rPr>
          <w:rFonts w:ascii="Garamond" w:hAnsi="Garamond" w:cstheme="minorHAnsi"/>
        </w:rPr>
        <w:t>is one of the primary</w:t>
      </w:r>
      <w:r w:rsidR="00F87F62" w:rsidRPr="00F87F62">
        <w:rPr>
          <w:rFonts w:ascii="Garamond" w:hAnsi="Garamond" w:cstheme="minorHAnsi"/>
        </w:rPr>
        <w:t xml:space="preserve"> determinants of productivity </w:t>
      </w:r>
      <w:r w:rsidR="00F87F62">
        <w:rPr>
          <w:rFonts w:ascii="Garamond" w:hAnsi="Garamond" w:cstheme="minorHAnsi"/>
        </w:rPr>
        <w:t>and yield stability (Turral</w:t>
      </w:r>
      <w:r w:rsidR="00F87F62" w:rsidRPr="00F87F62">
        <w:rPr>
          <w:rFonts w:ascii="Garamond" w:hAnsi="Garamond" w:cstheme="minorHAnsi"/>
        </w:rPr>
        <w:t xml:space="preserve"> 1995). An analysis of the portfolio of irrigation operations financed by the World Bank shows that between 1998 and 2008, 92% of the analyzed projects reported increase</w:t>
      </w:r>
      <w:r w:rsidR="00F87F62">
        <w:rPr>
          <w:rFonts w:ascii="Garamond" w:hAnsi="Garamond" w:cstheme="minorHAnsi"/>
        </w:rPr>
        <w:t>s in agricultural production (IEG 2011). The effectiveness of</w:t>
      </w:r>
      <w:r w:rsidR="00F87F62" w:rsidRPr="00F87F62">
        <w:rPr>
          <w:rFonts w:ascii="Garamond" w:hAnsi="Garamond" w:cstheme="minorHAnsi"/>
        </w:rPr>
        <w:t xml:space="preserve"> investment</w:t>
      </w:r>
      <w:r w:rsidR="005F4B83">
        <w:rPr>
          <w:rFonts w:ascii="Garamond" w:hAnsi="Garamond" w:cstheme="minorHAnsi"/>
        </w:rPr>
        <w:t>s</w:t>
      </w:r>
      <w:r w:rsidR="00F87F62">
        <w:rPr>
          <w:rFonts w:ascii="Garamond" w:hAnsi="Garamond" w:cstheme="minorHAnsi"/>
        </w:rPr>
        <w:t xml:space="preserve"> </w:t>
      </w:r>
      <w:r w:rsidR="005F4B83">
        <w:rPr>
          <w:rFonts w:ascii="Garamond" w:hAnsi="Garamond" w:cstheme="minorHAnsi"/>
        </w:rPr>
        <w:t xml:space="preserve">has </w:t>
      </w:r>
      <w:r w:rsidR="00F87F62">
        <w:rPr>
          <w:rFonts w:ascii="Garamond" w:hAnsi="Garamond" w:cstheme="minorHAnsi"/>
        </w:rPr>
        <w:t>nevertheless</w:t>
      </w:r>
      <w:r w:rsidR="005F4B83">
        <w:rPr>
          <w:rFonts w:ascii="Garamond" w:hAnsi="Garamond" w:cstheme="minorHAnsi"/>
        </w:rPr>
        <w:t xml:space="preserve"> been found to depend</w:t>
      </w:r>
      <w:r w:rsidR="00F87F62" w:rsidRPr="00F87F62">
        <w:rPr>
          <w:rFonts w:ascii="Garamond" w:hAnsi="Garamond" w:cstheme="minorHAnsi"/>
        </w:rPr>
        <w:t xml:space="preserve"> on </w:t>
      </w:r>
      <w:r w:rsidR="00F87F62">
        <w:rPr>
          <w:rFonts w:ascii="Garamond" w:hAnsi="Garamond" w:cstheme="minorHAnsi"/>
        </w:rPr>
        <w:t xml:space="preserve">the </w:t>
      </w:r>
      <w:r w:rsidR="00F87F62" w:rsidRPr="00F87F62">
        <w:rPr>
          <w:rFonts w:ascii="Garamond" w:hAnsi="Garamond" w:cstheme="minorHAnsi"/>
        </w:rPr>
        <w:t>appropriate</w:t>
      </w:r>
      <w:r w:rsidR="00F87F62">
        <w:rPr>
          <w:rFonts w:ascii="Garamond" w:hAnsi="Garamond" w:cstheme="minorHAnsi"/>
        </w:rPr>
        <w:t>ness of</w:t>
      </w:r>
      <w:r w:rsidR="00F87F62" w:rsidRPr="00F87F62">
        <w:rPr>
          <w:rFonts w:ascii="Garamond" w:hAnsi="Garamond" w:cstheme="minorHAnsi"/>
        </w:rPr>
        <w:t xml:space="preserve"> management scheme</w:t>
      </w:r>
      <w:r w:rsidR="00F87F62">
        <w:rPr>
          <w:rFonts w:ascii="Garamond" w:hAnsi="Garamond" w:cstheme="minorHAnsi"/>
        </w:rPr>
        <w:t>s adopted</w:t>
      </w:r>
      <w:r w:rsidR="00F87F62" w:rsidRPr="00F87F62">
        <w:rPr>
          <w:rFonts w:ascii="Garamond" w:hAnsi="Garamond" w:cstheme="minorHAnsi"/>
        </w:rPr>
        <w:t xml:space="preserve">. </w:t>
      </w:r>
      <w:r w:rsidR="00F87F62">
        <w:rPr>
          <w:rFonts w:ascii="Garamond" w:hAnsi="Garamond" w:cstheme="minorHAnsi"/>
        </w:rPr>
        <w:t>I</w:t>
      </w:r>
      <w:r w:rsidR="00F87F62" w:rsidRPr="00F87F62">
        <w:rPr>
          <w:rFonts w:ascii="Garamond" w:hAnsi="Garamond" w:cstheme="minorHAnsi"/>
        </w:rPr>
        <w:t>rrigation systems under public administration tend to be operated and maintained in</w:t>
      </w:r>
      <w:r w:rsidR="00F87F62">
        <w:rPr>
          <w:rFonts w:ascii="Garamond" w:hAnsi="Garamond" w:cstheme="minorHAnsi"/>
        </w:rPr>
        <w:t>efficiently (Holden and Thobani</w:t>
      </w:r>
      <w:r w:rsidR="00F87F62" w:rsidRPr="00F87F62">
        <w:rPr>
          <w:rFonts w:ascii="Garamond" w:hAnsi="Garamond" w:cstheme="minorHAnsi"/>
        </w:rPr>
        <w:t xml:space="preserve"> 1996) and have </w:t>
      </w:r>
      <w:r w:rsidR="00F87F62">
        <w:rPr>
          <w:rFonts w:ascii="Garamond" w:hAnsi="Garamond" w:cstheme="minorHAnsi"/>
        </w:rPr>
        <w:t xml:space="preserve">inadequate cost recovery </w:t>
      </w:r>
      <w:r w:rsidR="00F87F62" w:rsidRPr="00F87F62">
        <w:rPr>
          <w:rFonts w:ascii="Garamond" w:hAnsi="Garamond" w:cstheme="minorHAnsi"/>
        </w:rPr>
        <w:t xml:space="preserve">mechanisms </w:t>
      </w:r>
      <w:r w:rsidR="00F87F62">
        <w:rPr>
          <w:rFonts w:ascii="Garamond" w:hAnsi="Garamond" w:cstheme="minorHAnsi"/>
        </w:rPr>
        <w:t>(World Bank 1995). M</w:t>
      </w:r>
      <w:r w:rsidR="00F87F62" w:rsidRPr="00F87F62">
        <w:rPr>
          <w:rFonts w:ascii="Garamond" w:hAnsi="Garamond" w:cstheme="minorHAnsi"/>
        </w:rPr>
        <w:t>anagement via irrigation associations</w:t>
      </w:r>
      <w:r w:rsidR="00F87F62">
        <w:rPr>
          <w:rFonts w:ascii="Garamond" w:hAnsi="Garamond" w:cstheme="minorHAnsi"/>
        </w:rPr>
        <w:t>, however, encourages water use efficiency (World Bank</w:t>
      </w:r>
      <w:r w:rsidR="00F87F62" w:rsidRPr="00F87F62">
        <w:rPr>
          <w:rFonts w:ascii="Garamond" w:hAnsi="Garamond" w:cstheme="minorHAnsi"/>
        </w:rPr>
        <w:t xml:space="preserve"> 1995) and may increase the demand for labor, </w:t>
      </w:r>
      <w:r w:rsidR="00F87F62">
        <w:rPr>
          <w:rFonts w:ascii="Garamond" w:hAnsi="Garamond" w:cstheme="minorHAnsi"/>
        </w:rPr>
        <w:t xml:space="preserve">the </w:t>
      </w:r>
      <w:r w:rsidR="00F87F62" w:rsidRPr="00F87F62">
        <w:rPr>
          <w:rFonts w:ascii="Garamond" w:hAnsi="Garamond" w:cstheme="minorHAnsi"/>
        </w:rPr>
        <w:t>marketing of agricultural products</w:t>
      </w:r>
      <w:r w:rsidR="00F87F62">
        <w:rPr>
          <w:rFonts w:ascii="Garamond" w:hAnsi="Garamond" w:cstheme="minorHAnsi"/>
        </w:rPr>
        <w:t>,</w:t>
      </w:r>
      <w:r w:rsidR="00F87F62" w:rsidRPr="00F87F62">
        <w:rPr>
          <w:rFonts w:ascii="Garamond" w:hAnsi="Garamond" w:cstheme="minorHAnsi"/>
        </w:rPr>
        <w:t xml:space="preserve"> and</w:t>
      </w:r>
      <w:r w:rsidR="00F87F62">
        <w:rPr>
          <w:rFonts w:ascii="Garamond" w:hAnsi="Garamond" w:cstheme="minorHAnsi"/>
        </w:rPr>
        <w:t xml:space="preserve"> lead to </w:t>
      </w:r>
      <w:r w:rsidR="00E338EC">
        <w:rPr>
          <w:rFonts w:ascii="Garamond" w:hAnsi="Garamond" w:cstheme="minorHAnsi"/>
        </w:rPr>
        <w:t>a general augmentation of</w:t>
      </w:r>
      <w:r w:rsidR="00F87F62" w:rsidRPr="00F87F62">
        <w:rPr>
          <w:rFonts w:ascii="Garamond" w:hAnsi="Garamond" w:cstheme="minorHAnsi"/>
        </w:rPr>
        <w:t xml:space="preserve"> economic activity i</w:t>
      </w:r>
      <w:r w:rsidR="00E338EC">
        <w:rPr>
          <w:rFonts w:ascii="Garamond" w:hAnsi="Garamond" w:cstheme="minorHAnsi"/>
        </w:rPr>
        <w:t>n the regions of influence (IEG</w:t>
      </w:r>
      <w:r w:rsidR="00F87F62" w:rsidRPr="00F87F62">
        <w:rPr>
          <w:rFonts w:ascii="Garamond" w:hAnsi="Garamond" w:cstheme="minorHAnsi"/>
        </w:rPr>
        <w:t xml:space="preserve"> 2009). </w:t>
      </w:r>
      <w:r w:rsidR="00F87F62">
        <w:rPr>
          <w:rFonts w:ascii="Garamond" w:hAnsi="Garamond" w:cstheme="minorHAnsi"/>
        </w:rPr>
        <w:t>Further</w:t>
      </w:r>
      <w:r w:rsidR="00F87F62" w:rsidRPr="00F87F62">
        <w:rPr>
          <w:rFonts w:ascii="Garamond" w:hAnsi="Garamond" w:cstheme="minorHAnsi"/>
        </w:rPr>
        <w:t>, irrigation can stimulate</w:t>
      </w:r>
      <w:r w:rsidR="00F87F62">
        <w:rPr>
          <w:rFonts w:ascii="Garamond" w:hAnsi="Garamond" w:cstheme="minorHAnsi"/>
        </w:rPr>
        <w:t xml:space="preserve"> technological change as well as</w:t>
      </w:r>
      <w:r w:rsidR="00F87F62" w:rsidRPr="00F87F62">
        <w:rPr>
          <w:rFonts w:ascii="Garamond" w:hAnsi="Garamond" w:cstheme="minorHAnsi"/>
        </w:rPr>
        <w:t xml:space="preserve"> promote the use of complementary inputs</w:t>
      </w:r>
      <w:r w:rsidR="00F87F62">
        <w:rPr>
          <w:rFonts w:ascii="Garamond" w:hAnsi="Garamond" w:cstheme="minorHAnsi"/>
        </w:rPr>
        <w:t>,</w:t>
      </w:r>
      <w:r w:rsidR="00F87F62" w:rsidRPr="00F87F62">
        <w:rPr>
          <w:rFonts w:ascii="Garamond" w:hAnsi="Garamond" w:cstheme="minorHAnsi"/>
        </w:rPr>
        <w:t xml:space="preserve"> such as high yielding var</w:t>
      </w:r>
      <w:r w:rsidR="00F87F62">
        <w:rPr>
          <w:rFonts w:ascii="Garamond" w:hAnsi="Garamond" w:cstheme="minorHAnsi"/>
        </w:rPr>
        <w:t>ieties and agrochemicals (Smith</w:t>
      </w:r>
      <w:r w:rsidR="00F87F62" w:rsidRPr="00F87F62">
        <w:rPr>
          <w:rFonts w:ascii="Garamond" w:hAnsi="Garamond" w:cstheme="minorHAnsi"/>
        </w:rPr>
        <w:t xml:space="preserve"> 2004;</w:t>
      </w:r>
      <w:r w:rsidR="00F87F62">
        <w:rPr>
          <w:rFonts w:ascii="Garamond" w:hAnsi="Garamond" w:cstheme="minorHAnsi"/>
        </w:rPr>
        <w:t xml:space="preserve"> Bhattarai and Narayananmoorthy 2003; Hasnip et al. 2001;</w:t>
      </w:r>
      <w:r w:rsidR="00F87F62" w:rsidRPr="00F87F62">
        <w:rPr>
          <w:rFonts w:ascii="Garamond" w:hAnsi="Garamond" w:cstheme="minorHAnsi"/>
        </w:rPr>
        <w:t xml:space="preserve"> Hussain and Hanjra 200</w:t>
      </w:r>
      <w:r w:rsidR="00F87F62">
        <w:rPr>
          <w:rFonts w:ascii="Garamond" w:hAnsi="Garamond" w:cstheme="minorHAnsi"/>
        </w:rPr>
        <w:t xml:space="preserve">3; </w:t>
      </w:r>
      <w:r w:rsidR="00F87F62" w:rsidRPr="00F87F62">
        <w:rPr>
          <w:rFonts w:ascii="Garamond" w:hAnsi="Garamond" w:cstheme="minorHAnsi"/>
        </w:rPr>
        <w:t xml:space="preserve">Huang et al. 2006). </w:t>
      </w:r>
      <w:r w:rsidR="00B41D70">
        <w:rPr>
          <w:rFonts w:ascii="Garamond" w:hAnsi="Garamond" w:cstheme="minorHAnsi"/>
        </w:rPr>
        <w:t xml:space="preserve">Overall, </w:t>
      </w:r>
      <w:r w:rsidR="00E338EC">
        <w:rPr>
          <w:rFonts w:ascii="Garamond" w:hAnsi="Garamond" w:cstheme="minorHAnsi"/>
        </w:rPr>
        <w:t xml:space="preserve">such </w:t>
      </w:r>
      <w:r w:rsidR="00B41D70">
        <w:rPr>
          <w:rFonts w:ascii="Garamond" w:hAnsi="Garamond" w:cstheme="minorHAnsi"/>
        </w:rPr>
        <w:t xml:space="preserve">changes in </w:t>
      </w:r>
      <w:r w:rsidR="00E338EC">
        <w:rPr>
          <w:rFonts w:ascii="Garamond" w:hAnsi="Garamond" w:cstheme="minorHAnsi"/>
        </w:rPr>
        <w:t>the realm of production have been found to positively affect household income (Shah et al. 2003; Van Den Berg 2005), land values (Van Den Berg 2005), as well as improve nutrition outcomes, educational attainment, and access to basic services (</w:t>
      </w:r>
      <w:r w:rsidR="00E338EC" w:rsidRPr="00F302ED">
        <w:rPr>
          <w:rFonts w:ascii="Garamond" w:hAnsi="Garamond" w:cstheme="minorHAnsi"/>
        </w:rPr>
        <w:t xml:space="preserve">Hanjra et al. </w:t>
      </w:r>
      <w:r w:rsidR="00E338EC">
        <w:rPr>
          <w:rFonts w:ascii="Garamond" w:hAnsi="Garamond" w:cstheme="minorHAnsi"/>
        </w:rPr>
        <w:t>2009).</w:t>
      </w:r>
    </w:p>
    <w:p w:rsidR="00045DB4" w:rsidRDefault="00045DB4" w:rsidP="009B24AA">
      <w:pPr>
        <w:spacing w:line="360" w:lineRule="auto"/>
        <w:jc w:val="both"/>
        <w:rPr>
          <w:rFonts w:ascii="Garamond" w:hAnsi="Garamond" w:cstheme="minorHAnsi"/>
        </w:rPr>
      </w:pPr>
    </w:p>
    <w:p w:rsidR="007C16F5" w:rsidRPr="007F1FD3" w:rsidRDefault="007C16F5" w:rsidP="009B24AA">
      <w:pPr>
        <w:pStyle w:val="ListParagraph"/>
        <w:numPr>
          <w:ilvl w:val="0"/>
          <w:numId w:val="2"/>
        </w:numPr>
        <w:spacing w:line="360" w:lineRule="auto"/>
        <w:rPr>
          <w:rFonts w:ascii="Garamond" w:hAnsi="Garamond" w:cstheme="minorHAnsi"/>
        </w:rPr>
      </w:pPr>
      <w:r w:rsidRPr="007F1FD3">
        <w:rPr>
          <w:rFonts w:ascii="Garamond" w:hAnsi="Garamond" w:cstheme="minorHAnsi"/>
        </w:rPr>
        <w:t>KEY OUTCOME INDICATORS</w:t>
      </w:r>
    </w:p>
    <w:p w:rsidR="000D023E" w:rsidRDefault="00EA7C0F" w:rsidP="009B24AA">
      <w:pPr>
        <w:spacing w:line="360" w:lineRule="auto"/>
        <w:jc w:val="both"/>
        <w:rPr>
          <w:rFonts w:ascii="Garamond" w:hAnsi="Garamond" w:cstheme="minorHAnsi"/>
        </w:rPr>
      </w:pPr>
      <w:r>
        <w:rPr>
          <w:rFonts w:ascii="Garamond" w:hAnsi="Garamond" w:cstheme="minorHAnsi"/>
        </w:rPr>
        <w:t>Given the above discussion of the main evaluation questions, it</w:t>
      </w:r>
      <w:r w:rsidR="00B6122F">
        <w:rPr>
          <w:rFonts w:ascii="Garamond" w:hAnsi="Garamond" w:cstheme="minorHAnsi"/>
        </w:rPr>
        <w:t xml:space="preserve"> is beneficial to specify in detail</w:t>
      </w:r>
      <w:r>
        <w:rPr>
          <w:rFonts w:ascii="Garamond" w:hAnsi="Garamond" w:cstheme="minorHAnsi"/>
        </w:rPr>
        <w:t xml:space="preserve"> the key outcome indicators to be used in the analysis. Table 1 defines the proposed indicators, provides the associated frequency of measurement, as well as the expected data source.</w:t>
      </w:r>
      <w:r w:rsidR="000E4B78">
        <w:rPr>
          <w:rFonts w:ascii="Garamond" w:hAnsi="Garamond" w:cstheme="minorHAnsi"/>
        </w:rPr>
        <w:t xml:space="preserve"> Of course, in providing an overall assessment of the program it is important to consider the mechanisms of impact and a complete impact evaluation will include a number of intermediate indicators. These will reflect the causal logic of the program as laid out in the theory of change (Figure 1)</w:t>
      </w:r>
      <w:r w:rsidR="005077DE">
        <w:rPr>
          <w:rFonts w:ascii="Garamond" w:hAnsi="Garamond" w:cstheme="minorHAnsi"/>
        </w:rPr>
        <w:t xml:space="preserve">. </w:t>
      </w:r>
      <w:r w:rsidR="00DD7BE4">
        <w:rPr>
          <w:rFonts w:ascii="Garamond" w:hAnsi="Garamond" w:cstheme="minorHAnsi"/>
        </w:rPr>
        <w:t>M</w:t>
      </w:r>
      <w:r w:rsidR="005077DE">
        <w:rPr>
          <w:rFonts w:ascii="Garamond" w:hAnsi="Garamond" w:cstheme="minorHAnsi"/>
        </w:rPr>
        <w:t xml:space="preserve">ost of these indicator variables are required to calculate the key indicators noted in </w:t>
      </w:r>
      <w:r w:rsidR="001E6D2F">
        <w:rPr>
          <w:rFonts w:ascii="Garamond" w:hAnsi="Garamond" w:cstheme="minorHAnsi"/>
        </w:rPr>
        <w:t>T</w:t>
      </w:r>
      <w:r w:rsidR="005077DE">
        <w:rPr>
          <w:rFonts w:ascii="Garamond" w:hAnsi="Garamond" w:cstheme="minorHAnsi"/>
        </w:rPr>
        <w:t>able 1 as they are intermediate variables and these will be reflected</w:t>
      </w:r>
      <w:r w:rsidR="000E4B78">
        <w:rPr>
          <w:rFonts w:ascii="Garamond" w:hAnsi="Garamond" w:cstheme="minorHAnsi"/>
        </w:rPr>
        <w:t xml:space="preserve"> in the</w:t>
      </w:r>
      <w:r w:rsidR="005077DE">
        <w:rPr>
          <w:rFonts w:ascii="Garamond" w:hAnsi="Garamond" w:cstheme="minorHAnsi"/>
        </w:rPr>
        <w:t xml:space="preserve"> proposed data collection later.</w:t>
      </w:r>
    </w:p>
    <w:p w:rsidR="00986F93" w:rsidRDefault="005077DE" w:rsidP="00730044">
      <w:pPr>
        <w:spacing w:line="360" w:lineRule="auto"/>
        <w:jc w:val="both"/>
        <w:rPr>
          <w:rFonts w:ascii="Garamond" w:hAnsi="Garamond" w:cstheme="minorHAnsi"/>
        </w:rPr>
      </w:pPr>
      <w:r>
        <w:rPr>
          <w:rFonts w:ascii="Garamond" w:hAnsi="Garamond" w:cstheme="minorHAnsi"/>
        </w:rPr>
        <w:t xml:space="preserve">Given the focus of the project on expanding agricultural production through irrigation and rural roads, the key indicators appropriately focus on agricultural outcomes. One concern in using these outcomes is that the project will lead to a shift in labor use as farm households take advantage of new agricultural opportunities. This is, of course, a desirable outcome of the project as labor is expected to move to its most efficient use. However, if labor is shifted from off-farm activities to on-farm activities there is an opportunity cost of that </w:t>
      </w:r>
      <w:r>
        <w:rPr>
          <w:rFonts w:ascii="Garamond" w:hAnsi="Garamond" w:cstheme="minorHAnsi"/>
        </w:rPr>
        <w:lastRenderedPageBreak/>
        <w:t>time (as measured in lost income from other activities). In evaluating the impact on agricultural outcomes</w:t>
      </w:r>
      <w:r w:rsidR="00730044">
        <w:rPr>
          <w:rFonts w:ascii="Garamond" w:hAnsi="Garamond" w:cstheme="minorHAnsi"/>
        </w:rPr>
        <w:t>,</w:t>
      </w:r>
      <w:r>
        <w:rPr>
          <w:rFonts w:ascii="Garamond" w:hAnsi="Garamond" w:cstheme="minorHAnsi"/>
        </w:rPr>
        <w:t xml:space="preserve"> it is important to determine the degree to which this factors into the impact of the program and suggests a need to </w:t>
      </w:r>
      <w:r w:rsidR="00730044">
        <w:rPr>
          <w:rFonts w:ascii="Garamond" w:hAnsi="Garamond" w:cstheme="minorHAnsi"/>
        </w:rPr>
        <w:t>capture information on labor use and income from other activities. This will also be reflected later in the data collection.</w:t>
      </w:r>
    </w:p>
    <w:p w:rsidR="00B81B4F" w:rsidRPr="00AF718B" w:rsidRDefault="00B81B4F" w:rsidP="009B24AA">
      <w:pPr>
        <w:spacing w:line="360" w:lineRule="auto"/>
        <w:jc w:val="center"/>
        <w:rPr>
          <w:rFonts w:ascii="Garamond" w:hAnsi="Garamond" w:cstheme="minorHAnsi"/>
          <w:b/>
        </w:rPr>
      </w:pPr>
      <w:r w:rsidRPr="00AF718B">
        <w:rPr>
          <w:rFonts w:ascii="Garamond" w:hAnsi="Garamond" w:cstheme="minorHAnsi"/>
          <w:b/>
        </w:rPr>
        <w:t>Table 1. Key Outcome Indicators</w:t>
      </w:r>
    </w:p>
    <w:tbl>
      <w:tblPr>
        <w:tblW w:w="9037" w:type="dxa"/>
        <w:jc w:val="center"/>
        <w:tblInd w:w="378"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2790"/>
        <w:gridCol w:w="2042"/>
        <w:gridCol w:w="2135"/>
      </w:tblGrid>
      <w:tr w:rsidR="00B81B4F" w:rsidRPr="007F1FD3">
        <w:trPr>
          <w:jc w:val="center"/>
        </w:trPr>
        <w:tc>
          <w:tcPr>
            <w:tcW w:w="2070" w:type="dxa"/>
          </w:tcPr>
          <w:p w:rsidR="00B81B4F" w:rsidRPr="007F1FD3" w:rsidRDefault="00B81B4F" w:rsidP="009B24AA">
            <w:pPr>
              <w:spacing w:after="0" w:line="360" w:lineRule="auto"/>
              <w:jc w:val="center"/>
              <w:rPr>
                <w:rFonts w:ascii="Garamond" w:hAnsi="Garamond" w:cstheme="minorHAnsi"/>
                <w:sz w:val="18"/>
                <w:szCs w:val="18"/>
              </w:rPr>
            </w:pPr>
            <w:r w:rsidRPr="007F1FD3">
              <w:rPr>
                <w:rFonts w:ascii="Garamond" w:hAnsi="Garamond" w:cstheme="minorHAnsi"/>
                <w:sz w:val="18"/>
                <w:szCs w:val="18"/>
              </w:rPr>
              <w:t>Indicator</w:t>
            </w:r>
          </w:p>
        </w:tc>
        <w:tc>
          <w:tcPr>
            <w:tcW w:w="2790" w:type="dxa"/>
          </w:tcPr>
          <w:p w:rsidR="00B81B4F" w:rsidRPr="007F1FD3" w:rsidRDefault="00B81B4F" w:rsidP="009B24AA">
            <w:pPr>
              <w:spacing w:after="0" w:line="360" w:lineRule="auto"/>
              <w:jc w:val="center"/>
              <w:rPr>
                <w:rFonts w:ascii="Garamond" w:hAnsi="Garamond" w:cstheme="minorHAnsi"/>
                <w:sz w:val="18"/>
                <w:szCs w:val="18"/>
              </w:rPr>
            </w:pPr>
            <w:r w:rsidRPr="007F1FD3">
              <w:rPr>
                <w:rFonts w:ascii="Garamond" w:hAnsi="Garamond" w:cstheme="minorHAnsi"/>
                <w:sz w:val="18"/>
                <w:szCs w:val="18"/>
              </w:rPr>
              <w:t>Formula / Definition</w:t>
            </w:r>
          </w:p>
        </w:tc>
        <w:tc>
          <w:tcPr>
            <w:tcW w:w="2042" w:type="dxa"/>
          </w:tcPr>
          <w:p w:rsidR="00B81B4F" w:rsidRPr="007F1FD3" w:rsidRDefault="00B81B4F" w:rsidP="009B24AA">
            <w:pPr>
              <w:spacing w:after="0" w:line="360" w:lineRule="auto"/>
              <w:jc w:val="center"/>
              <w:rPr>
                <w:rFonts w:ascii="Garamond" w:hAnsi="Garamond" w:cstheme="minorHAnsi"/>
                <w:sz w:val="18"/>
                <w:szCs w:val="18"/>
              </w:rPr>
            </w:pPr>
            <w:r>
              <w:rPr>
                <w:rFonts w:ascii="Garamond" w:hAnsi="Garamond" w:cstheme="minorHAnsi"/>
                <w:sz w:val="18"/>
                <w:szCs w:val="18"/>
              </w:rPr>
              <w:t>Freq.</w:t>
            </w:r>
            <w:r w:rsidRPr="007F1FD3">
              <w:rPr>
                <w:rFonts w:ascii="Garamond" w:hAnsi="Garamond" w:cstheme="minorHAnsi"/>
                <w:sz w:val="18"/>
                <w:szCs w:val="18"/>
              </w:rPr>
              <w:t xml:space="preserve"> of Measurement</w:t>
            </w:r>
          </w:p>
        </w:tc>
        <w:tc>
          <w:tcPr>
            <w:tcW w:w="2135" w:type="dxa"/>
          </w:tcPr>
          <w:p w:rsidR="00B81B4F" w:rsidRPr="007F1FD3" w:rsidRDefault="00B81B4F" w:rsidP="009B24AA">
            <w:pPr>
              <w:spacing w:after="0" w:line="360" w:lineRule="auto"/>
              <w:jc w:val="center"/>
              <w:rPr>
                <w:rFonts w:ascii="Garamond" w:hAnsi="Garamond" w:cstheme="minorHAnsi"/>
                <w:sz w:val="18"/>
                <w:szCs w:val="18"/>
              </w:rPr>
            </w:pPr>
            <w:r w:rsidRPr="007F1FD3">
              <w:rPr>
                <w:rFonts w:ascii="Garamond" w:hAnsi="Garamond" w:cstheme="minorHAnsi"/>
                <w:sz w:val="18"/>
                <w:szCs w:val="18"/>
              </w:rPr>
              <w:t>Source</w:t>
            </w:r>
          </w:p>
        </w:tc>
      </w:tr>
      <w:tr w:rsidR="00B81B4F" w:rsidRPr="007F1FD3">
        <w:trPr>
          <w:jc w:val="center"/>
        </w:trPr>
        <w:tc>
          <w:tcPr>
            <w:tcW w:w="207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Yields</w:t>
            </w:r>
          </w:p>
        </w:tc>
        <w:tc>
          <w:tcPr>
            <w:tcW w:w="279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Value of output divided by the quantity of land operated</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r w:rsidR="00B81B4F" w:rsidRPr="007F1FD3">
        <w:trPr>
          <w:jc w:val="center"/>
        </w:trPr>
        <w:tc>
          <w:tcPr>
            <w:tcW w:w="207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Gross margins</w:t>
            </w:r>
          </w:p>
        </w:tc>
        <w:tc>
          <w:tcPr>
            <w:tcW w:w="2790" w:type="dxa"/>
          </w:tcPr>
          <w:p w:rsidR="00B81B4F" w:rsidRDefault="00B81B4F" w:rsidP="009B24AA">
            <w:pPr>
              <w:spacing w:after="0" w:line="360" w:lineRule="auto"/>
              <w:rPr>
                <w:rFonts w:ascii="Garamond" w:hAnsi="Garamond" w:cstheme="minorHAnsi"/>
                <w:sz w:val="18"/>
                <w:szCs w:val="18"/>
              </w:rPr>
            </w:pPr>
            <w:r>
              <w:rPr>
                <w:rFonts w:ascii="Garamond" w:hAnsi="Garamond" w:cstheme="minorHAnsi"/>
                <w:sz w:val="18"/>
                <w:szCs w:val="18"/>
              </w:rPr>
              <w:t xml:space="preserve">Returns to fixed factors of </w:t>
            </w:r>
            <w:r w:rsidR="00986F93">
              <w:rPr>
                <w:rFonts w:ascii="Garamond" w:hAnsi="Garamond" w:cstheme="minorHAnsi"/>
                <w:sz w:val="18"/>
                <w:szCs w:val="18"/>
              </w:rPr>
              <w:t xml:space="preserve">agricultural </w:t>
            </w:r>
            <w:r>
              <w:rPr>
                <w:rFonts w:ascii="Garamond" w:hAnsi="Garamond" w:cstheme="minorHAnsi"/>
                <w:sz w:val="18"/>
                <w:szCs w:val="18"/>
              </w:rPr>
              <w:t xml:space="preserve">production </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r w:rsidR="00B81B4F" w:rsidRPr="007F1FD3">
        <w:trPr>
          <w:jc w:val="center"/>
        </w:trPr>
        <w:tc>
          <w:tcPr>
            <w:tcW w:w="207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Asset values</w:t>
            </w:r>
          </w:p>
        </w:tc>
        <w:tc>
          <w:tcPr>
            <w:tcW w:w="2790" w:type="dxa"/>
          </w:tcPr>
          <w:p w:rsidR="00B81B4F" w:rsidRDefault="00B81B4F" w:rsidP="009B24AA">
            <w:pPr>
              <w:spacing w:after="0" w:line="360" w:lineRule="auto"/>
              <w:rPr>
                <w:rFonts w:ascii="Garamond" w:hAnsi="Garamond" w:cstheme="minorHAnsi"/>
                <w:sz w:val="18"/>
                <w:szCs w:val="18"/>
              </w:rPr>
            </w:pPr>
            <w:r>
              <w:rPr>
                <w:rFonts w:ascii="Garamond" w:hAnsi="Garamond" w:cstheme="minorHAnsi"/>
                <w:sz w:val="18"/>
                <w:szCs w:val="18"/>
              </w:rPr>
              <w:t>Total value of agricultural (e.g. land) and non-agricultural assets</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r w:rsidR="00B81B4F" w:rsidRPr="007F1FD3">
        <w:trPr>
          <w:jc w:val="center"/>
        </w:trPr>
        <w:tc>
          <w:tcPr>
            <w:tcW w:w="2070" w:type="dxa"/>
          </w:tcPr>
          <w:p w:rsidR="00B81B4F" w:rsidRPr="007F1FD3" w:rsidRDefault="00986F93" w:rsidP="009B24AA">
            <w:pPr>
              <w:spacing w:after="0" w:line="360" w:lineRule="auto"/>
              <w:rPr>
                <w:rFonts w:ascii="Garamond" w:hAnsi="Garamond" w:cstheme="minorHAnsi"/>
                <w:sz w:val="18"/>
                <w:szCs w:val="18"/>
              </w:rPr>
            </w:pPr>
            <w:r>
              <w:rPr>
                <w:rFonts w:ascii="Garamond" w:hAnsi="Garamond" w:cstheme="minorHAnsi"/>
                <w:sz w:val="18"/>
                <w:szCs w:val="18"/>
              </w:rPr>
              <w:t>Agricultural</w:t>
            </w:r>
            <w:r w:rsidR="00B81B4F">
              <w:rPr>
                <w:rFonts w:ascii="Garamond" w:hAnsi="Garamond" w:cstheme="minorHAnsi"/>
                <w:sz w:val="18"/>
                <w:szCs w:val="18"/>
              </w:rPr>
              <w:t xml:space="preserve"> income</w:t>
            </w:r>
          </w:p>
        </w:tc>
        <w:tc>
          <w:tcPr>
            <w:tcW w:w="2790" w:type="dxa"/>
          </w:tcPr>
          <w:p w:rsidR="00B81B4F" w:rsidRDefault="00986F93" w:rsidP="00986F93">
            <w:pPr>
              <w:spacing w:after="0" w:line="360" w:lineRule="auto"/>
              <w:rPr>
                <w:rFonts w:ascii="Garamond" w:hAnsi="Garamond" w:cstheme="minorHAnsi"/>
                <w:sz w:val="18"/>
                <w:szCs w:val="18"/>
              </w:rPr>
            </w:pPr>
            <w:r>
              <w:rPr>
                <w:rFonts w:ascii="Garamond" w:hAnsi="Garamond" w:cstheme="minorHAnsi"/>
                <w:sz w:val="18"/>
                <w:szCs w:val="18"/>
              </w:rPr>
              <w:t>I</w:t>
            </w:r>
            <w:r w:rsidR="00B81B4F">
              <w:rPr>
                <w:rFonts w:ascii="Garamond" w:hAnsi="Garamond" w:cstheme="minorHAnsi"/>
                <w:sz w:val="18"/>
                <w:szCs w:val="18"/>
              </w:rPr>
              <w:t xml:space="preserve">ncome </w:t>
            </w:r>
            <w:r>
              <w:rPr>
                <w:rFonts w:ascii="Garamond" w:hAnsi="Garamond" w:cstheme="minorHAnsi"/>
                <w:sz w:val="18"/>
                <w:szCs w:val="18"/>
              </w:rPr>
              <w:t>from agricultural activities</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r w:rsidR="00B81B4F" w:rsidRPr="007F1FD3">
        <w:trPr>
          <w:jc w:val="center"/>
        </w:trPr>
        <w:tc>
          <w:tcPr>
            <w:tcW w:w="207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Food security</w:t>
            </w:r>
          </w:p>
        </w:tc>
        <w:tc>
          <w:tcPr>
            <w:tcW w:w="2790" w:type="dxa"/>
          </w:tcPr>
          <w:p w:rsidR="00B81B4F" w:rsidRDefault="00986F93" w:rsidP="009B24AA">
            <w:pPr>
              <w:spacing w:after="0" w:line="360" w:lineRule="auto"/>
              <w:rPr>
                <w:rFonts w:ascii="Garamond" w:hAnsi="Garamond" w:cstheme="minorHAnsi"/>
                <w:sz w:val="18"/>
                <w:szCs w:val="18"/>
              </w:rPr>
            </w:pPr>
            <w:r>
              <w:rPr>
                <w:rFonts w:ascii="Garamond" w:hAnsi="Garamond" w:cstheme="minorHAnsi"/>
                <w:sz w:val="18"/>
                <w:szCs w:val="18"/>
              </w:rPr>
              <w:t>Household dietary diversity index</w:t>
            </w:r>
            <w:r w:rsidR="00B81B4F">
              <w:rPr>
                <w:rFonts w:ascii="Garamond" w:hAnsi="Garamond" w:cstheme="minorHAnsi"/>
                <w:sz w:val="18"/>
                <w:szCs w:val="18"/>
              </w:rPr>
              <w:t>.</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r w:rsidR="00B81B4F" w:rsidRPr="007F1FD3">
        <w:trPr>
          <w:jc w:val="center"/>
        </w:trPr>
        <w:tc>
          <w:tcPr>
            <w:tcW w:w="2070" w:type="dxa"/>
          </w:tcPr>
          <w:p w:rsidR="00B81B4F" w:rsidRDefault="00B81B4F" w:rsidP="009B24AA">
            <w:pPr>
              <w:spacing w:after="0" w:line="360" w:lineRule="auto"/>
              <w:rPr>
                <w:rFonts w:ascii="Garamond" w:hAnsi="Garamond" w:cstheme="minorHAnsi"/>
                <w:sz w:val="18"/>
                <w:szCs w:val="18"/>
              </w:rPr>
            </w:pPr>
            <w:r>
              <w:rPr>
                <w:rFonts w:ascii="Garamond" w:hAnsi="Garamond" w:cstheme="minorHAnsi"/>
                <w:sz w:val="18"/>
                <w:szCs w:val="18"/>
              </w:rPr>
              <w:t>Agency/empowerment for women</w:t>
            </w:r>
          </w:p>
        </w:tc>
        <w:tc>
          <w:tcPr>
            <w:tcW w:w="2790" w:type="dxa"/>
          </w:tcPr>
          <w:p w:rsidR="00B81B4F" w:rsidRDefault="00B81B4F" w:rsidP="009B24AA">
            <w:pPr>
              <w:spacing w:after="0" w:line="360" w:lineRule="auto"/>
              <w:rPr>
                <w:rFonts w:ascii="Garamond" w:hAnsi="Garamond" w:cstheme="minorHAnsi"/>
                <w:sz w:val="18"/>
                <w:szCs w:val="18"/>
              </w:rPr>
            </w:pPr>
            <w:r>
              <w:rPr>
                <w:rFonts w:ascii="Garamond" w:hAnsi="Garamond" w:cstheme="minorHAnsi"/>
                <w:sz w:val="18"/>
                <w:szCs w:val="18"/>
              </w:rPr>
              <w:t>Employment/occupation</w:t>
            </w:r>
            <w:r w:rsidR="00986F93">
              <w:rPr>
                <w:rFonts w:ascii="Garamond" w:hAnsi="Garamond" w:cstheme="minorHAnsi"/>
                <w:sz w:val="18"/>
                <w:szCs w:val="18"/>
              </w:rPr>
              <w:t>/time use</w:t>
            </w:r>
            <w:r>
              <w:rPr>
                <w:rFonts w:ascii="Garamond" w:hAnsi="Garamond" w:cstheme="minorHAnsi"/>
                <w:sz w:val="18"/>
                <w:szCs w:val="18"/>
              </w:rPr>
              <w:t>, control over own earnings, participation in household decisions, attitudes about gender roles, etc.</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p>
        </w:tc>
      </w:tr>
      <w:tr w:rsidR="00B81B4F" w:rsidRPr="007F1FD3">
        <w:trPr>
          <w:jc w:val="center"/>
        </w:trPr>
        <w:tc>
          <w:tcPr>
            <w:tcW w:w="207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Access to health and education services</w:t>
            </w:r>
          </w:p>
        </w:tc>
        <w:tc>
          <w:tcPr>
            <w:tcW w:w="2790" w:type="dxa"/>
          </w:tcPr>
          <w:p w:rsidR="00B81B4F" w:rsidRPr="007F1FD3" w:rsidRDefault="00B81B4F" w:rsidP="009B24AA">
            <w:pPr>
              <w:spacing w:after="0" w:line="360" w:lineRule="auto"/>
              <w:rPr>
                <w:rFonts w:ascii="Garamond" w:hAnsi="Garamond" w:cstheme="minorHAnsi"/>
                <w:sz w:val="18"/>
                <w:szCs w:val="18"/>
              </w:rPr>
            </w:pPr>
            <w:r>
              <w:rPr>
                <w:rFonts w:ascii="Garamond" w:hAnsi="Garamond" w:cstheme="minorHAnsi"/>
                <w:sz w:val="18"/>
                <w:szCs w:val="18"/>
              </w:rPr>
              <w:t>Time to health/education facilities, number of visits, perceptions on education/health access, etc.</w:t>
            </w:r>
          </w:p>
        </w:tc>
        <w:tc>
          <w:tcPr>
            <w:tcW w:w="2042"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Baseline and follow-up survey</w:t>
            </w:r>
          </w:p>
        </w:tc>
        <w:tc>
          <w:tcPr>
            <w:tcW w:w="2135" w:type="dxa"/>
          </w:tcPr>
          <w:p w:rsidR="00B81B4F" w:rsidRPr="007F1FD3" w:rsidRDefault="00B81B4F" w:rsidP="009B24AA">
            <w:pPr>
              <w:spacing w:after="0" w:line="360" w:lineRule="auto"/>
              <w:rPr>
                <w:rFonts w:ascii="Garamond" w:hAnsi="Garamond" w:cstheme="minorHAnsi"/>
                <w:sz w:val="18"/>
                <w:szCs w:val="18"/>
              </w:rPr>
            </w:pPr>
            <w:r w:rsidRPr="007F1FD3">
              <w:rPr>
                <w:rFonts w:ascii="Garamond" w:hAnsi="Garamond" w:cstheme="minorHAnsi"/>
                <w:sz w:val="18"/>
                <w:szCs w:val="18"/>
              </w:rPr>
              <w:t>Household questionnaire</w:t>
            </w:r>
          </w:p>
        </w:tc>
      </w:tr>
    </w:tbl>
    <w:p w:rsidR="00EA7C0F" w:rsidRDefault="00EA7C0F" w:rsidP="009B24AA">
      <w:pPr>
        <w:spacing w:line="360" w:lineRule="auto"/>
        <w:rPr>
          <w:rFonts w:ascii="Garamond" w:hAnsi="Garamond" w:cstheme="minorHAnsi"/>
        </w:rPr>
      </w:pPr>
    </w:p>
    <w:p w:rsidR="002A73C6" w:rsidRDefault="003D3971" w:rsidP="009B24AA">
      <w:pPr>
        <w:pStyle w:val="ListParagraph"/>
        <w:numPr>
          <w:ilvl w:val="0"/>
          <w:numId w:val="2"/>
        </w:numPr>
        <w:spacing w:line="360" w:lineRule="auto"/>
        <w:rPr>
          <w:rFonts w:ascii="Garamond" w:hAnsi="Garamond" w:cstheme="minorHAnsi"/>
        </w:rPr>
      </w:pPr>
      <w:r w:rsidRPr="007F1FD3">
        <w:rPr>
          <w:rFonts w:ascii="Garamond" w:hAnsi="Garamond" w:cstheme="minorHAnsi"/>
        </w:rPr>
        <w:t>EVALUATION METHODOLOGY</w:t>
      </w:r>
    </w:p>
    <w:p w:rsidR="00275AA1" w:rsidRPr="00275AA1" w:rsidRDefault="00275AA1" w:rsidP="009B24AA">
      <w:pPr>
        <w:spacing w:line="360" w:lineRule="auto"/>
        <w:jc w:val="both"/>
        <w:rPr>
          <w:rFonts w:ascii="Garamond" w:hAnsi="Garamond" w:cstheme="minorHAnsi"/>
        </w:rPr>
      </w:pPr>
      <w:r w:rsidRPr="00275AA1">
        <w:rPr>
          <w:rFonts w:ascii="Garamond" w:hAnsi="Garamond" w:cstheme="minorHAnsi"/>
        </w:rPr>
        <w:t xml:space="preserve">Similarities in the process of beneficiary selection for each component of PIDD-2 imply that a common evaluation methodology can be applied across the constituent elements. As such, in what follows, </w:t>
      </w:r>
      <w:r w:rsidR="00710A1F">
        <w:rPr>
          <w:rFonts w:ascii="Garamond" w:hAnsi="Garamond" w:cstheme="minorHAnsi"/>
        </w:rPr>
        <w:t xml:space="preserve">a general framework is laid out </w:t>
      </w:r>
      <w:r w:rsidRPr="00275AA1">
        <w:rPr>
          <w:rFonts w:ascii="Garamond" w:hAnsi="Garamond" w:cstheme="minorHAnsi"/>
        </w:rPr>
        <w:t>that will permit the evaluation of the int</w:t>
      </w:r>
      <w:r w:rsidR="0036748C">
        <w:rPr>
          <w:rFonts w:ascii="Garamond" w:hAnsi="Garamond" w:cstheme="minorHAnsi"/>
        </w:rPr>
        <w:t>ermediate and final impacts of both</w:t>
      </w:r>
      <w:r w:rsidRPr="00275AA1">
        <w:rPr>
          <w:rFonts w:ascii="Garamond" w:hAnsi="Garamond" w:cstheme="minorHAnsi"/>
        </w:rPr>
        <w:t xml:space="preserve"> components of PIDD-2.</w:t>
      </w:r>
    </w:p>
    <w:p w:rsidR="00275AA1" w:rsidRPr="00275AA1" w:rsidRDefault="00275AA1" w:rsidP="009B24AA">
      <w:pPr>
        <w:spacing w:line="360" w:lineRule="auto"/>
        <w:rPr>
          <w:rFonts w:ascii="Garamond" w:hAnsi="Garamond" w:cstheme="minorHAnsi"/>
          <w:i/>
        </w:rPr>
      </w:pPr>
      <w:r w:rsidRPr="00275AA1">
        <w:rPr>
          <w:rFonts w:ascii="Garamond" w:hAnsi="Garamond" w:cstheme="minorHAnsi"/>
          <w:i/>
        </w:rPr>
        <w:t>Selection of Control Group</w:t>
      </w:r>
    </w:p>
    <w:p w:rsidR="00275AA1" w:rsidRPr="00275AA1" w:rsidRDefault="00275AA1" w:rsidP="009B24AA">
      <w:pPr>
        <w:spacing w:line="360" w:lineRule="auto"/>
        <w:jc w:val="both"/>
        <w:rPr>
          <w:rFonts w:ascii="Garamond" w:hAnsi="Garamond" w:cstheme="minorHAnsi"/>
        </w:rPr>
      </w:pPr>
      <w:r w:rsidRPr="00275AA1">
        <w:rPr>
          <w:rFonts w:ascii="Garamond" w:hAnsi="Garamond" w:cstheme="minorHAnsi"/>
        </w:rPr>
        <w:t xml:space="preserve">The research design seeks to estimate the average impact of PIDD-2 on the household-level indicators described above.  The principal challenge in the identification of the causal impact of PIDD-2 on these outcomes is answering the following counterfactual question: “What would have been the value of the outcome variable of households in </w:t>
      </w:r>
      <w:r w:rsidR="00AF0AC2">
        <w:rPr>
          <w:rFonts w:ascii="Garamond" w:hAnsi="Garamond" w:cstheme="minorHAnsi"/>
        </w:rPr>
        <w:t>project</w:t>
      </w:r>
      <w:r w:rsidRPr="00275AA1">
        <w:rPr>
          <w:rFonts w:ascii="Garamond" w:hAnsi="Garamond" w:cstheme="minorHAnsi"/>
        </w:rPr>
        <w:t xml:space="preserve"> </w:t>
      </w:r>
      <w:r>
        <w:rPr>
          <w:rFonts w:ascii="Garamond" w:hAnsi="Garamond" w:cstheme="minorHAnsi"/>
        </w:rPr>
        <w:t>communities</w:t>
      </w:r>
      <w:r w:rsidRPr="00275AA1">
        <w:rPr>
          <w:rFonts w:ascii="Garamond" w:hAnsi="Garamond" w:cstheme="minorHAnsi"/>
        </w:rPr>
        <w:t xml:space="preserve"> if the </w:t>
      </w:r>
      <w:r w:rsidR="00AF0AC2">
        <w:rPr>
          <w:rFonts w:ascii="Garamond" w:hAnsi="Garamond" w:cstheme="minorHAnsi"/>
        </w:rPr>
        <w:t>project</w:t>
      </w:r>
      <w:r w:rsidRPr="00275AA1">
        <w:rPr>
          <w:rFonts w:ascii="Garamond" w:hAnsi="Garamond" w:cstheme="minorHAnsi"/>
        </w:rPr>
        <w:t xml:space="preserve"> had not been implemented?”  </w:t>
      </w:r>
      <w:r w:rsidR="00DD7BE4">
        <w:rPr>
          <w:rFonts w:ascii="Garamond" w:hAnsi="Garamond" w:cstheme="minorHAnsi"/>
        </w:rPr>
        <w:t>Since it is not possible to know what would have happened in the absence of the project, e</w:t>
      </w:r>
      <w:r w:rsidRPr="00275AA1">
        <w:rPr>
          <w:rFonts w:ascii="Garamond" w:hAnsi="Garamond" w:cstheme="minorHAnsi"/>
        </w:rPr>
        <w:t xml:space="preserve">stimating this counterfactual </w:t>
      </w:r>
      <w:r w:rsidRPr="00275AA1">
        <w:rPr>
          <w:rFonts w:ascii="Garamond" w:hAnsi="Garamond" w:cstheme="minorHAnsi"/>
        </w:rPr>
        <w:lastRenderedPageBreak/>
        <w:t>requires a control group that did not have access to PIDD-2</w:t>
      </w:r>
      <w:r w:rsidR="00DD7BE4">
        <w:rPr>
          <w:rFonts w:ascii="Garamond" w:hAnsi="Garamond" w:cstheme="minorHAnsi"/>
        </w:rPr>
        <w:t>, but is</w:t>
      </w:r>
      <w:r w:rsidRPr="00275AA1">
        <w:rPr>
          <w:rFonts w:ascii="Garamond" w:hAnsi="Garamond" w:cstheme="minorHAnsi"/>
        </w:rPr>
        <w:t xml:space="preserve"> identical to the beneficiary households in terms of the distribution of characteristics that affect the ou</w:t>
      </w:r>
      <w:r w:rsidR="005E2DC4">
        <w:rPr>
          <w:rFonts w:ascii="Garamond" w:hAnsi="Garamond" w:cstheme="minorHAnsi"/>
        </w:rPr>
        <w:t xml:space="preserve">tcomes of interest. </w:t>
      </w:r>
      <w:r w:rsidR="00DD7BE4">
        <w:rPr>
          <w:rFonts w:ascii="Garamond" w:hAnsi="Garamond" w:cstheme="minorHAnsi"/>
        </w:rPr>
        <w:t xml:space="preserve">One way to accomplish this task of obtaining a reasonable counterfactual is to do a </w:t>
      </w:r>
      <w:r w:rsidR="005E2DC4">
        <w:rPr>
          <w:rFonts w:ascii="Garamond" w:hAnsi="Garamond" w:cstheme="minorHAnsi"/>
        </w:rPr>
        <w:t xml:space="preserve">randomized controlled trials whereby households are </w:t>
      </w:r>
      <w:r w:rsidR="005E2DC4" w:rsidRPr="00275AA1">
        <w:rPr>
          <w:rFonts w:ascii="Garamond" w:hAnsi="Garamond" w:cstheme="minorHAnsi"/>
        </w:rPr>
        <w:t>randomly assigned to treatment (</w:t>
      </w:r>
      <w:r w:rsidR="00A2358D">
        <w:rPr>
          <w:rFonts w:ascii="Garamond" w:hAnsi="Garamond" w:cstheme="minorHAnsi"/>
        </w:rPr>
        <w:t xml:space="preserve">e.g. </w:t>
      </w:r>
      <w:r w:rsidR="005E2DC4" w:rsidRPr="00275AA1">
        <w:rPr>
          <w:rFonts w:ascii="Garamond" w:hAnsi="Garamond" w:cstheme="minorHAnsi"/>
        </w:rPr>
        <w:t>receive PIDD-2) and control (</w:t>
      </w:r>
      <w:r w:rsidR="00A2358D">
        <w:rPr>
          <w:rFonts w:ascii="Garamond" w:hAnsi="Garamond" w:cstheme="minorHAnsi"/>
        </w:rPr>
        <w:t xml:space="preserve">e.g. </w:t>
      </w:r>
      <w:r w:rsidR="005E2DC4" w:rsidRPr="00275AA1">
        <w:rPr>
          <w:rFonts w:ascii="Garamond" w:hAnsi="Garamond" w:cstheme="minorHAnsi"/>
        </w:rPr>
        <w:t>not receive PIDD-2) groups.</w:t>
      </w:r>
      <w:r w:rsidR="005E2DC4">
        <w:rPr>
          <w:rFonts w:ascii="Garamond" w:hAnsi="Garamond" w:cstheme="minorHAnsi"/>
        </w:rPr>
        <w:t xml:space="preserve"> </w:t>
      </w:r>
      <w:r w:rsidRPr="00275AA1">
        <w:rPr>
          <w:rFonts w:ascii="Garamond" w:hAnsi="Garamond" w:cstheme="minorHAnsi"/>
        </w:rPr>
        <w:t>Because assignment is random, the average characteristics of treatment and control groups would be similar.</w:t>
      </w:r>
    </w:p>
    <w:p w:rsidR="00A233FC" w:rsidRDefault="00275AA1" w:rsidP="009B24AA">
      <w:pPr>
        <w:spacing w:line="360" w:lineRule="auto"/>
        <w:jc w:val="both"/>
        <w:rPr>
          <w:rFonts w:ascii="Garamond" w:hAnsi="Garamond" w:cstheme="minorHAnsi"/>
        </w:rPr>
      </w:pPr>
      <w:r w:rsidRPr="00275AA1">
        <w:rPr>
          <w:rFonts w:ascii="Garamond" w:hAnsi="Garamond" w:cstheme="minorHAnsi"/>
        </w:rPr>
        <w:t xml:space="preserve">Randomization is not feasible, however, in the case of PIDD-2 for two main reasons. First, eligibility for the receipt of project services requires the expression of demand, either at the </w:t>
      </w:r>
      <w:r w:rsidRPr="0087060C">
        <w:rPr>
          <w:rFonts w:ascii="Garamond" w:hAnsi="Garamond" w:cstheme="minorHAnsi"/>
          <w:i/>
        </w:rPr>
        <w:t>canton</w:t>
      </w:r>
      <w:r w:rsidRPr="00275AA1">
        <w:rPr>
          <w:rFonts w:ascii="Garamond" w:hAnsi="Garamond" w:cstheme="minorHAnsi"/>
        </w:rPr>
        <w:t xml:space="preserve">-, </w:t>
      </w:r>
      <w:r w:rsidRPr="0087060C">
        <w:rPr>
          <w:rFonts w:ascii="Garamond" w:hAnsi="Garamond" w:cstheme="minorHAnsi"/>
          <w:i/>
        </w:rPr>
        <w:t>parroquia</w:t>
      </w:r>
      <w:r w:rsidRPr="00275AA1">
        <w:rPr>
          <w:rFonts w:ascii="Garamond" w:hAnsi="Garamond" w:cstheme="minorHAnsi"/>
        </w:rPr>
        <w:t xml:space="preserve">-, or </w:t>
      </w:r>
      <w:r>
        <w:rPr>
          <w:rFonts w:ascii="Garamond" w:hAnsi="Garamond" w:cstheme="minorHAnsi"/>
        </w:rPr>
        <w:t>community</w:t>
      </w:r>
      <w:r w:rsidR="00912793">
        <w:rPr>
          <w:rFonts w:ascii="Garamond" w:hAnsi="Garamond" w:cstheme="minorHAnsi"/>
        </w:rPr>
        <w:t>-level</w:t>
      </w:r>
      <w:r w:rsidRPr="00275AA1">
        <w:rPr>
          <w:rFonts w:ascii="Garamond" w:hAnsi="Garamond" w:cstheme="minorHAnsi"/>
        </w:rPr>
        <w:t xml:space="preserve">. Second, randomizing among the eligible – either across households or across sub-regions – would be politically infeasible, as beneficiaries have been pre-determined via participatory decision-making processes. Given that random selection of treatment and control groups is not feasible, the groups are selected </w:t>
      </w:r>
      <w:r w:rsidR="00DD7BE4">
        <w:rPr>
          <w:rFonts w:ascii="Garamond" w:hAnsi="Garamond" w:cstheme="minorHAnsi"/>
        </w:rPr>
        <w:t xml:space="preserve">through a carefully considered process </w:t>
      </w:r>
      <w:r w:rsidRPr="00275AA1">
        <w:rPr>
          <w:rFonts w:ascii="Garamond" w:hAnsi="Garamond" w:cstheme="minorHAnsi"/>
        </w:rPr>
        <w:t xml:space="preserve">as follows. Treatment households are selected from those </w:t>
      </w:r>
      <w:r>
        <w:rPr>
          <w:rFonts w:ascii="Garamond" w:hAnsi="Garamond" w:cstheme="minorHAnsi"/>
        </w:rPr>
        <w:t>communities</w:t>
      </w:r>
      <w:r w:rsidRPr="00275AA1">
        <w:rPr>
          <w:rFonts w:ascii="Garamond" w:hAnsi="Garamond" w:cstheme="minorHAnsi"/>
        </w:rPr>
        <w:t xml:space="preserve"> that will receive PIDD-2. </w:t>
      </w:r>
      <w:r w:rsidR="00912793">
        <w:rPr>
          <w:rFonts w:ascii="Garamond" w:hAnsi="Garamond" w:cstheme="minorHAnsi"/>
        </w:rPr>
        <w:t>For the road component, this entails the selection of households in communities t</w:t>
      </w:r>
      <w:r w:rsidR="00595E0A">
        <w:rPr>
          <w:rFonts w:ascii="Garamond" w:hAnsi="Garamond" w:cstheme="minorHAnsi"/>
        </w:rPr>
        <w:t xml:space="preserve">hat lie along the </w:t>
      </w:r>
      <w:r w:rsidR="000B4F46" w:rsidRPr="007F1FD3">
        <w:rPr>
          <w:rFonts w:ascii="Garamond" w:hAnsi="Garamond" w:cstheme="minorHAnsi"/>
        </w:rPr>
        <w:t>Pallatanga</w:t>
      </w:r>
      <w:r w:rsidR="000B4F46">
        <w:rPr>
          <w:rFonts w:ascii="Garamond" w:hAnsi="Garamond" w:cstheme="minorHAnsi"/>
        </w:rPr>
        <w:t>-Guamote</w:t>
      </w:r>
      <w:r w:rsidR="000B4F46" w:rsidRPr="007F1FD3">
        <w:rPr>
          <w:rFonts w:ascii="Garamond" w:hAnsi="Garamond" w:cstheme="minorHAnsi"/>
        </w:rPr>
        <w:t xml:space="preserve"> </w:t>
      </w:r>
      <w:r w:rsidR="00912793">
        <w:rPr>
          <w:rFonts w:ascii="Garamond" w:hAnsi="Garamond" w:cstheme="minorHAnsi"/>
        </w:rPr>
        <w:t xml:space="preserve">route. For the irrigation component, this entails selection of households that are members of the benefitting WUAs, as </w:t>
      </w:r>
      <w:r w:rsidR="00D37116">
        <w:rPr>
          <w:rFonts w:ascii="Garamond" w:hAnsi="Garamond" w:cstheme="minorHAnsi"/>
        </w:rPr>
        <w:t xml:space="preserve">it is expected that </w:t>
      </w:r>
      <w:r w:rsidR="00912793">
        <w:rPr>
          <w:rFonts w:ascii="Garamond" w:hAnsi="Garamond" w:cstheme="minorHAnsi"/>
        </w:rPr>
        <w:t xml:space="preserve">all members </w:t>
      </w:r>
      <w:r w:rsidR="00D37116">
        <w:rPr>
          <w:rFonts w:ascii="Garamond" w:hAnsi="Garamond" w:cstheme="minorHAnsi"/>
        </w:rPr>
        <w:t>of the associations benefit in some way.</w:t>
      </w:r>
      <w:r w:rsidR="00595E0A">
        <w:rPr>
          <w:rFonts w:ascii="Garamond" w:hAnsi="Garamond" w:cstheme="minorHAnsi"/>
        </w:rPr>
        <w:t xml:space="preserve"> </w:t>
      </w:r>
      <w:r w:rsidR="007C2243">
        <w:rPr>
          <w:rFonts w:ascii="Garamond" w:hAnsi="Garamond" w:cstheme="minorHAnsi"/>
        </w:rPr>
        <w:t xml:space="preserve"> </w:t>
      </w:r>
      <w:r w:rsidRPr="00275AA1">
        <w:rPr>
          <w:rFonts w:ascii="Garamond" w:hAnsi="Garamond" w:cstheme="minorHAnsi"/>
        </w:rPr>
        <w:t xml:space="preserve">Control households will be selected from the </w:t>
      </w:r>
      <w:r>
        <w:rPr>
          <w:rFonts w:ascii="Garamond" w:hAnsi="Garamond" w:cstheme="minorHAnsi"/>
        </w:rPr>
        <w:t>communities</w:t>
      </w:r>
      <w:r w:rsidRPr="00275AA1">
        <w:rPr>
          <w:rFonts w:ascii="Garamond" w:hAnsi="Garamond" w:cstheme="minorHAnsi"/>
        </w:rPr>
        <w:t xml:space="preserve"> that are in the pipeline for future services</w:t>
      </w:r>
      <w:r w:rsidR="00EB58AE">
        <w:rPr>
          <w:rFonts w:ascii="Garamond" w:hAnsi="Garamond" w:cstheme="minorHAnsi"/>
        </w:rPr>
        <w:t xml:space="preserve">. </w:t>
      </w:r>
      <w:r w:rsidR="00BE4DB3">
        <w:rPr>
          <w:rFonts w:ascii="Garamond" w:hAnsi="Garamond" w:cstheme="minorHAnsi"/>
        </w:rPr>
        <w:t xml:space="preserve">To clarify, </w:t>
      </w:r>
      <w:r w:rsidR="007D5C2A">
        <w:rPr>
          <w:rFonts w:ascii="Garamond" w:hAnsi="Garamond" w:cstheme="minorHAnsi"/>
        </w:rPr>
        <w:t xml:space="preserve">demand for infrastructure is expressed by initiating, with </w:t>
      </w:r>
      <w:r w:rsidR="00B3377F">
        <w:rPr>
          <w:rFonts w:ascii="Garamond" w:hAnsi="Garamond" w:cstheme="minorHAnsi"/>
        </w:rPr>
        <w:t xml:space="preserve">assistance from the provincial government, a feasibility study of the proposed investment. </w:t>
      </w:r>
      <w:r w:rsidR="00CB0499">
        <w:rPr>
          <w:rFonts w:ascii="Garamond" w:hAnsi="Garamond" w:cstheme="minorHAnsi"/>
        </w:rPr>
        <w:t xml:space="preserve">For the road component, </w:t>
      </w:r>
      <w:r w:rsidR="007F0128" w:rsidRPr="007F0128">
        <w:rPr>
          <w:rFonts w:ascii="Garamond" w:hAnsi="Garamond" w:cstheme="minorHAnsi"/>
          <w:i/>
        </w:rPr>
        <w:t>parroquia</w:t>
      </w:r>
      <w:r w:rsidR="007F0128">
        <w:rPr>
          <w:rFonts w:ascii="Garamond" w:hAnsi="Garamond" w:cstheme="minorHAnsi"/>
        </w:rPr>
        <w:t xml:space="preserve">- or </w:t>
      </w:r>
      <w:r w:rsidR="007F0128" w:rsidRPr="007F0128">
        <w:rPr>
          <w:rFonts w:ascii="Garamond" w:hAnsi="Garamond" w:cstheme="minorHAnsi"/>
          <w:i/>
        </w:rPr>
        <w:t>canton</w:t>
      </w:r>
      <w:r w:rsidR="00B3377F">
        <w:rPr>
          <w:rFonts w:ascii="Garamond" w:hAnsi="Garamond" w:cstheme="minorHAnsi"/>
        </w:rPr>
        <w:t>-level public officials initiate such studies</w:t>
      </w:r>
      <w:r w:rsidR="00CB0499">
        <w:rPr>
          <w:rFonts w:ascii="Garamond" w:hAnsi="Garamond" w:cstheme="minorHAnsi"/>
        </w:rPr>
        <w:t xml:space="preserve">. For the irrigation component, </w:t>
      </w:r>
      <w:r w:rsidR="007F0128">
        <w:rPr>
          <w:rFonts w:ascii="Garamond" w:hAnsi="Garamond" w:cstheme="minorHAnsi"/>
        </w:rPr>
        <w:t>the WUAs themselves</w:t>
      </w:r>
      <w:r w:rsidR="00B3377F">
        <w:rPr>
          <w:rFonts w:ascii="Garamond" w:hAnsi="Garamond" w:cstheme="minorHAnsi"/>
        </w:rPr>
        <w:t xml:space="preserve"> initiate the studies</w:t>
      </w:r>
      <w:r w:rsidR="007F0128">
        <w:rPr>
          <w:rFonts w:ascii="Garamond" w:hAnsi="Garamond" w:cstheme="minorHAnsi"/>
        </w:rPr>
        <w:t>.</w:t>
      </w:r>
      <w:r w:rsidR="00CB0499" w:rsidRPr="00CB0499">
        <w:rPr>
          <w:rFonts w:ascii="Garamond" w:hAnsi="Garamond" w:cstheme="minorHAnsi"/>
        </w:rPr>
        <w:t xml:space="preserve"> </w:t>
      </w:r>
      <w:r w:rsidR="00F4763A">
        <w:rPr>
          <w:rFonts w:ascii="Garamond" w:hAnsi="Garamond" w:cstheme="minorHAnsi"/>
        </w:rPr>
        <w:t xml:space="preserve">With </w:t>
      </w:r>
      <w:r w:rsidR="00A233FC">
        <w:rPr>
          <w:rFonts w:ascii="Garamond" w:hAnsi="Garamond" w:cstheme="minorHAnsi"/>
        </w:rPr>
        <w:t xml:space="preserve">the completion of the </w:t>
      </w:r>
      <w:r w:rsidR="00F4763A">
        <w:rPr>
          <w:rFonts w:ascii="Garamond" w:hAnsi="Garamond" w:cstheme="minorHAnsi"/>
        </w:rPr>
        <w:t xml:space="preserve">studies, for each component of the project a list is compiled of the investments deemed feasible. The number of demanded and feasible investments is, in both cases, nevertheless greater than the associated supply. </w:t>
      </w:r>
      <w:r w:rsidR="00EB58AE">
        <w:rPr>
          <w:rFonts w:ascii="Garamond" w:hAnsi="Garamond" w:cstheme="minorHAnsi"/>
        </w:rPr>
        <w:t xml:space="preserve">As such, beneficiary communities have been selected </w:t>
      </w:r>
      <w:r w:rsidR="00EB58AE" w:rsidRPr="00275AA1">
        <w:rPr>
          <w:rFonts w:ascii="Garamond" w:hAnsi="Garamond" w:cstheme="minorHAnsi"/>
        </w:rPr>
        <w:t>via participatory decision-making processes</w:t>
      </w:r>
      <w:r w:rsidR="00EB58AE">
        <w:rPr>
          <w:rFonts w:ascii="Garamond" w:hAnsi="Garamond" w:cstheme="minorHAnsi"/>
        </w:rPr>
        <w:t xml:space="preserve">, as mentioned above. Thus, control households will be selected from </w:t>
      </w:r>
      <w:r w:rsidR="00EB58AE" w:rsidRPr="00275AA1">
        <w:rPr>
          <w:rFonts w:ascii="Garamond" w:hAnsi="Garamond" w:cstheme="minorHAnsi"/>
        </w:rPr>
        <w:t>those</w:t>
      </w:r>
      <w:r w:rsidR="00EB58AE">
        <w:rPr>
          <w:rFonts w:ascii="Garamond" w:hAnsi="Garamond" w:cstheme="minorHAnsi"/>
        </w:rPr>
        <w:t xml:space="preserve"> communities</w:t>
      </w:r>
      <w:r w:rsidR="00EB58AE" w:rsidRPr="00275AA1">
        <w:rPr>
          <w:rFonts w:ascii="Garamond" w:hAnsi="Garamond" w:cstheme="minorHAnsi"/>
        </w:rPr>
        <w:t xml:space="preserve"> that have completed (either fully or partially) the </w:t>
      </w:r>
      <w:r w:rsidR="00F4763A">
        <w:rPr>
          <w:rFonts w:ascii="Garamond" w:hAnsi="Garamond" w:cstheme="minorHAnsi"/>
        </w:rPr>
        <w:t>“</w:t>
      </w:r>
      <w:r w:rsidR="00EB58AE" w:rsidRPr="00275AA1">
        <w:rPr>
          <w:rFonts w:ascii="Garamond" w:hAnsi="Garamond" w:cstheme="minorHAnsi"/>
        </w:rPr>
        <w:t>application</w:t>
      </w:r>
      <w:r w:rsidR="00F4763A">
        <w:rPr>
          <w:rFonts w:ascii="Garamond" w:hAnsi="Garamond" w:cstheme="minorHAnsi"/>
        </w:rPr>
        <w:t>”</w:t>
      </w:r>
      <w:r w:rsidR="00EB58AE" w:rsidRPr="00275AA1">
        <w:rPr>
          <w:rFonts w:ascii="Garamond" w:hAnsi="Garamond" w:cstheme="minorHAnsi"/>
        </w:rPr>
        <w:t xml:space="preserve"> process, but are not </w:t>
      </w:r>
      <w:r w:rsidR="00192AE6">
        <w:rPr>
          <w:rFonts w:ascii="Garamond" w:hAnsi="Garamond" w:cstheme="minorHAnsi"/>
        </w:rPr>
        <w:t xml:space="preserve">included in the current project, mainly due to budget restrictions. </w:t>
      </w:r>
    </w:p>
    <w:p w:rsidR="008434B4" w:rsidRDefault="00275AA1" w:rsidP="009B24AA">
      <w:pPr>
        <w:spacing w:line="360" w:lineRule="auto"/>
        <w:jc w:val="both"/>
        <w:rPr>
          <w:rFonts w:ascii="Garamond" w:hAnsi="Garamond" w:cstheme="minorHAnsi"/>
        </w:rPr>
      </w:pPr>
      <w:r w:rsidRPr="00275AA1">
        <w:rPr>
          <w:rFonts w:ascii="Garamond" w:hAnsi="Garamond" w:cstheme="minorHAnsi"/>
        </w:rPr>
        <w:t>The logic of using the pipeline as a counterfactu</w:t>
      </w:r>
      <w:r w:rsidR="00594A91">
        <w:rPr>
          <w:rFonts w:ascii="Garamond" w:hAnsi="Garamond" w:cstheme="minorHAnsi"/>
        </w:rPr>
        <w:t>al follows from the fact that pipeline communities</w:t>
      </w:r>
      <w:r w:rsidRPr="00275AA1">
        <w:rPr>
          <w:rFonts w:ascii="Garamond" w:hAnsi="Garamond" w:cstheme="minorHAnsi"/>
        </w:rPr>
        <w:t xml:space="preserve"> have signaled demand for such services suggesting that they have similar demands, and therefore characteristics, as those receiving the project. Of course, the fact that certain </w:t>
      </w:r>
      <w:r>
        <w:rPr>
          <w:rFonts w:ascii="Garamond" w:hAnsi="Garamond" w:cstheme="minorHAnsi"/>
        </w:rPr>
        <w:t>communities</w:t>
      </w:r>
      <w:r w:rsidRPr="00275AA1">
        <w:rPr>
          <w:rFonts w:ascii="Garamond" w:hAnsi="Garamond" w:cstheme="minorHAnsi"/>
        </w:rPr>
        <w:t xml:space="preserve"> have been prioritized in the project suggests the possibility that these early beneficiaries are different in some ways to those that are in the pipeline. This raises concerns the control group may differ from the treatment group in ways other than receipt on the project. To address these concerns, first a careful selection procedure is employed to enhance the possibility that treatment and control will be similar, and second empirical approaches are used to address any remaining potential bias. </w:t>
      </w:r>
    </w:p>
    <w:p w:rsidR="00275AA1" w:rsidRPr="00275AA1" w:rsidRDefault="00275AA1" w:rsidP="009B24AA">
      <w:pPr>
        <w:spacing w:line="360" w:lineRule="auto"/>
        <w:jc w:val="both"/>
        <w:rPr>
          <w:rFonts w:ascii="Garamond" w:hAnsi="Garamond" w:cstheme="minorHAnsi"/>
        </w:rPr>
      </w:pPr>
      <w:r w:rsidRPr="00275AA1">
        <w:rPr>
          <w:rFonts w:ascii="Garamond" w:hAnsi="Garamond" w:cstheme="minorHAnsi"/>
        </w:rPr>
        <w:lastRenderedPageBreak/>
        <w:t xml:space="preserve">Among these pipeline </w:t>
      </w:r>
      <w:r>
        <w:rPr>
          <w:rFonts w:ascii="Garamond" w:hAnsi="Garamond" w:cstheme="minorHAnsi"/>
        </w:rPr>
        <w:t xml:space="preserve">communities, the </w:t>
      </w:r>
      <w:r w:rsidRPr="00275AA1">
        <w:rPr>
          <w:rFonts w:ascii="Garamond" w:hAnsi="Garamond" w:cstheme="minorHAnsi"/>
        </w:rPr>
        <w:t xml:space="preserve">approach to creating a counterfactual is then to follow three steps.  First, an initial assessment of potential control </w:t>
      </w:r>
      <w:r>
        <w:rPr>
          <w:rFonts w:ascii="Garamond" w:hAnsi="Garamond" w:cstheme="minorHAnsi"/>
        </w:rPr>
        <w:t>communities</w:t>
      </w:r>
      <w:r w:rsidRPr="00275AA1">
        <w:rPr>
          <w:rFonts w:ascii="Garamond" w:hAnsi="Garamond" w:cstheme="minorHAnsi"/>
        </w:rPr>
        <w:t xml:space="preserve"> will be examined to consider those who do not meet basic criteria such as location. This will create a refined list of potential control </w:t>
      </w:r>
      <w:r>
        <w:rPr>
          <w:rFonts w:ascii="Garamond" w:hAnsi="Garamond" w:cstheme="minorHAnsi"/>
        </w:rPr>
        <w:t>communities</w:t>
      </w:r>
      <w:r w:rsidRPr="00275AA1">
        <w:rPr>
          <w:rFonts w:ascii="Garamond" w:hAnsi="Garamond" w:cstheme="minorHAnsi"/>
        </w:rPr>
        <w:t>. Second, using secondary data from the population censuses (2001 and 2010), the agricultural census (2000)</w:t>
      </w:r>
      <w:r w:rsidR="00974FCA">
        <w:rPr>
          <w:rFonts w:ascii="Garamond" w:hAnsi="Garamond" w:cstheme="minorHAnsi"/>
        </w:rPr>
        <w:t>,</w:t>
      </w:r>
      <w:r w:rsidRPr="00275AA1">
        <w:rPr>
          <w:rFonts w:ascii="Garamond" w:hAnsi="Garamond" w:cstheme="minorHAnsi"/>
        </w:rPr>
        <w:t xml:space="preserve"> and other potential data sources (e.g. Ministry of Agriculture) a statistical matching procedure will be used to identify the best possible counterfactual by identifying both treatment and control </w:t>
      </w:r>
      <w:r>
        <w:rPr>
          <w:rFonts w:ascii="Garamond" w:hAnsi="Garamond" w:cstheme="minorHAnsi"/>
        </w:rPr>
        <w:t>communities</w:t>
      </w:r>
      <w:r w:rsidRPr="00275AA1">
        <w:rPr>
          <w:rFonts w:ascii="Garamond" w:hAnsi="Garamond" w:cstheme="minorHAnsi"/>
        </w:rPr>
        <w:t xml:space="preserve"> with similar types of characteristics. This will create a list of treatment</w:t>
      </w:r>
      <w:r w:rsidR="002C1118">
        <w:rPr>
          <w:rFonts w:ascii="Garamond" w:hAnsi="Garamond" w:cstheme="minorHAnsi"/>
        </w:rPr>
        <w:t xml:space="preserve"> and control groups that appear</w:t>
      </w:r>
      <w:r w:rsidRPr="00275AA1">
        <w:rPr>
          <w:rFonts w:ascii="Garamond" w:hAnsi="Garamond" w:cstheme="minorHAnsi"/>
        </w:rPr>
        <w:t>, at least based on observables, to be similar.  Finally, this list will be examined by representatives of PIDD-2 for confirmation and modification as necessary.  The final list of treatment and control groups will then be the best possible counterfactual for assessing impact given the available information.</w:t>
      </w:r>
    </w:p>
    <w:p w:rsidR="00275AA1" w:rsidRPr="00275AA1" w:rsidRDefault="00275AA1" w:rsidP="009B24AA">
      <w:pPr>
        <w:spacing w:line="360" w:lineRule="auto"/>
        <w:rPr>
          <w:rFonts w:ascii="Garamond" w:hAnsi="Garamond" w:cstheme="minorHAnsi"/>
          <w:i/>
        </w:rPr>
      </w:pPr>
      <w:r w:rsidRPr="00275AA1">
        <w:rPr>
          <w:rFonts w:ascii="Garamond" w:hAnsi="Garamond" w:cstheme="minorHAnsi"/>
          <w:i/>
        </w:rPr>
        <w:t xml:space="preserve">Identification Strategy: Difference-in-Difference </w:t>
      </w:r>
    </w:p>
    <w:p w:rsidR="00275AA1" w:rsidRDefault="00275AA1" w:rsidP="009B24AA">
      <w:pPr>
        <w:spacing w:line="360" w:lineRule="auto"/>
        <w:jc w:val="both"/>
        <w:rPr>
          <w:rFonts w:ascii="Garamond" w:hAnsi="Garamond" w:cstheme="minorHAnsi"/>
        </w:rPr>
      </w:pPr>
      <w:r w:rsidRPr="00275AA1">
        <w:rPr>
          <w:rFonts w:ascii="Garamond" w:hAnsi="Garamond" w:cstheme="minorHAnsi"/>
        </w:rPr>
        <w:t xml:space="preserve">In order to identify the causal impact of PIDD-2 and address any remaining concerns about the control group, the impact evaluation design will employ a difference-in-difference (DD) strategy.  In this strategy, a baseline survey will be administered to both treatment and control households immediately prior to implementation of the </w:t>
      </w:r>
      <w:r w:rsidR="00AF0AC2">
        <w:rPr>
          <w:rFonts w:ascii="Garamond" w:hAnsi="Garamond" w:cstheme="minorHAnsi"/>
        </w:rPr>
        <w:t>project</w:t>
      </w:r>
      <w:r w:rsidRPr="00275AA1">
        <w:rPr>
          <w:rFonts w:ascii="Garamond" w:hAnsi="Garamond" w:cstheme="minorHAnsi"/>
        </w:rPr>
        <w:t xml:space="preserve">. </w:t>
      </w:r>
      <w:r w:rsidR="0027544C">
        <w:rPr>
          <w:rFonts w:ascii="Garamond" w:hAnsi="Garamond" w:cstheme="minorHAnsi"/>
        </w:rPr>
        <w:t>One</w:t>
      </w:r>
      <w:r w:rsidR="00C91991">
        <w:rPr>
          <w:rFonts w:ascii="Garamond" w:hAnsi="Garamond" w:cstheme="minorHAnsi"/>
        </w:rPr>
        <w:t xml:space="preserve"> </w:t>
      </w:r>
      <w:r w:rsidR="0044568B">
        <w:rPr>
          <w:rFonts w:ascii="Garamond" w:hAnsi="Garamond" w:cstheme="minorHAnsi"/>
        </w:rPr>
        <w:t>follow-up survey</w:t>
      </w:r>
      <w:r w:rsidRPr="00275AA1">
        <w:rPr>
          <w:rFonts w:ascii="Garamond" w:hAnsi="Garamond" w:cstheme="minorHAnsi"/>
        </w:rPr>
        <w:t xml:space="preserve"> will then be administered to the </w:t>
      </w:r>
      <w:r w:rsidRPr="00992BE7">
        <w:rPr>
          <w:rFonts w:ascii="Garamond" w:hAnsi="Garamond" w:cstheme="minorHAnsi"/>
          <w:i/>
        </w:rPr>
        <w:t>same</w:t>
      </w:r>
      <w:r w:rsidRPr="00275AA1">
        <w:rPr>
          <w:rFonts w:ascii="Garamond" w:hAnsi="Garamond" w:cstheme="minorHAnsi"/>
        </w:rPr>
        <w:t xml:space="preserve"> households after PIDD-2 has been implemented in the treatment </w:t>
      </w:r>
      <w:r>
        <w:rPr>
          <w:rFonts w:ascii="Garamond" w:hAnsi="Garamond" w:cstheme="minorHAnsi"/>
        </w:rPr>
        <w:t>communities</w:t>
      </w:r>
      <w:r w:rsidRPr="00275AA1">
        <w:rPr>
          <w:rFonts w:ascii="Garamond" w:hAnsi="Garamond" w:cstheme="minorHAnsi"/>
        </w:rPr>
        <w:t>.  The basic intuition behind this strategy is as follows. The impact of PIDD-2 will be measured by comparing the change in the mean of the outcome variable(s) for the treatment households versus the control households.  By comparing the change in the outcome variable, the DD strategy eliminates potential bias in the impact estimate due to systematic differences in those time-invariant characteristics of households or regions that affect the outcome variables but are difficult to measure.</w:t>
      </w:r>
    </w:p>
    <w:p w:rsidR="00D3572A" w:rsidRPr="00D3572A" w:rsidRDefault="00D3572A" w:rsidP="009B24AA">
      <w:pPr>
        <w:spacing w:line="360" w:lineRule="auto"/>
        <w:jc w:val="both"/>
        <w:rPr>
          <w:rFonts w:ascii="Garamond" w:hAnsi="Garamond"/>
          <w:szCs w:val="24"/>
        </w:rPr>
      </w:pPr>
      <w:r w:rsidRPr="00D3572A">
        <w:rPr>
          <w:rFonts w:ascii="Garamond" w:hAnsi="Garamond"/>
          <w:szCs w:val="24"/>
        </w:rPr>
        <w:t xml:space="preserve">Within the DD strategy, the following basic regression equation is estimated in order to generate estimates of the average </w:t>
      </w:r>
      <w:r w:rsidR="00AF0AC2">
        <w:rPr>
          <w:rFonts w:ascii="Garamond" w:hAnsi="Garamond"/>
          <w:szCs w:val="24"/>
        </w:rPr>
        <w:t>project</w:t>
      </w:r>
      <w:r w:rsidRPr="00D3572A">
        <w:rPr>
          <w:rFonts w:ascii="Garamond" w:hAnsi="Garamond"/>
          <w:szCs w:val="24"/>
        </w:rPr>
        <w:t xml:space="preserve"> impact:</w:t>
      </w:r>
    </w:p>
    <w:p w:rsidR="00D3572A" w:rsidRPr="00D3572A" w:rsidRDefault="00D3572A" w:rsidP="009B24AA">
      <w:pPr>
        <w:spacing w:line="360" w:lineRule="auto"/>
        <w:jc w:val="both"/>
        <w:rPr>
          <w:rFonts w:ascii="Garamond" w:hAnsi="Garamond"/>
          <w:szCs w:val="24"/>
        </w:rPr>
      </w:pPr>
      <w:r w:rsidRPr="00D3572A">
        <w:rPr>
          <w:rFonts w:ascii="Garamond" w:hAnsi="Garamond"/>
          <w:position w:val="-10"/>
          <w:szCs w:val="24"/>
        </w:rPr>
        <w:t xml:space="preserve">                      </w:t>
      </w:r>
      <w:r>
        <w:rPr>
          <w:rFonts w:ascii="Garamond" w:hAnsi="Garamond"/>
          <w:position w:val="-10"/>
          <w:szCs w:val="24"/>
        </w:rPr>
        <w:t xml:space="preserve">                      </w:t>
      </w:r>
      <w:r w:rsidRPr="00D3572A">
        <w:rPr>
          <w:rFonts w:ascii="Garamond" w:hAnsi="Garamond"/>
          <w:position w:val="-10"/>
          <w:szCs w:val="24"/>
        </w:rPr>
        <w:t xml:space="preserve">   </w:t>
      </w:r>
      <w:r w:rsidRPr="00D3572A">
        <w:rPr>
          <w:rFonts w:ascii="Garamond" w:hAnsi="Garamond"/>
          <w:position w:val="-10"/>
          <w:szCs w:val="24"/>
        </w:rPr>
        <w:object w:dxaOrig="3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6pt" o:ole="">
            <v:imagedata r:id="rId9" o:title=""/>
          </v:shape>
          <o:OLEObject Type="Embed" ProgID="Equation.DSMT4" ShapeID="_x0000_i1025" DrawAspect="Content" ObjectID="_1430142925" r:id="rId10"/>
        </w:object>
      </w:r>
      <w:r w:rsidRPr="00D3572A">
        <w:rPr>
          <w:rFonts w:ascii="Garamond" w:hAnsi="Garamond"/>
          <w:szCs w:val="24"/>
        </w:rPr>
        <w:t xml:space="preserve">                                                      (1)</w:t>
      </w:r>
    </w:p>
    <w:p w:rsidR="00D3572A" w:rsidRPr="00D3572A" w:rsidRDefault="00D3572A" w:rsidP="009B24AA">
      <w:pPr>
        <w:spacing w:line="360" w:lineRule="auto"/>
        <w:jc w:val="both"/>
        <w:rPr>
          <w:rFonts w:ascii="Garamond" w:eastAsiaTheme="minorEastAsia" w:hAnsi="Garamond"/>
          <w:szCs w:val="24"/>
        </w:rPr>
      </w:pPr>
      <w:r w:rsidRPr="00D3572A">
        <w:rPr>
          <w:rFonts w:ascii="Garamond" w:eastAsiaTheme="minorEastAsia" w:hAnsi="Garamond"/>
          <w:szCs w:val="24"/>
        </w:rPr>
        <w:t xml:space="preserve">where </w:t>
      </w:r>
      <w:r w:rsidRPr="00D3572A">
        <w:rPr>
          <w:rFonts w:ascii="Garamond" w:eastAsiaTheme="minorEastAsia" w:hAnsi="Garamond"/>
          <w:position w:val="-10"/>
          <w:szCs w:val="24"/>
        </w:rPr>
        <w:object w:dxaOrig="240" w:dyaOrig="320">
          <v:shape id="_x0000_i1026" type="#_x0000_t75" style="width:12pt;height:16pt" o:ole="">
            <v:imagedata r:id="rId11" o:title=""/>
          </v:shape>
          <o:OLEObject Type="Embed" ProgID="Equation.DSMT4" ShapeID="_x0000_i1026" DrawAspect="Content" ObjectID="_1430142926" r:id="rId12"/>
        </w:object>
      </w:r>
      <w:r w:rsidRPr="00D3572A">
        <w:rPr>
          <w:rFonts w:ascii="Garamond" w:eastAsiaTheme="minorEastAsia" w:hAnsi="Garamond"/>
          <w:szCs w:val="24"/>
        </w:rPr>
        <w:t xml:space="preserve"> is an outcome variable of interest, such as yields, </w:t>
      </w:r>
      <w:r w:rsidRPr="00D3572A">
        <w:rPr>
          <w:rFonts w:ascii="Garamond" w:eastAsiaTheme="minorEastAsia" w:hAnsi="Garamond"/>
          <w:position w:val="-10"/>
          <w:szCs w:val="24"/>
        </w:rPr>
        <w:object w:dxaOrig="240" w:dyaOrig="320">
          <v:shape id="_x0000_i1027" type="#_x0000_t75" style="width:12pt;height:16pt" o:ole="">
            <v:imagedata r:id="rId13" o:title=""/>
          </v:shape>
          <o:OLEObject Type="Embed" ProgID="Equation.DSMT4" ShapeID="_x0000_i1027" DrawAspect="Content" ObjectID="_1430142927" r:id="rId14"/>
        </w:object>
      </w:r>
      <m:oMath>
        <m:r>
          <w:rPr>
            <w:rFonts w:ascii="Cambria Math" w:hAnsi="Cambria Math"/>
            <w:szCs w:val="24"/>
          </w:rPr>
          <m:t xml:space="preserve"> </m:t>
        </m:r>
      </m:oMath>
      <w:r w:rsidRPr="00D3572A">
        <w:rPr>
          <w:rFonts w:ascii="Garamond" w:eastAsiaTheme="minorEastAsia" w:hAnsi="Garamond"/>
          <w:szCs w:val="24"/>
        </w:rPr>
        <w:t xml:space="preserve">is the “treatment” variable taking the value one if the household is in the treatment group, </w:t>
      </w:r>
      <w:r w:rsidRPr="00D3572A">
        <w:rPr>
          <w:rFonts w:ascii="Garamond" w:eastAsiaTheme="minorEastAsia" w:hAnsi="Garamond"/>
          <w:position w:val="-10"/>
          <w:szCs w:val="24"/>
        </w:rPr>
        <w:object w:dxaOrig="200" w:dyaOrig="320">
          <v:shape id="_x0000_i1028" type="#_x0000_t75" style="width:12pt;height:16pt" o:ole="">
            <v:imagedata r:id="rId15" o:title=""/>
          </v:shape>
          <o:OLEObject Type="Embed" ProgID="Equation.DSMT4" ShapeID="_x0000_i1028" DrawAspect="Content" ObjectID="_1430142928" r:id="rId16"/>
        </w:object>
      </w:r>
      <w:r w:rsidRPr="00D3572A">
        <w:rPr>
          <w:rFonts w:ascii="Garamond" w:eastAsiaTheme="minorEastAsia" w:hAnsi="Garamond"/>
          <w:szCs w:val="24"/>
        </w:rPr>
        <w:t xml:space="preserve"> is a period indicator taking the value one if the observation correspond</w:t>
      </w:r>
      <w:r w:rsidR="00187D6E">
        <w:rPr>
          <w:rFonts w:ascii="Garamond" w:eastAsiaTheme="minorEastAsia" w:hAnsi="Garamond"/>
          <w:szCs w:val="24"/>
        </w:rPr>
        <w:t>s to the follow-up (post-project</w:t>
      </w:r>
      <w:r w:rsidRPr="00D3572A">
        <w:rPr>
          <w:rFonts w:ascii="Garamond" w:eastAsiaTheme="minorEastAsia" w:hAnsi="Garamond"/>
          <w:szCs w:val="24"/>
        </w:rPr>
        <w:t xml:space="preserve">) period, and </w:t>
      </w:r>
      <w:r w:rsidRPr="00D3572A">
        <w:rPr>
          <w:rFonts w:ascii="Garamond" w:eastAsiaTheme="minorEastAsia" w:hAnsi="Garamond"/>
          <w:position w:val="-10"/>
          <w:szCs w:val="24"/>
        </w:rPr>
        <w:object w:dxaOrig="240" w:dyaOrig="320">
          <v:shape id="_x0000_i1029" type="#_x0000_t75" style="width:12pt;height:16pt" o:ole="">
            <v:imagedata r:id="rId17" o:title=""/>
          </v:shape>
          <o:OLEObject Type="Embed" ProgID="Equation.DSMT4" ShapeID="_x0000_i1029" DrawAspect="Content" ObjectID="_1430142929" r:id="rId18"/>
        </w:object>
      </w:r>
      <w:r w:rsidRPr="00D3572A">
        <w:rPr>
          <w:rFonts w:ascii="Garamond" w:eastAsiaTheme="minorEastAsia" w:hAnsi="Garamond"/>
          <w:szCs w:val="24"/>
        </w:rPr>
        <w:t xml:space="preserve"> is a mean-zero error term assumed uncorrelated with the treatment. The parameter </w:t>
      </w:r>
      <w:r w:rsidRPr="00D3572A">
        <w:rPr>
          <w:rFonts w:ascii="Garamond" w:eastAsiaTheme="minorEastAsia" w:hAnsi="Garamond"/>
          <w:position w:val="-10"/>
          <w:szCs w:val="24"/>
        </w:rPr>
        <w:object w:dxaOrig="260" w:dyaOrig="320">
          <v:shape id="_x0000_i1030" type="#_x0000_t75" style="width:12pt;height:16pt" o:ole="">
            <v:imagedata r:id="rId19" o:title=""/>
          </v:shape>
          <o:OLEObject Type="Embed" ProgID="Equation.DSMT4" ShapeID="_x0000_i1030" DrawAspect="Content" ObjectID="_1430142930" r:id="rId20"/>
        </w:object>
      </w:r>
      <w:r w:rsidRPr="00D3572A">
        <w:rPr>
          <w:rFonts w:ascii="Garamond" w:eastAsiaTheme="minorEastAsia" w:hAnsi="Garamond"/>
          <w:szCs w:val="24"/>
        </w:rPr>
        <w:t xml:space="preserve"> measures, </w:t>
      </w:r>
      <w:r w:rsidRPr="00D3572A">
        <w:rPr>
          <w:rFonts w:ascii="Garamond" w:eastAsiaTheme="minorEastAsia" w:hAnsi="Garamond"/>
          <w:i/>
          <w:szCs w:val="24"/>
        </w:rPr>
        <w:t>ceteris paribus</w:t>
      </w:r>
      <w:r w:rsidR="00187D6E">
        <w:rPr>
          <w:rFonts w:ascii="Garamond" w:eastAsiaTheme="minorEastAsia" w:hAnsi="Garamond"/>
          <w:szCs w:val="24"/>
        </w:rPr>
        <w:t>, the average pre-project</w:t>
      </w:r>
      <w:r w:rsidRPr="00D3572A">
        <w:rPr>
          <w:rFonts w:ascii="Garamond" w:eastAsiaTheme="minorEastAsia" w:hAnsi="Garamond"/>
          <w:szCs w:val="24"/>
        </w:rPr>
        <w:t xml:space="preserve"> difference in the outcome variable between treatment and control groups, while </w:t>
      </w:r>
      <w:r w:rsidRPr="00D3572A">
        <w:rPr>
          <w:rFonts w:ascii="Garamond" w:eastAsiaTheme="minorEastAsia" w:hAnsi="Garamond"/>
          <w:position w:val="-10"/>
          <w:szCs w:val="24"/>
        </w:rPr>
        <w:object w:dxaOrig="300" w:dyaOrig="320">
          <v:shape id="_x0000_i1031" type="#_x0000_t75" style="width:16pt;height:16pt" o:ole="">
            <v:imagedata r:id="rId21" o:title=""/>
          </v:shape>
          <o:OLEObject Type="Embed" ProgID="Equation.DSMT4" ShapeID="_x0000_i1031" DrawAspect="Content" ObjectID="_1430142931" r:id="rId22"/>
        </w:object>
      </w:r>
      <w:r w:rsidRPr="00D3572A">
        <w:rPr>
          <w:rFonts w:ascii="Garamond" w:eastAsiaTheme="minorEastAsia" w:hAnsi="Garamond"/>
          <w:szCs w:val="24"/>
        </w:rPr>
        <w:t xml:space="preserve"> measures the time trend – or the average difference in the outcome variable</w:t>
      </w:r>
      <w:r w:rsidR="00187D6E">
        <w:rPr>
          <w:rFonts w:ascii="Garamond" w:eastAsiaTheme="minorEastAsia" w:hAnsi="Garamond"/>
          <w:szCs w:val="24"/>
        </w:rPr>
        <w:t xml:space="preserve"> in the post- versus pre-project</w:t>
      </w:r>
      <w:r w:rsidRPr="00D3572A">
        <w:rPr>
          <w:rFonts w:ascii="Garamond" w:eastAsiaTheme="minorEastAsia" w:hAnsi="Garamond"/>
          <w:szCs w:val="24"/>
        </w:rPr>
        <w:t xml:space="preserve"> periods.  Finally, </w:t>
      </w:r>
      <w:r w:rsidRPr="00D3572A">
        <w:rPr>
          <w:rFonts w:ascii="Garamond" w:eastAsiaTheme="minorEastAsia" w:hAnsi="Garamond"/>
          <w:position w:val="-10"/>
          <w:szCs w:val="24"/>
        </w:rPr>
        <w:object w:dxaOrig="280" w:dyaOrig="320">
          <v:shape id="_x0000_i1032" type="#_x0000_t75" style="width:15pt;height:16pt" o:ole="">
            <v:imagedata r:id="rId23" o:title=""/>
          </v:shape>
          <o:OLEObject Type="Embed" ProgID="Equation.DSMT4" ShapeID="_x0000_i1032" DrawAspect="Content" ObjectID="_1430142932" r:id="rId24"/>
        </w:object>
      </w:r>
      <w:r w:rsidRPr="00D3572A">
        <w:rPr>
          <w:rFonts w:ascii="Garamond" w:eastAsiaTheme="minorEastAsia" w:hAnsi="Garamond"/>
          <w:szCs w:val="24"/>
        </w:rPr>
        <w:t xml:space="preserve"> is the average impact, or treatment effect, of the project.</w:t>
      </w:r>
    </w:p>
    <w:p w:rsidR="00D3572A" w:rsidRPr="00D3572A" w:rsidRDefault="00D3572A" w:rsidP="009B24AA">
      <w:pPr>
        <w:spacing w:line="360" w:lineRule="auto"/>
        <w:jc w:val="both"/>
        <w:rPr>
          <w:rFonts w:ascii="Garamond" w:eastAsiaTheme="minorEastAsia" w:hAnsi="Garamond"/>
          <w:szCs w:val="24"/>
        </w:rPr>
      </w:pPr>
      <w:r w:rsidRPr="00D3572A">
        <w:rPr>
          <w:rFonts w:ascii="Garamond" w:eastAsiaTheme="minorEastAsia" w:hAnsi="Garamond"/>
          <w:szCs w:val="24"/>
        </w:rPr>
        <w:lastRenderedPageBreak/>
        <w:t xml:space="preserve">The regression in Eq. (1) above can be augmented in two ways, as follows:  </w:t>
      </w:r>
    </w:p>
    <w:p w:rsidR="00D3572A" w:rsidRPr="00DD2FE9" w:rsidRDefault="00DD2FE9" w:rsidP="009B24AA">
      <w:pPr>
        <w:spacing w:line="360" w:lineRule="auto"/>
        <w:jc w:val="both"/>
        <w:rPr>
          <w:rFonts w:ascii="Garamond" w:hAnsi="Garamond"/>
          <w:szCs w:val="24"/>
        </w:rPr>
      </w:pPr>
      <w:r>
        <w:rPr>
          <w:rFonts w:ascii="Garamond" w:hAnsi="Garamond"/>
          <w:position w:val="-10"/>
          <w:szCs w:val="24"/>
        </w:rPr>
        <w:t xml:space="preserve">                       </w:t>
      </w:r>
      <w:r w:rsidR="00D3572A" w:rsidRPr="00D3572A">
        <w:rPr>
          <w:rFonts w:ascii="Garamond" w:hAnsi="Garamond"/>
          <w:position w:val="-10"/>
          <w:szCs w:val="24"/>
        </w:rPr>
        <w:t xml:space="preserve">  </w:t>
      </w:r>
      <w:r w:rsidR="00D3572A" w:rsidRPr="00D3572A">
        <w:rPr>
          <w:rFonts w:ascii="Garamond" w:hAnsi="Garamond"/>
          <w:position w:val="-10"/>
          <w:szCs w:val="24"/>
        </w:rPr>
        <w:object w:dxaOrig="6200" w:dyaOrig="380">
          <v:shape id="_x0000_i1033" type="#_x0000_t75" style="width:311pt;height:20pt" o:ole="">
            <v:imagedata r:id="rId25" o:title=""/>
          </v:shape>
          <o:OLEObject Type="Embed" ProgID="Equation.DSMT4" ShapeID="_x0000_i1033" DrawAspect="Content" ObjectID="_1430142933" r:id="rId26"/>
        </w:object>
      </w:r>
      <w:r w:rsidR="00D3572A" w:rsidRPr="00D3572A">
        <w:rPr>
          <w:rFonts w:ascii="Garamond" w:hAnsi="Garamond"/>
          <w:szCs w:val="24"/>
        </w:rPr>
        <w:t xml:space="preserve">                           (2)</w:t>
      </w:r>
    </w:p>
    <w:p w:rsidR="00D3572A" w:rsidRPr="00306F88" w:rsidRDefault="00D3572A" w:rsidP="009B24AA">
      <w:pPr>
        <w:spacing w:line="360" w:lineRule="auto"/>
        <w:jc w:val="both"/>
        <w:rPr>
          <w:rFonts w:ascii="Garamond" w:eastAsiaTheme="minorEastAsia" w:hAnsi="Garamond"/>
        </w:rPr>
      </w:pPr>
      <w:r w:rsidRPr="00D3572A">
        <w:rPr>
          <w:rFonts w:ascii="Garamond" w:eastAsiaTheme="minorEastAsia" w:hAnsi="Garamond"/>
          <w:szCs w:val="24"/>
        </w:rPr>
        <w:t xml:space="preserve">First, baseline values of characteristics that are hypothesized to affect the outcome variable can be included.  In Eq. (2), these variables are represented by the vector </w:t>
      </w:r>
      <w:r w:rsidRPr="00D3572A">
        <w:rPr>
          <w:rFonts w:ascii="Garamond" w:eastAsiaTheme="minorEastAsia" w:hAnsi="Garamond"/>
          <w:position w:val="-10"/>
          <w:szCs w:val="24"/>
        </w:rPr>
        <w:object w:dxaOrig="280" w:dyaOrig="320">
          <v:shape id="_x0000_i1034" type="#_x0000_t75" style="width:15pt;height:16pt" o:ole="">
            <v:imagedata r:id="rId27" o:title=""/>
          </v:shape>
          <o:OLEObject Type="Embed" ProgID="Equation.DSMT4" ShapeID="_x0000_i1034" DrawAspect="Content" ObjectID="_1430142934" r:id="rId28"/>
        </w:object>
      </w:r>
      <w:r w:rsidRPr="00D3572A">
        <w:rPr>
          <w:rFonts w:ascii="Garamond" w:eastAsiaTheme="minorEastAsia" w:hAnsi="Garamond"/>
          <w:szCs w:val="24"/>
        </w:rPr>
        <w:t>. Assuming they indeed help predict the outcome variable, the inclusion of these variables reduces the standard error of the impact estimate,</w:t>
      </w:r>
      <w:r w:rsidRPr="00D3572A">
        <w:rPr>
          <w:rFonts w:ascii="Garamond" w:eastAsiaTheme="minorEastAsia" w:hAnsi="Garamond"/>
          <w:position w:val="-10"/>
          <w:szCs w:val="24"/>
        </w:rPr>
        <w:object w:dxaOrig="280" w:dyaOrig="320">
          <v:shape id="_x0000_i1035" type="#_x0000_t75" style="width:15pt;height:16pt" o:ole="">
            <v:imagedata r:id="rId23" o:title=""/>
          </v:shape>
          <o:OLEObject Type="Embed" ProgID="Equation.DSMT4" ShapeID="_x0000_i1035" DrawAspect="Content" ObjectID="_1430142935" r:id="rId29"/>
        </w:object>
      </w:r>
      <w:r w:rsidRPr="00D3572A">
        <w:rPr>
          <w:rFonts w:ascii="Garamond" w:eastAsiaTheme="minorEastAsia" w:hAnsi="Garamond"/>
          <w:szCs w:val="24"/>
        </w:rPr>
        <w:t xml:space="preserve">. This is important because the more precise is our estimate of </w:t>
      </w:r>
      <w:r w:rsidRPr="00D3572A">
        <w:rPr>
          <w:rFonts w:ascii="Garamond" w:eastAsiaTheme="minorEastAsia" w:hAnsi="Garamond"/>
          <w:position w:val="-10"/>
          <w:szCs w:val="24"/>
        </w:rPr>
        <w:object w:dxaOrig="280" w:dyaOrig="320">
          <v:shape id="_x0000_i1036" type="#_x0000_t75" style="width:15pt;height:16pt" o:ole="">
            <v:imagedata r:id="rId23" o:title=""/>
          </v:shape>
          <o:OLEObject Type="Embed" ProgID="Equation.DSMT4" ShapeID="_x0000_i1036" DrawAspect="Content" ObjectID="_1430142936" r:id="rId30"/>
        </w:object>
      </w:r>
      <w:r w:rsidRPr="00D3572A">
        <w:rPr>
          <w:rFonts w:ascii="Garamond" w:eastAsiaTheme="minorEastAsia" w:hAnsi="Garamond"/>
          <w:szCs w:val="24"/>
        </w:rPr>
        <w:t>(i.e. the smaller is the standard error), the smaller is the sample size required to detect an impact of a given size. It is thus important to draw on economic theory in order to decide what data should be collected and included in the vector</w:t>
      </w:r>
      <w:r w:rsidR="00DD2FE9">
        <w:rPr>
          <w:rFonts w:ascii="Garamond" w:eastAsiaTheme="minorEastAsia" w:hAnsi="Garamond"/>
          <w:szCs w:val="24"/>
        </w:rPr>
        <w:t xml:space="preserve"> </w:t>
      </w:r>
      <w:r w:rsidRPr="00D3572A">
        <w:rPr>
          <w:rFonts w:ascii="Garamond" w:eastAsiaTheme="minorEastAsia" w:hAnsi="Garamond"/>
          <w:position w:val="-10"/>
          <w:szCs w:val="24"/>
        </w:rPr>
        <w:object w:dxaOrig="280" w:dyaOrig="320">
          <v:shape id="_x0000_i1037" type="#_x0000_t75" style="width:15pt;height:16pt" o:ole="">
            <v:imagedata r:id="rId27" o:title=""/>
          </v:shape>
          <o:OLEObject Type="Embed" ProgID="Equation.DSMT4" ShapeID="_x0000_i1037" DrawAspect="Content" ObjectID="_1430142937" r:id="rId31"/>
        </w:object>
      </w:r>
      <w:r w:rsidRPr="00D3572A">
        <w:rPr>
          <w:rFonts w:ascii="Garamond" w:eastAsiaTheme="minorEastAsia" w:hAnsi="Garamond"/>
          <w:szCs w:val="24"/>
        </w:rPr>
        <w:t xml:space="preserve">.  Second, the equation can be augmented to explore impact heterogeneity. In Eq. (2), the vector </w:t>
      </w:r>
      <w:r w:rsidRPr="00D3572A">
        <w:rPr>
          <w:rFonts w:ascii="Garamond" w:eastAsiaTheme="minorEastAsia" w:hAnsi="Garamond"/>
          <w:position w:val="-10"/>
          <w:szCs w:val="24"/>
        </w:rPr>
        <w:object w:dxaOrig="260" w:dyaOrig="320">
          <v:shape id="_x0000_i1038" type="#_x0000_t75" style="width:12pt;height:16pt" o:ole="">
            <v:imagedata r:id="rId32" o:title=""/>
          </v:shape>
          <o:OLEObject Type="Embed" ProgID="Equation.DSMT4" ShapeID="_x0000_i1038" DrawAspect="Content" ObjectID="_1430142938" r:id="rId33"/>
        </w:object>
      </w:r>
      <w:r w:rsidRPr="00D3572A">
        <w:rPr>
          <w:rFonts w:ascii="Garamond" w:eastAsiaTheme="minorEastAsia" w:hAnsi="Garamond"/>
          <w:szCs w:val="24"/>
        </w:rPr>
        <w:t xml:space="preserve"> represents </w:t>
      </w:r>
      <w:r w:rsidR="00AE0237">
        <w:rPr>
          <w:rFonts w:ascii="Garamond" w:eastAsiaTheme="minorEastAsia" w:hAnsi="Garamond"/>
          <w:szCs w:val="24"/>
        </w:rPr>
        <w:t>conditioning variables</w:t>
      </w:r>
      <w:r w:rsidRPr="00D3572A">
        <w:rPr>
          <w:rFonts w:ascii="Garamond" w:eastAsiaTheme="minorEastAsia" w:hAnsi="Garamond"/>
          <w:szCs w:val="24"/>
        </w:rPr>
        <w:t xml:space="preserve"> that are hypothesized t</w:t>
      </w:r>
      <w:r w:rsidR="00425169">
        <w:rPr>
          <w:rFonts w:ascii="Garamond" w:eastAsiaTheme="minorEastAsia" w:hAnsi="Garamond"/>
          <w:szCs w:val="24"/>
        </w:rPr>
        <w:t>o affect the size of the project</w:t>
      </w:r>
      <w:r w:rsidRPr="00D3572A">
        <w:rPr>
          <w:rFonts w:ascii="Garamond" w:eastAsiaTheme="minorEastAsia" w:hAnsi="Garamond"/>
          <w:szCs w:val="24"/>
        </w:rPr>
        <w:t xml:space="preserve"> impact.  </w:t>
      </w:r>
      <w:r w:rsidR="00740844">
        <w:rPr>
          <w:rFonts w:ascii="Garamond" w:eastAsiaTheme="minorEastAsia" w:hAnsi="Garamond"/>
          <w:szCs w:val="24"/>
        </w:rPr>
        <w:t xml:space="preserve">For example, the impact of PIDD-2 may be expected to be greatest </w:t>
      </w:r>
      <w:r w:rsidRPr="00D3572A">
        <w:rPr>
          <w:rFonts w:ascii="Garamond" w:eastAsiaTheme="minorEastAsia" w:hAnsi="Garamond"/>
          <w:szCs w:val="24"/>
        </w:rPr>
        <w:t xml:space="preserve">for those households that initially cultivate greater quantities of land (e.g. economies of scale in access to finance). The term </w:t>
      </w:r>
      <w:r w:rsidRPr="00D3572A">
        <w:rPr>
          <w:rFonts w:ascii="Garamond" w:eastAsiaTheme="minorEastAsia" w:hAnsi="Garamond"/>
          <w:position w:val="-10"/>
          <w:szCs w:val="24"/>
        </w:rPr>
        <w:object w:dxaOrig="660" w:dyaOrig="380">
          <v:shape id="_x0000_i1039" type="#_x0000_t75" style="width:33pt;height:20pt" o:ole="">
            <v:imagedata r:id="rId34" o:title=""/>
          </v:shape>
          <o:OLEObject Type="Embed" ProgID="Equation.DSMT4" ShapeID="_x0000_i1039" DrawAspect="Content" ObjectID="_1430142939" r:id="rId35"/>
        </w:object>
      </w:r>
      <w:r w:rsidRPr="00D3572A">
        <w:rPr>
          <w:rFonts w:ascii="Garamond" w:eastAsiaTheme="minorEastAsia" w:hAnsi="Garamond"/>
          <w:szCs w:val="24"/>
        </w:rPr>
        <w:t xml:space="preserve">, then, represents the difference in household </w:t>
      </w:r>
      <w:r w:rsidRPr="00D3572A">
        <w:rPr>
          <w:rFonts w:ascii="Garamond" w:eastAsiaTheme="minorEastAsia" w:hAnsi="Garamond"/>
          <w:i/>
          <w:szCs w:val="24"/>
        </w:rPr>
        <w:t>i</w:t>
      </w:r>
      <w:r w:rsidRPr="00D3572A">
        <w:rPr>
          <w:rFonts w:ascii="Garamond" w:eastAsiaTheme="minorEastAsia" w:hAnsi="Garamond"/>
          <w:szCs w:val="24"/>
        </w:rPr>
        <w:t xml:space="preserve">’s </w:t>
      </w:r>
      <w:r w:rsidRPr="00D3572A">
        <w:rPr>
          <w:rFonts w:ascii="Garamond" w:eastAsiaTheme="minorEastAsia" w:hAnsi="Garamond"/>
        </w:rPr>
        <w:t xml:space="preserve">farm size from the sample mean. By interacting this term with the treatment and time trend dummies, the coefficient </w:t>
      </w:r>
      <w:r w:rsidRPr="00D3572A">
        <w:rPr>
          <w:rFonts w:ascii="Garamond" w:eastAsiaTheme="minorEastAsia" w:hAnsi="Garamond"/>
          <w:position w:val="-10"/>
        </w:rPr>
        <w:object w:dxaOrig="300" w:dyaOrig="320">
          <v:shape id="_x0000_i1040" type="#_x0000_t75" style="width:16pt;height:16pt" o:ole="">
            <v:imagedata r:id="rId36" o:title=""/>
          </v:shape>
          <o:OLEObject Type="Embed" ProgID="Equation.DSMT4" ShapeID="_x0000_i1040" DrawAspect="Content" ObjectID="_1430142940" r:id="rId37"/>
        </w:object>
      </w:r>
      <w:r w:rsidRPr="00D3572A">
        <w:rPr>
          <w:rFonts w:ascii="Garamond" w:eastAsiaTheme="minorEastAsia" w:hAnsi="Garamond"/>
        </w:rPr>
        <w:t xml:space="preserve">will indicate how this impact varies (relative to the average impact) across farms of different sizes. Again, </w:t>
      </w:r>
      <w:r w:rsidR="00296288">
        <w:rPr>
          <w:rFonts w:ascii="Garamond" w:eastAsiaTheme="minorEastAsia" w:hAnsi="Garamond"/>
        </w:rPr>
        <w:t>it is necessary to</w:t>
      </w:r>
      <w:r w:rsidRPr="00D3572A">
        <w:rPr>
          <w:rFonts w:ascii="Garamond" w:eastAsiaTheme="minorEastAsia" w:hAnsi="Garamond"/>
        </w:rPr>
        <w:t xml:space="preserve"> appeal to economic theory to determine what data should be collected and included in the vector</w:t>
      </w:r>
      <w:r w:rsidRPr="00D3572A">
        <w:rPr>
          <w:rFonts w:ascii="Garamond" w:hAnsi="Garamond"/>
          <w:i/>
        </w:rPr>
        <w:t xml:space="preserve"> </w:t>
      </w:r>
      <w:r w:rsidRPr="00D3572A">
        <w:rPr>
          <w:rFonts w:ascii="Garamond" w:eastAsiaTheme="minorEastAsia" w:hAnsi="Garamond"/>
          <w:position w:val="-10"/>
        </w:rPr>
        <w:object w:dxaOrig="260" w:dyaOrig="320">
          <v:shape id="_x0000_i1041" type="#_x0000_t75" style="width:12pt;height:16pt" o:ole="">
            <v:imagedata r:id="rId32" o:title=""/>
          </v:shape>
          <o:OLEObject Type="Embed" ProgID="Equation.DSMT4" ShapeID="_x0000_i1041" DrawAspect="Content" ObjectID="_1430142941" r:id="rId38"/>
        </w:object>
      </w:r>
      <w:r w:rsidR="00425169">
        <w:rPr>
          <w:rFonts w:ascii="Garamond" w:eastAsiaTheme="minorEastAsia" w:hAnsi="Garamond"/>
        </w:rPr>
        <w:t xml:space="preserve">. </w:t>
      </w:r>
    </w:p>
    <w:p w:rsidR="00275AA1" w:rsidRPr="00D3572A" w:rsidRDefault="00275AA1" w:rsidP="009B24AA">
      <w:pPr>
        <w:spacing w:line="360" w:lineRule="auto"/>
        <w:rPr>
          <w:rFonts w:ascii="Garamond" w:hAnsi="Garamond" w:cstheme="minorHAnsi"/>
          <w:i/>
        </w:rPr>
      </w:pPr>
      <w:r w:rsidRPr="00D3572A">
        <w:rPr>
          <w:rFonts w:ascii="Garamond" w:hAnsi="Garamond" w:cstheme="minorHAnsi"/>
          <w:i/>
        </w:rPr>
        <w:t>Identification Assumptions and Robustness Checks</w:t>
      </w:r>
    </w:p>
    <w:p w:rsidR="000D023E" w:rsidRDefault="00DD2FE9" w:rsidP="009B24AA">
      <w:pPr>
        <w:spacing w:line="360" w:lineRule="auto"/>
        <w:jc w:val="both"/>
        <w:rPr>
          <w:rFonts w:ascii="Garamond" w:eastAsiaTheme="minorEastAsia" w:hAnsi="Garamond"/>
        </w:rPr>
      </w:pPr>
      <w:r w:rsidRPr="00DD2FE9">
        <w:rPr>
          <w:rFonts w:ascii="Garamond" w:eastAsiaTheme="minorEastAsia" w:hAnsi="Garamond"/>
        </w:rPr>
        <w:t xml:space="preserve">Recall that DD approach identifies the causal impact of the </w:t>
      </w:r>
      <w:r w:rsidR="00AF0AC2">
        <w:rPr>
          <w:rFonts w:ascii="Garamond" w:eastAsiaTheme="minorEastAsia" w:hAnsi="Garamond"/>
        </w:rPr>
        <w:t>project</w:t>
      </w:r>
      <w:r w:rsidRPr="00DD2FE9">
        <w:rPr>
          <w:rFonts w:ascii="Garamond" w:eastAsiaTheme="minorEastAsia" w:hAnsi="Garamond"/>
        </w:rPr>
        <w:t xml:space="preserve"> by comparing the change in the outcome variable across treatment and control groups.  As such, unbiased estimation of the treatment effect, </w:t>
      </w:r>
      <w:r w:rsidRPr="00DD2FE9">
        <w:rPr>
          <w:rFonts w:ascii="Garamond" w:eastAsiaTheme="minorEastAsia" w:hAnsi="Garamond"/>
          <w:position w:val="-10"/>
        </w:rPr>
        <w:object w:dxaOrig="280" w:dyaOrig="320">
          <v:shape id="_x0000_i1042" type="#_x0000_t75" style="width:15pt;height:16pt" o:ole="">
            <v:imagedata r:id="rId39" o:title=""/>
          </v:shape>
          <o:OLEObject Type="Embed" ProgID="Equation.DSMT4" ShapeID="_x0000_i1042" DrawAspect="Content" ObjectID="_1430142942" r:id="rId40"/>
        </w:object>
      </w:r>
      <w:r w:rsidRPr="00DD2FE9">
        <w:rPr>
          <w:rFonts w:ascii="Garamond" w:eastAsiaTheme="minorEastAsia" w:hAnsi="Garamond"/>
        </w:rPr>
        <w:t>, requires that there are no systematic differences across treatment and control groups in terms of unmeasured variables that affect the change in the outcome variable.  This is the assumption of “parallel trends,” which states that in the absence of PIDD-2 the average change in the outcome variable of treatment households would have been the same as the average change of the control households.  Consider the following violation of the parallel trends assumption.  A</w:t>
      </w:r>
      <w:r w:rsidR="002446E2">
        <w:rPr>
          <w:rFonts w:ascii="Garamond" w:eastAsiaTheme="minorEastAsia" w:hAnsi="Garamond"/>
        </w:rPr>
        <w:t>ssume the treated areas</w:t>
      </w:r>
      <w:r w:rsidRPr="00DD2FE9">
        <w:rPr>
          <w:rFonts w:ascii="Garamond" w:eastAsiaTheme="minorEastAsia" w:hAnsi="Garamond"/>
        </w:rPr>
        <w:t xml:space="preserve"> have the highest quality public officials who, in turn, are able to attract greater rural infrastructure investment.  As a result, even in the absence of PIDD-2, yield </w:t>
      </w:r>
      <w:r w:rsidRPr="00DD2FE9">
        <w:rPr>
          <w:rFonts w:ascii="Garamond" w:eastAsiaTheme="minorEastAsia" w:hAnsi="Garamond"/>
          <w:i/>
        </w:rPr>
        <w:t>growth</w:t>
      </w:r>
      <w:r w:rsidRPr="00DD2FE9">
        <w:rPr>
          <w:rFonts w:ascii="Garamond" w:eastAsiaTheme="minorEastAsia" w:hAnsi="Garamond"/>
        </w:rPr>
        <w:t xml:space="preserve"> would have been higher</w:t>
      </w:r>
      <w:r w:rsidR="002446E2">
        <w:rPr>
          <w:rFonts w:ascii="Garamond" w:eastAsiaTheme="minorEastAsia" w:hAnsi="Garamond"/>
        </w:rPr>
        <w:t xml:space="preserve"> in the treatment areas than the control areas</w:t>
      </w:r>
      <w:r w:rsidRPr="00DD2FE9">
        <w:rPr>
          <w:rFonts w:ascii="Garamond" w:eastAsiaTheme="minorEastAsia" w:hAnsi="Garamond"/>
        </w:rPr>
        <w:t xml:space="preserve"> (which – in the example -- have lower quality public officials). In this example, the DD estimate would overstate the impact of the </w:t>
      </w:r>
      <w:r w:rsidR="00C43510">
        <w:rPr>
          <w:rFonts w:ascii="Garamond" w:eastAsiaTheme="minorEastAsia" w:hAnsi="Garamond"/>
        </w:rPr>
        <w:t>project</w:t>
      </w:r>
      <w:r w:rsidRPr="00DD2FE9">
        <w:rPr>
          <w:rFonts w:ascii="Garamond" w:eastAsiaTheme="minorEastAsia" w:hAnsi="Garamond"/>
        </w:rPr>
        <w:t>. Ultimately, this critical assumption cannot be tested.  However, additional data can be collected in order to provide indirect evidence as to whether or not the assu</w:t>
      </w:r>
      <w:r w:rsidR="00984085">
        <w:rPr>
          <w:rFonts w:ascii="Garamond" w:eastAsiaTheme="minorEastAsia" w:hAnsi="Garamond"/>
        </w:rPr>
        <w:t>mption holds.  Specifically, it would be highly beneficial</w:t>
      </w:r>
      <w:r w:rsidRPr="00DD2FE9">
        <w:rPr>
          <w:rFonts w:ascii="Garamond" w:eastAsiaTheme="minorEastAsia" w:hAnsi="Garamond"/>
        </w:rPr>
        <w:t xml:space="preserve"> to collect time series data on outcome variables prior to PIDD-2 for both trea</w:t>
      </w:r>
      <w:r w:rsidR="002446E2">
        <w:rPr>
          <w:rFonts w:ascii="Garamond" w:eastAsiaTheme="minorEastAsia" w:hAnsi="Garamond"/>
        </w:rPr>
        <w:t xml:space="preserve">tment and control </w:t>
      </w:r>
      <w:r w:rsidR="002446E2">
        <w:rPr>
          <w:rFonts w:ascii="Garamond" w:eastAsiaTheme="minorEastAsia" w:hAnsi="Garamond"/>
        </w:rPr>
        <w:lastRenderedPageBreak/>
        <w:t>groups</w:t>
      </w:r>
      <w:r w:rsidRPr="00DD2FE9">
        <w:rPr>
          <w:rFonts w:ascii="Garamond" w:eastAsiaTheme="minorEastAsia" w:hAnsi="Garamond"/>
        </w:rPr>
        <w:t xml:space="preserve">. A similar time trend across treatment and </w:t>
      </w:r>
      <w:r w:rsidR="002446E2">
        <w:rPr>
          <w:rFonts w:ascii="Garamond" w:eastAsiaTheme="minorEastAsia" w:hAnsi="Garamond"/>
        </w:rPr>
        <w:t>control groups</w:t>
      </w:r>
      <w:r w:rsidRPr="00DD2FE9">
        <w:rPr>
          <w:rFonts w:ascii="Garamond" w:eastAsiaTheme="minorEastAsia" w:hAnsi="Garamond"/>
        </w:rPr>
        <w:t xml:space="preserve"> for the 10 years prior to PIDD-2 would be strong supporting evidence that the parallel trends assumption holds.  By including recall modules, the baseline household survey can also collect data to perm</w:t>
      </w:r>
      <w:r w:rsidR="002446E2">
        <w:rPr>
          <w:rFonts w:ascii="Garamond" w:eastAsiaTheme="minorEastAsia" w:hAnsi="Garamond"/>
        </w:rPr>
        <w:t>it the evaluation of pre-project</w:t>
      </w:r>
      <w:r w:rsidRPr="00DD2FE9">
        <w:rPr>
          <w:rFonts w:ascii="Garamond" w:eastAsiaTheme="minorEastAsia" w:hAnsi="Garamond"/>
        </w:rPr>
        <w:t xml:space="preserve"> trends in key outcome variables such as yields, investment, and credit access.</w:t>
      </w:r>
    </w:p>
    <w:p w:rsidR="007C0458" w:rsidRDefault="007C0458" w:rsidP="009B24AA">
      <w:pPr>
        <w:spacing w:line="360" w:lineRule="auto"/>
        <w:jc w:val="both"/>
        <w:rPr>
          <w:rFonts w:ascii="Garamond" w:eastAsiaTheme="minorEastAsia" w:hAnsi="Garamond"/>
        </w:rPr>
      </w:pPr>
    </w:p>
    <w:p w:rsidR="007C0458" w:rsidRDefault="007C0458" w:rsidP="009B24AA">
      <w:pPr>
        <w:pStyle w:val="ListParagraph"/>
        <w:numPr>
          <w:ilvl w:val="0"/>
          <w:numId w:val="2"/>
        </w:numPr>
        <w:spacing w:line="360" w:lineRule="auto"/>
        <w:jc w:val="both"/>
        <w:rPr>
          <w:rFonts w:ascii="Garamond" w:eastAsiaTheme="minorEastAsia" w:hAnsi="Garamond"/>
        </w:rPr>
      </w:pPr>
      <w:r w:rsidRPr="007C0458">
        <w:rPr>
          <w:rFonts w:ascii="Garamond" w:eastAsiaTheme="minorEastAsia" w:hAnsi="Garamond"/>
        </w:rPr>
        <w:t>TECHNICAL</w:t>
      </w:r>
      <w:r w:rsidR="000015C3">
        <w:rPr>
          <w:rFonts w:ascii="Garamond" w:eastAsiaTheme="minorEastAsia" w:hAnsi="Garamond"/>
        </w:rPr>
        <w:t xml:space="preserve"> AND PRACTICAL</w:t>
      </w:r>
      <w:r w:rsidRPr="007C0458">
        <w:rPr>
          <w:rFonts w:ascii="Garamond" w:eastAsiaTheme="minorEastAsia" w:hAnsi="Garamond"/>
        </w:rPr>
        <w:t xml:space="preserve"> ASPECTS OF THE EVALUATION</w:t>
      </w:r>
    </w:p>
    <w:p w:rsidR="006B0DEF" w:rsidRDefault="00E279E7" w:rsidP="009B24AA">
      <w:pPr>
        <w:spacing w:line="360" w:lineRule="auto"/>
        <w:jc w:val="both"/>
        <w:rPr>
          <w:rFonts w:ascii="Garamond" w:hAnsi="Garamond"/>
          <w:szCs w:val="24"/>
        </w:rPr>
      </w:pPr>
      <w:r w:rsidRPr="003C527C">
        <w:rPr>
          <w:rFonts w:ascii="Garamond" w:hAnsi="Garamond"/>
          <w:szCs w:val="24"/>
        </w:rPr>
        <w:t xml:space="preserve">This section discusses a number of considerations of technical and practical relevance to the evaluation of PIDD-2. </w:t>
      </w:r>
      <w:r w:rsidR="006B0DEF">
        <w:rPr>
          <w:rFonts w:ascii="Garamond" w:hAnsi="Garamond"/>
          <w:szCs w:val="24"/>
        </w:rPr>
        <w:t>This includes discussion of the</w:t>
      </w:r>
      <w:r w:rsidR="00945318">
        <w:rPr>
          <w:rFonts w:ascii="Garamond" w:hAnsi="Garamond"/>
          <w:szCs w:val="24"/>
        </w:rPr>
        <w:t xml:space="preserve"> </w:t>
      </w:r>
      <w:r w:rsidR="006B0DEF">
        <w:rPr>
          <w:rFonts w:ascii="Garamond" w:hAnsi="Garamond"/>
          <w:szCs w:val="24"/>
        </w:rPr>
        <w:t>sample frame and power calculations, the rural household questionnaire, and data collection procedures, among other considerations.</w:t>
      </w:r>
    </w:p>
    <w:p w:rsidR="002652F6" w:rsidRPr="007979A9" w:rsidRDefault="002652F6" w:rsidP="002652F6">
      <w:pPr>
        <w:spacing w:line="360" w:lineRule="auto"/>
        <w:jc w:val="both"/>
        <w:rPr>
          <w:rFonts w:ascii="Garamond" w:hAnsi="Garamond"/>
          <w:i/>
        </w:rPr>
      </w:pPr>
      <w:r>
        <w:rPr>
          <w:rFonts w:ascii="Garamond" w:hAnsi="Garamond"/>
          <w:i/>
        </w:rPr>
        <w:t>Sample Frame and Power Calculations</w:t>
      </w:r>
    </w:p>
    <w:p w:rsidR="000465D8" w:rsidRDefault="000465D8" w:rsidP="002652F6">
      <w:pPr>
        <w:spacing w:line="360" w:lineRule="auto"/>
        <w:jc w:val="both"/>
        <w:rPr>
          <w:rFonts w:ascii="Garamond" w:hAnsi="Garamond"/>
        </w:rPr>
      </w:pPr>
      <w:r w:rsidRPr="000465D8">
        <w:rPr>
          <w:rFonts w:ascii="Garamond" w:hAnsi="Garamond"/>
        </w:rPr>
        <w:t xml:space="preserve">The sample frame is the list of the population of interest. For the irrigation component, the population of interest for the treatment group is simply those households that belong to the water users associations receiving the project. With respect to the control group for this component, the population of interest is those households belonging to water users associations in the pipeline for future investments. Turning to the rural roads component, we define the population of interest for the treatment group to be those households residing within in two kilometers of the </w:t>
      </w:r>
      <w:r w:rsidR="000B4F46" w:rsidRPr="007F1FD3">
        <w:rPr>
          <w:rFonts w:ascii="Garamond" w:hAnsi="Garamond" w:cstheme="minorHAnsi"/>
        </w:rPr>
        <w:t>Pallatanga</w:t>
      </w:r>
      <w:r w:rsidR="000B4F46">
        <w:rPr>
          <w:rFonts w:ascii="Garamond" w:hAnsi="Garamond" w:cstheme="minorHAnsi"/>
        </w:rPr>
        <w:t>-Guamote</w:t>
      </w:r>
      <w:r w:rsidR="000B4F46" w:rsidRPr="007F1FD3">
        <w:rPr>
          <w:rFonts w:ascii="Garamond" w:hAnsi="Garamond" w:cstheme="minorHAnsi"/>
        </w:rPr>
        <w:t xml:space="preserve"> </w:t>
      </w:r>
      <w:r w:rsidRPr="000465D8">
        <w:rPr>
          <w:rFonts w:ascii="Garamond" w:hAnsi="Garamond"/>
        </w:rPr>
        <w:t>road. Regarding the control group, the population of interest is again those households residing in pipeline communities. A complete listing of households in the population of interest for the irrigation component appears readily available, and thus construction of the sampling frame for this component is straightforward. For the rural roads component, it is envisioned that census data will be used to construct the sample frame on the basis of information available about the treatment and pipeline communities (e.g. community names, locations, etc.).</w:t>
      </w:r>
    </w:p>
    <w:p w:rsidR="002652F6" w:rsidRPr="00F46D85" w:rsidRDefault="002652F6" w:rsidP="002652F6">
      <w:pPr>
        <w:spacing w:line="360" w:lineRule="auto"/>
        <w:jc w:val="both"/>
        <w:rPr>
          <w:rFonts w:ascii="Garamond" w:hAnsi="Garamond"/>
        </w:rPr>
      </w:pPr>
      <w:r>
        <w:rPr>
          <w:rFonts w:ascii="Garamond" w:hAnsi="Garamond"/>
        </w:rPr>
        <w:t>Given the sample frame, it is necessary to determine the number of surveys required for the evaluation. Accordingly, this section</w:t>
      </w:r>
      <w:r w:rsidRPr="0082461F">
        <w:rPr>
          <w:rFonts w:ascii="Garamond" w:hAnsi="Garamond"/>
        </w:rPr>
        <w:t xml:space="preserve"> present</w:t>
      </w:r>
      <w:r>
        <w:rPr>
          <w:rFonts w:ascii="Garamond" w:hAnsi="Garamond"/>
        </w:rPr>
        <w:t>s</w:t>
      </w:r>
      <w:r w:rsidRPr="0082461F">
        <w:rPr>
          <w:rFonts w:ascii="Garamond" w:hAnsi="Garamond"/>
        </w:rPr>
        <w:t xml:space="preserve"> the results of power calculations that provide a rough estimate of the sample size needed in order to detect the impact of th</w:t>
      </w:r>
      <w:r>
        <w:rPr>
          <w:rFonts w:ascii="Garamond" w:hAnsi="Garamond"/>
        </w:rPr>
        <w:t>e project.</w:t>
      </w:r>
      <w:r w:rsidRPr="0082461F">
        <w:rPr>
          <w:rFonts w:ascii="Garamond" w:hAnsi="Garamond"/>
        </w:rPr>
        <w:t xml:space="preserve"> Power calculations essentially answer the following question:  “How large does the sample have to be in order to detect an impact of a given size at a</w:t>
      </w:r>
      <w:r>
        <w:rPr>
          <w:rFonts w:ascii="Garamond" w:hAnsi="Garamond"/>
        </w:rPr>
        <w:t xml:space="preserve"> given level of significance?” To answer this question statisticians tend to rely on the power formula. The basic power formula is composed of four pieces of information associated with the (null) hypothesis </w:t>
      </w:r>
      <w:r>
        <w:rPr>
          <w:rFonts w:ascii="Garamond" w:eastAsiaTheme="minorEastAsia" w:hAnsi="Garamond"/>
        </w:rPr>
        <w:t>that the project</w:t>
      </w:r>
      <w:r w:rsidRPr="0082461F">
        <w:rPr>
          <w:rFonts w:ascii="Garamond" w:eastAsiaTheme="minorEastAsia" w:hAnsi="Garamond"/>
        </w:rPr>
        <w:t xml:space="preserve"> has no impact on farm households</w:t>
      </w:r>
      <w:r>
        <w:rPr>
          <w:rFonts w:ascii="Garamond" w:eastAsiaTheme="minorEastAsia" w:hAnsi="Garamond"/>
        </w:rPr>
        <w:t xml:space="preserve"> (i.e. </w:t>
      </w:r>
      <w:r w:rsidRPr="0066044C">
        <w:rPr>
          <w:rFonts w:ascii="Garamond" w:eastAsiaTheme="minorEastAsia" w:hAnsi="Garamond"/>
          <w:position w:val="-10"/>
        </w:rPr>
        <w:object w:dxaOrig="660" w:dyaOrig="320">
          <v:shape id="_x0000_i1043" type="#_x0000_t75" style="width:33pt;height:16pt" o:ole="">
            <v:imagedata r:id="rId41" o:title=""/>
          </v:shape>
          <o:OLEObject Type="Embed" ProgID="Equation.DSMT4" ShapeID="_x0000_i1043" DrawAspect="Content" ObjectID="_1430142943" r:id="rId42"/>
        </w:object>
      </w:r>
      <w:r>
        <w:rPr>
          <w:rFonts w:ascii="Garamond" w:eastAsiaTheme="minorEastAsia" w:hAnsi="Garamond"/>
        </w:rPr>
        <w:t xml:space="preserve"> in Eq. [1])</w:t>
      </w:r>
      <w:r w:rsidRPr="0082461F">
        <w:rPr>
          <w:rFonts w:ascii="Garamond" w:eastAsiaTheme="minorEastAsia" w:hAnsi="Garamond"/>
        </w:rPr>
        <w:t>.</w:t>
      </w:r>
      <w:r>
        <w:rPr>
          <w:rFonts w:ascii="Garamond" w:hAnsi="Garamond"/>
        </w:rPr>
        <w:t xml:space="preserve"> </w:t>
      </w:r>
      <w:r w:rsidRPr="0082461F">
        <w:rPr>
          <w:rFonts w:ascii="Garamond" w:eastAsiaTheme="minorEastAsia" w:hAnsi="Garamond"/>
        </w:rPr>
        <w:t xml:space="preserve">First, the </w:t>
      </w:r>
      <w:r w:rsidRPr="00BC5C7F">
        <w:rPr>
          <w:rFonts w:ascii="Garamond" w:eastAsiaTheme="minorEastAsia" w:hAnsi="Garamond"/>
        </w:rPr>
        <w:t>significance level</w:t>
      </w:r>
      <w:r>
        <w:rPr>
          <w:rFonts w:ascii="Garamond" w:eastAsiaTheme="minorEastAsia" w:hAnsi="Garamond"/>
        </w:rPr>
        <w:t xml:space="preserve">, </w:t>
      </w:r>
      <w:r w:rsidRPr="00BC5C7F">
        <w:rPr>
          <w:rFonts w:ascii="Garamond" w:eastAsiaTheme="minorEastAsia" w:hAnsi="Garamond"/>
          <w:position w:val="-6"/>
        </w:rPr>
        <w:object w:dxaOrig="240" w:dyaOrig="220">
          <v:shape id="_x0000_i1044" type="#_x0000_t75" style="width:12pt;height:12pt" o:ole="">
            <v:imagedata r:id="rId43" o:title=""/>
          </v:shape>
          <o:OLEObject Type="Embed" ProgID="Equation.DSMT4" ShapeID="_x0000_i1044" DrawAspect="Content" ObjectID="_1430142944" r:id="rId44"/>
        </w:object>
      </w:r>
      <w:r>
        <w:rPr>
          <w:rFonts w:ascii="Garamond" w:eastAsiaTheme="minorEastAsia" w:hAnsi="Garamond"/>
        </w:rPr>
        <w:t>,</w:t>
      </w:r>
      <w:r w:rsidRPr="0082461F">
        <w:rPr>
          <w:rFonts w:ascii="Garamond" w:eastAsiaTheme="minorEastAsia" w:hAnsi="Garamond"/>
        </w:rPr>
        <w:t xml:space="preserve"> is</w:t>
      </w:r>
      <w:r>
        <w:rPr>
          <w:rFonts w:ascii="Garamond" w:eastAsiaTheme="minorEastAsia" w:hAnsi="Garamond"/>
        </w:rPr>
        <w:t xml:space="preserve"> the probability that </w:t>
      </w:r>
      <w:r w:rsidRPr="0082461F">
        <w:rPr>
          <w:rFonts w:ascii="Garamond" w:eastAsiaTheme="minorEastAsia" w:hAnsi="Garamond"/>
        </w:rPr>
        <w:t>the null hypothesis</w:t>
      </w:r>
      <w:r>
        <w:rPr>
          <w:rFonts w:ascii="Garamond" w:eastAsiaTheme="minorEastAsia" w:hAnsi="Garamond"/>
        </w:rPr>
        <w:t xml:space="preserve"> is rejected</w:t>
      </w:r>
      <w:r w:rsidRPr="0082461F">
        <w:rPr>
          <w:rFonts w:ascii="Garamond" w:eastAsiaTheme="minorEastAsia" w:hAnsi="Garamond"/>
        </w:rPr>
        <w:t xml:space="preserve"> when it is in fact true. </w:t>
      </w:r>
      <w:r>
        <w:rPr>
          <w:rFonts w:ascii="Garamond" w:eastAsiaTheme="minorEastAsia" w:hAnsi="Garamond"/>
        </w:rPr>
        <w:t>Second, t</w:t>
      </w:r>
      <w:r w:rsidRPr="0082461F">
        <w:rPr>
          <w:rFonts w:ascii="Garamond" w:eastAsiaTheme="minorEastAsia" w:hAnsi="Garamond"/>
        </w:rPr>
        <w:t xml:space="preserve">he </w:t>
      </w:r>
      <w:r w:rsidRPr="00BB7052">
        <w:rPr>
          <w:rFonts w:ascii="Garamond" w:eastAsiaTheme="minorEastAsia" w:hAnsi="Garamond"/>
        </w:rPr>
        <w:t>power</w:t>
      </w:r>
      <w:r w:rsidRPr="0082461F">
        <w:rPr>
          <w:rFonts w:ascii="Garamond" w:eastAsiaTheme="minorEastAsia" w:hAnsi="Garamond"/>
        </w:rPr>
        <w:t xml:space="preserve"> of a test</w:t>
      </w:r>
      <w:r>
        <w:rPr>
          <w:rFonts w:ascii="Garamond" w:eastAsiaTheme="minorEastAsia" w:hAnsi="Garamond"/>
        </w:rPr>
        <w:t xml:space="preserve">, </w:t>
      </w:r>
      <w:r w:rsidRPr="00BB7052">
        <w:rPr>
          <w:rFonts w:ascii="Garamond" w:eastAsiaTheme="minorEastAsia" w:hAnsi="Garamond"/>
          <w:position w:val="-10"/>
        </w:rPr>
        <w:object w:dxaOrig="520" w:dyaOrig="300">
          <v:shape id="_x0000_i1045" type="#_x0000_t75" style="width:27pt;height:16pt" o:ole="">
            <v:imagedata r:id="rId45" o:title=""/>
          </v:shape>
          <o:OLEObject Type="Embed" ProgID="Equation.DSMT4" ShapeID="_x0000_i1045" DrawAspect="Content" ObjectID="_1430142945" r:id="rId46"/>
        </w:object>
      </w:r>
      <w:r>
        <w:rPr>
          <w:rFonts w:ascii="Garamond" w:eastAsiaTheme="minorEastAsia" w:hAnsi="Garamond"/>
        </w:rPr>
        <w:t xml:space="preserve">, where </w:t>
      </w:r>
      <w:r w:rsidRPr="00BB7052">
        <w:rPr>
          <w:rFonts w:ascii="Garamond" w:eastAsiaTheme="minorEastAsia" w:hAnsi="Garamond"/>
          <w:position w:val="-10"/>
        </w:rPr>
        <w:object w:dxaOrig="220" w:dyaOrig="260">
          <v:shape id="_x0000_i1046" type="#_x0000_t75" style="width:12pt;height:12pt" o:ole="">
            <v:imagedata r:id="rId47" o:title=""/>
          </v:shape>
          <o:OLEObject Type="Embed" ProgID="Equation.DSMT4" ShapeID="_x0000_i1046" DrawAspect="Content" ObjectID="_1430142946" r:id="rId48"/>
        </w:object>
      </w:r>
      <w:r>
        <w:rPr>
          <w:rFonts w:ascii="Garamond" w:eastAsiaTheme="minorEastAsia" w:hAnsi="Garamond"/>
        </w:rPr>
        <w:t xml:space="preserve"> is the probability of finding a false negative, </w:t>
      </w:r>
      <w:r w:rsidRPr="0082461F">
        <w:rPr>
          <w:rFonts w:ascii="Garamond" w:eastAsiaTheme="minorEastAsia" w:hAnsi="Garamond"/>
        </w:rPr>
        <w:t>is</w:t>
      </w:r>
      <w:r>
        <w:rPr>
          <w:rFonts w:ascii="Garamond" w:eastAsiaTheme="minorEastAsia" w:hAnsi="Garamond"/>
        </w:rPr>
        <w:t xml:space="preserve"> the probability that </w:t>
      </w:r>
      <w:r w:rsidRPr="0082461F">
        <w:rPr>
          <w:rFonts w:ascii="Garamond" w:eastAsiaTheme="minorEastAsia" w:hAnsi="Garamond"/>
        </w:rPr>
        <w:t>the null hypothesis</w:t>
      </w:r>
      <w:r>
        <w:rPr>
          <w:rFonts w:ascii="Garamond" w:eastAsiaTheme="minorEastAsia" w:hAnsi="Garamond"/>
        </w:rPr>
        <w:t xml:space="preserve"> is rejected</w:t>
      </w:r>
      <w:r w:rsidRPr="0082461F">
        <w:rPr>
          <w:rFonts w:ascii="Garamond" w:eastAsiaTheme="minorEastAsia" w:hAnsi="Garamond"/>
        </w:rPr>
        <w:t xml:space="preserve"> when it is indeed false. </w:t>
      </w:r>
      <w:r>
        <w:rPr>
          <w:rFonts w:ascii="Garamond" w:eastAsiaTheme="minorEastAsia" w:hAnsi="Garamond"/>
        </w:rPr>
        <w:t>Third</w:t>
      </w:r>
      <w:r w:rsidRPr="0082461F">
        <w:rPr>
          <w:rFonts w:ascii="Garamond" w:eastAsiaTheme="minorEastAsia" w:hAnsi="Garamond"/>
        </w:rPr>
        <w:t xml:space="preserve">, the </w:t>
      </w:r>
      <w:r w:rsidRPr="001D7510">
        <w:rPr>
          <w:rFonts w:ascii="Garamond" w:eastAsiaTheme="minorEastAsia" w:hAnsi="Garamond"/>
        </w:rPr>
        <w:t>minimum detectable effect</w:t>
      </w:r>
      <w:r>
        <w:rPr>
          <w:rFonts w:ascii="Garamond" w:eastAsiaTheme="minorEastAsia" w:hAnsi="Garamond"/>
        </w:rPr>
        <w:t xml:space="preserve">, </w:t>
      </w:r>
      <w:r w:rsidRPr="001D7510">
        <w:rPr>
          <w:rFonts w:ascii="Garamond" w:eastAsiaTheme="minorEastAsia" w:hAnsi="Garamond"/>
          <w:position w:val="-4"/>
        </w:rPr>
        <w:object w:dxaOrig="260" w:dyaOrig="240">
          <v:shape id="_x0000_i1047" type="#_x0000_t75" style="width:12pt;height:12pt" o:ole="">
            <v:imagedata r:id="rId49" o:title=""/>
          </v:shape>
          <o:OLEObject Type="Embed" ProgID="Equation.DSMT4" ShapeID="_x0000_i1047" DrawAspect="Content" ObjectID="_1430142947" r:id="rId50"/>
        </w:object>
      </w:r>
      <w:r>
        <w:rPr>
          <w:rFonts w:ascii="Garamond" w:eastAsiaTheme="minorEastAsia" w:hAnsi="Garamond"/>
        </w:rPr>
        <w:t>, states how large the project</w:t>
      </w:r>
      <w:r w:rsidRPr="0082461F">
        <w:rPr>
          <w:rFonts w:ascii="Garamond" w:eastAsiaTheme="minorEastAsia" w:hAnsi="Garamond"/>
        </w:rPr>
        <w:t xml:space="preserve"> impact must be </w:t>
      </w:r>
      <w:r w:rsidRPr="0082461F">
        <w:rPr>
          <w:rFonts w:ascii="Garamond" w:eastAsiaTheme="minorEastAsia" w:hAnsi="Garamond"/>
        </w:rPr>
        <w:lastRenderedPageBreak/>
        <w:t>in order for our strategy to detect the effect at a given significance level and power.</w:t>
      </w:r>
      <w:r>
        <w:rPr>
          <w:rFonts w:ascii="Garamond" w:eastAsiaTheme="minorEastAsia" w:hAnsi="Garamond"/>
        </w:rPr>
        <w:t xml:space="preserve"> Finally, the test incorporates the standard deviation, </w:t>
      </w:r>
      <w:r w:rsidRPr="00C81F0B">
        <w:rPr>
          <w:rFonts w:ascii="Garamond" w:eastAsiaTheme="minorEastAsia" w:hAnsi="Garamond"/>
          <w:position w:val="-6"/>
        </w:rPr>
        <w:object w:dxaOrig="240" w:dyaOrig="220">
          <v:shape id="_x0000_i1048" type="#_x0000_t75" style="width:12pt;height:12pt" o:ole="">
            <v:imagedata r:id="rId51" o:title=""/>
          </v:shape>
          <o:OLEObject Type="Embed" ProgID="Equation.DSMT4" ShapeID="_x0000_i1048" DrawAspect="Content" ObjectID="_1430142948" r:id="rId52"/>
        </w:object>
      </w:r>
      <w:r>
        <w:rPr>
          <w:rFonts w:ascii="Garamond" w:eastAsiaTheme="minorEastAsia" w:hAnsi="Garamond"/>
        </w:rPr>
        <w:t>, of the outcome variable of interest.</w:t>
      </w:r>
    </w:p>
    <w:p w:rsidR="002652F6" w:rsidRDefault="002652F6" w:rsidP="002652F6">
      <w:pPr>
        <w:spacing w:line="360" w:lineRule="auto"/>
        <w:jc w:val="both"/>
        <w:rPr>
          <w:rFonts w:ascii="Garamond" w:eastAsiaTheme="minorEastAsia" w:hAnsi="Garamond"/>
        </w:rPr>
      </w:pPr>
      <w:r>
        <w:rPr>
          <w:rFonts w:ascii="Garamond" w:eastAsiaTheme="minorEastAsia" w:hAnsi="Garamond"/>
        </w:rPr>
        <w:t>Assuming simple random sampling, equally sized treatment and control groups, and that both groups have the same standard deviation, the power formula is then as follows:</w:t>
      </w:r>
    </w:p>
    <w:p w:rsidR="002652F6" w:rsidRPr="00C81F0B" w:rsidRDefault="002652F6" w:rsidP="002652F6">
      <w:pPr>
        <w:spacing w:line="360" w:lineRule="auto"/>
        <w:jc w:val="center"/>
        <w:rPr>
          <w:rFonts w:ascii="Garamond" w:hAnsi="Garamond"/>
        </w:rPr>
      </w:pPr>
      <w:r>
        <w:rPr>
          <w:rFonts w:ascii="Garamond" w:hAnsi="Garamond"/>
        </w:rPr>
        <w:t xml:space="preserve">                                                                   </w:t>
      </w:r>
      <w:r w:rsidRPr="000D180A">
        <w:rPr>
          <w:rFonts w:ascii="Garamond" w:hAnsi="Garamond"/>
          <w:position w:val="-24"/>
        </w:rPr>
        <w:object w:dxaOrig="1860" w:dyaOrig="680">
          <v:shape id="_x0000_i1049" type="#_x0000_t75" style="width:93pt;height:33pt" o:ole="">
            <v:imagedata r:id="rId53" o:title=""/>
          </v:shape>
          <o:OLEObject Type="Embed" ProgID="Equation.DSMT4" ShapeID="_x0000_i1049" DrawAspect="Content" ObjectID="_1430142949" r:id="rId54"/>
        </w:object>
      </w:r>
      <w:r>
        <w:rPr>
          <w:rFonts w:ascii="Garamond" w:hAnsi="Garamond"/>
        </w:rPr>
        <w:t xml:space="preserve">                                                                 (3)</w:t>
      </w:r>
    </w:p>
    <w:p w:rsidR="002652F6" w:rsidRDefault="002652F6" w:rsidP="002652F6">
      <w:pPr>
        <w:spacing w:line="360" w:lineRule="auto"/>
        <w:jc w:val="both"/>
        <w:rPr>
          <w:rFonts w:ascii="Garamond" w:eastAsiaTheme="minorEastAsia" w:hAnsi="Garamond"/>
        </w:rPr>
      </w:pPr>
      <w:r>
        <w:rPr>
          <w:rFonts w:ascii="Garamond" w:eastAsiaTheme="minorEastAsia" w:hAnsi="Garamond"/>
        </w:rPr>
        <w:t xml:space="preserve">where </w:t>
      </w:r>
      <w:r w:rsidRPr="00720FB8">
        <w:rPr>
          <w:rFonts w:ascii="Garamond" w:eastAsiaTheme="minorEastAsia" w:hAnsi="Garamond"/>
          <w:position w:val="-12"/>
        </w:rPr>
        <w:object w:dxaOrig="280" w:dyaOrig="340">
          <v:shape id="_x0000_i1050" type="#_x0000_t75" style="width:15pt;height:19pt" o:ole="">
            <v:imagedata r:id="rId55" o:title=""/>
          </v:shape>
          <o:OLEObject Type="Embed" ProgID="Equation.DSMT4" ShapeID="_x0000_i1050" DrawAspect="Content" ObjectID="_1430142950" r:id="rId56"/>
        </w:object>
      </w:r>
      <w:r>
        <w:rPr>
          <w:rFonts w:ascii="Garamond" w:eastAsiaTheme="minorEastAsia" w:hAnsi="Garamond"/>
        </w:rPr>
        <w:t xml:space="preserve"> is the critical value associated with the significance level and </w:t>
      </w:r>
      <w:r w:rsidRPr="00720FB8">
        <w:rPr>
          <w:rFonts w:ascii="Garamond" w:eastAsiaTheme="minorEastAsia" w:hAnsi="Garamond"/>
          <w:position w:val="-14"/>
        </w:rPr>
        <w:object w:dxaOrig="260" w:dyaOrig="360">
          <v:shape id="_x0000_i1051" type="#_x0000_t75" style="width:12pt;height:19pt" o:ole="">
            <v:imagedata r:id="rId57" o:title=""/>
          </v:shape>
          <o:OLEObject Type="Embed" ProgID="Equation.DSMT4" ShapeID="_x0000_i1051" DrawAspect="Content" ObjectID="_1430142951" r:id="rId58"/>
        </w:object>
      </w:r>
      <w:r>
        <w:rPr>
          <w:rFonts w:ascii="Garamond" w:eastAsiaTheme="minorEastAsia" w:hAnsi="Garamond"/>
        </w:rPr>
        <w:t xml:space="preserve"> is the critical value associated with the power of the test (World Bank 2007). </w:t>
      </w:r>
      <w:r w:rsidRPr="0082461F">
        <w:rPr>
          <w:rFonts w:ascii="Garamond" w:eastAsiaTheme="minorEastAsia" w:hAnsi="Garamond"/>
        </w:rPr>
        <w:t>Consistent with the standard of most journal articles,</w:t>
      </w:r>
      <w:r>
        <w:rPr>
          <w:rFonts w:ascii="Garamond" w:eastAsiaTheme="minorEastAsia" w:hAnsi="Garamond"/>
        </w:rPr>
        <w:t xml:space="preserve"> the calculations throughout will be based on </w:t>
      </w:r>
      <w:r w:rsidRPr="00720FB8">
        <w:rPr>
          <w:rFonts w:ascii="Garamond" w:eastAsiaTheme="minorEastAsia" w:hAnsi="Garamond"/>
          <w:position w:val="-12"/>
        </w:rPr>
        <w:object w:dxaOrig="940" w:dyaOrig="340">
          <v:shape id="_x0000_i1052" type="#_x0000_t75" style="width:47pt;height:19pt" o:ole="">
            <v:imagedata r:id="rId59" o:title=""/>
          </v:shape>
          <o:OLEObject Type="Embed" ProgID="Equation.DSMT4" ShapeID="_x0000_i1052" DrawAspect="Content" ObjectID="_1430142952" r:id="rId60"/>
        </w:object>
      </w:r>
      <w:r>
        <w:rPr>
          <w:rFonts w:ascii="Garamond" w:eastAsiaTheme="minorEastAsia" w:hAnsi="Garamond"/>
        </w:rPr>
        <w:t xml:space="preserve"> (i.e.</w:t>
      </w:r>
      <w:r w:rsidRPr="00855490">
        <w:rPr>
          <w:rFonts w:ascii="Garamond" w:eastAsiaTheme="minorEastAsia" w:hAnsi="Garamond"/>
        </w:rPr>
        <w:t xml:space="preserve"> </w:t>
      </w:r>
      <w:r>
        <w:rPr>
          <w:rFonts w:ascii="Garamond" w:eastAsiaTheme="minorEastAsia" w:hAnsi="Garamond"/>
        </w:rPr>
        <w:t xml:space="preserve">a statistical significance of 5%) and </w:t>
      </w:r>
      <w:r w:rsidRPr="00855490">
        <w:rPr>
          <w:rFonts w:ascii="Garamond" w:eastAsiaTheme="minorEastAsia" w:hAnsi="Garamond"/>
          <w:position w:val="-14"/>
        </w:rPr>
        <w:object w:dxaOrig="940" w:dyaOrig="360">
          <v:shape id="_x0000_i1053" type="#_x0000_t75" style="width:47pt;height:19pt" o:ole="">
            <v:imagedata r:id="rId61" o:title=""/>
          </v:shape>
          <o:OLEObject Type="Embed" ProgID="Equation.DSMT4" ShapeID="_x0000_i1053" DrawAspect="Content" ObjectID="_1430142953" r:id="rId62"/>
        </w:object>
      </w:r>
      <w:r>
        <w:rPr>
          <w:rFonts w:ascii="Garamond" w:eastAsiaTheme="minorEastAsia" w:hAnsi="Garamond"/>
        </w:rPr>
        <w:t xml:space="preserve"> (i.e. a power of 80%). To ensure a sample size sufficiently large for the hypothesis tests associated with each of the indicators of interest, the calculations will be conducted on the basis of a number of alternative outcome variables. Each such calculation will be based on a minimum detectable effect of a 20% increase or decrease in the mean of the associated outcome variable. Such a minimum detectable effect can, in this case, be considered relatively conservative. For example, after receiving the irrigation component, it is expected that beneficiaries will be able to harvest twice instead of once. In this event, a doubling of yields would not be uncommon. </w:t>
      </w:r>
    </w:p>
    <w:p w:rsidR="002652F6" w:rsidRDefault="002652F6" w:rsidP="002652F6">
      <w:pPr>
        <w:spacing w:line="360" w:lineRule="auto"/>
        <w:jc w:val="both"/>
        <w:rPr>
          <w:rFonts w:ascii="Garamond" w:eastAsiaTheme="minorEastAsia" w:hAnsi="Garamond"/>
        </w:rPr>
      </w:pPr>
      <w:r>
        <w:rPr>
          <w:rFonts w:ascii="Garamond" w:eastAsiaTheme="minorEastAsia" w:hAnsi="Garamond"/>
        </w:rPr>
        <w:t xml:space="preserve">All data used comes from a survey previously administered to agricultural and livestock producers in Chimborazo for an impact evaluation of </w:t>
      </w:r>
      <w:r>
        <w:rPr>
          <w:rFonts w:ascii="Garamond" w:eastAsiaTheme="minorEastAsia" w:hAnsi="Garamond"/>
          <w:i/>
        </w:rPr>
        <w:t>Plataformas</w:t>
      </w:r>
      <w:r>
        <w:rPr>
          <w:rFonts w:ascii="Garamond" w:eastAsiaTheme="minorEastAsia" w:hAnsi="Garamond"/>
        </w:rPr>
        <w:t xml:space="preserve"> (see Cavatassi et al. [2011] for details).  From this survey, it has proven possible to retrieve data on yields, time to Riobamba, livestock owned, and select educational outcomes. Table 2 presents the mean, standard deviation, minimum detectable effect, and the results of the power calculations associated with each variable. From the Table, it is evident that the largest sample size is required for yields. Given the stated interest in analyzing the project’s impact on yields and that a smaller sample may lead to difficulties detecting the impact, approximately 1,000 surveys seems appropriate. This number, however, corresponds to the number of surveys that must be collected per project component. Accordingly, 2,000 surveys is the targeted number of surveys.</w:t>
      </w:r>
    </w:p>
    <w:p w:rsidR="002652F6" w:rsidRPr="00AF718B" w:rsidRDefault="002652F6" w:rsidP="002652F6">
      <w:pPr>
        <w:spacing w:line="360" w:lineRule="auto"/>
        <w:jc w:val="center"/>
        <w:rPr>
          <w:rFonts w:ascii="Garamond" w:eastAsiaTheme="minorEastAsia" w:hAnsi="Garamond"/>
          <w:b/>
        </w:rPr>
      </w:pPr>
      <w:r w:rsidRPr="00AF718B">
        <w:rPr>
          <w:rFonts w:ascii="Garamond" w:eastAsiaTheme="minorEastAsia" w:hAnsi="Garamond"/>
          <w:b/>
        </w:rPr>
        <w:t>Table 2. Power Calculation Results</w:t>
      </w:r>
    </w:p>
    <w:tbl>
      <w:tblPr>
        <w:tblStyle w:val="TableGrid"/>
        <w:tblW w:w="0" w:type="auto"/>
        <w:jc w:val="center"/>
        <w:tblInd w:w="-1696" w:type="dxa"/>
        <w:tblBorders>
          <w:left w:val="none" w:sz="0" w:space="0" w:color="auto"/>
          <w:right w:val="none" w:sz="0" w:space="0" w:color="auto"/>
          <w:insideV w:val="none" w:sz="0" w:space="0" w:color="auto"/>
        </w:tblBorders>
        <w:tblLook w:val="00BF" w:firstRow="1" w:lastRow="0" w:firstColumn="1" w:lastColumn="0" w:noHBand="0" w:noVBand="0"/>
      </w:tblPr>
      <w:tblGrid>
        <w:gridCol w:w="2760"/>
        <w:gridCol w:w="1064"/>
        <w:gridCol w:w="1064"/>
        <w:gridCol w:w="1064"/>
        <w:gridCol w:w="1096"/>
      </w:tblGrid>
      <w:tr w:rsidR="002652F6">
        <w:trPr>
          <w:jc w:val="center"/>
        </w:trPr>
        <w:tc>
          <w:tcPr>
            <w:tcW w:w="2760" w:type="dxa"/>
            <w:tcBorders>
              <w:bottom w:val="single" w:sz="4" w:space="0" w:color="000000" w:themeColor="text1"/>
            </w:tcBorders>
          </w:tcPr>
          <w:p w:rsidR="002652F6" w:rsidRDefault="002652F6" w:rsidP="002652F6">
            <w:pPr>
              <w:spacing w:line="360" w:lineRule="auto"/>
              <w:jc w:val="both"/>
              <w:rPr>
                <w:rFonts w:ascii="Garamond" w:eastAsiaTheme="minorEastAsia" w:hAnsi="Garamond"/>
              </w:rPr>
            </w:pPr>
            <w:r>
              <w:rPr>
                <w:rFonts w:ascii="Garamond" w:eastAsiaTheme="minorEastAsia" w:hAnsi="Garamond"/>
              </w:rPr>
              <w:t>Variable</w:t>
            </w:r>
          </w:p>
        </w:tc>
        <w:tc>
          <w:tcPr>
            <w:tcW w:w="1064" w:type="dxa"/>
            <w:tcBorders>
              <w:bottom w:val="single" w:sz="4" w:space="0" w:color="000000" w:themeColor="text1"/>
            </w:tcBorders>
          </w:tcPr>
          <w:p w:rsidR="002652F6" w:rsidRDefault="002652F6" w:rsidP="002652F6">
            <w:pPr>
              <w:spacing w:line="360" w:lineRule="auto"/>
              <w:jc w:val="center"/>
              <w:rPr>
                <w:rFonts w:ascii="Garamond" w:eastAsiaTheme="minorEastAsia" w:hAnsi="Garamond"/>
              </w:rPr>
            </w:pPr>
            <w:r>
              <w:rPr>
                <w:rFonts w:ascii="Garamond" w:eastAsiaTheme="minorEastAsia" w:hAnsi="Garamond"/>
              </w:rPr>
              <w:t>Mean</w:t>
            </w:r>
          </w:p>
        </w:tc>
        <w:tc>
          <w:tcPr>
            <w:tcW w:w="1064" w:type="dxa"/>
            <w:tcBorders>
              <w:bottom w:val="single" w:sz="4" w:space="0" w:color="000000" w:themeColor="text1"/>
            </w:tcBorders>
          </w:tcPr>
          <w:p w:rsidR="002652F6" w:rsidRDefault="002652F6" w:rsidP="002652F6">
            <w:pPr>
              <w:spacing w:line="360" w:lineRule="auto"/>
              <w:jc w:val="center"/>
              <w:rPr>
                <w:rFonts w:ascii="Garamond" w:eastAsiaTheme="minorEastAsia" w:hAnsi="Garamond"/>
              </w:rPr>
            </w:pPr>
            <w:r>
              <w:rPr>
                <w:rFonts w:ascii="Garamond" w:eastAsiaTheme="minorEastAsia" w:hAnsi="Garamond"/>
              </w:rPr>
              <w:t>Std. Dev.</w:t>
            </w:r>
          </w:p>
        </w:tc>
        <w:tc>
          <w:tcPr>
            <w:tcW w:w="1064" w:type="dxa"/>
            <w:tcBorders>
              <w:bottom w:val="single" w:sz="4" w:space="0" w:color="000000" w:themeColor="text1"/>
            </w:tcBorders>
          </w:tcPr>
          <w:p w:rsidR="002652F6" w:rsidRPr="0009120C" w:rsidRDefault="002652F6" w:rsidP="002652F6">
            <w:pPr>
              <w:spacing w:line="360" w:lineRule="auto"/>
              <w:jc w:val="center"/>
              <w:rPr>
                <w:rFonts w:ascii="Garamond" w:eastAsiaTheme="minorEastAsia" w:hAnsi="Garamond"/>
                <w:i/>
              </w:rPr>
            </w:pPr>
            <w:r w:rsidRPr="0009120C">
              <w:rPr>
                <w:rFonts w:ascii="Garamond" w:eastAsiaTheme="minorEastAsia" w:hAnsi="Garamond"/>
                <w:i/>
              </w:rPr>
              <w:t>D</w:t>
            </w:r>
          </w:p>
        </w:tc>
        <w:tc>
          <w:tcPr>
            <w:tcW w:w="1096" w:type="dxa"/>
            <w:tcBorders>
              <w:bottom w:val="single" w:sz="4" w:space="0" w:color="000000" w:themeColor="text1"/>
            </w:tcBorders>
          </w:tcPr>
          <w:p w:rsidR="002652F6" w:rsidRPr="0009120C" w:rsidRDefault="002652F6" w:rsidP="002652F6">
            <w:pPr>
              <w:spacing w:line="360" w:lineRule="auto"/>
              <w:jc w:val="center"/>
              <w:rPr>
                <w:rFonts w:ascii="Garamond" w:eastAsiaTheme="minorEastAsia" w:hAnsi="Garamond"/>
                <w:i/>
              </w:rPr>
            </w:pPr>
            <w:r w:rsidRPr="0009120C">
              <w:rPr>
                <w:rFonts w:ascii="Garamond" w:eastAsiaTheme="minorEastAsia" w:hAnsi="Garamond"/>
                <w:i/>
              </w:rPr>
              <w:t>N</w:t>
            </w:r>
          </w:p>
        </w:tc>
      </w:tr>
      <w:tr w:rsidR="002652F6">
        <w:trPr>
          <w:jc w:val="center"/>
        </w:trPr>
        <w:tc>
          <w:tcPr>
            <w:tcW w:w="2760" w:type="dxa"/>
            <w:tcBorders>
              <w:bottom w:val="nil"/>
            </w:tcBorders>
          </w:tcPr>
          <w:p w:rsidR="002652F6" w:rsidRDefault="002652F6" w:rsidP="002652F6">
            <w:pPr>
              <w:spacing w:line="360" w:lineRule="auto"/>
              <w:jc w:val="both"/>
              <w:rPr>
                <w:rFonts w:ascii="Garamond" w:eastAsiaTheme="minorEastAsia" w:hAnsi="Garamond"/>
              </w:rPr>
            </w:pPr>
            <w:r>
              <w:rPr>
                <w:rFonts w:ascii="Garamond" w:eastAsiaTheme="minorEastAsia" w:hAnsi="Garamond"/>
              </w:rPr>
              <w:t>Yields (kg/ha)</w:t>
            </w:r>
          </w:p>
        </w:tc>
        <w:tc>
          <w:tcPr>
            <w:tcW w:w="1064" w:type="dxa"/>
            <w:tcBorders>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6,053.53</w:t>
            </w:r>
          </w:p>
        </w:tc>
        <w:tc>
          <w:tcPr>
            <w:tcW w:w="1064" w:type="dxa"/>
            <w:tcBorders>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6,804.83</w:t>
            </w:r>
          </w:p>
        </w:tc>
        <w:tc>
          <w:tcPr>
            <w:tcW w:w="1064" w:type="dxa"/>
            <w:tcBorders>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1,210.71</w:t>
            </w:r>
          </w:p>
        </w:tc>
        <w:tc>
          <w:tcPr>
            <w:tcW w:w="1096" w:type="dxa"/>
            <w:tcBorders>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991</w:t>
            </w:r>
          </w:p>
        </w:tc>
      </w:tr>
      <w:tr w:rsidR="002652F6">
        <w:trPr>
          <w:jc w:val="center"/>
        </w:trPr>
        <w:tc>
          <w:tcPr>
            <w:tcW w:w="2760" w:type="dxa"/>
            <w:tcBorders>
              <w:top w:val="nil"/>
              <w:bottom w:val="nil"/>
            </w:tcBorders>
          </w:tcPr>
          <w:p w:rsidR="002652F6" w:rsidRDefault="002652F6" w:rsidP="002652F6">
            <w:pPr>
              <w:spacing w:line="360" w:lineRule="auto"/>
              <w:rPr>
                <w:rFonts w:ascii="Garamond" w:eastAsiaTheme="minorEastAsia" w:hAnsi="Garamond"/>
              </w:rPr>
            </w:pPr>
            <w:r>
              <w:rPr>
                <w:rFonts w:ascii="Garamond" w:eastAsiaTheme="minorEastAsia" w:hAnsi="Garamond"/>
              </w:rPr>
              <w:t>Time to Riobamba (private transportation) (minutes)</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31.41</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25.15</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6.28</w:t>
            </w:r>
          </w:p>
        </w:tc>
        <w:tc>
          <w:tcPr>
            <w:tcW w:w="1096"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503</w:t>
            </w:r>
          </w:p>
        </w:tc>
      </w:tr>
      <w:tr w:rsidR="002652F6">
        <w:trPr>
          <w:jc w:val="center"/>
        </w:trPr>
        <w:tc>
          <w:tcPr>
            <w:tcW w:w="2760" w:type="dxa"/>
            <w:tcBorders>
              <w:top w:val="nil"/>
              <w:bottom w:val="nil"/>
            </w:tcBorders>
          </w:tcPr>
          <w:p w:rsidR="002652F6" w:rsidRPr="00453DF3" w:rsidRDefault="002652F6" w:rsidP="002652F6">
            <w:pPr>
              <w:spacing w:line="360" w:lineRule="auto"/>
              <w:rPr>
                <w:rFonts w:ascii="Garamond" w:eastAsiaTheme="minorEastAsia" w:hAnsi="Garamond"/>
                <w:vertAlign w:val="superscript"/>
              </w:rPr>
            </w:pPr>
            <w:r>
              <w:rPr>
                <w:rFonts w:ascii="Garamond" w:eastAsiaTheme="minorEastAsia" w:hAnsi="Garamond"/>
              </w:rPr>
              <w:lastRenderedPageBreak/>
              <w:t>Time to Riobamba (public transportation) (minutes)</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54.15</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41.90</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10.83</w:t>
            </w:r>
          </w:p>
        </w:tc>
        <w:tc>
          <w:tcPr>
            <w:tcW w:w="1096"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469</w:t>
            </w:r>
          </w:p>
        </w:tc>
      </w:tr>
      <w:tr w:rsidR="002652F6">
        <w:trPr>
          <w:jc w:val="center"/>
        </w:trPr>
        <w:tc>
          <w:tcPr>
            <w:tcW w:w="2760" w:type="dxa"/>
            <w:tcBorders>
              <w:top w:val="nil"/>
              <w:bottom w:val="nil"/>
            </w:tcBorders>
          </w:tcPr>
          <w:p w:rsidR="002652F6" w:rsidRDefault="002652F6" w:rsidP="002652F6">
            <w:pPr>
              <w:spacing w:line="360" w:lineRule="auto"/>
              <w:jc w:val="both"/>
              <w:rPr>
                <w:rFonts w:ascii="Garamond" w:eastAsiaTheme="minorEastAsia" w:hAnsi="Garamond"/>
              </w:rPr>
            </w:pPr>
            <w:r>
              <w:rPr>
                <w:rFonts w:ascii="Garamond" w:eastAsiaTheme="minorEastAsia" w:hAnsi="Garamond"/>
              </w:rPr>
              <w:t>Livestock (number)</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3.65</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3.52</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0.73</w:t>
            </w:r>
          </w:p>
        </w:tc>
        <w:tc>
          <w:tcPr>
            <w:tcW w:w="1096"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729</w:t>
            </w:r>
          </w:p>
        </w:tc>
      </w:tr>
      <w:tr w:rsidR="002652F6">
        <w:trPr>
          <w:jc w:val="center"/>
        </w:trPr>
        <w:tc>
          <w:tcPr>
            <w:tcW w:w="2760" w:type="dxa"/>
            <w:tcBorders>
              <w:top w:val="nil"/>
              <w:bottom w:val="nil"/>
            </w:tcBorders>
          </w:tcPr>
          <w:p w:rsidR="002652F6" w:rsidRDefault="002652F6" w:rsidP="002652F6">
            <w:pPr>
              <w:spacing w:line="360" w:lineRule="auto"/>
              <w:rPr>
                <w:rFonts w:ascii="Garamond" w:eastAsiaTheme="minorEastAsia" w:hAnsi="Garamond"/>
              </w:rPr>
            </w:pPr>
            <w:r>
              <w:rPr>
                <w:rFonts w:ascii="Garamond" w:eastAsiaTheme="minorEastAsia" w:hAnsi="Garamond"/>
              </w:rPr>
              <w:t>HH Head Education (years)</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5.20</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4.05</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1.04</w:t>
            </w:r>
          </w:p>
        </w:tc>
        <w:tc>
          <w:tcPr>
            <w:tcW w:w="1096"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476</w:t>
            </w:r>
          </w:p>
        </w:tc>
      </w:tr>
      <w:tr w:rsidR="002652F6">
        <w:trPr>
          <w:jc w:val="center"/>
        </w:trPr>
        <w:tc>
          <w:tcPr>
            <w:tcW w:w="2760" w:type="dxa"/>
            <w:tcBorders>
              <w:top w:val="nil"/>
              <w:bottom w:val="nil"/>
            </w:tcBorders>
          </w:tcPr>
          <w:p w:rsidR="002652F6" w:rsidRDefault="002652F6" w:rsidP="002652F6">
            <w:pPr>
              <w:spacing w:line="360" w:lineRule="auto"/>
              <w:rPr>
                <w:rFonts w:ascii="Garamond" w:eastAsiaTheme="minorEastAsia" w:hAnsi="Garamond"/>
              </w:rPr>
            </w:pPr>
            <w:r>
              <w:rPr>
                <w:rFonts w:ascii="Garamond" w:eastAsiaTheme="minorEastAsia" w:hAnsi="Garamond"/>
              </w:rPr>
              <w:t>HH Avg. Education (years)</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5.69</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2.83</w:t>
            </w:r>
          </w:p>
        </w:tc>
        <w:tc>
          <w:tcPr>
            <w:tcW w:w="1064"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1.14</w:t>
            </w:r>
          </w:p>
        </w:tc>
        <w:tc>
          <w:tcPr>
            <w:tcW w:w="1096" w:type="dxa"/>
            <w:tcBorders>
              <w:top w:val="nil"/>
              <w:bottom w:val="nil"/>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194</w:t>
            </w:r>
          </w:p>
        </w:tc>
      </w:tr>
      <w:tr w:rsidR="002652F6">
        <w:trPr>
          <w:jc w:val="center"/>
        </w:trPr>
        <w:tc>
          <w:tcPr>
            <w:tcW w:w="2760" w:type="dxa"/>
            <w:tcBorders>
              <w:top w:val="nil"/>
              <w:bottom w:val="single" w:sz="4" w:space="0" w:color="auto"/>
            </w:tcBorders>
          </w:tcPr>
          <w:p w:rsidR="002652F6" w:rsidRPr="00453DF3" w:rsidRDefault="002652F6" w:rsidP="002652F6">
            <w:pPr>
              <w:spacing w:line="360" w:lineRule="auto"/>
              <w:rPr>
                <w:rFonts w:ascii="Garamond" w:eastAsiaTheme="minorEastAsia" w:hAnsi="Garamond"/>
                <w:vertAlign w:val="superscript"/>
              </w:rPr>
            </w:pPr>
            <w:r>
              <w:rPr>
                <w:rFonts w:ascii="Garamond" w:eastAsiaTheme="minorEastAsia" w:hAnsi="Garamond"/>
              </w:rPr>
              <w:t>HH Max. Education (years)</w:t>
            </w:r>
          </w:p>
        </w:tc>
        <w:tc>
          <w:tcPr>
            <w:tcW w:w="1064" w:type="dxa"/>
            <w:tcBorders>
              <w:top w:val="nil"/>
              <w:bottom w:val="single" w:sz="4" w:space="0" w:color="auto"/>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8.70</w:t>
            </w:r>
          </w:p>
        </w:tc>
        <w:tc>
          <w:tcPr>
            <w:tcW w:w="1064" w:type="dxa"/>
            <w:tcBorders>
              <w:top w:val="nil"/>
              <w:bottom w:val="single" w:sz="4" w:space="0" w:color="auto"/>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3.95</w:t>
            </w:r>
          </w:p>
        </w:tc>
        <w:tc>
          <w:tcPr>
            <w:tcW w:w="1064" w:type="dxa"/>
            <w:tcBorders>
              <w:top w:val="nil"/>
              <w:bottom w:val="single" w:sz="4" w:space="0" w:color="auto"/>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1.74</w:t>
            </w:r>
          </w:p>
        </w:tc>
        <w:tc>
          <w:tcPr>
            <w:tcW w:w="1096" w:type="dxa"/>
            <w:tcBorders>
              <w:top w:val="nil"/>
              <w:bottom w:val="single" w:sz="4" w:space="0" w:color="auto"/>
            </w:tcBorders>
          </w:tcPr>
          <w:p w:rsidR="002652F6" w:rsidRDefault="002652F6" w:rsidP="002652F6">
            <w:pPr>
              <w:spacing w:line="360" w:lineRule="auto"/>
              <w:jc w:val="right"/>
              <w:rPr>
                <w:rFonts w:ascii="Garamond" w:eastAsiaTheme="minorEastAsia" w:hAnsi="Garamond"/>
              </w:rPr>
            </w:pPr>
            <w:r>
              <w:rPr>
                <w:rFonts w:ascii="Garamond" w:eastAsiaTheme="minorEastAsia" w:hAnsi="Garamond"/>
              </w:rPr>
              <w:t>162</w:t>
            </w:r>
          </w:p>
        </w:tc>
      </w:tr>
    </w:tbl>
    <w:p w:rsidR="008A7BAE" w:rsidRDefault="008A7BAE" w:rsidP="002652F6">
      <w:pPr>
        <w:spacing w:before="120" w:after="0" w:line="360" w:lineRule="auto"/>
        <w:jc w:val="both"/>
        <w:rPr>
          <w:rFonts w:ascii="Garamond" w:hAnsi="Garamond"/>
        </w:rPr>
      </w:pPr>
    </w:p>
    <w:p w:rsidR="00DC255D" w:rsidRDefault="002652F6" w:rsidP="00DC255D">
      <w:pPr>
        <w:spacing w:before="120" w:after="0" w:line="360" w:lineRule="auto"/>
        <w:jc w:val="both"/>
        <w:rPr>
          <w:rFonts w:ascii="Garamond" w:hAnsi="Garamond"/>
        </w:rPr>
      </w:pPr>
      <w:r w:rsidRPr="009928F8">
        <w:rPr>
          <w:rFonts w:ascii="Garamond" w:hAnsi="Garamond"/>
        </w:rPr>
        <w:t>In administering the survey</w:t>
      </w:r>
      <w:r>
        <w:rPr>
          <w:rFonts w:ascii="Garamond" w:hAnsi="Garamond"/>
        </w:rPr>
        <w:t xml:space="preserve"> in the baseline and follow-up periods, it is possible that some households cannot be located or may refuse to respond. Since the above</w:t>
      </w:r>
      <w:r w:rsidRPr="009928F8">
        <w:rPr>
          <w:rFonts w:ascii="Garamond" w:hAnsi="Garamond"/>
        </w:rPr>
        <w:t xml:space="preserve"> esti</w:t>
      </w:r>
      <w:r>
        <w:rPr>
          <w:rFonts w:ascii="Garamond" w:hAnsi="Garamond"/>
        </w:rPr>
        <w:t>mate of the sample size is based</w:t>
      </w:r>
      <w:r w:rsidRPr="009928F8">
        <w:rPr>
          <w:rFonts w:ascii="Garamond" w:hAnsi="Garamond"/>
        </w:rPr>
        <w:t xml:space="preserve"> on completed surveys, it is necessary to consider this in the sample design</w:t>
      </w:r>
      <w:r>
        <w:rPr>
          <w:rFonts w:ascii="Garamond" w:hAnsi="Garamond"/>
        </w:rPr>
        <w:t>, thus</w:t>
      </w:r>
      <w:r w:rsidRPr="009928F8">
        <w:rPr>
          <w:rFonts w:ascii="Garamond" w:hAnsi="Garamond"/>
        </w:rPr>
        <w:t xml:space="preserve"> requiring the sample size to be larger. Note this should not add substantially to costs since the surveys are not administered to the non-respondents. To ensure a large enough sample, </w:t>
      </w:r>
      <w:r>
        <w:rPr>
          <w:rFonts w:ascii="Garamond" w:hAnsi="Garamond"/>
        </w:rPr>
        <w:t xml:space="preserve">it is (conservatively) assumed that </w:t>
      </w:r>
      <w:r w:rsidRPr="009928F8">
        <w:rPr>
          <w:rFonts w:ascii="Garamond" w:hAnsi="Garamond"/>
        </w:rPr>
        <w:t xml:space="preserve">non-response and attrition rates are </w:t>
      </w:r>
      <w:r>
        <w:rPr>
          <w:rFonts w:ascii="Garamond" w:hAnsi="Garamond"/>
        </w:rPr>
        <w:t xml:space="preserve">expected to total approximately 20%, </w:t>
      </w:r>
      <w:r w:rsidRPr="009928F8">
        <w:rPr>
          <w:rFonts w:ascii="Garamond" w:hAnsi="Garamond"/>
        </w:rPr>
        <w:t>which would suggest increasing the initial sample size by that amount.</w:t>
      </w:r>
      <w:r>
        <w:rPr>
          <w:rFonts w:ascii="Garamond" w:hAnsi="Garamond"/>
        </w:rPr>
        <w:t xml:space="preserve"> Thus, for each round of data collection, it is recommended to survey 1,200 households for a total of 2,400 surveys.</w:t>
      </w:r>
      <w:r>
        <w:rPr>
          <w:rFonts w:ascii="Garamond" w:eastAsiaTheme="minorEastAsia" w:hAnsi="Garamond"/>
        </w:rPr>
        <w:t xml:space="preserve"> </w:t>
      </w:r>
    </w:p>
    <w:p w:rsidR="002652F6" w:rsidRPr="00DC255D" w:rsidRDefault="002652F6" w:rsidP="00DC255D">
      <w:pPr>
        <w:spacing w:before="120" w:after="0" w:line="360" w:lineRule="auto"/>
        <w:jc w:val="both"/>
        <w:rPr>
          <w:rFonts w:ascii="Garamond" w:hAnsi="Garamond"/>
        </w:rPr>
      </w:pPr>
    </w:p>
    <w:p w:rsidR="00AF718B" w:rsidRPr="00AF718B" w:rsidRDefault="00AF718B" w:rsidP="008A7BAE">
      <w:pPr>
        <w:spacing w:line="360" w:lineRule="auto"/>
        <w:jc w:val="center"/>
        <w:rPr>
          <w:rFonts w:ascii="Garamond" w:hAnsi="Garamond"/>
          <w:b/>
          <w:szCs w:val="24"/>
        </w:rPr>
      </w:pPr>
      <w:r w:rsidRPr="00AF718B">
        <w:rPr>
          <w:rFonts w:ascii="Garamond" w:hAnsi="Garamond"/>
          <w:b/>
          <w:szCs w:val="24"/>
        </w:rPr>
        <w:t>Table 3: Data required</w:t>
      </w:r>
    </w:p>
    <w:tbl>
      <w:tblPr>
        <w:tblStyle w:val="TableGrid"/>
        <w:tblW w:w="0" w:type="auto"/>
        <w:tblLook w:val="04A0" w:firstRow="1" w:lastRow="0" w:firstColumn="1" w:lastColumn="0" w:noHBand="0" w:noVBand="1"/>
      </w:tblPr>
      <w:tblGrid>
        <w:gridCol w:w="9576"/>
      </w:tblGrid>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Intermediate household indicators</w:t>
            </w:r>
          </w:p>
        </w:tc>
      </w:tr>
      <w:tr w:rsidR="00AF718B">
        <w:tc>
          <w:tcPr>
            <w:tcW w:w="9576" w:type="dxa"/>
            <w:vAlign w:val="bottom"/>
          </w:tcPr>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Ado</w:t>
            </w:r>
            <w:r>
              <w:rPr>
                <w:rFonts w:ascii="Garamond" w:hAnsi="Garamond"/>
                <w:szCs w:val="24"/>
              </w:rPr>
              <w:t>ption of water use technologies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 xml:space="preserve">Diversification </w:t>
            </w:r>
            <w:r>
              <w:rPr>
                <w:rFonts w:ascii="Garamond" w:hAnsi="Garamond"/>
                <w:szCs w:val="24"/>
              </w:rPr>
              <w:t>of crop and livestock portfolio</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Expenditures on key inputs such as f</w:t>
            </w:r>
            <w:r>
              <w:rPr>
                <w:rFonts w:ascii="Garamond" w:hAnsi="Garamond"/>
                <w:szCs w:val="24"/>
              </w:rPr>
              <w:t>ertilizers and land preparation</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Investment in fixed and movable farm assets</w:t>
            </w:r>
            <w:r>
              <w:rPr>
                <w:rFonts w:ascii="Garamond" w:hAnsi="Garamond"/>
                <w:szCs w:val="24"/>
              </w:rPr>
              <w:t>, including natural resource investments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Placement o</w:t>
            </w:r>
            <w:r>
              <w:rPr>
                <w:rFonts w:ascii="Garamond" w:hAnsi="Garamond"/>
                <w:szCs w:val="24"/>
              </w:rPr>
              <w:t>f women in leadership positions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Access to new and pa</w:t>
            </w:r>
            <w:r>
              <w:rPr>
                <w:rFonts w:ascii="Garamond" w:hAnsi="Garamond"/>
                <w:szCs w:val="24"/>
              </w:rPr>
              <w:t>rticipation in existing markets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Transportati</w:t>
            </w:r>
            <w:r>
              <w:rPr>
                <w:rFonts w:ascii="Garamond" w:hAnsi="Garamond"/>
                <w:szCs w:val="24"/>
              </w:rPr>
              <w:t>on associated transaction costs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 xml:space="preserve">Access to </w:t>
            </w:r>
            <w:r>
              <w:rPr>
                <w:rFonts w:ascii="Garamond" w:hAnsi="Garamond"/>
                <w:szCs w:val="24"/>
              </w:rPr>
              <w:t>health and education facilities</w:t>
            </w:r>
          </w:p>
          <w:p w:rsidR="00AF718B"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Vehicle operation and maintenance costs</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Final household indicators</w:t>
            </w:r>
          </w:p>
        </w:tc>
      </w:tr>
      <w:tr w:rsidR="00AF718B">
        <w:tc>
          <w:tcPr>
            <w:tcW w:w="9576" w:type="dxa"/>
            <w:vAlign w:val="bottom"/>
          </w:tcPr>
          <w:p w:rsidR="00AF718B" w:rsidRPr="003C527C" w:rsidRDefault="00AF718B" w:rsidP="0036565E">
            <w:pPr>
              <w:pStyle w:val="ListParagraph"/>
              <w:numPr>
                <w:ilvl w:val="0"/>
                <w:numId w:val="24"/>
              </w:numPr>
              <w:spacing w:after="40"/>
              <w:contextualSpacing w:val="0"/>
              <w:rPr>
                <w:rFonts w:ascii="Garamond" w:hAnsi="Garamond"/>
                <w:szCs w:val="24"/>
              </w:rPr>
            </w:pPr>
            <w:r>
              <w:rPr>
                <w:rFonts w:ascii="Garamond" w:hAnsi="Garamond"/>
                <w:szCs w:val="24"/>
              </w:rPr>
              <w:t>Farm yields</w:t>
            </w:r>
          </w:p>
          <w:p w:rsidR="00AF718B" w:rsidRPr="003C527C" w:rsidRDefault="00AF718B" w:rsidP="0036565E">
            <w:pPr>
              <w:pStyle w:val="ListParagraph"/>
              <w:numPr>
                <w:ilvl w:val="0"/>
                <w:numId w:val="24"/>
              </w:numPr>
              <w:spacing w:after="40"/>
              <w:contextualSpacing w:val="0"/>
              <w:rPr>
                <w:rFonts w:ascii="Garamond" w:hAnsi="Garamond"/>
                <w:szCs w:val="24"/>
              </w:rPr>
            </w:pPr>
            <w:r>
              <w:rPr>
                <w:rFonts w:ascii="Garamond" w:hAnsi="Garamond"/>
                <w:szCs w:val="24"/>
              </w:rPr>
              <w:t>Gross margins</w:t>
            </w:r>
          </w:p>
          <w:p w:rsidR="00AF718B" w:rsidRPr="003C527C"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The v</w:t>
            </w:r>
            <w:r>
              <w:rPr>
                <w:rFonts w:ascii="Garamond" w:hAnsi="Garamond"/>
                <w:szCs w:val="24"/>
              </w:rPr>
              <w:t>alue of household assets/wealth</w:t>
            </w:r>
          </w:p>
          <w:p w:rsidR="00AF718B" w:rsidRPr="003C527C" w:rsidRDefault="00AF718B" w:rsidP="0036565E">
            <w:pPr>
              <w:pStyle w:val="ListParagraph"/>
              <w:numPr>
                <w:ilvl w:val="0"/>
                <w:numId w:val="24"/>
              </w:numPr>
              <w:spacing w:after="40"/>
              <w:contextualSpacing w:val="0"/>
              <w:rPr>
                <w:rFonts w:ascii="Garamond" w:hAnsi="Garamond"/>
                <w:szCs w:val="24"/>
              </w:rPr>
            </w:pPr>
            <w:r>
              <w:rPr>
                <w:rFonts w:ascii="Garamond" w:hAnsi="Garamond"/>
                <w:szCs w:val="24"/>
              </w:rPr>
              <w:t>Agricultural and t</w:t>
            </w:r>
            <w:r w:rsidRPr="003C527C">
              <w:rPr>
                <w:rFonts w:ascii="Garamond" w:hAnsi="Garamond"/>
                <w:szCs w:val="24"/>
              </w:rPr>
              <w:t>otal household income</w:t>
            </w:r>
          </w:p>
          <w:p w:rsidR="00AF718B" w:rsidRPr="003C527C" w:rsidRDefault="00AF718B" w:rsidP="0036565E">
            <w:pPr>
              <w:pStyle w:val="ListParagraph"/>
              <w:numPr>
                <w:ilvl w:val="0"/>
                <w:numId w:val="24"/>
              </w:numPr>
              <w:spacing w:after="40"/>
              <w:contextualSpacing w:val="0"/>
              <w:rPr>
                <w:rFonts w:ascii="Garamond" w:hAnsi="Garamond"/>
              </w:rPr>
            </w:pPr>
            <w:r w:rsidRPr="003C527C">
              <w:rPr>
                <w:rFonts w:ascii="Garamond" w:hAnsi="Garamond"/>
                <w:szCs w:val="24"/>
              </w:rPr>
              <w:t>Food security and dietary diversity</w:t>
            </w:r>
          </w:p>
          <w:p w:rsidR="00AF718B" w:rsidRPr="003C527C" w:rsidRDefault="00AF718B" w:rsidP="0036565E">
            <w:pPr>
              <w:pStyle w:val="ListParagraph"/>
              <w:numPr>
                <w:ilvl w:val="0"/>
                <w:numId w:val="24"/>
              </w:numPr>
              <w:spacing w:after="40"/>
              <w:contextualSpacing w:val="0"/>
              <w:rPr>
                <w:rFonts w:ascii="Garamond" w:hAnsi="Garamond"/>
              </w:rPr>
            </w:pPr>
            <w:r w:rsidRPr="003C527C">
              <w:rPr>
                <w:rFonts w:ascii="Garamond" w:hAnsi="Garamond"/>
                <w:szCs w:val="24"/>
              </w:rPr>
              <w:t>Agency and empowerment</w:t>
            </w:r>
          </w:p>
          <w:p w:rsidR="00AF718B" w:rsidRDefault="00AF718B" w:rsidP="0036565E">
            <w:pPr>
              <w:pStyle w:val="ListParagraph"/>
              <w:numPr>
                <w:ilvl w:val="0"/>
                <w:numId w:val="24"/>
              </w:numPr>
              <w:spacing w:after="40"/>
              <w:contextualSpacing w:val="0"/>
              <w:rPr>
                <w:rFonts w:ascii="Garamond" w:hAnsi="Garamond"/>
                <w:szCs w:val="24"/>
              </w:rPr>
            </w:pPr>
            <w:r w:rsidRPr="003C527C">
              <w:rPr>
                <w:rFonts w:ascii="Garamond" w:hAnsi="Garamond"/>
                <w:szCs w:val="24"/>
              </w:rPr>
              <w:t>Use of health and education facilities</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Geographic information</w:t>
            </w:r>
          </w:p>
        </w:tc>
      </w:tr>
      <w:tr w:rsidR="00AF718B">
        <w:tc>
          <w:tcPr>
            <w:tcW w:w="9576" w:type="dxa"/>
            <w:vAlign w:val="bottom"/>
          </w:tcPr>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Municipality, parroquia, canton, etc. of the household</w:t>
            </w:r>
          </w:p>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lastRenderedPageBreak/>
              <w:t>Access to infrastructure (e.g. distance of the household from nearest major road or primary/secondary school, location</w:t>
            </w:r>
            <w:r>
              <w:rPr>
                <w:rFonts w:ascii="Garamond" w:hAnsi="Garamond"/>
                <w:szCs w:val="24"/>
              </w:rPr>
              <w:t xml:space="preserve"> of nearest water source, etc.), preferably through the use of geographic position systems (GPS)</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lastRenderedPageBreak/>
              <w:t>Household characteristics</w:t>
            </w:r>
          </w:p>
        </w:tc>
      </w:tr>
      <w:tr w:rsidR="00AF718B">
        <w:tc>
          <w:tcPr>
            <w:tcW w:w="9576" w:type="dxa"/>
            <w:vAlign w:val="bottom"/>
          </w:tcPr>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Age, gender, relationship to household head, marital status, etc. for each household member</w:t>
            </w:r>
          </w:p>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Literacy and years of schooling of each household member</w:t>
            </w:r>
          </w:p>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Household migration history and receipt of remittances</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Agricultural assets</w:t>
            </w:r>
          </w:p>
        </w:tc>
      </w:tr>
      <w:tr w:rsidR="00AF718B">
        <w:tc>
          <w:tcPr>
            <w:tcW w:w="9576" w:type="dxa"/>
            <w:vAlign w:val="bottom"/>
          </w:tcPr>
          <w:p w:rsidR="00AF718B" w:rsidRPr="003C527C" w:rsidRDefault="00AF718B" w:rsidP="0036565E">
            <w:pPr>
              <w:pStyle w:val="ListParagraph"/>
              <w:numPr>
                <w:ilvl w:val="0"/>
                <w:numId w:val="44"/>
              </w:numPr>
              <w:spacing w:after="40"/>
              <w:contextualSpacing w:val="0"/>
              <w:rPr>
                <w:rFonts w:ascii="Garamond" w:hAnsi="Garamond"/>
                <w:szCs w:val="24"/>
              </w:rPr>
            </w:pPr>
            <w:r w:rsidRPr="003C527C">
              <w:rPr>
                <w:rFonts w:ascii="Garamond" w:hAnsi="Garamond"/>
                <w:szCs w:val="24"/>
              </w:rPr>
              <w:t>Land holdings</w:t>
            </w:r>
          </w:p>
          <w:p w:rsidR="00AF718B" w:rsidRPr="003C527C" w:rsidRDefault="00AF718B" w:rsidP="0036565E">
            <w:pPr>
              <w:pStyle w:val="ListParagraph"/>
              <w:numPr>
                <w:ilvl w:val="0"/>
                <w:numId w:val="44"/>
              </w:numPr>
              <w:spacing w:after="40"/>
              <w:contextualSpacing w:val="0"/>
              <w:rPr>
                <w:rFonts w:ascii="Garamond" w:hAnsi="Garamond"/>
                <w:szCs w:val="24"/>
              </w:rPr>
            </w:pPr>
            <w:r w:rsidRPr="003C527C">
              <w:rPr>
                <w:rFonts w:ascii="Garamond" w:hAnsi="Garamond"/>
                <w:szCs w:val="24"/>
              </w:rPr>
              <w:t>Agricultural equipment</w:t>
            </w:r>
          </w:p>
          <w:p w:rsidR="00AF718B" w:rsidRPr="002652F6" w:rsidRDefault="00AF718B" w:rsidP="0036565E">
            <w:pPr>
              <w:pStyle w:val="ListParagraph"/>
              <w:numPr>
                <w:ilvl w:val="0"/>
                <w:numId w:val="44"/>
              </w:numPr>
              <w:spacing w:after="40"/>
              <w:contextualSpacing w:val="0"/>
              <w:rPr>
                <w:rFonts w:ascii="Garamond" w:hAnsi="Garamond"/>
                <w:szCs w:val="24"/>
              </w:rPr>
            </w:pPr>
            <w:r w:rsidRPr="003C527C">
              <w:rPr>
                <w:rFonts w:ascii="Garamond" w:hAnsi="Garamond"/>
                <w:szCs w:val="24"/>
              </w:rPr>
              <w:t>Existence of production issues (e.g. infestation, flooding, etc.)</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Other assets</w:t>
            </w:r>
          </w:p>
        </w:tc>
      </w:tr>
      <w:tr w:rsidR="00AF718B">
        <w:tc>
          <w:tcPr>
            <w:tcW w:w="9576" w:type="dxa"/>
            <w:vAlign w:val="bottom"/>
          </w:tcPr>
          <w:p w:rsidR="00AF718B" w:rsidRPr="003C527C" w:rsidRDefault="00AF718B" w:rsidP="0036565E">
            <w:pPr>
              <w:pStyle w:val="ListParagraph"/>
              <w:numPr>
                <w:ilvl w:val="0"/>
                <w:numId w:val="45"/>
              </w:numPr>
              <w:spacing w:after="40"/>
              <w:contextualSpacing w:val="0"/>
              <w:rPr>
                <w:rFonts w:ascii="Garamond" w:hAnsi="Garamond"/>
                <w:szCs w:val="24"/>
              </w:rPr>
            </w:pPr>
            <w:r w:rsidRPr="003C527C">
              <w:rPr>
                <w:rFonts w:ascii="Garamond" w:hAnsi="Garamond"/>
                <w:szCs w:val="24"/>
              </w:rPr>
              <w:t>Non-agricultural assets</w:t>
            </w:r>
          </w:p>
          <w:p w:rsidR="00AF718B" w:rsidRPr="003C527C" w:rsidRDefault="00AF718B" w:rsidP="0036565E">
            <w:pPr>
              <w:pStyle w:val="ListParagraph"/>
              <w:numPr>
                <w:ilvl w:val="0"/>
                <w:numId w:val="45"/>
              </w:numPr>
              <w:spacing w:after="40"/>
              <w:contextualSpacing w:val="0"/>
              <w:rPr>
                <w:rFonts w:ascii="Garamond" w:hAnsi="Garamond"/>
                <w:szCs w:val="24"/>
              </w:rPr>
            </w:pPr>
            <w:r w:rsidRPr="003C527C">
              <w:rPr>
                <w:rFonts w:ascii="Garamond" w:hAnsi="Garamond"/>
                <w:szCs w:val="24"/>
              </w:rPr>
              <w:t>Household durables (e.g. type, quantity, and value of durables)</w:t>
            </w:r>
          </w:p>
          <w:p w:rsidR="00AF718B" w:rsidRPr="003C527C" w:rsidRDefault="00AF718B" w:rsidP="0036565E">
            <w:pPr>
              <w:pStyle w:val="ListParagraph"/>
              <w:numPr>
                <w:ilvl w:val="0"/>
                <w:numId w:val="45"/>
              </w:numPr>
              <w:spacing w:after="40"/>
              <w:contextualSpacing w:val="0"/>
              <w:rPr>
                <w:rFonts w:ascii="Garamond" w:hAnsi="Garamond"/>
                <w:szCs w:val="24"/>
              </w:rPr>
            </w:pPr>
            <w:r w:rsidRPr="003C527C">
              <w:rPr>
                <w:rFonts w:ascii="Garamond" w:hAnsi="Garamond"/>
                <w:szCs w:val="24"/>
              </w:rPr>
              <w:t>Conditions of the household’s dwelling.</w:t>
            </w:r>
          </w:p>
        </w:tc>
      </w:tr>
      <w:tr w:rsidR="00AF718B" w:rsidRPr="00AF718B">
        <w:tc>
          <w:tcPr>
            <w:tcW w:w="9576" w:type="dxa"/>
            <w:vAlign w:val="bottom"/>
          </w:tcPr>
          <w:p w:rsidR="00AF718B" w:rsidRPr="00AF718B" w:rsidRDefault="00AF718B" w:rsidP="0036565E">
            <w:pPr>
              <w:spacing w:after="40"/>
              <w:rPr>
                <w:rFonts w:ascii="Garamond" w:hAnsi="Garamond"/>
                <w:b/>
                <w:i/>
                <w:szCs w:val="24"/>
              </w:rPr>
            </w:pPr>
            <w:r w:rsidRPr="00AF718B">
              <w:rPr>
                <w:rFonts w:ascii="Garamond" w:hAnsi="Garamond"/>
                <w:b/>
                <w:i/>
                <w:szCs w:val="24"/>
              </w:rPr>
              <w:t>Organization/association</w:t>
            </w:r>
          </w:p>
        </w:tc>
      </w:tr>
      <w:tr w:rsidR="00AF718B">
        <w:tc>
          <w:tcPr>
            <w:tcW w:w="9576" w:type="dxa"/>
            <w:vAlign w:val="bottom"/>
          </w:tcPr>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Participation in other government programs</w:t>
            </w:r>
          </w:p>
          <w:p w:rsidR="00AF718B" w:rsidRPr="003C527C"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Participation in producer organization, cooperative, etc.</w:t>
            </w:r>
          </w:p>
          <w:p w:rsidR="00AF718B" w:rsidRPr="002652F6" w:rsidRDefault="00AF718B" w:rsidP="0036565E">
            <w:pPr>
              <w:pStyle w:val="ListParagraph"/>
              <w:numPr>
                <w:ilvl w:val="0"/>
                <w:numId w:val="34"/>
              </w:numPr>
              <w:spacing w:after="40"/>
              <w:contextualSpacing w:val="0"/>
              <w:rPr>
                <w:rFonts w:ascii="Garamond" w:hAnsi="Garamond"/>
                <w:szCs w:val="24"/>
              </w:rPr>
            </w:pPr>
            <w:r w:rsidRPr="003C527C">
              <w:rPr>
                <w:rFonts w:ascii="Garamond" w:hAnsi="Garamond"/>
                <w:szCs w:val="24"/>
              </w:rPr>
              <w:t>Receipt of technical assistance</w:t>
            </w:r>
          </w:p>
        </w:tc>
      </w:tr>
    </w:tbl>
    <w:p w:rsidR="00AF718B" w:rsidRDefault="00AF718B" w:rsidP="002652F6">
      <w:pPr>
        <w:spacing w:before="120" w:after="0" w:line="360" w:lineRule="auto"/>
        <w:jc w:val="both"/>
        <w:textAlignment w:val="top"/>
        <w:rPr>
          <w:rFonts w:ascii="Garamond" w:hAnsi="Garamond"/>
          <w:i/>
          <w:szCs w:val="24"/>
        </w:rPr>
      </w:pPr>
    </w:p>
    <w:p w:rsidR="00E279E7" w:rsidRPr="00AF718B" w:rsidRDefault="00C7293B" w:rsidP="009B24AA">
      <w:pPr>
        <w:spacing w:line="360" w:lineRule="auto"/>
        <w:jc w:val="both"/>
        <w:rPr>
          <w:rFonts w:ascii="Garamond" w:hAnsi="Garamond"/>
          <w:i/>
          <w:szCs w:val="24"/>
        </w:rPr>
      </w:pPr>
      <w:r>
        <w:rPr>
          <w:rFonts w:ascii="Garamond" w:hAnsi="Garamond"/>
          <w:i/>
          <w:szCs w:val="24"/>
        </w:rPr>
        <w:t>Rural Household Questionnaire</w:t>
      </w:r>
    </w:p>
    <w:p w:rsidR="00AE0237" w:rsidRDefault="00E279E7" w:rsidP="00AE0237">
      <w:pPr>
        <w:spacing w:line="360" w:lineRule="auto"/>
        <w:jc w:val="both"/>
        <w:rPr>
          <w:rFonts w:ascii="Garamond" w:hAnsi="Garamond"/>
          <w:szCs w:val="24"/>
        </w:rPr>
      </w:pPr>
      <w:r w:rsidRPr="003C527C">
        <w:rPr>
          <w:rFonts w:ascii="Garamond" w:hAnsi="Garamond"/>
          <w:szCs w:val="24"/>
        </w:rPr>
        <w:t xml:space="preserve">The objective of the PIDD-2 survey of rural households is to obtain – from both treatment and control groups from both project components – </w:t>
      </w:r>
      <w:r w:rsidR="00AA02F1" w:rsidRPr="003C527C">
        <w:rPr>
          <w:rFonts w:ascii="Garamond" w:hAnsi="Garamond"/>
          <w:szCs w:val="24"/>
        </w:rPr>
        <w:t xml:space="preserve">information pertaining to the </w:t>
      </w:r>
      <w:r w:rsidRPr="003C527C">
        <w:rPr>
          <w:rFonts w:ascii="Garamond" w:hAnsi="Garamond"/>
          <w:szCs w:val="24"/>
        </w:rPr>
        <w:t xml:space="preserve">impact/outcome variables of interest as well as a number of </w:t>
      </w:r>
      <w:r w:rsidR="00AE0237">
        <w:rPr>
          <w:rFonts w:ascii="Garamond" w:hAnsi="Garamond"/>
          <w:szCs w:val="24"/>
        </w:rPr>
        <w:t>conditioning variables</w:t>
      </w:r>
      <w:r w:rsidRPr="003C527C">
        <w:rPr>
          <w:rFonts w:ascii="Garamond" w:hAnsi="Garamond"/>
          <w:szCs w:val="24"/>
        </w:rPr>
        <w:t xml:space="preserve"> that are hypothesized to affect the outcome variables</w:t>
      </w:r>
      <w:r w:rsidR="00AA02F1" w:rsidRPr="003C527C">
        <w:rPr>
          <w:rFonts w:ascii="Garamond" w:hAnsi="Garamond"/>
          <w:szCs w:val="24"/>
        </w:rPr>
        <w:t xml:space="preserve">. The primary justification for the inclusion of </w:t>
      </w:r>
      <w:r w:rsidR="00AE0237">
        <w:rPr>
          <w:rFonts w:ascii="Garamond" w:hAnsi="Garamond"/>
          <w:szCs w:val="24"/>
        </w:rPr>
        <w:t>conditioning variables</w:t>
      </w:r>
      <w:r w:rsidR="00AA02F1" w:rsidRPr="003C527C">
        <w:rPr>
          <w:rFonts w:ascii="Garamond" w:hAnsi="Garamond"/>
          <w:szCs w:val="24"/>
        </w:rPr>
        <w:t xml:space="preserve"> is to </w:t>
      </w:r>
      <w:r w:rsidRPr="003C527C">
        <w:rPr>
          <w:rFonts w:ascii="Garamond" w:hAnsi="Garamond"/>
          <w:szCs w:val="24"/>
        </w:rPr>
        <w:t xml:space="preserve">improve the precision of the impact estimates. </w:t>
      </w:r>
      <w:r w:rsidR="00AE0237">
        <w:rPr>
          <w:rFonts w:ascii="Garamond" w:hAnsi="Garamond"/>
          <w:szCs w:val="24"/>
        </w:rPr>
        <w:t>A</w:t>
      </w:r>
      <w:r w:rsidR="00EC1252" w:rsidRPr="003C527C">
        <w:rPr>
          <w:rFonts w:ascii="Garamond" w:hAnsi="Garamond"/>
          <w:szCs w:val="24"/>
        </w:rPr>
        <w:t xml:space="preserve"> detailed list of the outcome and </w:t>
      </w:r>
      <w:r w:rsidR="00AE0237">
        <w:rPr>
          <w:rFonts w:ascii="Garamond" w:hAnsi="Garamond"/>
          <w:szCs w:val="24"/>
        </w:rPr>
        <w:t>conditioning variables</w:t>
      </w:r>
      <w:r w:rsidR="00EC1252" w:rsidRPr="003C527C">
        <w:rPr>
          <w:rFonts w:ascii="Garamond" w:hAnsi="Garamond"/>
          <w:szCs w:val="24"/>
        </w:rPr>
        <w:t xml:space="preserve"> </w:t>
      </w:r>
      <w:r w:rsidR="00AE0237">
        <w:rPr>
          <w:rFonts w:ascii="Garamond" w:hAnsi="Garamond"/>
          <w:szCs w:val="24"/>
        </w:rPr>
        <w:t xml:space="preserve">is provided in Table 3. </w:t>
      </w:r>
      <w:r w:rsidRPr="003C527C">
        <w:rPr>
          <w:rFonts w:ascii="Garamond" w:hAnsi="Garamond"/>
          <w:szCs w:val="24"/>
        </w:rPr>
        <w:t xml:space="preserve">As discussed, the household-level impact indicators can </w:t>
      </w:r>
      <w:r w:rsidR="002652F6">
        <w:rPr>
          <w:rFonts w:ascii="Garamond" w:hAnsi="Garamond"/>
          <w:szCs w:val="24"/>
        </w:rPr>
        <w:t xml:space="preserve">be classified into two groups: </w:t>
      </w:r>
      <w:r w:rsidRPr="003C527C">
        <w:rPr>
          <w:rFonts w:ascii="Garamond" w:hAnsi="Garamond"/>
          <w:szCs w:val="24"/>
        </w:rPr>
        <w:t xml:space="preserve">intermediate and final. </w:t>
      </w:r>
      <w:r w:rsidR="00AE0237" w:rsidRPr="003C527C">
        <w:rPr>
          <w:rFonts w:ascii="Garamond" w:hAnsi="Garamond"/>
          <w:szCs w:val="24"/>
        </w:rPr>
        <w:t xml:space="preserve">The consistent estimation of the project impact </w:t>
      </w:r>
      <w:r w:rsidR="00AE0237">
        <w:rPr>
          <w:rFonts w:ascii="Garamond" w:hAnsi="Garamond"/>
          <w:szCs w:val="24"/>
        </w:rPr>
        <w:t xml:space="preserve">also </w:t>
      </w:r>
      <w:r w:rsidR="00AE0237" w:rsidRPr="003C527C">
        <w:rPr>
          <w:rFonts w:ascii="Garamond" w:hAnsi="Garamond"/>
          <w:szCs w:val="24"/>
        </w:rPr>
        <w:t xml:space="preserve">requires gathering information on select control variables, </w:t>
      </w:r>
      <w:r w:rsidR="00AE0237">
        <w:rPr>
          <w:rFonts w:ascii="Garamond" w:hAnsi="Garamond"/>
          <w:szCs w:val="24"/>
        </w:rPr>
        <w:t>which are noted in Table 3 following the indicators.</w:t>
      </w:r>
    </w:p>
    <w:p w:rsidR="00C7293B" w:rsidRDefault="00D02DAE" w:rsidP="00AE0237">
      <w:pPr>
        <w:spacing w:line="360" w:lineRule="auto"/>
        <w:jc w:val="both"/>
        <w:rPr>
          <w:rFonts w:ascii="Garamond" w:hAnsi="Garamond"/>
          <w:szCs w:val="24"/>
        </w:rPr>
      </w:pPr>
      <w:r w:rsidRPr="003C527C">
        <w:rPr>
          <w:rFonts w:ascii="Garamond" w:hAnsi="Garamond"/>
          <w:szCs w:val="24"/>
        </w:rPr>
        <w:t xml:space="preserve">Given the variables required for the analysis, it is </w:t>
      </w:r>
      <w:r>
        <w:rPr>
          <w:rFonts w:ascii="Garamond" w:hAnsi="Garamond"/>
          <w:szCs w:val="24"/>
        </w:rPr>
        <w:t xml:space="preserve">then possible to </w:t>
      </w:r>
      <w:r w:rsidRPr="003C527C">
        <w:rPr>
          <w:rFonts w:ascii="Garamond" w:hAnsi="Garamond"/>
          <w:szCs w:val="24"/>
        </w:rPr>
        <w:t xml:space="preserve">outline the </w:t>
      </w:r>
      <w:r>
        <w:rPr>
          <w:rFonts w:ascii="Garamond" w:hAnsi="Garamond"/>
          <w:szCs w:val="24"/>
        </w:rPr>
        <w:t>questionnaire</w:t>
      </w:r>
      <w:r w:rsidRPr="003C527C">
        <w:rPr>
          <w:rFonts w:ascii="Garamond" w:hAnsi="Garamond"/>
          <w:szCs w:val="24"/>
        </w:rPr>
        <w:t xml:space="preserve"> by which the data is</w:t>
      </w:r>
      <w:r>
        <w:rPr>
          <w:rFonts w:ascii="Garamond" w:hAnsi="Garamond"/>
          <w:szCs w:val="24"/>
        </w:rPr>
        <w:t xml:space="preserve"> to be</w:t>
      </w:r>
      <w:r w:rsidRPr="003C527C">
        <w:rPr>
          <w:rFonts w:ascii="Garamond" w:hAnsi="Garamond"/>
          <w:szCs w:val="24"/>
        </w:rPr>
        <w:t xml:space="preserve"> collected. </w:t>
      </w:r>
      <w:r>
        <w:rPr>
          <w:rFonts w:ascii="Garamond" w:hAnsi="Garamond"/>
          <w:szCs w:val="24"/>
        </w:rPr>
        <w:t xml:space="preserve">Table 4 provides an overview of the modules of the questionnaire. Each section of the questionnaire can be justified through its link to the variables noted in Table 3. </w:t>
      </w:r>
    </w:p>
    <w:p w:rsidR="002231B8" w:rsidRPr="002231B8" w:rsidRDefault="002231B8" w:rsidP="008A7BAE">
      <w:pPr>
        <w:spacing w:line="360" w:lineRule="auto"/>
        <w:jc w:val="center"/>
        <w:rPr>
          <w:rFonts w:ascii="Garamond" w:hAnsi="Garamond"/>
          <w:b/>
          <w:szCs w:val="24"/>
        </w:rPr>
      </w:pPr>
      <w:r w:rsidRPr="002231B8">
        <w:rPr>
          <w:rFonts w:ascii="Garamond" w:hAnsi="Garamond"/>
          <w:b/>
          <w:szCs w:val="24"/>
        </w:rPr>
        <w:t>Table 4: Modules of household questionnaire</w:t>
      </w:r>
    </w:p>
    <w:tbl>
      <w:tblPr>
        <w:tblStyle w:val="TableGrid"/>
        <w:tblW w:w="0" w:type="auto"/>
        <w:tblLook w:val="04A0" w:firstRow="1" w:lastRow="0" w:firstColumn="1" w:lastColumn="0" w:noHBand="0" w:noVBand="1"/>
      </w:tblPr>
      <w:tblGrid>
        <w:gridCol w:w="9576"/>
      </w:tblGrid>
      <w:tr w:rsidR="00AF718B" w:rsidRPr="002231B8">
        <w:tc>
          <w:tcPr>
            <w:tcW w:w="9576" w:type="dxa"/>
            <w:vAlign w:val="center"/>
          </w:tcPr>
          <w:p w:rsidR="00AF718B" w:rsidRPr="002231B8" w:rsidRDefault="002231B8" w:rsidP="00C7293B">
            <w:pPr>
              <w:spacing w:after="40"/>
              <w:rPr>
                <w:rFonts w:ascii="Garamond" w:hAnsi="Garamond"/>
                <w:b/>
                <w:i/>
                <w:szCs w:val="24"/>
              </w:rPr>
            </w:pPr>
            <w:r w:rsidRPr="002231B8">
              <w:rPr>
                <w:rFonts w:ascii="Garamond" w:hAnsi="Garamond"/>
                <w:b/>
                <w:i/>
                <w:szCs w:val="24"/>
              </w:rPr>
              <w:t>Set-up/Household Identification</w:t>
            </w:r>
          </w:p>
        </w:tc>
      </w:tr>
      <w:tr w:rsidR="00AF718B">
        <w:tc>
          <w:tcPr>
            <w:tcW w:w="9576" w:type="dxa"/>
            <w:vAlign w:val="center"/>
          </w:tcPr>
          <w:p w:rsidR="002231B8" w:rsidRPr="003C527C" w:rsidRDefault="002231B8" w:rsidP="00C7293B">
            <w:pPr>
              <w:pStyle w:val="ListParagraph"/>
              <w:numPr>
                <w:ilvl w:val="0"/>
                <w:numId w:val="26"/>
              </w:numPr>
              <w:spacing w:after="40"/>
              <w:contextualSpacing w:val="0"/>
              <w:rPr>
                <w:rFonts w:ascii="Garamond" w:hAnsi="Garamond"/>
                <w:szCs w:val="24"/>
              </w:rPr>
            </w:pPr>
            <w:r w:rsidRPr="003C527C">
              <w:rPr>
                <w:rFonts w:ascii="Garamond" w:hAnsi="Garamond"/>
                <w:szCs w:val="24"/>
              </w:rPr>
              <w:t xml:space="preserve">Section A.1: Identification of the household/production unit (e.g. name of respondent, location of household, </w:t>
            </w:r>
            <w:r>
              <w:rPr>
                <w:rFonts w:ascii="Garamond" w:hAnsi="Garamond"/>
                <w:szCs w:val="24"/>
              </w:rPr>
              <w:t>project</w:t>
            </w:r>
            <w:r w:rsidRPr="003C527C">
              <w:rPr>
                <w:rFonts w:ascii="Garamond" w:hAnsi="Garamond"/>
                <w:szCs w:val="24"/>
              </w:rPr>
              <w:t xml:space="preserve"> beneficiary status, etc.)</w:t>
            </w:r>
          </w:p>
          <w:p w:rsidR="002231B8" w:rsidRPr="003C527C" w:rsidRDefault="002231B8" w:rsidP="00C7293B">
            <w:pPr>
              <w:pStyle w:val="ListParagraph"/>
              <w:numPr>
                <w:ilvl w:val="0"/>
                <w:numId w:val="26"/>
              </w:numPr>
              <w:spacing w:after="40"/>
              <w:contextualSpacing w:val="0"/>
              <w:rPr>
                <w:rFonts w:ascii="Garamond" w:hAnsi="Garamond"/>
                <w:szCs w:val="24"/>
              </w:rPr>
            </w:pPr>
            <w:r w:rsidRPr="003C527C">
              <w:rPr>
                <w:rFonts w:ascii="Garamond" w:hAnsi="Garamond"/>
                <w:szCs w:val="24"/>
              </w:rPr>
              <w:lastRenderedPageBreak/>
              <w:t>Section A.2: Identification of the interview/interviewer (e.g. name of interviewer, time started and finished of the interview, etc.)</w:t>
            </w:r>
          </w:p>
          <w:p w:rsidR="00AF718B" w:rsidRDefault="002231B8" w:rsidP="00C7293B">
            <w:pPr>
              <w:pStyle w:val="ListParagraph"/>
              <w:numPr>
                <w:ilvl w:val="0"/>
                <w:numId w:val="26"/>
              </w:numPr>
              <w:spacing w:after="40"/>
              <w:contextualSpacing w:val="0"/>
              <w:rPr>
                <w:rFonts w:ascii="Garamond" w:hAnsi="Garamond"/>
                <w:szCs w:val="24"/>
              </w:rPr>
            </w:pPr>
            <w:r w:rsidRPr="003C527C">
              <w:rPr>
                <w:rFonts w:ascii="Garamond" w:hAnsi="Garamond"/>
                <w:szCs w:val="24"/>
              </w:rPr>
              <w:t>Section A.3: GPS coordinates and related information</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lastRenderedPageBreak/>
              <w:t>Module 1: Household Demographics and Social Service Access</w:t>
            </w:r>
          </w:p>
        </w:tc>
      </w:tr>
      <w:tr w:rsidR="00AF718B" w:rsidRPr="00C7293B">
        <w:tc>
          <w:tcPr>
            <w:tcW w:w="9576" w:type="dxa"/>
            <w:vAlign w:val="center"/>
          </w:tcPr>
          <w:p w:rsidR="002231B8" w:rsidRPr="00C7293B" w:rsidRDefault="002231B8" w:rsidP="00C7293B">
            <w:pPr>
              <w:pStyle w:val="ListParagraph"/>
              <w:numPr>
                <w:ilvl w:val="0"/>
                <w:numId w:val="35"/>
              </w:numPr>
              <w:spacing w:after="40"/>
              <w:contextualSpacing w:val="0"/>
              <w:rPr>
                <w:rFonts w:ascii="Garamond" w:hAnsi="Garamond"/>
                <w:szCs w:val="24"/>
              </w:rPr>
            </w:pPr>
            <w:r w:rsidRPr="00C7293B">
              <w:rPr>
                <w:rFonts w:ascii="Garamond" w:hAnsi="Garamond"/>
                <w:szCs w:val="24"/>
              </w:rPr>
              <w:t>Section 1.1: Household members (e.g. age, gender, relationship to household head, marital status, years of schooling, etc. of each household member)</w:t>
            </w:r>
          </w:p>
          <w:p w:rsidR="00AF718B" w:rsidRPr="00C7293B" w:rsidRDefault="002231B8" w:rsidP="00C7293B">
            <w:pPr>
              <w:pStyle w:val="ListParagraph"/>
              <w:numPr>
                <w:ilvl w:val="0"/>
                <w:numId w:val="35"/>
              </w:numPr>
              <w:spacing w:after="40"/>
              <w:contextualSpacing w:val="0"/>
              <w:rPr>
                <w:rFonts w:ascii="Garamond" w:hAnsi="Garamond"/>
                <w:b/>
                <w:i/>
                <w:szCs w:val="24"/>
              </w:rPr>
            </w:pPr>
            <w:r w:rsidRPr="00C7293B">
              <w:rPr>
                <w:rFonts w:ascii="Garamond" w:hAnsi="Garamond"/>
                <w:szCs w:val="24"/>
              </w:rPr>
              <w:t>Section 1.2: Education and health access (e.g. individual school enrollment, attendance and access, use of health system and access, etc. )</w:t>
            </w:r>
          </w:p>
        </w:tc>
      </w:tr>
      <w:tr w:rsidR="00C7293B">
        <w:tc>
          <w:tcPr>
            <w:tcW w:w="9576" w:type="dxa"/>
            <w:vAlign w:val="center"/>
          </w:tcPr>
          <w:p w:rsidR="00C7293B" w:rsidRPr="00C7293B" w:rsidRDefault="00C7293B" w:rsidP="00C7293B">
            <w:pPr>
              <w:spacing w:after="40"/>
              <w:rPr>
                <w:rFonts w:ascii="Garamond" w:hAnsi="Garamond"/>
                <w:szCs w:val="24"/>
              </w:rPr>
            </w:pPr>
            <w:r w:rsidRPr="00C7293B">
              <w:rPr>
                <w:rFonts w:ascii="Garamond" w:hAnsi="Garamond"/>
                <w:b/>
                <w:i/>
                <w:szCs w:val="24"/>
              </w:rPr>
              <w:t>Module 2: Agricultural Parcels</w:t>
            </w:r>
          </w:p>
        </w:tc>
      </w:tr>
      <w:tr w:rsidR="00AF718B">
        <w:tc>
          <w:tcPr>
            <w:tcW w:w="9576" w:type="dxa"/>
            <w:vAlign w:val="center"/>
          </w:tcPr>
          <w:p w:rsidR="002231B8" w:rsidRPr="003C527C"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Section 2.1: General parcel information (e.g. location, area, use, etc.)</w:t>
            </w:r>
          </w:p>
          <w:p w:rsidR="002231B8" w:rsidRPr="003C527C"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 xml:space="preserve">Section 2.2: Detailed characteristics of owned parcels (e.g. tenure status/security, irrigation, </w:t>
            </w:r>
            <w:r>
              <w:rPr>
                <w:rFonts w:ascii="Garamond" w:hAnsi="Garamond"/>
                <w:szCs w:val="24"/>
              </w:rPr>
              <w:t xml:space="preserve">irrigation technology, </w:t>
            </w:r>
            <w:r w:rsidRPr="003C527C">
              <w:rPr>
                <w:rFonts w:ascii="Garamond" w:hAnsi="Garamond"/>
                <w:szCs w:val="24"/>
              </w:rPr>
              <w:t xml:space="preserve">soil type/quality, etc.) </w:t>
            </w:r>
          </w:p>
          <w:p w:rsidR="002231B8" w:rsidRPr="003C527C"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 xml:space="preserve">Section 2.3: Parcels rented, sharecropped, or lent from others (e.g. payment information, use, irrigation, etc.) </w:t>
            </w:r>
          </w:p>
          <w:p w:rsidR="002231B8" w:rsidRPr="003C527C"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 xml:space="preserve">Section 2.4: Parcels rented, sharecropped, or lent to others (e.g. payment received, use, irrigation, etc.) </w:t>
            </w:r>
          </w:p>
          <w:p w:rsidR="002231B8" w:rsidRPr="003C527C"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Section 2.5: Land market participation (e.g. size, price, date, etc. of land purchased or sold in the past five years)</w:t>
            </w:r>
          </w:p>
          <w:p w:rsidR="00AF718B" w:rsidRPr="00C7293B" w:rsidRDefault="002231B8" w:rsidP="00C7293B">
            <w:pPr>
              <w:pStyle w:val="ListParagraph"/>
              <w:numPr>
                <w:ilvl w:val="0"/>
                <w:numId w:val="27"/>
              </w:numPr>
              <w:spacing w:after="40"/>
              <w:contextualSpacing w:val="0"/>
              <w:rPr>
                <w:rFonts w:ascii="Garamond" w:hAnsi="Garamond"/>
                <w:szCs w:val="24"/>
              </w:rPr>
            </w:pPr>
            <w:r w:rsidRPr="003C527C">
              <w:rPr>
                <w:rFonts w:ascii="Garamond" w:hAnsi="Garamond"/>
                <w:szCs w:val="24"/>
              </w:rPr>
              <w:t>Section 2.6: Investment in parcel (type, cost, etc.)</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 xml:space="preserve">Module 3: Agricultural Costs and Production </w:t>
            </w:r>
          </w:p>
        </w:tc>
      </w:tr>
      <w:tr w:rsidR="00AF718B">
        <w:tc>
          <w:tcPr>
            <w:tcW w:w="9576" w:type="dxa"/>
            <w:vAlign w:val="center"/>
          </w:tcPr>
          <w:p w:rsidR="002231B8" w:rsidRPr="003C527C" w:rsidRDefault="002231B8" w:rsidP="00C7293B">
            <w:pPr>
              <w:pStyle w:val="ListParagraph"/>
              <w:numPr>
                <w:ilvl w:val="0"/>
                <w:numId w:val="28"/>
              </w:numPr>
              <w:spacing w:after="40"/>
              <w:contextualSpacing w:val="0"/>
              <w:rPr>
                <w:rFonts w:ascii="Garamond" w:hAnsi="Garamond"/>
                <w:szCs w:val="24"/>
              </w:rPr>
            </w:pPr>
            <w:r w:rsidRPr="003C527C">
              <w:rPr>
                <w:rFonts w:ascii="Garamond" w:hAnsi="Garamond"/>
                <w:szCs w:val="24"/>
              </w:rPr>
              <w:t>Section 3.</w:t>
            </w:r>
            <w:r>
              <w:rPr>
                <w:rFonts w:ascii="Garamond" w:hAnsi="Garamond"/>
                <w:szCs w:val="24"/>
              </w:rPr>
              <w:t>1</w:t>
            </w:r>
            <w:r w:rsidRPr="003C527C">
              <w:rPr>
                <w:rFonts w:ascii="Garamond" w:hAnsi="Garamond"/>
                <w:szCs w:val="24"/>
              </w:rPr>
              <w:t xml:space="preserve">: </w:t>
            </w:r>
            <w:r>
              <w:rPr>
                <w:rFonts w:ascii="Garamond" w:hAnsi="Garamond"/>
                <w:szCs w:val="24"/>
              </w:rPr>
              <w:t>Parcel use</w:t>
            </w:r>
            <w:r w:rsidRPr="003C527C">
              <w:rPr>
                <w:rFonts w:ascii="Garamond" w:hAnsi="Garamond"/>
                <w:szCs w:val="24"/>
              </w:rPr>
              <w:t xml:space="preserve"> (e.g. </w:t>
            </w:r>
            <w:r>
              <w:rPr>
                <w:rFonts w:ascii="Garamond" w:hAnsi="Garamond"/>
                <w:szCs w:val="24"/>
              </w:rPr>
              <w:t>annual and permanent crops planted by season</w:t>
            </w:r>
            <w:r w:rsidRPr="003C527C">
              <w:rPr>
                <w:rFonts w:ascii="Garamond" w:hAnsi="Garamond"/>
                <w:szCs w:val="24"/>
              </w:rPr>
              <w:t>)</w:t>
            </w:r>
          </w:p>
          <w:p w:rsidR="002231B8" w:rsidRPr="003C527C" w:rsidRDefault="002231B8" w:rsidP="00C7293B">
            <w:pPr>
              <w:pStyle w:val="ListParagraph"/>
              <w:numPr>
                <w:ilvl w:val="0"/>
                <w:numId w:val="28"/>
              </w:numPr>
              <w:spacing w:after="40"/>
              <w:contextualSpacing w:val="0"/>
              <w:rPr>
                <w:rFonts w:ascii="Garamond" w:hAnsi="Garamond"/>
                <w:szCs w:val="24"/>
              </w:rPr>
            </w:pPr>
            <w:r w:rsidRPr="003C527C">
              <w:rPr>
                <w:rFonts w:ascii="Garamond" w:hAnsi="Garamond"/>
                <w:szCs w:val="24"/>
              </w:rPr>
              <w:t>Section 3.</w:t>
            </w:r>
            <w:r>
              <w:rPr>
                <w:rFonts w:ascii="Garamond" w:hAnsi="Garamond"/>
                <w:szCs w:val="24"/>
              </w:rPr>
              <w:t>2</w:t>
            </w:r>
            <w:r w:rsidRPr="003C527C">
              <w:rPr>
                <w:rFonts w:ascii="Garamond" w:hAnsi="Garamond"/>
                <w:szCs w:val="24"/>
              </w:rPr>
              <w:t>: Annual input usage and costs (e.g. type, quantity, and cost of seeds, fertilizers, pesticides, equipment, labor</w:t>
            </w:r>
            <w:r>
              <w:rPr>
                <w:rFonts w:ascii="Garamond" w:hAnsi="Garamond"/>
                <w:szCs w:val="24"/>
              </w:rPr>
              <w:t xml:space="preserve"> use disaggregated by gender</w:t>
            </w:r>
            <w:r w:rsidRPr="003C527C">
              <w:rPr>
                <w:rFonts w:ascii="Garamond" w:hAnsi="Garamond"/>
                <w:szCs w:val="24"/>
              </w:rPr>
              <w:t>, transportation, etc. utilized)</w:t>
            </w:r>
          </w:p>
          <w:p w:rsidR="002231B8" w:rsidRPr="003C527C" w:rsidRDefault="002231B8" w:rsidP="00C7293B">
            <w:pPr>
              <w:pStyle w:val="ListParagraph"/>
              <w:numPr>
                <w:ilvl w:val="0"/>
                <w:numId w:val="28"/>
              </w:numPr>
              <w:spacing w:after="40"/>
              <w:contextualSpacing w:val="0"/>
              <w:rPr>
                <w:rFonts w:ascii="Garamond" w:hAnsi="Garamond"/>
                <w:szCs w:val="24"/>
              </w:rPr>
            </w:pPr>
            <w:r w:rsidRPr="003C527C">
              <w:rPr>
                <w:rFonts w:ascii="Garamond" w:hAnsi="Garamond"/>
                <w:szCs w:val="24"/>
              </w:rPr>
              <w:t>Section 3.</w:t>
            </w:r>
            <w:r>
              <w:rPr>
                <w:rFonts w:ascii="Garamond" w:hAnsi="Garamond"/>
                <w:szCs w:val="24"/>
              </w:rPr>
              <w:t xml:space="preserve">3: Crop production, sales and post-harvest use </w:t>
            </w:r>
            <w:r w:rsidRPr="003C527C">
              <w:rPr>
                <w:rFonts w:ascii="Garamond" w:hAnsi="Garamond"/>
                <w:szCs w:val="24"/>
              </w:rPr>
              <w:t>(e.g. crops cultivated, area planted, revenue received, market access, etc.)</w:t>
            </w:r>
          </w:p>
          <w:p w:rsidR="00AF718B" w:rsidRDefault="002231B8" w:rsidP="00C7293B">
            <w:pPr>
              <w:pStyle w:val="ListParagraph"/>
              <w:numPr>
                <w:ilvl w:val="0"/>
                <w:numId w:val="28"/>
              </w:numPr>
              <w:spacing w:after="40"/>
              <w:contextualSpacing w:val="0"/>
              <w:rPr>
                <w:rFonts w:ascii="Garamond" w:hAnsi="Garamond"/>
                <w:szCs w:val="24"/>
              </w:rPr>
            </w:pPr>
            <w:r w:rsidRPr="003C527C">
              <w:rPr>
                <w:rFonts w:ascii="Garamond" w:hAnsi="Garamond"/>
                <w:szCs w:val="24"/>
              </w:rPr>
              <w:t>Section 3.</w:t>
            </w:r>
            <w:r>
              <w:rPr>
                <w:rFonts w:ascii="Garamond" w:hAnsi="Garamond"/>
                <w:szCs w:val="24"/>
              </w:rPr>
              <w:t>4</w:t>
            </w:r>
            <w:r w:rsidRPr="003C527C">
              <w:rPr>
                <w:rFonts w:ascii="Garamond" w:hAnsi="Garamond"/>
                <w:szCs w:val="24"/>
              </w:rPr>
              <w:t>: Permanent crop inventory, production, and sales (e.g. crops cultivated, area planted, costs, and revenue)</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Module 4:  Livestock</w:t>
            </w:r>
          </w:p>
        </w:tc>
      </w:tr>
      <w:tr w:rsidR="00AF718B">
        <w:tc>
          <w:tcPr>
            <w:tcW w:w="9576" w:type="dxa"/>
            <w:vAlign w:val="center"/>
          </w:tcPr>
          <w:p w:rsidR="002231B8" w:rsidRPr="003C527C" w:rsidRDefault="002231B8" w:rsidP="00C7293B">
            <w:pPr>
              <w:pStyle w:val="ListParagraph"/>
              <w:numPr>
                <w:ilvl w:val="0"/>
                <w:numId w:val="30"/>
              </w:numPr>
              <w:spacing w:after="40"/>
              <w:contextualSpacing w:val="0"/>
              <w:rPr>
                <w:rFonts w:ascii="Garamond" w:hAnsi="Garamond"/>
                <w:szCs w:val="24"/>
              </w:rPr>
            </w:pPr>
            <w:r w:rsidRPr="003C527C">
              <w:rPr>
                <w:rFonts w:ascii="Garamond" w:hAnsi="Garamond"/>
                <w:szCs w:val="24"/>
              </w:rPr>
              <w:t>Section 4.1: Inventory (e.g. number and value of animals owned</w:t>
            </w:r>
            <w:r>
              <w:rPr>
                <w:rFonts w:ascii="Garamond" w:hAnsi="Garamond"/>
                <w:szCs w:val="24"/>
              </w:rPr>
              <w:t>, investment in last year</w:t>
            </w:r>
            <w:r w:rsidRPr="003C527C">
              <w:rPr>
                <w:rFonts w:ascii="Garamond" w:hAnsi="Garamond"/>
                <w:szCs w:val="24"/>
              </w:rPr>
              <w:t>)</w:t>
            </w:r>
          </w:p>
          <w:p w:rsidR="00AF718B" w:rsidRDefault="002231B8" w:rsidP="00C7293B">
            <w:pPr>
              <w:pStyle w:val="ListParagraph"/>
              <w:numPr>
                <w:ilvl w:val="0"/>
                <w:numId w:val="30"/>
              </w:numPr>
              <w:spacing w:after="40"/>
              <w:contextualSpacing w:val="0"/>
              <w:rPr>
                <w:rFonts w:ascii="Garamond" w:hAnsi="Garamond"/>
                <w:szCs w:val="24"/>
              </w:rPr>
            </w:pPr>
            <w:r w:rsidRPr="003C527C">
              <w:rPr>
                <w:rFonts w:ascii="Garamond" w:hAnsi="Garamond"/>
                <w:szCs w:val="24"/>
              </w:rPr>
              <w:t>Section 4.2: Livestock production and costs (e.g. sales, household consumption, and costs)</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Module 5: Off-farm Income</w:t>
            </w:r>
          </w:p>
        </w:tc>
      </w:tr>
      <w:tr w:rsidR="00AF718B">
        <w:tc>
          <w:tcPr>
            <w:tcW w:w="9576" w:type="dxa"/>
            <w:vAlign w:val="center"/>
          </w:tcPr>
          <w:p w:rsidR="002231B8" w:rsidRPr="003C527C" w:rsidRDefault="002231B8" w:rsidP="00C7293B">
            <w:pPr>
              <w:pStyle w:val="ListParagraph"/>
              <w:numPr>
                <w:ilvl w:val="0"/>
                <w:numId w:val="36"/>
              </w:numPr>
              <w:spacing w:after="40"/>
              <w:contextualSpacing w:val="0"/>
              <w:rPr>
                <w:rFonts w:ascii="Garamond" w:hAnsi="Garamond"/>
                <w:szCs w:val="24"/>
              </w:rPr>
            </w:pPr>
            <w:r w:rsidRPr="003C527C">
              <w:rPr>
                <w:rFonts w:ascii="Garamond" w:hAnsi="Garamond"/>
                <w:szCs w:val="24"/>
              </w:rPr>
              <w:t>Section 5.1: Wage income (e.g. occupation, hours worked, and earnings</w:t>
            </w:r>
            <w:r>
              <w:rPr>
                <w:rFonts w:ascii="Garamond" w:hAnsi="Garamond"/>
                <w:szCs w:val="24"/>
              </w:rPr>
              <w:t xml:space="preserve"> disaggregated by gender</w:t>
            </w:r>
            <w:r w:rsidRPr="003C527C">
              <w:rPr>
                <w:rFonts w:ascii="Garamond" w:hAnsi="Garamond"/>
                <w:szCs w:val="24"/>
              </w:rPr>
              <w:t>)</w:t>
            </w:r>
          </w:p>
          <w:p w:rsidR="00AF718B" w:rsidRDefault="002231B8" w:rsidP="00C7293B">
            <w:pPr>
              <w:pStyle w:val="ListParagraph"/>
              <w:numPr>
                <w:ilvl w:val="0"/>
                <w:numId w:val="36"/>
              </w:numPr>
              <w:spacing w:after="40"/>
              <w:contextualSpacing w:val="0"/>
              <w:rPr>
                <w:rFonts w:ascii="Garamond" w:hAnsi="Garamond"/>
                <w:szCs w:val="24"/>
              </w:rPr>
            </w:pPr>
            <w:r w:rsidRPr="003C527C">
              <w:rPr>
                <w:rFonts w:ascii="Garamond" w:hAnsi="Garamond"/>
                <w:szCs w:val="24"/>
              </w:rPr>
              <w:t>Section 5.2: Business income (e.g. activity, sales, and costs)</w:t>
            </w:r>
          </w:p>
        </w:tc>
      </w:tr>
      <w:tr w:rsidR="00C7293B" w:rsidRPr="00C7293B">
        <w:tc>
          <w:tcPr>
            <w:tcW w:w="9576" w:type="dxa"/>
            <w:vAlign w:val="center"/>
          </w:tcPr>
          <w:p w:rsidR="00C7293B" w:rsidRPr="00C7293B" w:rsidRDefault="00C7293B" w:rsidP="00C7293B">
            <w:pPr>
              <w:spacing w:after="40"/>
              <w:rPr>
                <w:rFonts w:ascii="Garamond" w:hAnsi="Garamond"/>
                <w:b/>
                <w:i/>
                <w:szCs w:val="24"/>
              </w:rPr>
            </w:pPr>
            <w:r w:rsidRPr="00C7293B">
              <w:rPr>
                <w:rFonts w:ascii="Garamond" w:hAnsi="Garamond"/>
                <w:b/>
                <w:i/>
                <w:szCs w:val="24"/>
              </w:rPr>
              <w:t>Module 6: Food diversity</w:t>
            </w:r>
          </w:p>
        </w:tc>
      </w:tr>
      <w:tr w:rsidR="00AF718B">
        <w:tc>
          <w:tcPr>
            <w:tcW w:w="9576" w:type="dxa"/>
            <w:vAlign w:val="center"/>
          </w:tcPr>
          <w:p w:rsidR="00AF718B" w:rsidRDefault="002231B8" w:rsidP="00C7293B">
            <w:pPr>
              <w:pStyle w:val="ListParagraph"/>
              <w:numPr>
                <w:ilvl w:val="0"/>
                <w:numId w:val="37"/>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6</w:t>
            </w:r>
            <w:r w:rsidRPr="003C527C">
              <w:rPr>
                <w:rFonts w:ascii="Garamond" w:hAnsi="Garamond"/>
                <w:szCs w:val="24"/>
              </w:rPr>
              <w:t xml:space="preserve">.1: </w:t>
            </w:r>
            <w:r>
              <w:rPr>
                <w:rFonts w:ascii="Garamond" w:hAnsi="Garamond"/>
                <w:szCs w:val="24"/>
              </w:rPr>
              <w:t>Food diversity</w:t>
            </w:r>
            <w:r w:rsidRPr="003C527C">
              <w:rPr>
                <w:rFonts w:ascii="Garamond" w:hAnsi="Garamond"/>
                <w:szCs w:val="24"/>
              </w:rPr>
              <w:t xml:space="preserve"> (e.g. </w:t>
            </w:r>
            <w:r>
              <w:rPr>
                <w:rFonts w:ascii="Garamond" w:hAnsi="Garamond"/>
                <w:szCs w:val="24"/>
              </w:rPr>
              <w:t>consumption in previous seven days of key products that form household diversity index</w:t>
            </w:r>
            <w:r w:rsidRPr="003C527C">
              <w:rPr>
                <w:rFonts w:ascii="Garamond" w:hAnsi="Garamond"/>
                <w:szCs w:val="24"/>
              </w:rPr>
              <w:t>)</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Module 7: Migration</w:t>
            </w:r>
          </w:p>
        </w:tc>
      </w:tr>
      <w:tr w:rsidR="00AF718B">
        <w:tc>
          <w:tcPr>
            <w:tcW w:w="9576" w:type="dxa"/>
            <w:vAlign w:val="center"/>
          </w:tcPr>
          <w:p w:rsidR="00AF718B" w:rsidRDefault="002231B8" w:rsidP="00C7293B">
            <w:pPr>
              <w:pStyle w:val="ListParagraph"/>
              <w:numPr>
                <w:ilvl w:val="0"/>
                <w:numId w:val="37"/>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7</w:t>
            </w:r>
            <w:r w:rsidRPr="003C527C">
              <w:rPr>
                <w:rFonts w:ascii="Garamond" w:hAnsi="Garamond"/>
                <w:szCs w:val="24"/>
              </w:rPr>
              <w:t>.1: Migration information (e.g. location of migration, migrating household member, and remittances received)</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Module 8: Savings and Credit</w:t>
            </w:r>
          </w:p>
        </w:tc>
      </w:tr>
      <w:tr w:rsidR="00AF718B">
        <w:tc>
          <w:tcPr>
            <w:tcW w:w="9576" w:type="dxa"/>
            <w:vAlign w:val="center"/>
          </w:tcPr>
          <w:p w:rsidR="002231B8" w:rsidRPr="003C527C" w:rsidRDefault="002231B8" w:rsidP="00C7293B">
            <w:pPr>
              <w:pStyle w:val="ListParagraph"/>
              <w:numPr>
                <w:ilvl w:val="0"/>
                <w:numId w:val="37"/>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8</w:t>
            </w:r>
            <w:r w:rsidRPr="003C527C">
              <w:rPr>
                <w:rFonts w:ascii="Garamond" w:hAnsi="Garamond"/>
                <w:szCs w:val="24"/>
              </w:rPr>
              <w:t xml:space="preserve">.1: Savings (e.g. institution of savings location, household member to which savings belongs, and amount saved) </w:t>
            </w:r>
          </w:p>
          <w:p w:rsidR="00AF718B" w:rsidRDefault="002231B8" w:rsidP="00C7293B">
            <w:pPr>
              <w:pStyle w:val="ListParagraph"/>
              <w:numPr>
                <w:ilvl w:val="0"/>
                <w:numId w:val="37"/>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8</w:t>
            </w:r>
            <w:r w:rsidRPr="003C527C">
              <w:rPr>
                <w:rFonts w:ascii="Garamond" w:hAnsi="Garamond"/>
                <w:szCs w:val="24"/>
              </w:rPr>
              <w:t>.2: Credit (e.g. participation in credit market, quantity of any credit obtained, interest rate, and collateral requirements)</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lastRenderedPageBreak/>
              <w:t>Module 9: Assets</w:t>
            </w:r>
          </w:p>
        </w:tc>
      </w:tr>
      <w:tr w:rsidR="00AF718B">
        <w:tc>
          <w:tcPr>
            <w:tcW w:w="9576" w:type="dxa"/>
            <w:vAlign w:val="center"/>
          </w:tcPr>
          <w:p w:rsidR="002231B8" w:rsidRPr="003C527C" w:rsidRDefault="002231B8" w:rsidP="00C7293B">
            <w:pPr>
              <w:pStyle w:val="ListParagraph"/>
              <w:numPr>
                <w:ilvl w:val="0"/>
                <w:numId w:val="42"/>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9</w:t>
            </w:r>
            <w:r w:rsidRPr="003C527C">
              <w:rPr>
                <w:rFonts w:ascii="Garamond" w:hAnsi="Garamond"/>
                <w:szCs w:val="24"/>
              </w:rPr>
              <w:t>.1: Agricultural assets (e.g. type, quantity, and value of assets</w:t>
            </w:r>
            <w:r>
              <w:rPr>
                <w:rFonts w:ascii="Garamond" w:hAnsi="Garamond"/>
                <w:szCs w:val="24"/>
              </w:rPr>
              <w:t>, investment in previous year</w:t>
            </w:r>
            <w:r w:rsidRPr="003C527C">
              <w:rPr>
                <w:rFonts w:ascii="Garamond" w:hAnsi="Garamond"/>
                <w:szCs w:val="24"/>
              </w:rPr>
              <w:t>)</w:t>
            </w:r>
          </w:p>
          <w:p w:rsidR="002231B8" w:rsidRPr="003C527C" w:rsidRDefault="002231B8" w:rsidP="00C7293B">
            <w:pPr>
              <w:pStyle w:val="ListParagraph"/>
              <w:numPr>
                <w:ilvl w:val="0"/>
                <w:numId w:val="42"/>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9</w:t>
            </w:r>
            <w:r w:rsidRPr="003C527C">
              <w:rPr>
                <w:rFonts w:ascii="Garamond" w:hAnsi="Garamond"/>
                <w:szCs w:val="24"/>
              </w:rPr>
              <w:t>.2: Non-agricultural assets (e.g. type, quantity, and value of assets</w:t>
            </w:r>
            <w:r>
              <w:rPr>
                <w:rFonts w:ascii="Garamond" w:hAnsi="Garamond"/>
                <w:szCs w:val="24"/>
              </w:rPr>
              <w:t>, investment in previous year</w:t>
            </w:r>
            <w:r w:rsidRPr="003C527C">
              <w:rPr>
                <w:rFonts w:ascii="Garamond" w:hAnsi="Garamond"/>
                <w:szCs w:val="24"/>
              </w:rPr>
              <w:t>)</w:t>
            </w:r>
          </w:p>
          <w:p w:rsidR="002231B8" w:rsidRDefault="002231B8" w:rsidP="00C7293B">
            <w:pPr>
              <w:pStyle w:val="ListParagraph"/>
              <w:numPr>
                <w:ilvl w:val="0"/>
                <w:numId w:val="42"/>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9</w:t>
            </w:r>
            <w:r w:rsidRPr="003C527C">
              <w:rPr>
                <w:rFonts w:ascii="Garamond" w:hAnsi="Garamond"/>
                <w:szCs w:val="24"/>
              </w:rPr>
              <w:t xml:space="preserve">.3: Dwelling characteristics (e.g. location, material used in dwelling’s construction, nearby water sources, electricity, </w:t>
            </w:r>
            <w:r>
              <w:rPr>
                <w:rFonts w:ascii="Garamond" w:hAnsi="Garamond"/>
                <w:szCs w:val="24"/>
              </w:rPr>
              <w:t>investment in previous year,</w:t>
            </w:r>
            <w:r w:rsidRPr="003C527C">
              <w:rPr>
                <w:rFonts w:ascii="Garamond" w:hAnsi="Garamond"/>
                <w:szCs w:val="24"/>
              </w:rPr>
              <w:t xml:space="preserve"> etc.)</w:t>
            </w:r>
          </w:p>
          <w:p w:rsidR="00AF718B" w:rsidRDefault="002231B8" w:rsidP="00C7293B">
            <w:pPr>
              <w:pStyle w:val="ListParagraph"/>
              <w:numPr>
                <w:ilvl w:val="0"/>
                <w:numId w:val="42"/>
              </w:numPr>
              <w:spacing w:after="40"/>
              <w:contextualSpacing w:val="0"/>
              <w:rPr>
                <w:rFonts w:ascii="Garamond" w:hAnsi="Garamond"/>
                <w:szCs w:val="24"/>
              </w:rPr>
            </w:pPr>
            <w:r w:rsidRPr="006B54ED">
              <w:rPr>
                <w:rFonts w:ascii="Garamond" w:hAnsi="Garamond"/>
                <w:szCs w:val="24"/>
              </w:rPr>
              <w:t xml:space="preserve">Section </w:t>
            </w:r>
            <w:r>
              <w:rPr>
                <w:rFonts w:ascii="Garamond" w:hAnsi="Garamond"/>
                <w:szCs w:val="24"/>
              </w:rPr>
              <w:t>9</w:t>
            </w:r>
            <w:r w:rsidRPr="006B54ED">
              <w:rPr>
                <w:rFonts w:ascii="Garamond" w:hAnsi="Garamond"/>
                <w:szCs w:val="24"/>
              </w:rPr>
              <w:t>.</w:t>
            </w:r>
            <w:r>
              <w:rPr>
                <w:rFonts w:ascii="Garamond" w:hAnsi="Garamond"/>
                <w:szCs w:val="24"/>
              </w:rPr>
              <w:t>4</w:t>
            </w:r>
            <w:r w:rsidRPr="006B54ED">
              <w:rPr>
                <w:rFonts w:ascii="Garamond" w:hAnsi="Garamond"/>
                <w:szCs w:val="24"/>
              </w:rPr>
              <w:t xml:space="preserve">: </w:t>
            </w:r>
            <w:r>
              <w:rPr>
                <w:rFonts w:ascii="Garamond" w:hAnsi="Garamond"/>
                <w:szCs w:val="24"/>
              </w:rPr>
              <w:t>Vehicle Ownership and Use</w:t>
            </w:r>
            <w:r w:rsidRPr="006B54ED">
              <w:rPr>
                <w:rFonts w:ascii="Garamond" w:hAnsi="Garamond"/>
                <w:szCs w:val="24"/>
              </w:rPr>
              <w:t xml:space="preserve"> (e.g. </w:t>
            </w:r>
            <w:r w:rsidRPr="003C527C">
              <w:rPr>
                <w:rFonts w:ascii="Garamond" w:hAnsi="Garamond"/>
                <w:szCs w:val="24"/>
              </w:rPr>
              <w:t xml:space="preserve">type, quantity, and value of </w:t>
            </w:r>
            <w:r>
              <w:rPr>
                <w:rFonts w:ascii="Garamond" w:hAnsi="Garamond"/>
                <w:szCs w:val="24"/>
              </w:rPr>
              <w:t>vehicles owned, maintenance and operation costs in previous year</w:t>
            </w:r>
            <w:r w:rsidRPr="006B54ED">
              <w:rPr>
                <w:rFonts w:ascii="Garamond" w:hAnsi="Garamond"/>
                <w:szCs w:val="24"/>
              </w:rPr>
              <w:t>.)</w:t>
            </w:r>
          </w:p>
        </w:tc>
      </w:tr>
      <w:tr w:rsidR="00AF718B" w:rsidRPr="00C7293B">
        <w:tc>
          <w:tcPr>
            <w:tcW w:w="9576" w:type="dxa"/>
            <w:vAlign w:val="center"/>
          </w:tcPr>
          <w:p w:rsidR="00AF718B" w:rsidRPr="00C7293B" w:rsidRDefault="002231B8" w:rsidP="00C7293B">
            <w:pPr>
              <w:spacing w:after="40"/>
              <w:rPr>
                <w:rFonts w:ascii="Garamond" w:hAnsi="Garamond"/>
                <w:b/>
                <w:i/>
                <w:szCs w:val="24"/>
              </w:rPr>
            </w:pPr>
            <w:r w:rsidRPr="00C7293B">
              <w:rPr>
                <w:rFonts w:ascii="Garamond" w:hAnsi="Garamond"/>
                <w:b/>
                <w:i/>
                <w:szCs w:val="24"/>
              </w:rPr>
              <w:t>Module 10: Organization, Association and Social Standing</w:t>
            </w:r>
          </w:p>
        </w:tc>
      </w:tr>
      <w:tr w:rsidR="00AF718B">
        <w:tc>
          <w:tcPr>
            <w:tcW w:w="9576" w:type="dxa"/>
            <w:vAlign w:val="center"/>
          </w:tcPr>
          <w:p w:rsidR="002231B8" w:rsidRDefault="002231B8" w:rsidP="00C7293B">
            <w:pPr>
              <w:pStyle w:val="ListParagraph"/>
              <w:numPr>
                <w:ilvl w:val="0"/>
                <w:numId w:val="39"/>
              </w:numPr>
              <w:spacing w:after="40"/>
              <w:contextualSpacing w:val="0"/>
              <w:rPr>
                <w:rFonts w:ascii="Garamond" w:hAnsi="Garamond"/>
                <w:szCs w:val="24"/>
              </w:rPr>
            </w:pPr>
            <w:r w:rsidRPr="003C527C">
              <w:rPr>
                <w:rFonts w:ascii="Garamond" w:hAnsi="Garamond"/>
                <w:szCs w:val="24"/>
              </w:rPr>
              <w:t xml:space="preserve">Section </w:t>
            </w:r>
            <w:r>
              <w:rPr>
                <w:rFonts w:ascii="Garamond" w:hAnsi="Garamond"/>
                <w:szCs w:val="24"/>
              </w:rPr>
              <w:t>10</w:t>
            </w:r>
            <w:r w:rsidRPr="003C527C">
              <w:rPr>
                <w:rFonts w:ascii="Garamond" w:hAnsi="Garamond"/>
                <w:szCs w:val="24"/>
              </w:rPr>
              <w:t xml:space="preserve">.1: </w:t>
            </w:r>
            <w:r>
              <w:rPr>
                <w:rFonts w:ascii="Garamond" w:hAnsi="Garamond"/>
                <w:szCs w:val="24"/>
              </w:rPr>
              <w:t>Participation in water user associations</w:t>
            </w:r>
            <w:r w:rsidRPr="003C527C">
              <w:rPr>
                <w:rFonts w:ascii="Garamond" w:hAnsi="Garamond"/>
                <w:szCs w:val="24"/>
              </w:rPr>
              <w:t xml:space="preserve"> (e.g.</w:t>
            </w:r>
            <w:r>
              <w:rPr>
                <w:rFonts w:ascii="Garamond" w:hAnsi="Garamond"/>
                <w:szCs w:val="24"/>
              </w:rPr>
              <w:t xml:space="preserve"> position in association, meetings, etc.</w:t>
            </w:r>
            <w:r w:rsidRPr="003C527C">
              <w:rPr>
                <w:rFonts w:ascii="Garamond" w:hAnsi="Garamond"/>
                <w:szCs w:val="24"/>
              </w:rPr>
              <w:t>)</w:t>
            </w:r>
          </w:p>
          <w:p w:rsidR="002231B8" w:rsidRPr="003C527C" w:rsidRDefault="002231B8" w:rsidP="00C7293B">
            <w:pPr>
              <w:pStyle w:val="ListParagraph"/>
              <w:numPr>
                <w:ilvl w:val="0"/>
                <w:numId w:val="39"/>
              </w:numPr>
              <w:spacing w:after="40"/>
              <w:contextualSpacing w:val="0"/>
              <w:rPr>
                <w:rFonts w:ascii="Garamond" w:hAnsi="Garamond"/>
                <w:szCs w:val="24"/>
              </w:rPr>
            </w:pPr>
            <w:r>
              <w:rPr>
                <w:rFonts w:ascii="Garamond" w:hAnsi="Garamond"/>
                <w:szCs w:val="24"/>
              </w:rPr>
              <w:t>Section 10.2</w:t>
            </w:r>
            <w:r w:rsidRPr="003C527C">
              <w:rPr>
                <w:rFonts w:ascii="Garamond" w:hAnsi="Garamond"/>
                <w:szCs w:val="24"/>
              </w:rPr>
              <w:t>: Support from government or non-governmental organizations (e.g. source, type, and quantity of benefits</w:t>
            </w:r>
            <w:r>
              <w:rPr>
                <w:rFonts w:ascii="Garamond" w:hAnsi="Garamond"/>
                <w:szCs w:val="24"/>
              </w:rPr>
              <w:t xml:space="preserve"> disaggregated by gender</w:t>
            </w:r>
            <w:r w:rsidRPr="003C527C">
              <w:rPr>
                <w:rFonts w:ascii="Garamond" w:hAnsi="Garamond"/>
                <w:szCs w:val="24"/>
              </w:rPr>
              <w:t>)</w:t>
            </w:r>
          </w:p>
          <w:p w:rsidR="002231B8" w:rsidRDefault="002231B8" w:rsidP="00C7293B">
            <w:pPr>
              <w:pStyle w:val="ListParagraph"/>
              <w:numPr>
                <w:ilvl w:val="0"/>
                <w:numId w:val="39"/>
              </w:numPr>
              <w:spacing w:after="40"/>
              <w:contextualSpacing w:val="0"/>
              <w:rPr>
                <w:rFonts w:ascii="Garamond" w:hAnsi="Garamond"/>
                <w:szCs w:val="24"/>
              </w:rPr>
            </w:pPr>
            <w:r w:rsidRPr="003C527C">
              <w:rPr>
                <w:rFonts w:ascii="Garamond" w:hAnsi="Garamond"/>
                <w:szCs w:val="24"/>
              </w:rPr>
              <w:t>Section</w:t>
            </w:r>
            <w:r>
              <w:rPr>
                <w:rFonts w:ascii="Garamond" w:hAnsi="Garamond"/>
                <w:szCs w:val="24"/>
              </w:rPr>
              <w:t xml:space="preserve"> 10</w:t>
            </w:r>
            <w:r w:rsidRPr="003C527C">
              <w:rPr>
                <w:rFonts w:ascii="Garamond" w:hAnsi="Garamond"/>
                <w:szCs w:val="24"/>
              </w:rPr>
              <w:t>.</w:t>
            </w:r>
            <w:r>
              <w:rPr>
                <w:rFonts w:ascii="Garamond" w:hAnsi="Garamond"/>
                <w:szCs w:val="24"/>
              </w:rPr>
              <w:t>3</w:t>
            </w:r>
            <w:r w:rsidRPr="003C527C">
              <w:rPr>
                <w:rFonts w:ascii="Garamond" w:hAnsi="Garamond"/>
                <w:szCs w:val="24"/>
              </w:rPr>
              <w:t>: Social capital (e.g. participation in producer’s organization, cooperative, etc.</w:t>
            </w:r>
            <w:r>
              <w:rPr>
                <w:rFonts w:ascii="Garamond" w:hAnsi="Garamond"/>
                <w:szCs w:val="24"/>
              </w:rPr>
              <w:t xml:space="preserve"> disaggregated by gender</w:t>
            </w:r>
            <w:r w:rsidRPr="003C527C">
              <w:rPr>
                <w:rFonts w:ascii="Garamond" w:hAnsi="Garamond"/>
                <w:szCs w:val="24"/>
              </w:rPr>
              <w:t>)</w:t>
            </w:r>
          </w:p>
          <w:p w:rsidR="00AF718B" w:rsidRDefault="002231B8" w:rsidP="00C7293B">
            <w:pPr>
              <w:pStyle w:val="ListParagraph"/>
              <w:numPr>
                <w:ilvl w:val="0"/>
                <w:numId w:val="39"/>
              </w:numPr>
              <w:spacing w:after="40"/>
              <w:contextualSpacing w:val="0"/>
              <w:rPr>
                <w:rFonts w:ascii="Garamond" w:hAnsi="Garamond"/>
                <w:szCs w:val="24"/>
              </w:rPr>
            </w:pPr>
            <w:r w:rsidRPr="00B85855">
              <w:rPr>
                <w:rFonts w:ascii="Garamond" w:hAnsi="Garamond"/>
                <w:szCs w:val="24"/>
              </w:rPr>
              <w:t xml:space="preserve">Section </w:t>
            </w:r>
            <w:r>
              <w:rPr>
                <w:rFonts w:ascii="Garamond" w:hAnsi="Garamond"/>
                <w:szCs w:val="24"/>
              </w:rPr>
              <w:t>10</w:t>
            </w:r>
            <w:r w:rsidRPr="00B85855">
              <w:rPr>
                <w:rFonts w:ascii="Garamond" w:hAnsi="Garamond"/>
                <w:szCs w:val="24"/>
              </w:rPr>
              <w:t>.</w:t>
            </w:r>
            <w:r>
              <w:rPr>
                <w:rFonts w:ascii="Garamond" w:hAnsi="Garamond"/>
                <w:szCs w:val="24"/>
              </w:rPr>
              <w:t>4</w:t>
            </w:r>
            <w:r w:rsidRPr="00B85855">
              <w:rPr>
                <w:rFonts w:ascii="Garamond" w:hAnsi="Garamond"/>
                <w:szCs w:val="24"/>
              </w:rPr>
              <w:t xml:space="preserve">: </w:t>
            </w:r>
            <w:r>
              <w:rPr>
                <w:rFonts w:ascii="Garamond" w:hAnsi="Garamond"/>
                <w:szCs w:val="24"/>
              </w:rPr>
              <w:t>Social standing</w:t>
            </w:r>
            <w:r w:rsidRPr="00B85855">
              <w:rPr>
                <w:rFonts w:ascii="Garamond" w:hAnsi="Garamond"/>
                <w:szCs w:val="24"/>
              </w:rPr>
              <w:t xml:space="preserve"> (e.g.</w:t>
            </w:r>
            <w:r>
              <w:rPr>
                <w:rFonts w:ascii="Garamond" w:hAnsi="Garamond"/>
                <w:szCs w:val="24"/>
              </w:rPr>
              <w:t xml:space="preserve"> questions indicating agency and empowerment</w:t>
            </w:r>
            <w:r w:rsidRPr="00B85855">
              <w:rPr>
                <w:rFonts w:ascii="Garamond" w:hAnsi="Garamond"/>
                <w:szCs w:val="24"/>
              </w:rPr>
              <w:t>)</w:t>
            </w:r>
          </w:p>
        </w:tc>
      </w:tr>
    </w:tbl>
    <w:p w:rsidR="00AF718B" w:rsidRDefault="00AF718B" w:rsidP="002652F6">
      <w:pPr>
        <w:spacing w:line="360" w:lineRule="auto"/>
        <w:jc w:val="both"/>
        <w:rPr>
          <w:rFonts w:ascii="Garamond" w:hAnsi="Garamond"/>
          <w:szCs w:val="24"/>
        </w:rPr>
      </w:pPr>
    </w:p>
    <w:p w:rsidR="00C7293B" w:rsidRPr="00C7293B" w:rsidRDefault="00C7293B" w:rsidP="002652F6">
      <w:pPr>
        <w:spacing w:line="360" w:lineRule="auto"/>
        <w:jc w:val="both"/>
        <w:rPr>
          <w:rFonts w:ascii="Garamond" w:hAnsi="Garamond"/>
          <w:i/>
          <w:szCs w:val="24"/>
        </w:rPr>
      </w:pPr>
      <w:r w:rsidRPr="00C7293B">
        <w:rPr>
          <w:rFonts w:ascii="Garamond" w:hAnsi="Garamond"/>
          <w:i/>
          <w:szCs w:val="24"/>
        </w:rPr>
        <w:t>Data collection</w:t>
      </w:r>
    </w:p>
    <w:p w:rsidR="00231FF1" w:rsidRDefault="001444AF" w:rsidP="002652F6">
      <w:pPr>
        <w:spacing w:line="360" w:lineRule="auto"/>
        <w:jc w:val="both"/>
        <w:rPr>
          <w:rFonts w:ascii="Garamond" w:hAnsi="Garamond"/>
          <w:szCs w:val="24"/>
        </w:rPr>
      </w:pPr>
      <w:r>
        <w:rPr>
          <w:rFonts w:ascii="Garamond" w:hAnsi="Garamond"/>
          <w:szCs w:val="24"/>
        </w:rPr>
        <w:t xml:space="preserve">Given discussion of the sample frame, </w:t>
      </w:r>
      <w:r w:rsidR="003303FF">
        <w:rPr>
          <w:rFonts w:ascii="Garamond" w:hAnsi="Garamond"/>
          <w:szCs w:val="24"/>
        </w:rPr>
        <w:t xml:space="preserve">sample </w:t>
      </w:r>
      <w:r>
        <w:rPr>
          <w:rFonts w:ascii="Garamond" w:hAnsi="Garamond"/>
          <w:szCs w:val="24"/>
        </w:rPr>
        <w:t>size, and questionnaire, it is then beneficial to discuss the strategy and timing of the data collection.</w:t>
      </w:r>
      <w:r w:rsidR="001C08A6">
        <w:rPr>
          <w:rFonts w:ascii="Garamond" w:hAnsi="Garamond"/>
          <w:szCs w:val="24"/>
        </w:rPr>
        <w:t xml:space="preserve"> Table 5 provides the distribution of surveys across the treatment and control groups for the two survey rounds for each component of the project.</w:t>
      </w:r>
      <w:r w:rsidR="0025592E">
        <w:rPr>
          <w:rFonts w:ascii="Garamond" w:hAnsi="Garamond"/>
          <w:szCs w:val="24"/>
        </w:rPr>
        <w:t xml:space="preserve"> </w:t>
      </w:r>
    </w:p>
    <w:p w:rsidR="00484668" w:rsidRPr="004F03BC" w:rsidRDefault="001C08A6" w:rsidP="002652F6">
      <w:pPr>
        <w:spacing w:line="360" w:lineRule="auto"/>
        <w:jc w:val="both"/>
        <w:rPr>
          <w:rFonts w:ascii="Garamond" w:hAnsi="Garamond"/>
          <w:b/>
          <w:szCs w:val="24"/>
        </w:rPr>
      </w:pPr>
      <w:r w:rsidRPr="004F03BC">
        <w:rPr>
          <w:rFonts w:ascii="Garamond" w:hAnsi="Garamond"/>
          <w:b/>
          <w:szCs w:val="24"/>
        </w:rPr>
        <w:t>Table 5</w:t>
      </w:r>
      <w:r w:rsidR="00484668" w:rsidRPr="004F03BC">
        <w:rPr>
          <w:rFonts w:ascii="Garamond" w:hAnsi="Garamond"/>
          <w:b/>
          <w:szCs w:val="24"/>
        </w:rPr>
        <w:t>: Distribution of household questionnaires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7"/>
        <w:gridCol w:w="1467"/>
        <w:gridCol w:w="1408"/>
        <w:gridCol w:w="1467"/>
        <w:gridCol w:w="1405"/>
        <w:gridCol w:w="1404"/>
      </w:tblGrid>
      <w:tr w:rsidR="00F77751">
        <w:trPr>
          <w:jc w:val="center"/>
        </w:trPr>
        <w:tc>
          <w:tcPr>
            <w:tcW w:w="1417" w:type="dxa"/>
          </w:tcPr>
          <w:p w:rsidR="00F77751" w:rsidRDefault="00F77751" w:rsidP="002652F6">
            <w:pPr>
              <w:spacing w:line="360" w:lineRule="auto"/>
              <w:jc w:val="both"/>
              <w:rPr>
                <w:rFonts w:ascii="Garamond" w:hAnsi="Garamond"/>
                <w:szCs w:val="24"/>
              </w:rPr>
            </w:pPr>
          </w:p>
        </w:tc>
        <w:tc>
          <w:tcPr>
            <w:tcW w:w="2875" w:type="dxa"/>
            <w:gridSpan w:val="2"/>
          </w:tcPr>
          <w:p w:rsidR="00672A78" w:rsidRDefault="00F77751">
            <w:pPr>
              <w:spacing w:line="360" w:lineRule="auto"/>
              <w:jc w:val="center"/>
              <w:rPr>
                <w:rFonts w:ascii="Garamond" w:hAnsi="Garamond"/>
                <w:szCs w:val="24"/>
              </w:rPr>
            </w:pPr>
            <w:r>
              <w:rPr>
                <w:rFonts w:ascii="Garamond" w:hAnsi="Garamond"/>
                <w:szCs w:val="24"/>
              </w:rPr>
              <w:t>Irrigation</w:t>
            </w:r>
          </w:p>
        </w:tc>
        <w:tc>
          <w:tcPr>
            <w:tcW w:w="2872" w:type="dxa"/>
            <w:gridSpan w:val="2"/>
          </w:tcPr>
          <w:p w:rsidR="00672A78" w:rsidRDefault="00F77751">
            <w:pPr>
              <w:spacing w:line="360" w:lineRule="auto"/>
              <w:jc w:val="center"/>
              <w:rPr>
                <w:rFonts w:ascii="Garamond" w:hAnsi="Garamond"/>
                <w:szCs w:val="24"/>
              </w:rPr>
            </w:pPr>
            <w:r>
              <w:rPr>
                <w:rFonts w:ascii="Garamond" w:hAnsi="Garamond"/>
                <w:szCs w:val="24"/>
              </w:rPr>
              <w:t>Rural Roads</w:t>
            </w:r>
          </w:p>
        </w:tc>
        <w:tc>
          <w:tcPr>
            <w:tcW w:w="1404" w:type="dxa"/>
          </w:tcPr>
          <w:p w:rsidR="00F77751" w:rsidRDefault="00F77751" w:rsidP="00F77751">
            <w:pPr>
              <w:spacing w:line="360" w:lineRule="auto"/>
              <w:jc w:val="center"/>
              <w:rPr>
                <w:rFonts w:ascii="Garamond" w:hAnsi="Garamond"/>
                <w:szCs w:val="24"/>
              </w:rPr>
            </w:pPr>
          </w:p>
        </w:tc>
      </w:tr>
      <w:tr w:rsidR="00F77751">
        <w:trPr>
          <w:jc w:val="center"/>
        </w:trPr>
        <w:tc>
          <w:tcPr>
            <w:tcW w:w="1417" w:type="dxa"/>
          </w:tcPr>
          <w:p w:rsidR="00F77751" w:rsidRDefault="00F77751" w:rsidP="002652F6">
            <w:pPr>
              <w:spacing w:line="360" w:lineRule="auto"/>
              <w:jc w:val="both"/>
              <w:rPr>
                <w:rFonts w:ascii="Garamond" w:hAnsi="Garamond"/>
                <w:szCs w:val="24"/>
              </w:rPr>
            </w:pPr>
          </w:p>
        </w:tc>
        <w:tc>
          <w:tcPr>
            <w:tcW w:w="1467" w:type="dxa"/>
          </w:tcPr>
          <w:p w:rsidR="00F77751" w:rsidRDefault="00F77751" w:rsidP="002652F6">
            <w:pPr>
              <w:spacing w:line="360" w:lineRule="auto"/>
              <w:jc w:val="both"/>
              <w:rPr>
                <w:rFonts w:ascii="Garamond" w:hAnsi="Garamond"/>
                <w:szCs w:val="24"/>
              </w:rPr>
            </w:pPr>
            <w:r>
              <w:rPr>
                <w:rFonts w:ascii="Garamond" w:hAnsi="Garamond"/>
                <w:szCs w:val="24"/>
              </w:rPr>
              <w:t>Treatment</w:t>
            </w:r>
          </w:p>
        </w:tc>
        <w:tc>
          <w:tcPr>
            <w:tcW w:w="1408" w:type="dxa"/>
          </w:tcPr>
          <w:p w:rsidR="00F77751" w:rsidRDefault="00F77751" w:rsidP="002652F6">
            <w:pPr>
              <w:spacing w:line="360" w:lineRule="auto"/>
              <w:jc w:val="both"/>
              <w:rPr>
                <w:rFonts w:ascii="Garamond" w:hAnsi="Garamond"/>
                <w:szCs w:val="24"/>
              </w:rPr>
            </w:pPr>
            <w:r>
              <w:rPr>
                <w:rFonts w:ascii="Garamond" w:hAnsi="Garamond"/>
                <w:szCs w:val="24"/>
              </w:rPr>
              <w:t>Control</w:t>
            </w:r>
          </w:p>
        </w:tc>
        <w:tc>
          <w:tcPr>
            <w:tcW w:w="1467" w:type="dxa"/>
          </w:tcPr>
          <w:p w:rsidR="00F77751" w:rsidRDefault="00F77751" w:rsidP="002652F6">
            <w:pPr>
              <w:spacing w:line="360" w:lineRule="auto"/>
              <w:jc w:val="both"/>
              <w:rPr>
                <w:rFonts w:ascii="Garamond" w:hAnsi="Garamond"/>
                <w:szCs w:val="24"/>
              </w:rPr>
            </w:pPr>
            <w:r>
              <w:rPr>
                <w:rFonts w:ascii="Garamond" w:hAnsi="Garamond"/>
                <w:szCs w:val="24"/>
              </w:rPr>
              <w:t>Treatment</w:t>
            </w:r>
          </w:p>
        </w:tc>
        <w:tc>
          <w:tcPr>
            <w:tcW w:w="1405" w:type="dxa"/>
          </w:tcPr>
          <w:p w:rsidR="00F77751" w:rsidRDefault="00F77751" w:rsidP="002652F6">
            <w:pPr>
              <w:spacing w:line="360" w:lineRule="auto"/>
              <w:jc w:val="both"/>
              <w:rPr>
                <w:rFonts w:ascii="Garamond" w:hAnsi="Garamond"/>
                <w:szCs w:val="24"/>
              </w:rPr>
            </w:pPr>
            <w:r>
              <w:rPr>
                <w:rFonts w:ascii="Garamond" w:hAnsi="Garamond"/>
                <w:szCs w:val="24"/>
              </w:rPr>
              <w:t>Control</w:t>
            </w:r>
          </w:p>
        </w:tc>
        <w:tc>
          <w:tcPr>
            <w:tcW w:w="1404" w:type="dxa"/>
          </w:tcPr>
          <w:p w:rsidR="00672A78" w:rsidRDefault="00F77751">
            <w:pPr>
              <w:spacing w:line="360" w:lineRule="auto"/>
              <w:jc w:val="center"/>
              <w:rPr>
                <w:rFonts w:ascii="Garamond" w:hAnsi="Garamond"/>
                <w:szCs w:val="24"/>
              </w:rPr>
            </w:pPr>
            <w:r>
              <w:rPr>
                <w:rFonts w:ascii="Garamond" w:hAnsi="Garamond"/>
                <w:szCs w:val="24"/>
              </w:rPr>
              <w:t>Total</w:t>
            </w:r>
          </w:p>
        </w:tc>
      </w:tr>
      <w:tr w:rsidR="00F77751">
        <w:trPr>
          <w:jc w:val="center"/>
        </w:trPr>
        <w:tc>
          <w:tcPr>
            <w:tcW w:w="1417" w:type="dxa"/>
          </w:tcPr>
          <w:p w:rsidR="00F77751" w:rsidRDefault="00F77751" w:rsidP="002652F6">
            <w:pPr>
              <w:spacing w:line="360" w:lineRule="auto"/>
              <w:jc w:val="both"/>
              <w:rPr>
                <w:rFonts w:ascii="Garamond" w:hAnsi="Garamond"/>
                <w:szCs w:val="24"/>
              </w:rPr>
            </w:pPr>
            <w:r>
              <w:rPr>
                <w:rFonts w:ascii="Garamond" w:hAnsi="Garamond"/>
                <w:szCs w:val="24"/>
              </w:rPr>
              <w:t>Baseline</w:t>
            </w:r>
          </w:p>
        </w:tc>
        <w:tc>
          <w:tcPr>
            <w:tcW w:w="1467" w:type="dxa"/>
          </w:tcPr>
          <w:p w:rsidR="00672A78" w:rsidRDefault="00F77751">
            <w:pPr>
              <w:spacing w:line="360" w:lineRule="auto"/>
              <w:jc w:val="center"/>
              <w:rPr>
                <w:rFonts w:ascii="Garamond" w:hAnsi="Garamond"/>
                <w:szCs w:val="24"/>
              </w:rPr>
            </w:pPr>
            <w:r>
              <w:rPr>
                <w:rFonts w:ascii="Garamond" w:hAnsi="Garamond"/>
                <w:szCs w:val="24"/>
              </w:rPr>
              <w:t>300</w:t>
            </w:r>
          </w:p>
        </w:tc>
        <w:tc>
          <w:tcPr>
            <w:tcW w:w="1408" w:type="dxa"/>
          </w:tcPr>
          <w:p w:rsidR="00672A78" w:rsidRDefault="00F77751">
            <w:pPr>
              <w:spacing w:line="360" w:lineRule="auto"/>
              <w:jc w:val="center"/>
              <w:rPr>
                <w:rFonts w:ascii="Garamond" w:hAnsi="Garamond"/>
                <w:szCs w:val="24"/>
              </w:rPr>
            </w:pPr>
            <w:r>
              <w:rPr>
                <w:rFonts w:ascii="Garamond" w:hAnsi="Garamond"/>
                <w:szCs w:val="24"/>
              </w:rPr>
              <w:t>300</w:t>
            </w:r>
          </w:p>
        </w:tc>
        <w:tc>
          <w:tcPr>
            <w:tcW w:w="1467" w:type="dxa"/>
          </w:tcPr>
          <w:p w:rsidR="00672A78" w:rsidRDefault="00F77751">
            <w:pPr>
              <w:spacing w:line="360" w:lineRule="auto"/>
              <w:jc w:val="center"/>
              <w:rPr>
                <w:rFonts w:ascii="Garamond" w:hAnsi="Garamond"/>
                <w:szCs w:val="24"/>
              </w:rPr>
            </w:pPr>
            <w:r>
              <w:rPr>
                <w:rFonts w:ascii="Garamond" w:hAnsi="Garamond"/>
                <w:szCs w:val="24"/>
              </w:rPr>
              <w:t>300</w:t>
            </w:r>
          </w:p>
        </w:tc>
        <w:tc>
          <w:tcPr>
            <w:tcW w:w="1405" w:type="dxa"/>
          </w:tcPr>
          <w:p w:rsidR="00672A78" w:rsidRDefault="00F77751">
            <w:pPr>
              <w:spacing w:line="360" w:lineRule="auto"/>
              <w:jc w:val="center"/>
              <w:rPr>
                <w:rFonts w:ascii="Garamond" w:hAnsi="Garamond"/>
                <w:szCs w:val="24"/>
              </w:rPr>
            </w:pPr>
            <w:r>
              <w:rPr>
                <w:rFonts w:ascii="Garamond" w:hAnsi="Garamond"/>
                <w:szCs w:val="24"/>
              </w:rPr>
              <w:t>300</w:t>
            </w:r>
          </w:p>
        </w:tc>
        <w:tc>
          <w:tcPr>
            <w:tcW w:w="1404" w:type="dxa"/>
          </w:tcPr>
          <w:p w:rsidR="00672A78" w:rsidRDefault="00F77751">
            <w:pPr>
              <w:spacing w:line="360" w:lineRule="auto"/>
              <w:jc w:val="center"/>
              <w:rPr>
                <w:rFonts w:ascii="Garamond" w:hAnsi="Garamond"/>
                <w:szCs w:val="24"/>
              </w:rPr>
            </w:pPr>
            <w:r>
              <w:rPr>
                <w:rFonts w:ascii="Garamond" w:hAnsi="Garamond"/>
                <w:szCs w:val="24"/>
              </w:rPr>
              <w:t>1,200</w:t>
            </w:r>
          </w:p>
        </w:tc>
      </w:tr>
      <w:tr w:rsidR="00F77751">
        <w:trPr>
          <w:jc w:val="center"/>
        </w:trPr>
        <w:tc>
          <w:tcPr>
            <w:tcW w:w="1417" w:type="dxa"/>
          </w:tcPr>
          <w:p w:rsidR="00F77751" w:rsidRDefault="00F77751" w:rsidP="002652F6">
            <w:pPr>
              <w:spacing w:line="360" w:lineRule="auto"/>
              <w:jc w:val="both"/>
              <w:rPr>
                <w:rFonts w:ascii="Garamond" w:hAnsi="Garamond"/>
                <w:szCs w:val="24"/>
              </w:rPr>
            </w:pPr>
            <w:r>
              <w:rPr>
                <w:rFonts w:ascii="Garamond" w:hAnsi="Garamond"/>
                <w:szCs w:val="24"/>
              </w:rPr>
              <w:t>Follow-up</w:t>
            </w:r>
          </w:p>
        </w:tc>
        <w:tc>
          <w:tcPr>
            <w:tcW w:w="1467" w:type="dxa"/>
          </w:tcPr>
          <w:p w:rsidR="00672A78" w:rsidRDefault="00F77751">
            <w:pPr>
              <w:spacing w:line="360" w:lineRule="auto"/>
              <w:jc w:val="center"/>
              <w:rPr>
                <w:rFonts w:ascii="Garamond" w:hAnsi="Garamond"/>
                <w:szCs w:val="24"/>
              </w:rPr>
            </w:pPr>
            <w:r>
              <w:rPr>
                <w:rFonts w:ascii="Garamond" w:hAnsi="Garamond"/>
                <w:szCs w:val="24"/>
              </w:rPr>
              <w:t>300</w:t>
            </w:r>
          </w:p>
        </w:tc>
        <w:tc>
          <w:tcPr>
            <w:tcW w:w="1408" w:type="dxa"/>
          </w:tcPr>
          <w:p w:rsidR="00672A78" w:rsidRDefault="00F77751">
            <w:pPr>
              <w:spacing w:line="360" w:lineRule="auto"/>
              <w:jc w:val="center"/>
              <w:rPr>
                <w:rFonts w:ascii="Garamond" w:hAnsi="Garamond"/>
                <w:szCs w:val="24"/>
              </w:rPr>
            </w:pPr>
            <w:r>
              <w:rPr>
                <w:rFonts w:ascii="Garamond" w:hAnsi="Garamond"/>
                <w:szCs w:val="24"/>
              </w:rPr>
              <w:t>300</w:t>
            </w:r>
          </w:p>
        </w:tc>
        <w:tc>
          <w:tcPr>
            <w:tcW w:w="1467" w:type="dxa"/>
          </w:tcPr>
          <w:p w:rsidR="00672A78" w:rsidRDefault="00F77751">
            <w:pPr>
              <w:spacing w:line="360" w:lineRule="auto"/>
              <w:jc w:val="center"/>
              <w:rPr>
                <w:rFonts w:ascii="Garamond" w:hAnsi="Garamond"/>
                <w:szCs w:val="24"/>
              </w:rPr>
            </w:pPr>
            <w:r>
              <w:rPr>
                <w:rFonts w:ascii="Garamond" w:hAnsi="Garamond"/>
                <w:szCs w:val="24"/>
              </w:rPr>
              <w:t>300</w:t>
            </w:r>
          </w:p>
        </w:tc>
        <w:tc>
          <w:tcPr>
            <w:tcW w:w="1405" w:type="dxa"/>
          </w:tcPr>
          <w:p w:rsidR="00672A78" w:rsidRDefault="00F77751">
            <w:pPr>
              <w:spacing w:line="360" w:lineRule="auto"/>
              <w:jc w:val="center"/>
              <w:rPr>
                <w:rFonts w:ascii="Garamond" w:hAnsi="Garamond"/>
                <w:szCs w:val="24"/>
              </w:rPr>
            </w:pPr>
            <w:r>
              <w:rPr>
                <w:rFonts w:ascii="Garamond" w:hAnsi="Garamond"/>
                <w:szCs w:val="24"/>
              </w:rPr>
              <w:t>300</w:t>
            </w:r>
          </w:p>
        </w:tc>
        <w:tc>
          <w:tcPr>
            <w:tcW w:w="1404" w:type="dxa"/>
          </w:tcPr>
          <w:p w:rsidR="00672A78" w:rsidRDefault="00F77751">
            <w:pPr>
              <w:spacing w:line="360" w:lineRule="auto"/>
              <w:jc w:val="center"/>
              <w:rPr>
                <w:rFonts w:ascii="Garamond" w:hAnsi="Garamond"/>
                <w:szCs w:val="24"/>
              </w:rPr>
            </w:pPr>
            <w:r>
              <w:rPr>
                <w:rFonts w:ascii="Garamond" w:hAnsi="Garamond"/>
                <w:szCs w:val="24"/>
              </w:rPr>
              <w:t>1,200</w:t>
            </w:r>
          </w:p>
        </w:tc>
      </w:tr>
      <w:tr w:rsidR="00F77751">
        <w:trPr>
          <w:jc w:val="center"/>
        </w:trPr>
        <w:tc>
          <w:tcPr>
            <w:tcW w:w="1417" w:type="dxa"/>
          </w:tcPr>
          <w:p w:rsidR="00F77751" w:rsidRDefault="00F77751" w:rsidP="002652F6">
            <w:pPr>
              <w:spacing w:line="360" w:lineRule="auto"/>
              <w:jc w:val="both"/>
              <w:rPr>
                <w:rFonts w:ascii="Garamond" w:hAnsi="Garamond"/>
                <w:szCs w:val="24"/>
              </w:rPr>
            </w:pPr>
            <w:r>
              <w:rPr>
                <w:rFonts w:ascii="Garamond" w:hAnsi="Garamond"/>
                <w:szCs w:val="24"/>
              </w:rPr>
              <w:t>Total</w:t>
            </w:r>
          </w:p>
        </w:tc>
        <w:tc>
          <w:tcPr>
            <w:tcW w:w="1467" w:type="dxa"/>
          </w:tcPr>
          <w:p w:rsidR="00672A78" w:rsidRDefault="00F77751">
            <w:pPr>
              <w:spacing w:line="360" w:lineRule="auto"/>
              <w:jc w:val="center"/>
              <w:rPr>
                <w:rFonts w:ascii="Garamond" w:hAnsi="Garamond"/>
                <w:szCs w:val="24"/>
              </w:rPr>
            </w:pPr>
            <w:r>
              <w:rPr>
                <w:rFonts w:ascii="Garamond" w:hAnsi="Garamond"/>
                <w:szCs w:val="24"/>
              </w:rPr>
              <w:t>600</w:t>
            </w:r>
          </w:p>
        </w:tc>
        <w:tc>
          <w:tcPr>
            <w:tcW w:w="1408" w:type="dxa"/>
          </w:tcPr>
          <w:p w:rsidR="00672A78" w:rsidRDefault="00F77751">
            <w:pPr>
              <w:spacing w:line="360" w:lineRule="auto"/>
              <w:jc w:val="center"/>
              <w:rPr>
                <w:rFonts w:ascii="Garamond" w:hAnsi="Garamond"/>
                <w:szCs w:val="24"/>
              </w:rPr>
            </w:pPr>
            <w:r>
              <w:rPr>
                <w:rFonts w:ascii="Garamond" w:hAnsi="Garamond"/>
                <w:szCs w:val="24"/>
              </w:rPr>
              <w:t>600</w:t>
            </w:r>
          </w:p>
        </w:tc>
        <w:tc>
          <w:tcPr>
            <w:tcW w:w="1467" w:type="dxa"/>
          </w:tcPr>
          <w:p w:rsidR="00672A78" w:rsidRDefault="00F77751">
            <w:pPr>
              <w:spacing w:line="360" w:lineRule="auto"/>
              <w:jc w:val="center"/>
              <w:rPr>
                <w:rFonts w:ascii="Garamond" w:hAnsi="Garamond"/>
                <w:szCs w:val="24"/>
              </w:rPr>
            </w:pPr>
            <w:r>
              <w:rPr>
                <w:rFonts w:ascii="Garamond" w:hAnsi="Garamond"/>
                <w:szCs w:val="24"/>
              </w:rPr>
              <w:t>600</w:t>
            </w:r>
          </w:p>
        </w:tc>
        <w:tc>
          <w:tcPr>
            <w:tcW w:w="1405" w:type="dxa"/>
          </w:tcPr>
          <w:p w:rsidR="00672A78" w:rsidRDefault="00F77751">
            <w:pPr>
              <w:spacing w:line="360" w:lineRule="auto"/>
              <w:jc w:val="center"/>
              <w:rPr>
                <w:rFonts w:ascii="Garamond" w:hAnsi="Garamond"/>
                <w:szCs w:val="24"/>
              </w:rPr>
            </w:pPr>
            <w:r>
              <w:rPr>
                <w:rFonts w:ascii="Garamond" w:hAnsi="Garamond"/>
                <w:szCs w:val="24"/>
              </w:rPr>
              <w:t>600</w:t>
            </w:r>
          </w:p>
        </w:tc>
        <w:tc>
          <w:tcPr>
            <w:tcW w:w="1404" w:type="dxa"/>
          </w:tcPr>
          <w:p w:rsidR="00672A78" w:rsidRDefault="00F77751">
            <w:pPr>
              <w:spacing w:line="360" w:lineRule="auto"/>
              <w:jc w:val="center"/>
              <w:rPr>
                <w:rFonts w:ascii="Garamond" w:hAnsi="Garamond"/>
                <w:szCs w:val="24"/>
              </w:rPr>
            </w:pPr>
            <w:r>
              <w:rPr>
                <w:rFonts w:ascii="Garamond" w:hAnsi="Garamond"/>
                <w:szCs w:val="24"/>
              </w:rPr>
              <w:t>2,400</w:t>
            </w:r>
          </w:p>
        </w:tc>
      </w:tr>
    </w:tbl>
    <w:p w:rsidR="00F77751" w:rsidRDefault="00F77751" w:rsidP="002652F6">
      <w:pPr>
        <w:spacing w:line="360" w:lineRule="auto"/>
        <w:jc w:val="both"/>
        <w:rPr>
          <w:rFonts w:ascii="Garamond" w:hAnsi="Garamond"/>
          <w:szCs w:val="24"/>
        </w:rPr>
      </w:pPr>
    </w:p>
    <w:p w:rsidR="000954F9" w:rsidRPr="000954F9" w:rsidRDefault="00231FF1" w:rsidP="000954F9">
      <w:pPr>
        <w:spacing w:line="360" w:lineRule="auto"/>
        <w:jc w:val="both"/>
        <w:rPr>
          <w:rFonts w:ascii="Garamond" w:hAnsi="Garamond"/>
          <w:szCs w:val="24"/>
        </w:rPr>
      </w:pPr>
      <w:r w:rsidRPr="00231FF1">
        <w:rPr>
          <w:rFonts w:ascii="Garamond" w:hAnsi="Garamond"/>
          <w:szCs w:val="24"/>
        </w:rPr>
        <w:t xml:space="preserve">The baseline survey is to </w:t>
      </w:r>
      <w:r w:rsidR="00C6665F">
        <w:rPr>
          <w:rFonts w:ascii="Garamond" w:hAnsi="Garamond"/>
          <w:szCs w:val="24"/>
        </w:rPr>
        <w:t xml:space="preserve">be conducted in the second half of Year 1 </w:t>
      </w:r>
      <w:r w:rsidRPr="00231FF1">
        <w:rPr>
          <w:rFonts w:ascii="Garamond" w:hAnsi="Garamond"/>
          <w:szCs w:val="24"/>
        </w:rPr>
        <w:t xml:space="preserve">where a total of 1,200 surveys will be administered. For the irrigation component, it is envisioned that 16 surveys will be administered in each community in the treatment and control groups. As there are 19 treated communities to be matched with 19 control communities, 16 surveys per community yields approximately 600 baseline surveys. The specific households to be surveyed within each group are to be selected randomly from the sample frame. </w:t>
      </w:r>
      <w:r w:rsidR="000954F9" w:rsidRPr="000954F9">
        <w:rPr>
          <w:rFonts w:ascii="Garamond" w:hAnsi="Garamond"/>
          <w:color w:val="222222"/>
          <w:szCs w:val="25"/>
          <w:shd w:val="clear" w:color="auto" w:fill="FFFFFF"/>
        </w:rPr>
        <w:t>Regarding the rural roads component, it is envisioned that 12 surveys will be conducted in each community in the treatment and control groups. Given that there are 27 treated communities to be matched to 27 control communities, 12 surveys per community yields approximately 600 baseline surveys as well. Again, the specific households will be selected randomly from the sample frame.</w:t>
      </w:r>
    </w:p>
    <w:p w:rsidR="0025592E" w:rsidRPr="003C527C" w:rsidRDefault="009C696B" w:rsidP="002652F6">
      <w:pPr>
        <w:spacing w:line="360" w:lineRule="auto"/>
        <w:jc w:val="both"/>
        <w:rPr>
          <w:rFonts w:ascii="Garamond" w:hAnsi="Garamond"/>
          <w:szCs w:val="24"/>
        </w:rPr>
      </w:pPr>
      <w:r>
        <w:rPr>
          <w:rFonts w:ascii="Garamond" w:hAnsi="Garamond"/>
          <w:szCs w:val="24"/>
        </w:rPr>
        <w:lastRenderedPageBreak/>
        <w:t xml:space="preserve">The follow-up survey is to be conducted in </w:t>
      </w:r>
      <w:r w:rsidR="00C6665F">
        <w:rPr>
          <w:rFonts w:ascii="Garamond" w:hAnsi="Garamond"/>
          <w:szCs w:val="24"/>
        </w:rPr>
        <w:t xml:space="preserve">the second half of Year 3 </w:t>
      </w:r>
      <w:r w:rsidRPr="009C696B">
        <w:rPr>
          <w:rFonts w:ascii="Garamond" w:hAnsi="Garamond"/>
          <w:szCs w:val="24"/>
        </w:rPr>
        <w:t>where a</w:t>
      </w:r>
      <w:r>
        <w:rPr>
          <w:rFonts w:ascii="Garamond" w:hAnsi="Garamond"/>
          <w:szCs w:val="24"/>
        </w:rPr>
        <w:t>n additional</w:t>
      </w:r>
      <w:r w:rsidRPr="009C696B">
        <w:rPr>
          <w:rFonts w:ascii="Garamond" w:hAnsi="Garamond"/>
          <w:szCs w:val="24"/>
        </w:rPr>
        <w:t xml:space="preserve"> 1,200 surveys will be administered</w:t>
      </w:r>
      <w:r>
        <w:rPr>
          <w:rFonts w:ascii="Garamond" w:hAnsi="Garamond"/>
          <w:szCs w:val="24"/>
        </w:rPr>
        <w:t xml:space="preserve">.  Importantly, the follow-up surveys are to be administered to the same 1,200 households that were surveyed in the baseline. Thus, no further sampling is necessary at this stage. </w:t>
      </w:r>
      <w:r w:rsidR="00881CEE">
        <w:rPr>
          <w:rFonts w:ascii="Garamond" w:hAnsi="Garamond"/>
          <w:szCs w:val="24"/>
        </w:rPr>
        <w:t>Given the 1,200 surveys administered at the baseline and the 1,200 administered at follow-up, it is then evident that a total of 2,400 surveys are planned.</w:t>
      </w:r>
    </w:p>
    <w:p w:rsidR="003201E7" w:rsidRDefault="003201E7" w:rsidP="009B24AA">
      <w:pPr>
        <w:spacing w:before="120" w:after="0" w:line="360" w:lineRule="auto"/>
        <w:jc w:val="both"/>
        <w:textAlignment w:val="top"/>
        <w:rPr>
          <w:rFonts w:ascii="Garamond" w:hAnsi="Garamond"/>
          <w:i/>
          <w:szCs w:val="24"/>
        </w:rPr>
      </w:pPr>
      <w:r>
        <w:rPr>
          <w:rFonts w:ascii="Garamond" w:hAnsi="Garamond"/>
          <w:i/>
          <w:szCs w:val="24"/>
        </w:rPr>
        <w:t xml:space="preserve">Expected Costs </w:t>
      </w:r>
      <w:r w:rsidR="00C7293B">
        <w:rPr>
          <w:rFonts w:ascii="Garamond" w:hAnsi="Garamond"/>
          <w:i/>
          <w:szCs w:val="24"/>
        </w:rPr>
        <w:t xml:space="preserve">and Timing </w:t>
      </w:r>
      <w:r>
        <w:rPr>
          <w:rFonts w:ascii="Garamond" w:hAnsi="Garamond"/>
          <w:i/>
          <w:szCs w:val="24"/>
        </w:rPr>
        <w:t>of Survey Administration</w:t>
      </w:r>
    </w:p>
    <w:p w:rsidR="000954F9" w:rsidRDefault="003201E7" w:rsidP="000D023E">
      <w:pPr>
        <w:spacing w:before="120" w:after="0" w:line="360" w:lineRule="auto"/>
        <w:jc w:val="both"/>
        <w:textAlignment w:val="top"/>
        <w:rPr>
          <w:rFonts w:ascii="Garamond" w:hAnsi="Garamond"/>
          <w:color w:val="000000"/>
          <w:szCs w:val="24"/>
        </w:rPr>
      </w:pPr>
      <w:r w:rsidRPr="003201E7">
        <w:rPr>
          <w:rFonts w:ascii="Garamond" w:hAnsi="Garamond"/>
          <w:color w:val="000000"/>
          <w:szCs w:val="24"/>
        </w:rPr>
        <w:t>The cost of survey administration includes all aspects of the administration</w:t>
      </w:r>
      <w:r>
        <w:rPr>
          <w:rFonts w:ascii="Garamond" w:hAnsi="Garamond"/>
          <w:color w:val="000000"/>
          <w:szCs w:val="24"/>
        </w:rPr>
        <w:t>,</w:t>
      </w:r>
      <w:r w:rsidRPr="003201E7">
        <w:rPr>
          <w:rFonts w:ascii="Garamond" w:hAnsi="Garamond"/>
          <w:color w:val="000000"/>
          <w:szCs w:val="24"/>
        </w:rPr>
        <w:t xml:space="preserve"> from implementation in the field through data entry and cleaning. A specific budget for all activities for survey administration should be obtained from th</w:t>
      </w:r>
      <w:r>
        <w:rPr>
          <w:rFonts w:ascii="Garamond" w:hAnsi="Garamond"/>
          <w:color w:val="000000"/>
          <w:szCs w:val="24"/>
        </w:rPr>
        <w:t>e firm hired to do the work. However,</w:t>
      </w:r>
      <w:r w:rsidRPr="003201E7">
        <w:rPr>
          <w:rFonts w:ascii="Garamond" w:hAnsi="Garamond"/>
          <w:color w:val="000000"/>
          <w:szCs w:val="24"/>
        </w:rPr>
        <w:t xml:space="preserve"> estimates of survey costs can </w:t>
      </w:r>
      <w:r>
        <w:rPr>
          <w:rFonts w:ascii="Garamond" w:hAnsi="Garamond"/>
          <w:color w:val="000000"/>
          <w:szCs w:val="24"/>
        </w:rPr>
        <w:t xml:space="preserve">be constructed on the basis of previous experience and knowledge of </w:t>
      </w:r>
      <w:r w:rsidRPr="003201E7">
        <w:rPr>
          <w:rFonts w:ascii="Garamond" w:hAnsi="Garamond"/>
          <w:color w:val="000000"/>
          <w:szCs w:val="24"/>
        </w:rPr>
        <w:t>labor and transportation costs</w:t>
      </w:r>
      <w:r>
        <w:rPr>
          <w:rFonts w:ascii="Garamond" w:hAnsi="Garamond"/>
          <w:color w:val="000000"/>
          <w:szCs w:val="24"/>
        </w:rPr>
        <w:t xml:space="preserve"> in the project area</w:t>
      </w:r>
      <w:r w:rsidRPr="003201E7">
        <w:rPr>
          <w:rFonts w:ascii="Garamond" w:hAnsi="Garamond"/>
          <w:color w:val="000000"/>
          <w:szCs w:val="24"/>
        </w:rPr>
        <w:t>. F</w:t>
      </w:r>
      <w:r>
        <w:rPr>
          <w:rFonts w:ascii="Garamond" w:hAnsi="Garamond"/>
          <w:color w:val="000000"/>
          <w:szCs w:val="24"/>
        </w:rPr>
        <w:t>or Chimborazo</w:t>
      </w:r>
      <w:r w:rsidRPr="003201E7">
        <w:rPr>
          <w:rFonts w:ascii="Garamond" w:hAnsi="Garamond"/>
          <w:color w:val="000000"/>
          <w:szCs w:val="24"/>
        </w:rPr>
        <w:t xml:space="preserve">, </w:t>
      </w:r>
      <w:r>
        <w:rPr>
          <w:rFonts w:ascii="Garamond" w:hAnsi="Garamond"/>
          <w:color w:val="000000"/>
          <w:szCs w:val="24"/>
        </w:rPr>
        <w:t>each survey is estimated to c</w:t>
      </w:r>
      <w:r w:rsidR="00DB24D5">
        <w:rPr>
          <w:rFonts w:ascii="Garamond" w:hAnsi="Garamond"/>
          <w:color w:val="000000"/>
          <w:szCs w:val="24"/>
        </w:rPr>
        <w:t>ost approximately $75. With 1,200</w:t>
      </w:r>
      <w:r>
        <w:rPr>
          <w:rFonts w:ascii="Garamond" w:hAnsi="Garamond"/>
          <w:color w:val="000000"/>
          <w:szCs w:val="24"/>
        </w:rPr>
        <w:t xml:space="preserve"> questionnaires required</w:t>
      </w:r>
      <w:r w:rsidR="00DB24D5">
        <w:rPr>
          <w:rFonts w:ascii="Garamond" w:hAnsi="Garamond"/>
          <w:color w:val="000000"/>
          <w:szCs w:val="24"/>
        </w:rPr>
        <w:t xml:space="preserve"> per survey round</w:t>
      </w:r>
      <w:r>
        <w:rPr>
          <w:rFonts w:ascii="Garamond" w:hAnsi="Garamond"/>
          <w:color w:val="000000"/>
          <w:szCs w:val="24"/>
        </w:rPr>
        <w:t>, the cost to administer ea</w:t>
      </w:r>
      <w:r w:rsidR="00C555F7">
        <w:rPr>
          <w:rFonts w:ascii="Garamond" w:hAnsi="Garamond"/>
          <w:color w:val="000000"/>
          <w:szCs w:val="24"/>
        </w:rPr>
        <w:t>ch survey round is $90,000</w:t>
      </w:r>
      <w:r>
        <w:rPr>
          <w:rFonts w:ascii="Garamond" w:hAnsi="Garamond"/>
          <w:color w:val="000000"/>
          <w:szCs w:val="24"/>
        </w:rPr>
        <w:t>. A</w:t>
      </w:r>
      <w:r w:rsidRPr="003201E7">
        <w:rPr>
          <w:rFonts w:ascii="Garamond" w:hAnsi="Garamond"/>
          <w:color w:val="000000"/>
          <w:szCs w:val="24"/>
        </w:rPr>
        <w:t>dditional costs for supporting the survey an</w:t>
      </w:r>
      <w:r>
        <w:rPr>
          <w:rFonts w:ascii="Garamond" w:hAnsi="Garamond"/>
          <w:color w:val="000000"/>
          <w:szCs w:val="24"/>
        </w:rPr>
        <w:t>d analyzing the data, however, must be included.</w:t>
      </w:r>
      <w:r w:rsidR="00B020DB">
        <w:rPr>
          <w:rFonts w:ascii="Garamond" w:hAnsi="Garamond"/>
          <w:color w:val="000000"/>
          <w:szCs w:val="24"/>
        </w:rPr>
        <w:t xml:space="preserve"> </w:t>
      </w:r>
      <w:r w:rsidRPr="003201E7">
        <w:rPr>
          <w:rFonts w:ascii="Garamond" w:hAnsi="Garamond"/>
          <w:color w:val="000000"/>
          <w:szCs w:val="24"/>
        </w:rPr>
        <w:t>These will be higher in the second round</w:t>
      </w:r>
      <w:r w:rsidR="00C555F7">
        <w:rPr>
          <w:rFonts w:ascii="Garamond" w:hAnsi="Garamond"/>
          <w:color w:val="000000"/>
          <w:szCs w:val="24"/>
        </w:rPr>
        <w:t xml:space="preserve"> and are estimated to be $7,500 </w:t>
      </w:r>
      <w:r w:rsidR="00B020DB">
        <w:rPr>
          <w:rFonts w:ascii="Garamond" w:hAnsi="Garamond"/>
          <w:color w:val="000000"/>
          <w:szCs w:val="24"/>
        </w:rPr>
        <w:t>for</w:t>
      </w:r>
      <w:r w:rsidR="00C555F7">
        <w:rPr>
          <w:rFonts w:ascii="Garamond" w:hAnsi="Garamond"/>
          <w:color w:val="000000"/>
          <w:szCs w:val="24"/>
        </w:rPr>
        <w:t xml:space="preserve"> the baseline and $12,5</w:t>
      </w:r>
      <w:r w:rsidRPr="003201E7">
        <w:rPr>
          <w:rFonts w:ascii="Garamond" w:hAnsi="Garamond"/>
          <w:color w:val="000000"/>
          <w:szCs w:val="24"/>
        </w:rPr>
        <w:t xml:space="preserve">00 for the </w:t>
      </w:r>
      <w:r w:rsidR="00C555F7">
        <w:rPr>
          <w:rFonts w:ascii="Garamond" w:hAnsi="Garamond"/>
          <w:color w:val="000000"/>
          <w:szCs w:val="24"/>
        </w:rPr>
        <w:t xml:space="preserve">follow-up. </w:t>
      </w:r>
      <w:r w:rsidR="00B020DB">
        <w:rPr>
          <w:rFonts w:ascii="Garamond" w:hAnsi="Garamond"/>
          <w:color w:val="000000"/>
          <w:szCs w:val="24"/>
        </w:rPr>
        <w:t>Table 3 presents the expected costs by key evaluation activity and the time at which each cost is expected to be incurred.</w:t>
      </w:r>
    </w:p>
    <w:p w:rsidR="00493095" w:rsidRPr="000D023E" w:rsidRDefault="00493095" w:rsidP="000D023E">
      <w:pPr>
        <w:spacing w:before="120" w:after="0" w:line="360" w:lineRule="auto"/>
        <w:jc w:val="both"/>
        <w:textAlignment w:val="top"/>
        <w:rPr>
          <w:rFonts w:ascii="Garamond" w:hAnsi="Garamond"/>
          <w:color w:val="000000"/>
          <w:szCs w:val="24"/>
        </w:rPr>
      </w:pPr>
    </w:p>
    <w:p w:rsidR="00112EB3" w:rsidRDefault="00112EB3" w:rsidP="009B24AA">
      <w:pPr>
        <w:spacing w:line="360" w:lineRule="auto"/>
        <w:jc w:val="center"/>
        <w:rPr>
          <w:rFonts w:ascii="Garamond" w:eastAsiaTheme="minorEastAsia" w:hAnsi="Garamond"/>
        </w:rPr>
      </w:pPr>
      <w:r>
        <w:rPr>
          <w:rFonts w:ascii="Garamond" w:eastAsiaTheme="minorEastAsia" w:hAnsi="Garamond"/>
        </w:rPr>
        <w:t>Table 3. Expected Costs of Survey Administration</w:t>
      </w:r>
    </w:p>
    <w:tbl>
      <w:tblPr>
        <w:tblW w:w="8589" w:type="dxa"/>
        <w:jc w:val="center"/>
        <w:tblInd w:w="198" w:type="dxa"/>
        <w:tblLayout w:type="fixed"/>
        <w:tblLook w:val="04A0" w:firstRow="1" w:lastRow="0" w:firstColumn="1" w:lastColumn="0" w:noHBand="0" w:noVBand="1"/>
      </w:tblPr>
      <w:tblGrid>
        <w:gridCol w:w="3600"/>
        <w:gridCol w:w="360"/>
        <w:gridCol w:w="360"/>
        <w:gridCol w:w="360"/>
        <w:gridCol w:w="360"/>
        <w:gridCol w:w="360"/>
        <w:gridCol w:w="360"/>
        <w:gridCol w:w="360"/>
        <w:gridCol w:w="360"/>
        <w:gridCol w:w="360"/>
        <w:gridCol w:w="360"/>
        <w:gridCol w:w="1389"/>
      </w:tblGrid>
      <w:tr w:rsidR="00112EB3" w:rsidRPr="002E68D9" w:rsidTr="009172E1">
        <w:trPr>
          <w:trHeight w:val="638"/>
          <w:jc w:val="center"/>
        </w:trPr>
        <w:tc>
          <w:tcPr>
            <w:tcW w:w="3600" w:type="dxa"/>
            <w:vMerge w:val="restart"/>
            <w:tcBorders>
              <w:top w:val="single" w:sz="4" w:space="0" w:color="auto"/>
            </w:tcBorders>
            <w:vAlign w:val="center"/>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Key Evaluation Activities</w:t>
            </w:r>
          </w:p>
        </w:tc>
        <w:tc>
          <w:tcPr>
            <w:tcW w:w="720" w:type="dxa"/>
            <w:gridSpan w:val="2"/>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Year 1</w:t>
            </w:r>
          </w:p>
        </w:tc>
        <w:tc>
          <w:tcPr>
            <w:tcW w:w="720" w:type="dxa"/>
            <w:gridSpan w:val="2"/>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Year 2</w:t>
            </w:r>
          </w:p>
        </w:tc>
        <w:tc>
          <w:tcPr>
            <w:tcW w:w="720" w:type="dxa"/>
            <w:gridSpan w:val="2"/>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Year 3</w:t>
            </w:r>
          </w:p>
        </w:tc>
        <w:tc>
          <w:tcPr>
            <w:tcW w:w="720" w:type="dxa"/>
            <w:gridSpan w:val="2"/>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Year 4</w:t>
            </w:r>
          </w:p>
        </w:tc>
        <w:tc>
          <w:tcPr>
            <w:tcW w:w="720" w:type="dxa"/>
            <w:gridSpan w:val="2"/>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Year 5</w:t>
            </w:r>
          </w:p>
        </w:tc>
        <w:tc>
          <w:tcPr>
            <w:tcW w:w="1389" w:type="dxa"/>
            <w:vMerge w:val="restart"/>
            <w:tcBorders>
              <w:top w:val="single" w:sz="4" w:space="0" w:color="auto"/>
            </w:tcBorders>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Cost</w:t>
            </w:r>
          </w:p>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w:t>
            </w:r>
          </w:p>
        </w:tc>
      </w:tr>
      <w:tr w:rsidR="00112EB3" w:rsidRPr="002E68D9" w:rsidTr="009172E1">
        <w:trPr>
          <w:jc w:val="center"/>
        </w:trPr>
        <w:tc>
          <w:tcPr>
            <w:tcW w:w="3600" w:type="dxa"/>
            <w:vMerge/>
            <w:tcBorders>
              <w:bottom w:val="single" w:sz="4" w:space="0" w:color="auto"/>
            </w:tcBorders>
          </w:tcPr>
          <w:p w:rsidR="00112EB3" w:rsidRPr="002E68D9" w:rsidRDefault="00112EB3" w:rsidP="009B24AA">
            <w:pPr>
              <w:spacing w:before="120" w:after="0" w:line="360" w:lineRule="auto"/>
              <w:jc w:val="center"/>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1</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2</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1</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2</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1</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2</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1</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2</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1</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jc w:val="center"/>
              <w:rPr>
                <w:rFonts w:ascii="Garamond" w:hAnsi="Garamond"/>
                <w:szCs w:val="24"/>
              </w:rPr>
            </w:pPr>
            <w:r w:rsidRPr="002E68D9">
              <w:rPr>
                <w:rFonts w:ascii="Garamond" w:hAnsi="Garamond"/>
                <w:szCs w:val="24"/>
              </w:rPr>
              <w:t>2</w:t>
            </w:r>
          </w:p>
        </w:tc>
        <w:tc>
          <w:tcPr>
            <w:tcW w:w="1389" w:type="dxa"/>
            <w:vMerge/>
            <w:tcBorders>
              <w:bottom w:val="single" w:sz="4" w:space="0" w:color="auto"/>
            </w:tcBorders>
          </w:tcPr>
          <w:p w:rsidR="00112EB3" w:rsidRPr="002E68D9" w:rsidRDefault="00112EB3" w:rsidP="009B24AA">
            <w:pPr>
              <w:spacing w:before="120" w:after="0" w:line="360" w:lineRule="auto"/>
              <w:jc w:val="center"/>
              <w:rPr>
                <w:rFonts w:ascii="Garamond" w:hAnsi="Garamond"/>
                <w:szCs w:val="24"/>
              </w:rPr>
            </w:pPr>
          </w:p>
        </w:tc>
      </w:tr>
      <w:tr w:rsidR="00112EB3" w:rsidRPr="002E68D9" w:rsidTr="009172E1">
        <w:trPr>
          <w:trHeight w:val="350"/>
          <w:jc w:val="center"/>
        </w:trPr>
        <w:tc>
          <w:tcPr>
            <w:tcW w:w="3600" w:type="dxa"/>
            <w:tcBorders>
              <w:top w:val="single" w:sz="4" w:space="0" w:color="auto"/>
              <w:bottom w:val="single" w:sz="4" w:space="0" w:color="auto"/>
            </w:tcBorders>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Baseline data collection</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szCs w:val="24"/>
              </w:rPr>
            </w:pPr>
            <w:r w:rsidRPr="002E68D9">
              <w:rPr>
                <w:rFonts w:ascii="Garamond" w:hAnsi="Garamond"/>
                <w:szCs w:val="24"/>
              </w:rPr>
              <w:t>$9</w:t>
            </w:r>
            <w:r w:rsidR="00112EB3" w:rsidRPr="002E68D9">
              <w:rPr>
                <w:rFonts w:ascii="Garamond" w:hAnsi="Garamond"/>
                <w:szCs w:val="24"/>
              </w:rPr>
              <w:t>0,000</w:t>
            </w:r>
          </w:p>
        </w:tc>
      </w:tr>
      <w:tr w:rsidR="00112EB3" w:rsidRPr="002E68D9" w:rsidTr="009172E1">
        <w:trPr>
          <w:jc w:val="center"/>
        </w:trPr>
        <w:tc>
          <w:tcPr>
            <w:tcW w:w="3600" w:type="dxa"/>
            <w:tcBorders>
              <w:top w:val="single" w:sz="4" w:space="0" w:color="auto"/>
              <w:bottom w:val="single" w:sz="4" w:space="0" w:color="auto"/>
            </w:tcBorders>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Baseline data analysis</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szCs w:val="24"/>
              </w:rPr>
            </w:pPr>
            <w:r w:rsidRPr="002E68D9">
              <w:rPr>
                <w:rFonts w:ascii="Garamond" w:hAnsi="Garamond"/>
                <w:szCs w:val="24"/>
              </w:rPr>
              <w:t>$7,500</w:t>
            </w:r>
          </w:p>
        </w:tc>
      </w:tr>
      <w:tr w:rsidR="00112EB3" w:rsidRPr="002E68D9" w:rsidTr="009172E1">
        <w:trPr>
          <w:jc w:val="center"/>
        </w:trPr>
        <w:tc>
          <w:tcPr>
            <w:tcW w:w="3600" w:type="dxa"/>
            <w:tcBorders>
              <w:top w:val="single" w:sz="4" w:space="0" w:color="auto"/>
              <w:bottom w:val="single" w:sz="4" w:space="0" w:color="auto"/>
            </w:tcBorders>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Follow-up data collection</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szCs w:val="24"/>
              </w:rPr>
            </w:pPr>
            <w:r w:rsidRPr="002E68D9">
              <w:rPr>
                <w:rFonts w:ascii="Garamond" w:hAnsi="Garamond"/>
                <w:szCs w:val="24"/>
              </w:rPr>
              <w:t>$90</w:t>
            </w:r>
            <w:r w:rsidR="00112EB3" w:rsidRPr="002E68D9">
              <w:rPr>
                <w:rFonts w:ascii="Garamond" w:hAnsi="Garamond"/>
                <w:szCs w:val="24"/>
              </w:rPr>
              <w:t>,000</w:t>
            </w:r>
          </w:p>
        </w:tc>
      </w:tr>
      <w:tr w:rsidR="00112EB3" w:rsidRPr="002E68D9" w:rsidTr="009172E1">
        <w:trPr>
          <w:jc w:val="center"/>
        </w:trPr>
        <w:tc>
          <w:tcPr>
            <w:tcW w:w="3600" w:type="dxa"/>
            <w:tcBorders>
              <w:top w:val="single" w:sz="4" w:space="0" w:color="auto"/>
              <w:bottom w:val="single" w:sz="4" w:space="0" w:color="auto"/>
            </w:tcBorders>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Follow-up data analysis</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szCs w:val="24"/>
              </w:rPr>
            </w:pPr>
            <w:r w:rsidRPr="002E68D9">
              <w:rPr>
                <w:rFonts w:ascii="Garamond" w:hAnsi="Garamond"/>
                <w:szCs w:val="24"/>
              </w:rPr>
              <w:t>$7,500</w:t>
            </w:r>
          </w:p>
        </w:tc>
      </w:tr>
      <w:tr w:rsidR="00112EB3" w:rsidRPr="002E68D9" w:rsidTr="009172E1">
        <w:trPr>
          <w:trHeight w:val="395"/>
          <w:jc w:val="center"/>
        </w:trPr>
        <w:tc>
          <w:tcPr>
            <w:tcW w:w="3600" w:type="dxa"/>
            <w:tcBorders>
              <w:top w:val="single" w:sz="4" w:space="0" w:color="auto"/>
              <w:bottom w:val="single" w:sz="4" w:space="0" w:color="auto"/>
            </w:tcBorders>
          </w:tcPr>
          <w:p w:rsidR="00112EB3" w:rsidRPr="002E68D9" w:rsidRDefault="00112EB3" w:rsidP="009B24AA">
            <w:pPr>
              <w:spacing w:before="120" w:after="0" w:line="360" w:lineRule="auto"/>
              <w:rPr>
                <w:rFonts w:ascii="Garamond" w:hAnsi="Garamond"/>
                <w:szCs w:val="24"/>
              </w:rPr>
            </w:pPr>
            <w:r w:rsidRPr="002E68D9">
              <w:rPr>
                <w:rFonts w:ascii="Garamond" w:hAnsi="Garamond"/>
                <w:szCs w:val="24"/>
              </w:rPr>
              <w:t>Final impact evaluation</w:t>
            </w: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595959" w:themeFill="text1" w:themeFillTint="A6"/>
          </w:tcPr>
          <w:p w:rsidR="00112EB3" w:rsidRPr="002E68D9" w:rsidRDefault="00112EB3" w:rsidP="009B24AA">
            <w:pPr>
              <w:spacing w:before="120" w:after="0" w:line="360" w:lineRule="auto"/>
              <w:rPr>
                <w:rFonts w:ascii="Garamond" w:hAnsi="Garamond"/>
                <w:szCs w:val="24"/>
              </w:rPr>
            </w:pPr>
          </w:p>
        </w:tc>
        <w:tc>
          <w:tcPr>
            <w:tcW w:w="360" w:type="dxa"/>
            <w:tcBorders>
              <w:top w:val="single" w:sz="4" w:space="0" w:color="auto"/>
              <w:bottom w:val="single" w:sz="4" w:space="0" w:color="auto"/>
            </w:tcBorders>
            <w:shd w:val="clear" w:color="auto" w:fill="auto"/>
          </w:tcPr>
          <w:p w:rsidR="00112EB3" w:rsidRPr="002E68D9" w:rsidRDefault="00112EB3" w:rsidP="009B24AA">
            <w:pPr>
              <w:spacing w:before="120" w:after="0" w:line="360" w:lineRule="auto"/>
              <w:rPr>
                <w:rFonts w:ascii="Garamond" w:hAnsi="Garamond"/>
                <w:szCs w:val="24"/>
              </w:rPr>
            </w:pP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szCs w:val="24"/>
              </w:rPr>
            </w:pPr>
            <w:r w:rsidRPr="002E68D9">
              <w:rPr>
                <w:rFonts w:ascii="Garamond" w:hAnsi="Garamond"/>
                <w:szCs w:val="24"/>
              </w:rPr>
              <w:t>$5,000</w:t>
            </w:r>
          </w:p>
        </w:tc>
      </w:tr>
      <w:tr w:rsidR="00112EB3" w:rsidRPr="002E68D9" w:rsidTr="009172E1">
        <w:trPr>
          <w:jc w:val="center"/>
        </w:trPr>
        <w:tc>
          <w:tcPr>
            <w:tcW w:w="7200" w:type="dxa"/>
            <w:gridSpan w:val="11"/>
            <w:tcBorders>
              <w:top w:val="single" w:sz="4" w:space="0" w:color="auto"/>
              <w:bottom w:val="single" w:sz="4" w:space="0" w:color="auto"/>
            </w:tcBorders>
          </w:tcPr>
          <w:p w:rsidR="00112EB3" w:rsidRPr="002E68D9" w:rsidRDefault="00112EB3" w:rsidP="009B24AA">
            <w:pPr>
              <w:spacing w:before="120" w:after="0" w:line="360" w:lineRule="auto"/>
              <w:jc w:val="right"/>
              <w:rPr>
                <w:rFonts w:ascii="Garamond" w:hAnsi="Garamond"/>
                <w:b/>
                <w:szCs w:val="24"/>
              </w:rPr>
            </w:pPr>
            <w:r w:rsidRPr="002E68D9">
              <w:rPr>
                <w:rFonts w:ascii="Garamond" w:hAnsi="Garamond"/>
                <w:b/>
                <w:szCs w:val="24"/>
              </w:rPr>
              <w:t>Total Cost:</w:t>
            </w:r>
          </w:p>
        </w:tc>
        <w:tc>
          <w:tcPr>
            <w:tcW w:w="1389" w:type="dxa"/>
            <w:tcBorders>
              <w:top w:val="single" w:sz="4" w:space="0" w:color="auto"/>
              <w:bottom w:val="single" w:sz="4" w:space="0" w:color="auto"/>
            </w:tcBorders>
          </w:tcPr>
          <w:p w:rsidR="00112EB3" w:rsidRPr="002E68D9" w:rsidRDefault="00C555F7" w:rsidP="009B24AA">
            <w:pPr>
              <w:spacing w:before="120" w:after="0" w:line="360" w:lineRule="auto"/>
              <w:jc w:val="right"/>
              <w:rPr>
                <w:rFonts w:ascii="Garamond" w:hAnsi="Garamond"/>
                <w:b/>
                <w:szCs w:val="24"/>
              </w:rPr>
            </w:pPr>
            <w:r w:rsidRPr="002E68D9">
              <w:rPr>
                <w:rFonts w:ascii="Garamond" w:hAnsi="Garamond"/>
                <w:szCs w:val="24"/>
              </w:rPr>
              <w:t>$2</w:t>
            </w:r>
            <w:r w:rsidR="00112EB3" w:rsidRPr="002E68D9">
              <w:rPr>
                <w:rFonts w:ascii="Garamond" w:hAnsi="Garamond"/>
                <w:szCs w:val="24"/>
              </w:rPr>
              <w:t>00,000</w:t>
            </w:r>
          </w:p>
        </w:tc>
      </w:tr>
    </w:tbl>
    <w:p w:rsidR="00BE2B07" w:rsidRDefault="00BE2B07" w:rsidP="009B24AA">
      <w:pPr>
        <w:spacing w:line="360" w:lineRule="auto"/>
        <w:rPr>
          <w:rFonts w:ascii="Garamond" w:eastAsiaTheme="minorEastAsia" w:hAnsi="Garamond"/>
        </w:rPr>
      </w:pPr>
    </w:p>
    <w:p w:rsidR="009172E1" w:rsidRDefault="009172E1" w:rsidP="00027DB3">
      <w:pPr>
        <w:spacing w:before="120" w:after="0" w:line="360" w:lineRule="auto"/>
        <w:jc w:val="both"/>
        <w:textAlignment w:val="top"/>
        <w:rPr>
          <w:rFonts w:ascii="Garamond" w:hAnsi="Garamond"/>
          <w:i/>
          <w:szCs w:val="24"/>
        </w:rPr>
      </w:pPr>
    </w:p>
    <w:p w:rsidR="009172E1" w:rsidRDefault="009172E1" w:rsidP="00027DB3">
      <w:pPr>
        <w:spacing w:before="120" w:after="0" w:line="360" w:lineRule="auto"/>
        <w:jc w:val="both"/>
        <w:textAlignment w:val="top"/>
        <w:rPr>
          <w:rFonts w:ascii="Garamond" w:hAnsi="Garamond"/>
          <w:i/>
          <w:szCs w:val="24"/>
        </w:rPr>
      </w:pPr>
    </w:p>
    <w:p w:rsidR="00027DB3" w:rsidRDefault="00027DB3" w:rsidP="00027DB3">
      <w:pPr>
        <w:spacing w:before="120" w:after="0" w:line="360" w:lineRule="auto"/>
        <w:jc w:val="both"/>
        <w:textAlignment w:val="top"/>
        <w:rPr>
          <w:rFonts w:ascii="Garamond" w:hAnsi="Garamond"/>
          <w:i/>
          <w:szCs w:val="24"/>
        </w:rPr>
      </w:pPr>
      <w:r>
        <w:rPr>
          <w:rFonts w:ascii="Garamond" w:hAnsi="Garamond"/>
          <w:i/>
          <w:szCs w:val="24"/>
        </w:rPr>
        <w:lastRenderedPageBreak/>
        <w:t>Responsibilities and reporting</w:t>
      </w:r>
    </w:p>
    <w:p w:rsidR="004F03BC" w:rsidRDefault="00EB19E2" w:rsidP="00027DB3">
      <w:pPr>
        <w:spacing w:before="120" w:after="0" w:line="360" w:lineRule="auto"/>
        <w:jc w:val="both"/>
        <w:textAlignment w:val="top"/>
        <w:rPr>
          <w:rFonts w:ascii="Garamond" w:hAnsi="Garamond"/>
          <w:szCs w:val="24"/>
        </w:rPr>
      </w:pPr>
      <w:r>
        <w:rPr>
          <w:rFonts w:ascii="Garamond" w:hAnsi="Garamond"/>
          <w:szCs w:val="24"/>
        </w:rPr>
        <w:t xml:space="preserve">The project execution unit in the Province of Chimborazo will be in charge of implementing the impact evaluation. They will provide support from RND and SPD on the administration of the plan as well as the subsequent analysis of the data. </w:t>
      </w:r>
    </w:p>
    <w:p w:rsidR="004F03BC" w:rsidRDefault="004F03BC" w:rsidP="00027DB3">
      <w:pPr>
        <w:spacing w:before="120" w:after="0" w:line="360" w:lineRule="auto"/>
        <w:jc w:val="both"/>
        <w:textAlignment w:val="top"/>
        <w:rPr>
          <w:rFonts w:ascii="Garamond" w:hAnsi="Garamond"/>
          <w:szCs w:val="24"/>
        </w:rPr>
      </w:pPr>
      <w:r>
        <w:rPr>
          <w:rFonts w:ascii="Garamond" w:hAnsi="Garamond"/>
          <w:szCs w:val="24"/>
        </w:rPr>
        <w:t>Four reports will be completed as part of the impact evaluation. The dates of completion will depend on the specific dates of implementation of the impact evaluation and so the expected date are noted relative to the data collection.</w:t>
      </w:r>
    </w:p>
    <w:p w:rsidR="004F03BC" w:rsidRDefault="00E369DF" w:rsidP="004F03BC">
      <w:pPr>
        <w:pStyle w:val="ListParagraph"/>
        <w:numPr>
          <w:ilvl w:val="0"/>
          <w:numId w:val="47"/>
        </w:numPr>
        <w:spacing w:before="120" w:after="0" w:line="360" w:lineRule="auto"/>
        <w:jc w:val="both"/>
        <w:textAlignment w:val="top"/>
        <w:rPr>
          <w:rFonts w:ascii="Garamond" w:hAnsi="Garamond"/>
          <w:szCs w:val="24"/>
        </w:rPr>
      </w:pPr>
      <w:r>
        <w:rPr>
          <w:rFonts w:ascii="Garamond" w:hAnsi="Garamond"/>
          <w:i/>
          <w:szCs w:val="24"/>
        </w:rPr>
        <w:t>I</w:t>
      </w:r>
      <w:r w:rsidR="004F03BC" w:rsidRPr="004F03BC">
        <w:rPr>
          <w:rFonts w:ascii="Garamond" w:hAnsi="Garamond"/>
          <w:i/>
          <w:szCs w:val="24"/>
        </w:rPr>
        <w:t>mpact evaluation</w:t>
      </w:r>
      <w:r>
        <w:rPr>
          <w:rFonts w:ascii="Garamond" w:hAnsi="Garamond"/>
          <w:i/>
          <w:szCs w:val="24"/>
        </w:rPr>
        <w:t xml:space="preserve"> plan:</w:t>
      </w:r>
      <w:r w:rsidR="004F03BC">
        <w:rPr>
          <w:rFonts w:ascii="Garamond" w:hAnsi="Garamond"/>
          <w:szCs w:val="24"/>
        </w:rPr>
        <w:t xml:space="preserve"> This document will provide a detailed design of how the impact evaluation will be administered. It will be largely based on this plan with changes made as necessary to adjust for changes in the project and with more detail on the implementation of the survey. </w:t>
      </w:r>
      <w:r w:rsidR="00672A78" w:rsidRPr="00672A78">
        <w:rPr>
          <w:rFonts w:ascii="Garamond" w:hAnsi="Garamond"/>
          <w:i/>
          <w:szCs w:val="24"/>
        </w:rPr>
        <w:t>Completion:</w:t>
      </w:r>
      <w:r w:rsidR="00672A78">
        <w:rPr>
          <w:rFonts w:ascii="Garamond" w:hAnsi="Garamond"/>
          <w:szCs w:val="24"/>
        </w:rPr>
        <w:t xml:space="preserve"> Two month prior to the administration of the baseline survey.</w:t>
      </w:r>
    </w:p>
    <w:p w:rsidR="004F03BC" w:rsidRDefault="004F03BC" w:rsidP="004F03BC">
      <w:pPr>
        <w:pStyle w:val="ListParagraph"/>
        <w:numPr>
          <w:ilvl w:val="0"/>
          <w:numId w:val="47"/>
        </w:numPr>
        <w:spacing w:before="120" w:after="0" w:line="360" w:lineRule="auto"/>
        <w:jc w:val="both"/>
        <w:textAlignment w:val="top"/>
        <w:rPr>
          <w:rFonts w:ascii="Garamond" w:hAnsi="Garamond"/>
          <w:szCs w:val="24"/>
        </w:rPr>
      </w:pPr>
      <w:r w:rsidRPr="004F03BC">
        <w:rPr>
          <w:rFonts w:ascii="Garamond" w:hAnsi="Garamond"/>
          <w:i/>
          <w:szCs w:val="24"/>
        </w:rPr>
        <w:t>Baseline report</w:t>
      </w:r>
      <w:r>
        <w:rPr>
          <w:rFonts w:ascii="Garamond" w:hAnsi="Garamond"/>
          <w:szCs w:val="24"/>
        </w:rPr>
        <w:t xml:space="preserve">: </w:t>
      </w:r>
      <w:r w:rsidR="00672A78">
        <w:rPr>
          <w:rFonts w:ascii="Garamond" w:hAnsi="Garamond"/>
          <w:szCs w:val="24"/>
        </w:rPr>
        <w:t>This document will provide det</w:t>
      </w:r>
      <w:r w:rsidR="00E369DF">
        <w:rPr>
          <w:rFonts w:ascii="Garamond" w:hAnsi="Garamond"/>
          <w:szCs w:val="24"/>
        </w:rPr>
        <w:t>a</w:t>
      </w:r>
      <w:r w:rsidR="00672A78">
        <w:rPr>
          <w:rFonts w:ascii="Garamond" w:hAnsi="Garamond"/>
          <w:szCs w:val="24"/>
        </w:rPr>
        <w:t xml:space="preserve">ils of how the baseline </w:t>
      </w:r>
      <w:r w:rsidR="00E369DF">
        <w:rPr>
          <w:rFonts w:ascii="Garamond" w:hAnsi="Garamond"/>
          <w:szCs w:val="24"/>
        </w:rPr>
        <w:t xml:space="preserve">was administered, including any deviations that occurred from the impact evaluation design. </w:t>
      </w:r>
      <w:r w:rsidR="00332E7E">
        <w:rPr>
          <w:rFonts w:ascii="Garamond" w:hAnsi="Garamond"/>
          <w:szCs w:val="24"/>
        </w:rPr>
        <w:t xml:space="preserve">The report will include all documents associated with the baseline administration including the questionnaire, enumerator guidelines, etc. Basic descriptive statistics of the data will also be included as well as an assessment of the success of the evaluation to create a reasonable counterfactual. Completion: </w:t>
      </w:r>
      <w:r w:rsidR="00D33A87">
        <w:rPr>
          <w:rFonts w:ascii="Garamond" w:hAnsi="Garamond"/>
          <w:szCs w:val="24"/>
        </w:rPr>
        <w:t xml:space="preserve">Three </w:t>
      </w:r>
      <w:r w:rsidR="00332E7E">
        <w:rPr>
          <w:rFonts w:ascii="Garamond" w:hAnsi="Garamond"/>
          <w:szCs w:val="24"/>
        </w:rPr>
        <w:t>months after the baseline survey administration.</w:t>
      </w:r>
    </w:p>
    <w:p w:rsidR="00D33A87" w:rsidRDefault="00EB19E2" w:rsidP="00D33A87">
      <w:pPr>
        <w:pStyle w:val="ListParagraph"/>
        <w:numPr>
          <w:ilvl w:val="0"/>
          <w:numId w:val="47"/>
        </w:numPr>
        <w:spacing w:before="120" w:after="0" w:line="360" w:lineRule="auto"/>
        <w:jc w:val="both"/>
        <w:textAlignment w:val="top"/>
        <w:rPr>
          <w:rFonts w:ascii="Garamond" w:hAnsi="Garamond"/>
          <w:szCs w:val="24"/>
        </w:rPr>
      </w:pPr>
      <w:r>
        <w:rPr>
          <w:rFonts w:ascii="Garamond" w:hAnsi="Garamond"/>
          <w:i/>
          <w:szCs w:val="24"/>
        </w:rPr>
        <w:t>Follow-up</w:t>
      </w:r>
      <w:r w:rsidR="00D33A87">
        <w:rPr>
          <w:rFonts w:ascii="Garamond" w:hAnsi="Garamond"/>
          <w:i/>
          <w:szCs w:val="24"/>
        </w:rPr>
        <w:t xml:space="preserve"> survey </w:t>
      </w:r>
      <w:r w:rsidR="00D33A87" w:rsidRPr="004F03BC">
        <w:rPr>
          <w:rFonts w:ascii="Garamond" w:hAnsi="Garamond"/>
          <w:i/>
          <w:szCs w:val="24"/>
        </w:rPr>
        <w:t>report</w:t>
      </w:r>
      <w:r w:rsidR="00D33A87">
        <w:rPr>
          <w:rFonts w:ascii="Garamond" w:hAnsi="Garamond"/>
          <w:szCs w:val="24"/>
        </w:rPr>
        <w:t xml:space="preserve">: Like the baseline report, this document will provide details of how the </w:t>
      </w:r>
      <w:r>
        <w:rPr>
          <w:rFonts w:ascii="Garamond" w:hAnsi="Garamond"/>
          <w:szCs w:val="24"/>
        </w:rPr>
        <w:t xml:space="preserve">follow-up </w:t>
      </w:r>
      <w:r w:rsidR="00D33A87">
        <w:rPr>
          <w:rFonts w:ascii="Garamond" w:hAnsi="Garamond"/>
          <w:szCs w:val="24"/>
        </w:rPr>
        <w:t>survey was administered, including any deviations that occurred from the impact evaluation design. The report will include all documents associated with the post-treatment survey administrati</w:t>
      </w:r>
      <w:r w:rsidR="000954F9">
        <w:rPr>
          <w:rFonts w:ascii="Garamond" w:hAnsi="Garamond"/>
          <w:szCs w:val="24"/>
        </w:rPr>
        <w:t>on including the questionnaire</w:t>
      </w:r>
      <w:r>
        <w:rPr>
          <w:rFonts w:ascii="Garamond" w:hAnsi="Garamond"/>
          <w:szCs w:val="24"/>
        </w:rPr>
        <w:t xml:space="preserve">, enumerator guidelines, etc. Basic descriptive statistics of the data will also be included. Completion: </w:t>
      </w:r>
      <w:r w:rsidR="00D33A87">
        <w:rPr>
          <w:rFonts w:ascii="Garamond" w:hAnsi="Garamond"/>
          <w:szCs w:val="24"/>
        </w:rPr>
        <w:t xml:space="preserve">Three months after the </w:t>
      </w:r>
      <w:r>
        <w:rPr>
          <w:rFonts w:ascii="Garamond" w:hAnsi="Garamond"/>
          <w:szCs w:val="24"/>
        </w:rPr>
        <w:t xml:space="preserve">follow-up </w:t>
      </w:r>
      <w:r w:rsidR="00D33A87">
        <w:rPr>
          <w:rFonts w:ascii="Garamond" w:hAnsi="Garamond"/>
          <w:szCs w:val="24"/>
        </w:rPr>
        <w:t>survey administration.</w:t>
      </w:r>
    </w:p>
    <w:p w:rsidR="00D33A87" w:rsidRPr="004F03BC" w:rsidRDefault="00D33A87" w:rsidP="004F03BC">
      <w:pPr>
        <w:pStyle w:val="ListParagraph"/>
        <w:numPr>
          <w:ilvl w:val="0"/>
          <w:numId w:val="47"/>
        </w:numPr>
        <w:spacing w:before="120" w:after="0" w:line="360" w:lineRule="auto"/>
        <w:jc w:val="both"/>
        <w:textAlignment w:val="top"/>
        <w:rPr>
          <w:rFonts w:ascii="Garamond" w:hAnsi="Garamond"/>
          <w:szCs w:val="24"/>
        </w:rPr>
      </w:pPr>
      <w:r>
        <w:rPr>
          <w:rFonts w:ascii="Garamond" w:hAnsi="Garamond"/>
          <w:i/>
          <w:szCs w:val="24"/>
        </w:rPr>
        <w:t xml:space="preserve">Impact </w:t>
      </w:r>
      <w:r w:rsidR="00EB19E2">
        <w:rPr>
          <w:rFonts w:ascii="Garamond" w:hAnsi="Garamond"/>
          <w:i/>
          <w:szCs w:val="24"/>
        </w:rPr>
        <w:t xml:space="preserve">evaluation report: </w:t>
      </w:r>
      <w:r w:rsidR="00EB19E2">
        <w:rPr>
          <w:rFonts w:ascii="Garamond" w:hAnsi="Garamond"/>
          <w:szCs w:val="24"/>
        </w:rPr>
        <w:t>Using data from both rounds of data collection, this report will provide an assessment of the impact of the program on the key indicators noted earlier in this plan. The ultimately objective of the report is to answer the questions posed earlier in the plan, provide an overall assessment of the effectiveness of the project and to offer lessons learned. Completion: Nine months after the follow-up survey administration.</w:t>
      </w:r>
    </w:p>
    <w:p w:rsidR="00202438" w:rsidRPr="00DB2D0C" w:rsidRDefault="00202438">
      <w:pPr>
        <w:rPr>
          <w:rFonts w:ascii="Garamond" w:eastAsiaTheme="minorEastAsia" w:hAnsi="Garamond"/>
        </w:rPr>
      </w:pPr>
      <w:r>
        <w:rPr>
          <w:rFonts w:ascii="Garamond" w:eastAsiaTheme="minorEastAsia" w:hAnsi="Garamond"/>
        </w:rPr>
        <w:br w:type="page"/>
      </w:r>
      <w:r w:rsidR="00815D9E" w:rsidRPr="00DB2D0C">
        <w:rPr>
          <w:rFonts w:ascii="Garamond" w:eastAsiaTheme="minorEastAsia" w:hAnsi="Garamond"/>
        </w:rPr>
        <w:lastRenderedPageBreak/>
        <w:t>REFERENCES</w:t>
      </w:r>
    </w:p>
    <w:p w:rsidR="008E3FA6" w:rsidRPr="00DB2D0C" w:rsidRDefault="008E3FA6" w:rsidP="008E3FA6">
      <w:pPr>
        <w:pStyle w:val="NoSpacing"/>
        <w:rPr>
          <w:rFonts w:ascii="Garamond" w:hAnsi="Garamond" w:cs="Arial"/>
          <w:i/>
          <w:iCs/>
          <w:shd w:val="clear" w:color="auto" w:fill="FFFFFF"/>
        </w:rPr>
      </w:pPr>
      <w:r w:rsidRPr="00DB2D0C">
        <w:rPr>
          <w:rFonts w:ascii="Garamond" w:hAnsi="Garamond" w:cs="Arial"/>
          <w:shd w:val="clear" w:color="auto" w:fill="FFFFFF"/>
        </w:rPr>
        <w:t>Benziger, V. (1996). Urban Access and Rural Productivity Growth in Post-Mao China.</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 xml:space="preserve">Economic  </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i/>
          <w:iCs/>
          <w:shd w:val="clear" w:color="auto" w:fill="FFFFFF"/>
        </w:rPr>
        <w:t>Development and Cultural Change</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44</w:t>
      </w:r>
      <w:r w:rsidRPr="00DB2D0C">
        <w:rPr>
          <w:rFonts w:ascii="Garamond" w:hAnsi="Garamond" w:cs="Arial"/>
          <w:shd w:val="clear" w:color="auto" w:fill="FFFFFF"/>
        </w:rPr>
        <w:t>(3), 539-570.</w:t>
      </w:r>
    </w:p>
    <w:p w:rsidR="008E3FA6" w:rsidRPr="00DB2D0C" w:rsidRDefault="008E3FA6" w:rsidP="008E3FA6">
      <w:pPr>
        <w:pStyle w:val="NoSpacing"/>
        <w:ind w:firstLine="720"/>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Bhattarai, M., Narayanamoorthy, A. (2003). Impact of Irrigation on Rural Poverty in India: an </w:t>
      </w:r>
    </w:p>
    <w:p w:rsidR="008E3FA6" w:rsidRPr="00DB2D0C" w:rsidRDefault="008E3FA6" w:rsidP="008E3FA6">
      <w:pPr>
        <w:pStyle w:val="NoSpacing"/>
        <w:ind w:firstLine="720"/>
        <w:rPr>
          <w:rFonts w:ascii="Garamond" w:hAnsi="Garamond" w:cstheme="minorHAnsi"/>
        </w:rPr>
      </w:pPr>
      <w:r w:rsidRPr="00DB2D0C">
        <w:rPr>
          <w:rFonts w:ascii="Garamond" w:hAnsi="Garamond" w:cs="Arial"/>
          <w:shd w:val="clear" w:color="auto" w:fill="FFFFFF"/>
        </w:rPr>
        <w:t>Aggregate Panel-data Analysis.</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Water Policy</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5</w:t>
      </w:r>
      <w:r w:rsidRPr="00DB2D0C">
        <w:rPr>
          <w:rFonts w:ascii="Garamond" w:hAnsi="Garamond" w:cs="Arial"/>
          <w:shd w:val="clear" w:color="auto" w:fill="FFFFFF"/>
        </w:rPr>
        <w:t>(5-6), 443-458.</w:t>
      </w:r>
    </w:p>
    <w:p w:rsidR="008E3FA6" w:rsidRPr="00DB2D0C" w:rsidRDefault="008E3FA6" w:rsidP="008E3FA6">
      <w:pPr>
        <w:pStyle w:val="NoSpacing"/>
        <w:ind w:firstLine="720"/>
        <w:rPr>
          <w:rFonts w:ascii="Garamond" w:hAnsi="Garamond" w:cstheme="minorHAnsi"/>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Bangladesh Institute of Development Studies (BIDS). (2004). Poverty Impact of Rural Roads and </w:t>
      </w:r>
    </w:p>
    <w:p w:rsidR="008E3FA6" w:rsidRPr="00DB2D0C" w:rsidRDefault="008E3FA6" w:rsidP="008E3FA6">
      <w:pPr>
        <w:pStyle w:val="NoSpacing"/>
        <w:ind w:left="720"/>
        <w:rPr>
          <w:rFonts w:ascii="Garamond" w:hAnsi="Garamond" w:cstheme="minorHAnsi"/>
        </w:rPr>
      </w:pPr>
      <w:r w:rsidRPr="00DB2D0C">
        <w:rPr>
          <w:rFonts w:ascii="Garamond" w:hAnsi="Garamond" w:cstheme="minorHAnsi"/>
        </w:rPr>
        <w:t xml:space="preserve">Markets Improvement and Maintenance Project of Bangladesh. </w:t>
      </w:r>
      <w:r w:rsidRPr="00DB2D0C">
        <w:rPr>
          <w:rFonts w:ascii="Garamond" w:hAnsi="Garamond" w:cstheme="minorHAnsi"/>
          <w:shd w:val="clear" w:color="auto" w:fill="FFFFFF"/>
        </w:rPr>
        <w:t xml:space="preserve">Working Paper. </w:t>
      </w:r>
      <w:r w:rsidRPr="00DB2D0C">
        <w:rPr>
          <w:rFonts w:ascii="Garamond" w:hAnsi="Garamond" w:cstheme="minorHAnsi"/>
        </w:rPr>
        <w:t xml:space="preserve">Dhaka: </w:t>
      </w:r>
      <w:r w:rsidRPr="00DB2D0C">
        <w:rPr>
          <w:rFonts w:ascii="Garamond" w:hAnsi="Garamond" w:cstheme="minorHAnsi"/>
          <w:i/>
        </w:rPr>
        <w:t>Bangladesh Institute of Development Studies</w:t>
      </w:r>
      <w:r w:rsidRPr="00DB2D0C">
        <w:rPr>
          <w:rFonts w:ascii="Garamond" w:hAnsi="Garamond" w:cstheme="minorHAnsi"/>
        </w:rPr>
        <w:t xml:space="preserve"> </w:t>
      </w:r>
      <w:r w:rsidRPr="00DB2D0C">
        <w:rPr>
          <w:rFonts w:ascii="Garamond" w:hAnsi="Garamond" w:cstheme="minorHAnsi"/>
          <w:i/>
        </w:rPr>
        <w:t>Report</w:t>
      </w:r>
      <w:r w:rsidRPr="00DB2D0C">
        <w:rPr>
          <w:rFonts w:ascii="Garamond" w:hAnsi="Garamond" w:cstheme="minorHAnsi"/>
        </w:rPr>
        <w:t xml:space="preserve">. </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Binswanger, H. P., Khandker, S. R., and Rosenzweig, M. R. (1993). How Infrastructure and Financial </w:t>
      </w:r>
    </w:p>
    <w:p w:rsidR="008E3FA6" w:rsidRPr="00DB2D0C" w:rsidRDefault="008E3FA6" w:rsidP="008E3FA6">
      <w:pPr>
        <w:pStyle w:val="NoSpacing"/>
        <w:ind w:left="720"/>
        <w:rPr>
          <w:rFonts w:ascii="Garamond" w:hAnsi="Garamond" w:cs="Arial"/>
          <w:shd w:val="clear" w:color="auto" w:fill="FFFFFF"/>
        </w:rPr>
      </w:pPr>
      <w:r w:rsidRPr="00DB2D0C">
        <w:rPr>
          <w:rFonts w:ascii="Garamond" w:hAnsi="Garamond" w:cs="Arial"/>
          <w:shd w:val="clear" w:color="auto" w:fill="FFFFFF"/>
        </w:rPr>
        <w:t>Institutions Affect Agricultural Output and Investment in India.</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Journal of Development Economics</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41</w:t>
      </w:r>
      <w:r w:rsidRPr="00DB2D0C">
        <w:rPr>
          <w:rFonts w:ascii="Garamond" w:hAnsi="Garamond" w:cs="Arial"/>
          <w:shd w:val="clear" w:color="auto" w:fill="FFFFFF"/>
        </w:rPr>
        <w:t>(2), 337-366.</w:t>
      </w:r>
    </w:p>
    <w:p w:rsidR="008E3FA6" w:rsidRPr="00DB2D0C" w:rsidRDefault="008E3FA6" w:rsidP="008E3FA6">
      <w:pPr>
        <w:pStyle w:val="NoSpacing"/>
        <w:ind w:left="720"/>
        <w:rPr>
          <w:rFonts w:ascii="Garamond" w:hAnsi="Garamond" w:cstheme="minorHAnsi"/>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Bryceson, D., Bradbury, A., and Bradbury, T. (2008). Roads to Poverty Reduction? Exploring Rural </w:t>
      </w:r>
    </w:p>
    <w:p w:rsidR="008E3FA6" w:rsidRPr="00DB2D0C" w:rsidRDefault="008E3FA6" w:rsidP="008E3FA6">
      <w:pPr>
        <w:pStyle w:val="NoSpacing"/>
        <w:ind w:firstLine="720"/>
        <w:rPr>
          <w:rFonts w:ascii="Garamond" w:hAnsi="Garamond" w:cstheme="minorHAnsi"/>
        </w:rPr>
      </w:pPr>
      <w:r w:rsidRPr="00DB2D0C">
        <w:rPr>
          <w:rFonts w:ascii="Garamond" w:hAnsi="Garamond" w:cstheme="minorHAnsi"/>
        </w:rPr>
        <w:t xml:space="preserve">Roads; Impact on Mobility in Africa and Asia. </w:t>
      </w:r>
      <w:r w:rsidRPr="00DB2D0C">
        <w:rPr>
          <w:rFonts w:ascii="Garamond" w:hAnsi="Garamond" w:cstheme="minorHAnsi"/>
          <w:i/>
        </w:rPr>
        <w:t xml:space="preserve">Development Policy Review, </w:t>
      </w:r>
      <w:r w:rsidRPr="00DB2D0C">
        <w:rPr>
          <w:rFonts w:ascii="Garamond" w:hAnsi="Garamond" w:cstheme="minorHAnsi"/>
        </w:rPr>
        <w:t>26(4), 459-482.</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Cavatassi et al. (2011). Linking Smallholders to the New Agricultural Economy: The Case of the </w:t>
      </w:r>
    </w:p>
    <w:p w:rsidR="008E3FA6" w:rsidRPr="00DB2D0C" w:rsidRDefault="008E3FA6" w:rsidP="008E3FA6">
      <w:pPr>
        <w:pStyle w:val="NoSpacing"/>
        <w:ind w:left="720"/>
        <w:rPr>
          <w:rFonts w:ascii="Garamond" w:hAnsi="Garamond" w:cstheme="minorHAnsi"/>
        </w:rPr>
      </w:pPr>
      <w:r w:rsidRPr="00DB2D0C">
        <w:rPr>
          <w:rFonts w:ascii="Garamond" w:hAnsi="Garamond" w:cstheme="minorHAnsi"/>
        </w:rPr>
        <w:t xml:space="preserve">Plataformas de Concertación in Ecuador, </w:t>
      </w:r>
      <w:r w:rsidRPr="00DB2D0C">
        <w:rPr>
          <w:rFonts w:ascii="Garamond" w:hAnsi="Garamond" w:cstheme="minorHAnsi"/>
          <w:i/>
        </w:rPr>
        <w:t>The Journal of Development Studies</w:t>
      </w:r>
      <w:r w:rsidRPr="00DB2D0C">
        <w:rPr>
          <w:rFonts w:ascii="Garamond" w:hAnsi="Garamond" w:cstheme="minorHAnsi"/>
        </w:rPr>
        <w:t xml:space="preserve">, 47(10), 1545-1573. </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Central Bank of Ecuador. Data from: </w:t>
      </w:r>
      <w:hyperlink r:id="rId63" w:history="1">
        <w:r w:rsidRPr="00DB2D0C">
          <w:rPr>
            <w:rStyle w:val="Hyperlink"/>
            <w:rFonts w:ascii="Garamond" w:hAnsi="Garamond"/>
          </w:rPr>
          <w:t>http://www.bce</w:t>
        </w:r>
        <w:bookmarkStart w:id="0" w:name="_GoBack"/>
        <w:bookmarkEnd w:id="0"/>
        <w:r w:rsidRPr="00DB2D0C">
          <w:rPr>
            <w:rStyle w:val="Hyperlink"/>
            <w:rFonts w:ascii="Garamond" w:hAnsi="Garamond"/>
          </w:rPr>
          <w:t>.fin.ec/</w:t>
        </w:r>
      </w:hyperlink>
      <w:r w:rsidRPr="00DB2D0C">
        <w:rPr>
          <w:rFonts w:ascii="Garamond" w:hAnsi="Garamond"/>
        </w:rPr>
        <w:t>, (</w:t>
      </w:r>
      <w:r w:rsidRPr="00DB2D0C">
        <w:rPr>
          <w:rFonts w:ascii="Garamond" w:hAnsi="Garamond" w:cstheme="minorHAnsi"/>
        </w:rPr>
        <w:t>2000-2011).</w:t>
      </w: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 </w:t>
      </w:r>
    </w:p>
    <w:p w:rsidR="008E3FA6" w:rsidRPr="00DB2D0C" w:rsidRDefault="008E3FA6" w:rsidP="008E3FA6">
      <w:pPr>
        <w:pStyle w:val="NoSpacing"/>
        <w:rPr>
          <w:rFonts w:ascii="Garamond" w:hAnsi="Garamond"/>
          <w:shd w:val="clear" w:color="auto" w:fill="FFFFFF"/>
        </w:rPr>
      </w:pPr>
      <w:r w:rsidRPr="00DB2D0C">
        <w:rPr>
          <w:rFonts w:ascii="Garamond" w:hAnsi="Garamond"/>
          <w:shd w:val="clear" w:color="auto" w:fill="FFFFFF"/>
        </w:rPr>
        <w:t xml:space="preserve">Fan, S., Hazell, P., and Thorat, S. (2000). Government Spending, Growth and Poverty in Rural </w:t>
      </w:r>
    </w:p>
    <w:p w:rsidR="008E3FA6" w:rsidRPr="00DB2D0C" w:rsidRDefault="008E3FA6" w:rsidP="008E3FA6">
      <w:pPr>
        <w:pStyle w:val="NoSpacing"/>
        <w:ind w:firstLine="720"/>
        <w:rPr>
          <w:rFonts w:ascii="Garamond" w:hAnsi="Garamond"/>
          <w:shd w:val="clear" w:color="auto" w:fill="FFFFFF"/>
        </w:rPr>
      </w:pPr>
      <w:r w:rsidRPr="00DB2D0C">
        <w:rPr>
          <w:rFonts w:ascii="Garamond" w:hAnsi="Garamond"/>
          <w:shd w:val="clear" w:color="auto" w:fill="FFFFFF"/>
        </w:rPr>
        <w:t>India.</w:t>
      </w:r>
      <w:r w:rsidRPr="00DB2D0C">
        <w:rPr>
          <w:rStyle w:val="apple-converted-space"/>
          <w:rFonts w:ascii="Garamond" w:hAnsi="Garamond" w:cs="Arial"/>
          <w:shd w:val="clear" w:color="auto" w:fill="FFFFFF"/>
        </w:rPr>
        <w:t> </w:t>
      </w:r>
      <w:r w:rsidRPr="00DB2D0C">
        <w:rPr>
          <w:rFonts w:ascii="Garamond" w:hAnsi="Garamond"/>
          <w:i/>
          <w:iCs/>
          <w:shd w:val="clear" w:color="auto" w:fill="FFFFFF"/>
        </w:rPr>
        <w:t>American Journal of Agricultural Economics</w:t>
      </w:r>
      <w:r w:rsidRPr="00DB2D0C">
        <w:rPr>
          <w:rFonts w:ascii="Garamond" w:hAnsi="Garamond"/>
          <w:shd w:val="clear" w:color="auto" w:fill="FFFFFF"/>
        </w:rPr>
        <w:t>,</w:t>
      </w:r>
      <w:r w:rsidRPr="00DB2D0C">
        <w:rPr>
          <w:rStyle w:val="apple-converted-space"/>
          <w:rFonts w:ascii="Garamond" w:hAnsi="Garamond" w:cs="Arial"/>
          <w:shd w:val="clear" w:color="auto" w:fill="FFFFFF"/>
        </w:rPr>
        <w:t> </w:t>
      </w:r>
      <w:r w:rsidRPr="00DB2D0C">
        <w:rPr>
          <w:rFonts w:ascii="Garamond" w:hAnsi="Garamond"/>
          <w:iCs/>
          <w:shd w:val="clear" w:color="auto" w:fill="FFFFFF"/>
        </w:rPr>
        <w:t>82</w:t>
      </w:r>
      <w:r w:rsidRPr="00DB2D0C">
        <w:rPr>
          <w:rFonts w:ascii="Garamond" w:hAnsi="Garamond"/>
          <w:shd w:val="clear" w:color="auto" w:fill="FFFFFF"/>
        </w:rPr>
        <w:t>(4), 1038-1051.</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heme="minorHAnsi"/>
          <w:lang w:val="es-MX"/>
        </w:rPr>
      </w:pPr>
      <w:r w:rsidRPr="00DB2D0C">
        <w:rPr>
          <w:rFonts w:ascii="Garamond" w:hAnsi="Garamond" w:cstheme="minorHAnsi"/>
          <w:lang w:val="es-MX"/>
        </w:rPr>
        <w:t xml:space="preserve">Gobierno Autonomo Descentralizado de la Provincia de Chimborazo (GADPC), </w:t>
      </w:r>
      <w:r w:rsidRPr="00DB2D0C">
        <w:rPr>
          <w:rFonts w:ascii="Garamond" w:hAnsi="Garamond" w:cstheme="minorHAnsi"/>
          <w:i/>
          <w:lang w:val="es-MX"/>
        </w:rPr>
        <w:t>Perfil Del Proyecto</w:t>
      </w:r>
      <w:r w:rsidRPr="00DB2D0C">
        <w:rPr>
          <w:rFonts w:ascii="Garamond" w:hAnsi="Garamond" w:cstheme="minorHAnsi"/>
          <w:lang w:val="es-MX"/>
        </w:rPr>
        <w:t xml:space="preserve">, </w:t>
      </w:r>
    </w:p>
    <w:p w:rsidR="008E3FA6" w:rsidRPr="00DB2D0C" w:rsidRDefault="008E3FA6" w:rsidP="008E3FA6">
      <w:pPr>
        <w:pStyle w:val="NoSpacing"/>
        <w:ind w:firstLine="720"/>
        <w:rPr>
          <w:rFonts w:ascii="Garamond" w:hAnsi="Garamond" w:cstheme="minorHAnsi"/>
        </w:rPr>
      </w:pPr>
      <w:r w:rsidRPr="00DB2D0C">
        <w:rPr>
          <w:rFonts w:ascii="Garamond" w:hAnsi="Garamond" w:cstheme="minorHAnsi"/>
        </w:rPr>
        <w:t>Desembre 2012.</w:t>
      </w:r>
    </w:p>
    <w:p w:rsidR="008E3FA6" w:rsidRPr="00DB2D0C" w:rsidRDefault="008E3FA6" w:rsidP="008E3FA6">
      <w:pPr>
        <w:pStyle w:val="NoSpacing"/>
        <w:rPr>
          <w:rFonts w:ascii="Garamond" w:hAnsi="Garamond" w:cstheme="minorHAnsi"/>
        </w:rPr>
      </w:pPr>
    </w:p>
    <w:p w:rsidR="008E3FA6" w:rsidRPr="00DB2D0C" w:rsidRDefault="008E3FA6" w:rsidP="008E3FA6">
      <w:pPr>
        <w:shd w:val="clear" w:color="auto" w:fill="FFFFFF"/>
        <w:spacing w:after="0" w:line="240" w:lineRule="auto"/>
        <w:rPr>
          <w:rFonts w:ascii="Garamond" w:eastAsia="Times New Roman" w:hAnsi="Garamond" w:cs="Arial"/>
        </w:rPr>
      </w:pPr>
      <w:r w:rsidRPr="00DB2D0C">
        <w:rPr>
          <w:rFonts w:ascii="Garamond" w:eastAsia="Times New Roman" w:hAnsi="Garamond" w:cs="Arial"/>
        </w:rPr>
        <w:t xml:space="preserve">Gonzalez, M., Corral, L., Winters, P., and Simning, E. (2011). Evaluability Annex in Preparation for </w:t>
      </w:r>
    </w:p>
    <w:p w:rsidR="008E3FA6" w:rsidRPr="00DB2D0C" w:rsidRDefault="008E3FA6" w:rsidP="008E3FA6">
      <w:pPr>
        <w:shd w:val="clear" w:color="auto" w:fill="FFFFFF"/>
        <w:spacing w:after="0" w:line="240" w:lineRule="auto"/>
        <w:ind w:firstLine="720"/>
        <w:rPr>
          <w:rFonts w:ascii="Garamond" w:eastAsia="Times New Roman" w:hAnsi="Garamond" w:cs="Arial"/>
        </w:rPr>
      </w:pPr>
      <w:r w:rsidRPr="00DB2D0C">
        <w:rPr>
          <w:rFonts w:ascii="Garamond" w:eastAsia="Times New Roman" w:hAnsi="Garamond" w:cs="Arial"/>
        </w:rPr>
        <w:t xml:space="preserve">PROCAR 2. </w:t>
      </w:r>
      <w:r w:rsidRPr="00DB2D0C">
        <w:rPr>
          <w:rFonts w:ascii="Garamond" w:eastAsia="Times New Roman" w:hAnsi="Garamond" w:cs="Arial"/>
          <w:i/>
        </w:rPr>
        <w:t>Inter-American Development Bank</w:t>
      </w:r>
      <w:r w:rsidRPr="00DB2D0C">
        <w:rPr>
          <w:rFonts w:ascii="Garamond" w:eastAsia="Times New Roman" w:hAnsi="Garamond" w:cs="Arial"/>
        </w:rPr>
        <w:t>, (IDB) Document, PR-L1061.</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Hanjra, M. A., Ferede, T., and Gutta, D. G. (2009). Pathways to Breaking the Poverty Trap in Ethiopia: </w:t>
      </w:r>
    </w:p>
    <w:p w:rsidR="008E3FA6" w:rsidRPr="00DB2D0C" w:rsidRDefault="008E3FA6" w:rsidP="008E3FA6">
      <w:pPr>
        <w:pStyle w:val="NoSpacing"/>
        <w:ind w:left="720"/>
        <w:rPr>
          <w:rFonts w:ascii="Garamond" w:hAnsi="Garamond" w:cs="Arial"/>
          <w:shd w:val="clear" w:color="auto" w:fill="FFFFFF"/>
        </w:rPr>
      </w:pPr>
      <w:r w:rsidRPr="00DB2D0C">
        <w:rPr>
          <w:rFonts w:ascii="Garamond" w:hAnsi="Garamond" w:cs="Arial"/>
          <w:shd w:val="clear" w:color="auto" w:fill="FFFFFF"/>
        </w:rPr>
        <w:t>Investments in Agricultural Water, Education, and Markets.</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Agricultural Water Management</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96</w:t>
      </w:r>
      <w:r w:rsidRPr="00DB2D0C">
        <w:rPr>
          <w:rFonts w:ascii="Garamond" w:hAnsi="Garamond" w:cs="Arial"/>
          <w:shd w:val="clear" w:color="auto" w:fill="FFFFFF"/>
        </w:rPr>
        <w:t>(11), 1596-1604.</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Hasnip. N., Mandal, S., Morrison, J., Pradhan, P., and Smith, L. (2001). Contribution of Irrigation to </w:t>
      </w:r>
    </w:p>
    <w:p w:rsidR="008E3FA6" w:rsidRPr="00DB2D0C" w:rsidRDefault="008E3FA6" w:rsidP="008E3FA6">
      <w:pPr>
        <w:pStyle w:val="NoSpacing"/>
        <w:ind w:firstLine="720"/>
        <w:rPr>
          <w:rFonts w:ascii="Garamond" w:hAnsi="Garamond" w:cstheme="minorHAnsi"/>
        </w:rPr>
      </w:pPr>
      <w:r w:rsidRPr="00DB2D0C">
        <w:rPr>
          <w:rFonts w:ascii="Garamond" w:hAnsi="Garamond" w:cs="Arial"/>
          <w:shd w:val="clear" w:color="auto" w:fill="FFFFFF"/>
        </w:rPr>
        <w:t>Sustaining Rural Livelihoods.</w:t>
      </w:r>
      <w:r w:rsidRPr="00DB2D0C">
        <w:rPr>
          <w:rFonts w:ascii="Garamond" w:hAnsi="Garamond"/>
        </w:rPr>
        <w:t xml:space="preserve"> </w:t>
      </w:r>
      <w:r w:rsidRPr="00DB2D0C">
        <w:rPr>
          <w:rFonts w:ascii="Garamond" w:hAnsi="Garamond" w:cs="Arial"/>
          <w:i/>
          <w:shd w:val="clear" w:color="auto" w:fill="FFFFFF"/>
        </w:rPr>
        <w:t>Wallingford, UK</w:t>
      </w:r>
      <w:r w:rsidRPr="00DB2D0C">
        <w:rPr>
          <w:rFonts w:ascii="Garamond" w:hAnsi="Garamond" w:cs="Arial"/>
          <w:shd w:val="clear" w:color="auto" w:fill="FFFFFF"/>
        </w:rPr>
        <w:t>: HR Wallingford.</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iCs/>
          <w:shd w:val="clear" w:color="auto" w:fill="FFFFFF"/>
        </w:rPr>
      </w:pPr>
      <w:r w:rsidRPr="00DB2D0C">
        <w:rPr>
          <w:rFonts w:ascii="Garamond" w:hAnsi="Garamond" w:cs="Arial"/>
          <w:shd w:val="clear" w:color="auto" w:fill="FFFFFF"/>
        </w:rPr>
        <w:t>Holden, P., Thobani, M. (1996).</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 xml:space="preserve">Tradable Water Rights: A Property Rights Approach to Resolving </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iCs/>
          <w:shd w:val="clear" w:color="auto" w:fill="FFFFFF"/>
        </w:rPr>
        <w:t xml:space="preserve">Water Shortages and Promoting Investment, </w:t>
      </w:r>
      <w:r w:rsidRPr="00DB2D0C">
        <w:rPr>
          <w:rFonts w:ascii="Garamond" w:hAnsi="Garamond" w:cs="Arial"/>
          <w:i/>
          <w:shd w:val="clear" w:color="auto" w:fill="FFFFFF"/>
        </w:rPr>
        <w:t>World Bank Publications</w:t>
      </w:r>
      <w:r w:rsidRPr="00DB2D0C">
        <w:rPr>
          <w:rFonts w:ascii="Garamond" w:hAnsi="Garamond" w:cs="Arial"/>
          <w:shd w:val="clear" w:color="auto" w:fill="FFFFFF"/>
        </w:rPr>
        <w:t>, 1627.</w:t>
      </w:r>
    </w:p>
    <w:p w:rsidR="008E3FA6" w:rsidRPr="00DB2D0C" w:rsidRDefault="008E3FA6" w:rsidP="008E3FA6">
      <w:pPr>
        <w:pStyle w:val="NoSpacing"/>
        <w:rPr>
          <w:rFonts w:ascii="Garamond" w:hAnsi="Garamond" w:cs="Arial"/>
          <w:shd w:val="clear" w:color="auto" w:fill="FFFFFF"/>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Huang, Q., Rozelle, S., Lohmar, B., Huang, J., and Wang, J. (2006). Irrigation, Agricultural Performance </w:t>
      </w:r>
    </w:p>
    <w:p w:rsidR="008E3FA6" w:rsidRPr="00DB2D0C" w:rsidRDefault="008E3FA6" w:rsidP="008E3FA6">
      <w:pPr>
        <w:pStyle w:val="NoSpacing"/>
        <w:ind w:firstLine="720"/>
        <w:rPr>
          <w:rFonts w:ascii="Garamond" w:hAnsi="Garamond" w:cstheme="minorHAnsi"/>
        </w:rPr>
      </w:pPr>
      <w:r w:rsidRPr="00DB2D0C">
        <w:rPr>
          <w:rFonts w:ascii="Garamond" w:hAnsi="Garamond" w:cs="Arial"/>
          <w:shd w:val="clear" w:color="auto" w:fill="FFFFFF"/>
        </w:rPr>
        <w:t>and Poverty Reduction in China.</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Food Policy</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31</w:t>
      </w:r>
      <w:r w:rsidRPr="00DB2D0C">
        <w:rPr>
          <w:rFonts w:ascii="Garamond" w:hAnsi="Garamond" w:cs="Arial"/>
          <w:shd w:val="clear" w:color="auto" w:fill="FFFFFF"/>
        </w:rPr>
        <w:t>(1), 30-52.</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Hussain, I., Hanjra, M. A. (2003). Does Irrigation Water Matter for Rural Poverty Alleviation? </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shd w:val="clear" w:color="auto" w:fill="FFFFFF"/>
        </w:rPr>
        <w:t>Evidence from South and South-East Asia.</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Water policy</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5</w:t>
      </w:r>
      <w:r w:rsidRPr="00DB2D0C">
        <w:rPr>
          <w:rFonts w:ascii="Garamond" w:hAnsi="Garamond" w:cs="Arial"/>
          <w:shd w:val="clear" w:color="auto" w:fill="FFFFFF"/>
        </w:rPr>
        <w:t>(5-6), 429-442.</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imes New Roman"/>
        </w:rPr>
      </w:pPr>
    </w:p>
    <w:p w:rsidR="008E3FA6" w:rsidRPr="00DB2D0C" w:rsidRDefault="008E3FA6" w:rsidP="008E3FA6">
      <w:pPr>
        <w:pStyle w:val="NoSpacing"/>
        <w:rPr>
          <w:rFonts w:ascii="Garamond" w:hAnsi="Garamond" w:cs="Times New Roman"/>
        </w:rPr>
      </w:pPr>
      <w:r w:rsidRPr="00DB2D0C">
        <w:rPr>
          <w:rFonts w:ascii="Garamond" w:hAnsi="Garamond" w:cs="Times New Roman"/>
        </w:rPr>
        <w:t>Independent Evaluation Group (IEG). (2009). Impact Evaluation of a Multicomponent</w:t>
      </w:r>
    </w:p>
    <w:p w:rsidR="008E3FA6" w:rsidRPr="00DB2D0C" w:rsidRDefault="008E3FA6" w:rsidP="008E3FA6">
      <w:pPr>
        <w:pStyle w:val="NoSpacing"/>
        <w:ind w:firstLine="720"/>
        <w:rPr>
          <w:rFonts w:ascii="Garamond" w:hAnsi="Garamond" w:cs="Times New Roman"/>
        </w:rPr>
      </w:pPr>
      <w:r w:rsidRPr="00DB2D0C">
        <w:rPr>
          <w:rFonts w:ascii="Garamond" w:hAnsi="Garamond" w:cs="Times New Roman"/>
        </w:rPr>
        <w:t xml:space="preserve">Irrigation Project on Farm Households in Peru. </w:t>
      </w:r>
      <w:r w:rsidRPr="00DB2D0C">
        <w:rPr>
          <w:rFonts w:ascii="Garamond" w:hAnsi="Garamond" w:cs="Times New Roman"/>
          <w:i/>
        </w:rPr>
        <w:t>The World Bank</w:t>
      </w:r>
      <w:r w:rsidRPr="00DB2D0C">
        <w:rPr>
          <w:rFonts w:ascii="Garamond" w:hAnsi="Garamond" w:cs="Times New Roman"/>
        </w:rPr>
        <w:t>, Washington, DC.</w:t>
      </w:r>
    </w:p>
    <w:p w:rsidR="008E3FA6" w:rsidRPr="00DB2D0C" w:rsidRDefault="008E3FA6" w:rsidP="008E3FA6">
      <w:pPr>
        <w:pStyle w:val="NoSpacing"/>
        <w:rPr>
          <w:rFonts w:ascii="Garamond" w:hAnsi="Garamond" w:cs="Times New Roman"/>
        </w:rPr>
      </w:pPr>
    </w:p>
    <w:p w:rsidR="008E3FA6" w:rsidRPr="00DB2D0C" w:rsidRDefault="008E3FA6" w:rsidP="008E3FA6">
      <w:pPr>
        <w:pStyle w:val="NoSpacing"/>
        <w:rPr>
          <w:rFonts w:ascii="Garamond" w:hAnsi="Garamond" w:cs="Times New Roman"/>
        </w:rPr>
      </w:pPr>
      <w:r w:rsidRPr="00DB2D0C">
        <w:rPr>
          <w:rFonts w:ascii="Garamond" w:hAnsi="Garamond" w:cs="Times New Roman"/>
        </w:rPr>
        <w:t>Independent Evaluation Group (IEG). (2011). Growth and Productivity in Agriculture and</w:t>
      </w:r>
    </w:p>
    <w:p w:rsidR="008E3FA6" w:rsidRPr="00DB2D0C" w:rsidRDefault="008E3FA6" w:rsidP="008E3FA6">
      <w:pPr>
        <w:pStyle w:val="NoSpacing"/>
        <w:ind w:firstLine="720"/>
        <w:rPr>
          <w:rFonts w:ascii="Garamond" w:hAnsi="Garamond" w:cs="Times New Roman"/>
        </w:rPr>
      </w:pPr>
      <w:r w:rsidRPr="00DB2D0C">
        <w:rPr>
          <w:rFonts w:ascii="Garamond" w:hAnsi="Garamond" w:cs="Times New Roman"/>
        </w:rPr>
        <w:t xml:space="preserve">Agribusiness. </w:t>
      </w:r>
      <w:r w:rsidRPr="00DB2D0C">
        <w:rPr>
          <w:rFonts w:ascii="Garamond" w:hAnsi="Garamond" w:cs="Times New Roman"/>
          <w:i/>
        </w:rPr>
        <w:t>The World Bank</w:t>
      </w:r>
      <w:r w:rsidRPr="00DB2D0C">
        <w:rPr>
          <w:rFonts w:ascii="Garamond" w:hAnsi="Garamond" w:cs="Times New Roman"/>
        </w:rPr>
        <w:t>, Washington, DC.USA.</w:t>
      </w:r>
    </w:p>
    <w:p w:rsidR="008E3FA6" w:rsidRPr="00DB2D0C" w:rsidRDefault="008E3FA6" w:rsidP="008E3FA6">
      <w:pPr>
        <w:pStyle w:val="NoSpacing"/>
        <w:rPr>
          <w:rFonts w:ascii="Garamond" w:hAnsi="Garamond" w:cs="Times New Roman"/>
        </w:rPr>
      </w:pPr>
    </w:p>
    <w:p w:rsidR="008E3FA6" w:rsidRPr="00DB2D0C" w:rsidRDefault="008E3FA6" w:rsidP="008E3FA6">
      <w:pPr>
        <w:pStyle w:val="NoSpacing"/>
        <w:rPr>
          <w:rFonts w:ascii="Garamond" w:hAnsi="Garamond" w:cstheme="minorHAnsi"/>
        </w:rPr>
      </w:pPr>
      <w:r w:rsidRPr="00DB2D0C">
        <w:rPr>
          <w:rFonts w:ascii="Garamond" w:hAnsi="Garamond" w:cstheme="minorHAnsi"/>
        </w:rPr>
        <w:t>Inter-American Development Bank Documents, IDB (2013). Impact Evaluation Plan: PRODETUR-</w:t>
      </w:r>
    </w:p>
    <w:p w:rsidR="008E3FA6" w:rsidRPr="00DB2D0C" w:rsidRDefault="008E3FA6" w:rsidP="008E3FA6">
      <w:pPr>
        <w:pStyle w:val="NoSpacing"/>
        <w:ind w:firstLine="720"/>
        <w:rPr>
          <w:rFonts w:ascii="Garamond" w:hAnsi="Garamond" w:cstheme="minorHAnsi"/>
        </w:rPr>
      </w:pPr>
      <w:r w:rsidRPr="00DB2D0C">
        <w:rPr>
          <w:rFonts w:ascii="Garamond" w:hAnsi="Garamond" w:cstheme="minorHAnsi"/>
        </w:rPr>
        <w:t>PARA.</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Khandker, S. R., Bakht, Z., and Koolwal, G. B. (2009). The Poverty Impact of Rural Roads: Evidence </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shd w:val="clear" w:color="auto" w:fill="FFFFFF"/>
        </w:rPr>
        <w:t>from Bangladesh.</w:t>
      </w:r>
      <w:r w:rsidRPr="00DB2D0C">
        <w:rPr>
          <w:rStyle w:val="apple-converted-space"/>
          <w:rFonts w:ascii="Garamond" w:hAnsi="Garamond" w:cs="Arial"/>
          <w:shd w:val="clear" w:color="auto" w:fill="FFFFFF"/>
        </w:rPr>
        <w:t> </w:t>
      </w:r>
      <w:r w:rsidRPr="00DB2D0C">
        <w:rPr>
          <w:rFonts w:ascii="Garamond" w:hAnsi="Garamond" w:cs="Arial"/>
          <w:i/>
          <w:iCs/>
          <w:shd w:val="clear" w:color="auto" w:fill="FFFFFF"/>
        </w:rPr>
        <w:t>Economic Development and Cultural Change</w:t>
      </w:r>
      <w:r w:rsidRPr="00DB2D0C">
        <w:rPr>
          <w:rFonts w:ascii="Garamond" w:hAnsi="Garamond" w:cs="Arial"/>
          <w:shd w:val="clear" w:color="auto" w:fill="FFFFFF"/>
        </w:rPr>
        <w:t>,</w:t>
      </w:r>
      <w:r w:rsidRPr="00DB2D0C">
        <w:rPr>
          <w:rStyle w:val="apple-converted-space"/>
          <w:rFonts w:ascii="Garamond" w:hAnsi="Garamond" w:cs="Arial"/>
          <w:shd w:val="clear" w:color="auto" w:fill="FFFFFF"/>
        </w:rPr>
        <w:t> </w:t>
      </w:r>
      <w:r w:rsidRPr="00DB2D0C">
        <w:rPr>
          <w:rFonts w:ascii="Garamond" w:hAnsi="Garamond" w:cs="Arial"/>
          <w:iCs/>
          <w:shd w:val="clear" w:color="auto" w:fill="FFFFFF"/>
        </w:rPr>
        <w:t>57</w:t>
      </w:r>
      <w:r w:rsidRPr="00DB2D0C">
        <w:rPr>
          <w:rFonts w:ascii="Garamond" w:hAnsi="Garamond" w:cs="Arial"/>
          <w:shd w:val="clear" w:color="auto" w:fill="FFFFFF"/>
        </w:rPr>
        <w:t>(4), 685-722.</w:t>
      </w:r>
    </w:p>
    <w:p w:rsidR="008E3FA6" w:rsidRPr="00DB2D0C" w:rsidRDefault="008E3FA6" w:rsidP="008E3FA6">
      <w:pPr>
        <w:pStyle w:val="NoSpacing"/>
        <w:rPr>
          <w:rFonts w:ascii="Garamond" w:hAnsi="Garamond" w:cs="Arial"/>
          <w:shd w:val="clear" w:color="auto" w:fill="FFFFFF"/>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Levy, Hernan. (1996). Morocco: Socioeconomic Influence of Rural Roads. Impact Evaluation Report, </w:t>
      </w:r>
    </w:p>
    <w:p w:rsidR="008E3FA6" w:rsidRPr="00DB2D0C" w:rsidRDefault="008E3FA6" w:rsidP="008E3FA6">
      <w:pPr>
        <w:pStyle w:val="NoSpacing"/>
        <w:ind w:firstLine="720"/>
        <w:rPr>
          <w:rFonts w:ascii="Garamond" w:hAnsi="Garamond" w:cstheme="minorHAnsi"/>
        </w:rPr>
      </w:pPr>
      <w:r w:rsidRPr="00DB2D0C">
        <w:rPr>
          <w:rFonts w:ascii="Garamond" w:hAnsi="Garamond" w:cstheme="minorHAnsi"/>
          <w:i/>
        </w:rPr>
        <w:t>Operations Evaluation Department, The World Bank</w:t>
      </w:r>
      <w:r w:rsidRPr="00DB2D0C">
        <w:rPr>
          <w:rFonts w:ascii="Garamond" w:hAnsi="Garamond" w:cstheme="minorHAnsi"/>
        </w:rPr>
        <w:t>, Washington, DC</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 xml:space="preserve">Martinez, A., Rothenbühler, E. (2011). Understanding the Principles of Power Calculations with </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shd w:val="clear" w:color="auto" w:fill="FFFFFF"/>
        </w:rPr>
        <w:t xml:space="preserve">Non-continuous Outcomes. </w:t>
      </w:r>
      <w:r w:rsidRPr="00DB2D0C">
        <w:rPr>
          <w:rFonts w:ascii="Garamond" w:hAnsi="Garamond" w:cs="Arial"/>
          <w:i/>
          <w:shd w:val="clear" w:color="auto" w:fill="FFFFFF"/>
        </w:rPr>
        <w:t>The World</w:t>
      </w:r>
      <w:r w:rsidRPr="00DB2D0C">
        <w:rPr>
          <w:rFonts w:ascii="Garamond" w:hAnsi="Garamond" w:cs="Arial"/>
          <w:shd w:val="clear" w:color="auto" w:fill="FFFFFF"/>
        </w:rPr>
        <w:t xml:space="preserve"> </w:t>
      </w:r>
      <w:r w:rsidRPr="00DB2D0C">
        <w:rPr>
          <w:rFonts w:ascii="Garamond" w:hAnsi="Garamond" w:cs="Arial"/>
          <w:i/>
          <w:shd w:val="clear" w:color="auto" w:fill="FFFFFF"/>
        </w:rPr>
        <w:t>Bank</w:t>
      </w:r>
      <w:r w:rsidRPr="00DB2D0C">
        <w:rPr>
          <w:rFonts w:ascii="Garamond" w:hAnsi="Garamond" w:cs="Arial"/>
          <w:shd w:val="clear" w:color="auto" w:fill="FFFFFF"/>
        </w:rPr>
        <w:t>. Washington, DC</w:t>
      </w:r>
    </w:p>
    <w:p w:rsidR="008E3FA6" w:rsidRPr="00DB2D0C" w:rsidRDefault="008E3FA6" w:rsidP="008E3FA6">
      <w:pPr>
        <w:pStyle w:val="NoSpacing"/>
        <w:rPr>
          <w:rFonts w:ascii="Garamond" w:hAnsi="Garamond" w:cs="Arial"/>
          <w:shd w:val="clear" w:color="auto" w:fill="FFFFFF"/>
        </w:rPr>
      </w:pPr>
    </w:p>
    <w:p w:rsidR="008E3FA6" w:rsidRPr="00DB2D0C" w:rsidRDefault="008E3FA6" w:rsidP="008E3FA6">
      <w:pPr>
        <w:pStyle w:val="NoSpacing"/>
        <w:rPr>
          <w:rFonts w:ascii="Garamond" w:hAnsi="Garamond" w:cs="Arial"/>
          <w:iCs/>
          <w:shd w:val="clear" w:color="auto" w:fill="FFFFFF"/>
        </w:rPr>
      </w:pPr>
      <w:r w:rsidRPr="00DB2D0C">
        <w:rPr>
          <w:rFonts w:ascii="Garamond" w:hAnsi="Garamond" w:cs="Arial"/>
          <w:shd w:val="clear" w:color="auto" w:fill="FFFFFF"/>
        </w:rPr>
        <w:t>Nkhori, P. A.</w:t>
      </w:r>
      <w:r w:rsidRPr="00DB2D0C">
        <w:rPr>
          <w:rStyle w:val="apple-converted-space"/>
          <w:rFonts w:ascii="Garamond" w:hAnsi="Garamond" w:cs="Arial"/>
          <w:shd w:val="clear" w:color="auto" w:fill="FFFFFF"/>
        </w:rPr>
        <w:t> (</w:t>
      </w:r>
      <w:r w:rsidRPr="00DB2D0C">
        <w:rPr>
          <w:rFonts w:ascii="Garamond" w:hAnsi="Garamond" w:cs="Arial"/>
          <w:shd w:val="clear" w:color="auto" w:fill="FFFFFF"/>
        </w:rPr>
        <w:t xml:space="preserve">2004). </w:t>
      </w:r>
      <w:r w:rsidRPr="00DB2D0C">
        <w:rPr>
          <w:rFonts w:ascii="Garamond" w:hAnsi="Garamond" w:cs="Arial"/>
          <w:iCs/>
          <w:shd w:val="clear" w:color="auto" w:fill="FFFFFF"/>
        </w:rPr>
        <w:t xml:space="preserve">The Impact of Transaction Costs on the Choice of Cattle Markets in Mahalapye </w:t>
      </w:r>
    </w:p>
    <w:p w:rsidR="008E3FA6" w:rsidRPr="00DB2D0C" w:rsidRDefault="008E3FA6" w:rsidP="008E3FA6">
      <w:pPr>
        <w:pStyle w:val="NoSpacing"/>
        <w:ind w:firstLine="720"/>
        <w:rPr>
          <w:rFonts w:ascii="Garamond" w:hAnsi="Garamond" w:cs="Arial"/>
          <w:iCs/>
          <w:shd w:val="clear" w:color="auto" w:fill="FFFFFF"/>
        </w:rPr>
      </w:pPr>
      <w:r w:rsidRPr="00DB2D0C">
        <w:rPr>
          <w:rFonts w:ascii="Garamond" w:hAnsi="Garamond" w:cs="Arial"/>
          <w:iCs/>
          <w:shd w:val="clear" w:color="auto" w:fill="FFFFFF"/>
        </w:rPr>
        <w:t>District, Botswana</w:t>
      </w:r>
      <w:r w:rsidRPr="00DB2D0C">
        <w:rPr>
          <w:rFonts w:ascii="Garamond" w:hAnsi="Garamond" w:cs="Arial"/>
          <w:shd w:val="clear" w:color="auto" w:fill="FFFFFF"/>
        </w:rPr>
        <w:t xml:space="preserve">. </w:t>
      </w:r>
      <w:r w:rsidRPr="00DB2D0C">
        <w:rPr>
          <w:rFonts w:ascii="Garamond" w:hAnsi="Garamond" w:cs="Arial"/>
          <w:i/>
          <w:shd w:val="clear" w:color="auto" w:fill="FFFFFF"/>
        </w:rPr>
        <w:t>Dissertation</w:t>
      </w:r>
      <w:r w:rsidRPr="00DB2D0C">
        <w:rPr>
          <w:rFonts w:ascii="Garamond" w:hAnsi="Garamond" w:cs="Arial"/>
          <w:shd w:val="clear" w:color="auto" w:fill="FFFFFF"/>
        </w:rPr>
        <w:t xml:space="preserve"> </w:t>
      </w:r>
      <w:r w:rsidRPr="00DB2D0C">
        <w:rPr>
          <w:rFonts w:ascii="Garamond" w:hAnsi="Garamond" w:cs="Arial"/>
          <w:i/>
          <w:shd w:val="clear" w:color="auto" w:fill="FFFFFF"/>
        </w:rPr>
        <w:t>MSc Agric</w:t>
      </w:r>
      <w:r w:rsidRPr="00DB2D0C">
        <w:rPr>
          <w:rFonts w:ascii="Garamond" w:hAnsi="Garamond" w:cs="Arial"/>
          <w:shd w:val="clear" w:color="auto" w:fill="FFFFFF"/>
        </w:rPr>
        <w:t>. University of Pretoria.</w:t>
      </w:r>
    </w:p>
    <w:p w:rsidR="008E3FA6" w:rsidRPr="00DB2D0C" w:rsidRDefault="008E3FA6" w:rsidP="008E3FA6">
      <w:pPr>
        <w:pStyle w:val="NoSpacing"/>
        <w:rPr>
          <w:rFonts w:ascii="Garamond" w:hAnsi="Garamond" w:cs="Arial"/>
          <w:shd w:val="clear" w:color="auto" w:fill="FFFFFF"/>
        </w:rPr>
      </w:pPr>
    </w:p>
    <w:p w:rsidR="008E3FA6" w:rsidRPr="00DB2D0C" w:rsidRDefault="008E3FA6" w:rsidP="008E3FA6">
      <w:pPr>
        <w:pStyle w:val="NoSpacing"/>
        <w:rPr>
          <w:rFonts w:ascii="Garamond" w:hAnsi="Garamond" w:cstheme="minorHAnsi"/>
        </w:rPr>
      </w:pPr>
      <w:r w:rsidRPr="00DB2D0C">
        <w:rPr>
          <w:rFonts w:ascii="Garamond" w:hAnsi="Garamond" w:cstheme="minorHAnsi"/>
        </w:rPr>
        <w:t xml:space="preserve">Ministry of Agriculture. (2001) Population Census, 2010 Population Census, (2000) Agriculture Census.  </w:t>
      </w:r>
    </w:p>
    <w:p w:rsidR="008E3FA6" w:rsidRPr="00DB2D0C" w:rsidRDefault="008E3FA6" w:rsidP="008E3FA6">
      <w:pPr>
        <w:pStyle w:val="NoSpacing"/>
        <w:rPr>
          <w:rFonts w:ascii="Garamond" w:hAnsi="Garamond" w:cs="Arial"/>
          <w:color w:val="222222"/>
          <w:shd w:val="clear" w:color="auto" w:fill="FFFFFF"/>
        </w:rPr>
      </w:pPr>
      <w:r w:rsidRPr="00DB2D0C">
        <w:rPr>
          <w:rFonts w:ascii="Garamond" w:hAnsi="Garamond" w:cstheme="minorHAnsi"/>
        </w:rPr>
        <w:tab/>
      </w:r>
      <w:hyperlink r:id="rId64" w:history="1">
        <w:r w:rsidRPr="00DB2D0C">
          <w:rPr>
            <w:rStyle w:val="Hyperlink"/>
            <w:rFonts w:ascii="Garamond" w:hAnsi="Garamond"/>
          </w:rPr>
          <w:t>http://www.agricultura.gob.ec/</w:t>
        </w:r>
      </w:hyperlink>
      <w:r w:rsidRPr="00DB2D0C">
        <w:rPr>
          <w:rFonts w:ascii="Garamond" w:hAnsi="Garamond"/>
        </w:rPr>
        <w:t>.</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heme="minorHAnsi"/>
          <w:shd w:val="clear" w:color="auto" w:fill="FFFFFF"/>
        </w:rPr>
      </w:pPr>
      <w:r w:rsidRPr="00DB2D0C">
        <w:rPr>
          <w:rFonts w:ascii="Garamond" w:hAnsi="Garamond" w:cstheme="minorHAnsi"/>
        </w:rPr>
        <w:t xml:space="preserve">Shah et al. (2000). </w:t>
      </w:r>
      <w:r w:rsidRPr="00DB2D0C">
        <w:rPr>
          <w:rFonts w:ascii="Garamond" w:hAnsi="Garamond" w:cstheme="minorHAnsi"/>
          <w:shd w:val="clear" w:color="auto" w:fill="FFFFFF"/>
        </w:rPr>
        <w:t xml:space="preserve">Pedaling Out of Poverty: Social Impact of a Manual Irrigation Technology in South </w:t>
      </w:r>
    </w:p>
    <w:p w:rsidR="008E3FA6" w:rsidRPr="00DB2D0C" w:rsidRDefault="008E3FA6" w:rsidP="008E3FA6">
      <w:pPr>
        <w:pStyle w:val="NoSpacing"/>
        <w:ind w:firstLine="720"/>
        <w:rPr>
          <w:rFonts w:ascii="Garamond" w:hAnsi="Garamond" w:cstheme="minorHAnsi"/>
          <w:shd w:val="clear" w:color="auto" w:fill="FFFFFF"/>
        </w:rPr>
      </w:pPr>
      <w:r w:rsidRPr="00DB2D0C">
        <w:rPr>
          <w:rFonts w:ascii="Garamond" w:hAnsi="Garamond" w:cstheme="minorHAnsi"/>
          <w:shd w:val="clear" w:color="auto" w:fill="FFFFFF"/>
        </w:rPr>
        <w:t xml:space="preserve">Asia, </w:t>
      </w:r>
      <w:r w:rsidRPr="00DB2D0C">
        <w:rPr>
          <w:rFonts w:ascii="Garamond" w:hAnsi="Garamond" w:cstheme="minorHAnsi"/>
          <w:i/>
          <w:shd w:val="clear" w:color="auto" w:fill="FFFFFF"/>
        </w:rPr>
        <w:t>International Water Management Institute,</w:t>
      </w:r>
      <w:r w:rsidRPr="00DB2D0C">
        <w:rPr>
          <w:rFonts w:ascii="Garamond" w:hAnsi="Garamond" w:cstheme="minorHAnsi"/>
          <w:shd w:val="clear" w:color="auto" w:fill="FFFFFF"/>
        </w:rPr>
        <w:t xml:space="preserve"> (IWMI) Research Report 045.</w:t>
      </w:r>
    </w:p>
    <w:p w:rsidR="008E3FA6" w:rsidRPr="00DB2D0C" w:rsidRDefault="008E3FA6" w:rsidP="008E3FA6">
      <w:pPr>
        <w:pStyle w:val="NoSpacing"/>
        <w:rPr>
          <w:rFonts w:ascii="Garamond" w:hAnsi="Garamond" w:cstheme="minorHAnsi"/>
          <w:shd w:val="clear" w:color="auto" w:fill="FFFFFF"/>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rPr>
        <w:t>Smith, L.E.D. (2004). Assessment of the Contribution of Irrigation to Poverty Reduction and</w:t>
      </w:r>
    </w:p>
    <w:p w:rsidR="008E3FA6" w:rsidRPr="00DB2D0C" w:rsidRDefault="008E3FA6" w:rsidP="008E3FA6">
      <w:pPr>
        <w:pStyle w:val="NoSpacing"/>
        <w:ind w:firstLine="720"/>
        <w:rPr>
          <w:rFonts w:ascii="Garamond" w:hAnsi="Garamond" w:cs="Arial"/>
          <w:shd w:val="clear" w:color="auto" w:fill="FFFFFF"/>
        </w:rPr>
      </w:pPr>
      <w:r w:rsidRPr="00DB2D0C">
        <w:rPr>
          <w:rFonts w:ascii="Garamond" w:hAnsi="Garamond" w:cs="Arial"/>
          <w:shd w:val="clear" w:color="auto" w:fill="FFFFFF"/>
        </w:rPr>
        <w:t xml:space="preserve">Sustainable Livelihoods. </w:t>
      </w:r>
      <w:r w:rsidRPr="00DB2D0C">
        <w:rPr>
          <w:rFonts w:ascii="Garamond" w:hAnsi="Garamond" w:cs="Arial"/>
          <w:i/>
          <w:shd w:val="clear" w:color="auto" w:fill="FFFFFF"/>
        </w:rPr>
        <w:t>Water Resources Development,</w:t>
      </w:r>
      <w:r w:rsidRPr="00DB2D0C">
        <w:rPr>
          <w:rFonts w:ascii="Garamond" w:hAnsi="Garamond" w:cs="Arial"/>
          <w:shd w:val="clear" w:color="auto" w:fill="FFFFFF"/>
        </w:rPr>
        <w:t xml:space="preserve"> 20(2), 243–57.</w:t>
      </w:r>
    </w:p>
    <w:p w:rsidR="008E3FA6" w:rsidRPr="00DB2D0C" w:rsidRDefault="008E3FA6" w:rsidP="008E3FA6">
      <w:pPr>
        <w:pStyle w:val="NoSpacing"/>
        <w:rPr>
          <w:rFonts w:ascii="Garamond" w:hAnsi="Garamond" w:cstheme="minorHAnsi"/>
          <w:shd w:val="clear" w:color="auto" w:fill="FFFFFF"/>
        </w:rPr>
      </w:pPr>
    </w:p>
    <w:p w:rsidR="008E3FA6" w:rsidRPr="00DB2D0C" w:rsidRDefault="008E3FA6" w:rsidP="008E3FA6">
      <w:pPr>
        <w:pStyle w:val="NoSpacing"/>
        <w:rPr>
          <w:rFonts w:ascii="Garamond" w:hAnsi="Garamond" w:cstheme="minorHAnsi"/>
          <w:shd w:val="clear" w:color="auto" w:fill="FFFFFF"/>
        </w:rPr>
      </w:pPr>
      <w:r w:rsidRPr="00DB2D0C">
        <w:rPr>
          <w:rFonts w:ascii="Garamond" w:hAnsi="Garamond" w:cstheme="minorHAnsi"/>
          <w:shd w:val="clear" w:color="auto" w:fill="FFFFFF"/>
        </w:rPr>
        <w:t>Turral, H. (1995). Recent Trends in Irrigation Management Changing Direction for the Public</w:t>
      </w:r>
    </w:p>
    <w:p w:rsidR="008E3FA6" w:rsidRPr="00DB2D0C" w:rsidRDefault="008E3FA6" w:rsidP="008E3FA6">
      <w:pPr>
        <w:pStyle w:val="NoSpacing"/>
        <w:ind w:firstLine="720"/>
        <w:rPr>
          <w:rFonts w:ascii="Garamond" w:hAnsi="Garamond" w:cstheme="minorHAnsi"/>
          <w:shd w:val="clear" w:color="auto" w:fill="FFFFFF"/>
        </w:rPr>
      </w:pPr>
      <w:r w:rsidRPr="00DB2D0C">
        <w:rPr>
          <w:rFonts w:ascii="Garamond" w:hAnsi="Garamond" w:cstheme="minorHAnsi"/>
          <w:shd w:val="clear" w:color="auto" w:fill="FFFFFF"/>
        </w:rPr>
        <w:t xml:space="preserve">Sector. Natural Resources Perspective, Working Paper 20. UK: </w:t>
      </w:r>
      <w:r w:rsidRPr="00DB2D0C">
        <w:rPr>
          <w:rFonts w:ascii="Garamond" w:hAnsi="Garamond" w:cstheme="minorHAnsi"/>
          <w:i/>
          <w:shd w:val="clear" w:color="auto" w:fill="FFFFFF"/>
        </w:rPr>
        <w:t>Overseas Development Institute</w:t>
      </w:r>
      <w:r w:rsidRPr="00DB2D0C">
        <w:rPr>
          <w:rFonts w:ascii="Garamond" w:hAnsi="Garamond" w:cstheme="minorHAnsi"/>
          <w:shd w:val="clear" w:color="auto" w:fill="FFFFFF"/>
        </w:rPr>
        <w:t>.</w:t>
      </w:r>
    </w:p>
    <w:p w:rsidR="008E3FA6" w:rsidRPr="00DB2D0C" w:rsidRDefault="008E3FA6" w:rsidP="008E3FA6">
      <w:pPr>
        <w:pStyle w:val="NoSpacing"/>
        <w:rPr>
          <w:rFonts w:ascii="Garamond" w:hAnsi="Garamond" w:cstheme="minorHAnsi"/>
          <w:shd w:val="clear" w:color="auto" w:fill="FFFFFF"/>
        </w:rPr>
      </w:pPr>
    </w:p>
    <w:p w:rsidR="008E3FA6" w:rsidRPr="00DB2D0C" w:rsidRDefault="008E3FA6" w:rsidP="008E3FA6">
      <w:pPr>
        <w:pStyle w:val="NoSpacing"/>
        <w:rPr>
          <w:rFonts w:ascii="Garamond" w:hAnsi="Garamond" w:cs="Arial"/>
          <w:shd w:val="clear" w:color="auto" w:fill="FFFFFF"/>
        </w:rPr>
      </w:pPr>
      <w:r w:rsidRPr="00DB2D0C">
        <w:rPr>
          <w:rFonts w:ascii="Garamond" w:hAnsi="Garamond" w:cs="Arial"/>
          <w:shd w:val="clear" w:color="auto" w:fill="FFFFFF"/>
          <w:lang w:val="fr-FR"/>
        </w:rPr>
        <w:t xml:space="preserve">Vakis, R., Sadoulet, E., and De Janvry, A. (2003). </w:t>
      </w:r>
      <w:r w:rsidRPr="00DB2D0C">
        <w:rPr>
          <w:rFonts w:ascii="Garamond" w:hAnsi="Garamond" w:cs="Arial"/>
          <w:shd w:val="clear" w:color="auto" w:fill="FFFFFF"/>
        </w:rPr>
        <w:t xml:space="preserve">Measuring Transactions Costs from Observed </w:t>
      </w:r>
    </w:p>
    <w:p w:rsidR="008E3FA6" w:rsidRPr="00DB2D0C" w:rsidRDefault="008E3FA6" w:rsidP="008E3FA6">
      <w:pPr>
        <w:pStyle w:val="NoSpacing"/>
        <w:ind w:firstLine="720"/>
        <w:rPr>
          <w:rFonts w:ascii="Garamond" w:hAnsi="Garamond" w:cs="Arial"/>
          <w:i/>
          <w:shd w:val="clear" w:color="auto" w:fill="FFFFFF"/>
        </w:rPr>
      </w:pPr>
      <w:r w:rsidRPr="00DB2D0C">
        <w:rPr>
          <w:rFonts w:ascii="Garamond" w:hAnsi="Garamond" w:cs="Arial"/>
          <w:shd w:val="clear" w:color="auto" w:fill="FFFFFF"/>
        </w:rPr>
        <w:t xml:space="preserve">Behavior: Market Choices in Peru. Working Paper 962. USA: </w:t>
      </w:r>
      <w:r w:rsidRPr="00DB2D0C">
        <w:rPr>
          <w:rFonts w:ascii="Garamond" w:hAnsi="Garamond" w:cs="Arial"/>
          <w:i/>
          <w:shd w:val="clear" w:color="auto" w:fill="FFFFFF"/>
        </w:rPr>
        <w:t>University of</w:t>
      </w:r>
    </w:p>
    <w:p w:rsidR="008E3FA6" w:rsidRPr="00DB2D0C" w:rsidRDefault="008E3FA6" w:rsidP="008E3FA6">
      <w:pPr>
        <w:pStyle w:val="NoSpacing"/>
        <w:ind w:firstLine="720"/>
        <w:rPr>
          <w:rFonts w:ascii="Garamond" w:hAnsi="Garamond" w:cs="Arial"/>
          <w:i/>
          <w:shd w:val="clear" w:color="auto" w:fill="FFFFFF"/>
        </w:rPr>
      </w:pPr>
      <w:r w:rsidRPr="00DB2D0C">
        <w:rPr>
          <w:rFonts w:ascii="Garamond" w:hAnsi="Garamond" w:cs="Arial"/>
          <w:i/>
          <w:shd w:val="clear" w:color="auto" w:fill="FFFFFF"/>
        </w:rPr>
        <w:t xml:space="preserve">California, Berkeley. </w:t>
      </w:r>
    </w:p>
    <w:p w:rsidR="008E3FA6" w:rsidRPr="00DB2D0C" w:rsidRDefault="008E3FA6" w:rsidP="008E3FA6">
      <w:pPr>
        <w:pStyle w:val="NoSpacing"/>
        <w:ind w:firstLine="720"/>
        <w:rPr>
          <w:rFonts w:ascii="Garamond" w:hAnsi="Garamond" w:cs="Arial"/>
          <w:shd w:val="clear" w:color="auto" w:fill="FFFFFF"/>
        </w:rPr>
      </w:pPr>
    </w:p>
    <w:p w:rsidR="008E3FA6" w:rsidRPr="00DB2D0C" w:rsidRDefault="008E3FA6" w:rsidP="008E3FA6">
      <w:pPr>
        <w:pStyle w:val="NoSpacing"/>
        <w:rPr>
          <w:rFonts w:ascii="Garamond" w:hAnsi="Garamond" w:cstheme="minorHAnsi"/>
        </w:rPr>
      </w:pPr>
      <w:r w:rsidRPr="00DB2D0C">
        <w:rPr>
          <w:rFonts w:ascii="Garamond" w:hAnsi="Garamond" w:cstheme="minorHAnsi"/>
          <w:lang w:val="es-MX"/>
        </w:rPr>
        <w:t xml:space="preserve">Van Den Berg, M., Ruben, R. (2005). </w:t>
      </w:r>
      <w:r w:rsidRPr="00DB2D0C">
        <w:rPr>
          <w:rFonts w:ascii="Garamond" w:hAnsi="Garamond" w:cstheme="minorHAnsi"/>
        </w:rPr>
        <w:t xml:space="preserve">Small-Scale Irrigation and Income Distribution in Ethiopia. </w:t>
      </w:r>
    </w:p>
    <w:p w:rsidR="008E3FA6" w:rsidRPr="00DB2D0C" w:rsidRDefault="008E3FA6" w:rsidP="008E3FA6">
      <w:pPr>
        <w:pStyle w:val="NoSpacing"/>
        <w:ind w:firstLine="720"/>
        <w:rPr>
          <w:rFonts w:ascii="Garamond" w:hAnsi="Garamond" w:cstheme="minorHAnsi"/>
        </w:rPr>
      </w:pPr>
      <w:r w:rsidRPr="00DB2D0C">
        <w:rPr>
          <w:rFonts w:ascii="Garamond" w:hAnsi="Garamond" w:cstheme="minorHAnsi"/>
          <w:i/>
        </w:rPr>
        <w:t>Journal of Development Studies</w:t>
      </w:r>
      <w:r w:rsidRPr="00DB2D0C">
        <w:rPr>
          <w:rFonts w:ascii="Garamond" w:hAnsi="Garamond" w:cstheme="minorHAnsi"/>
        </w:rPr>
        <w:t>, 42(5), 868–880.</w:t>
      </w:r>
    </w:p>
    <w:p w:rsidR="008E3FA6" w:rsidRPr="00DB2D0C" w:rsidRDefault="008E3FA6" w:rsidP="008E3FA6">
      <w:pPr>
        <w:pStyle w:val="NoSpacing"/>
        <w:rPr>
          <w:rFonts w:ascii="Garamond" w:hAnsi="Garamond" w:cstheme="minorHAnsi"/>
        </w:rPr>
      </w:pPr>
    </w:p>
    <w:p w:rsidR="008E3FA6" w:rsidRPr="00DB2D0C" w:rsidRDefault="008E3FA6" w:rsidP="008E3FA6">
      <w:pPr>
        <w:pStyle w:val="NoSpacing"/>
        <w:rPr>
          <w:rFonts w:ascii="Garamond" w:hAnsi="Garamond" w:cstheme="minorHAnsi"/>
          <w:i/>
          <w:lang w:val="es-MX"/>
        </w:rPr>
      </w:pPr>
      <w:r w:rsidRPr="00DB2D0C">
        <w:rPr>
          <w:rFonts w:ascii="Garamond" w:hAnsi="Garamond" w:cstheme="minorHAnsi"/>
        </w:rPr>
        <w:t xml:space="preserve"> World Bank Data and Articles. </w:t>
      </w:r>
      <w:r w:rsidRPr="00DB2D0C">
        <w:rPr>
          <w:rFonts w:ascii="Garamond" w:hAnsi="Garamond" w:cstheme="minorHAnsi"/>
          <w:lang w:val="es-MX"/>
        </w:rPr>
        <w:t xml:space="preserve">(1995, 2007, 2008). Implementad Project: </w:t>
      </w:r>
      <w:r w:rsidRPr="00DB2D0C">
        <w:rPr>
          <w:rFonts w:ascii="Garamond" w:hAnsi="Garamond" w:cstheme="minorHAnsi"/>
          <w:i/>
          <w:lang w:val="es-MX"/>
        </w:rPr>
        <w:t xml:space="preserve">Proyecto de Inversiones de </w:t>
      </w:r>
    </w:p>
    <w:p w:rsidR="008E3FA6" w:rsidRPr="00DB2D0C" w:rsidRDefault="008E3FA6" w:rsidP="008E3FA6">
      <w:pPr>
        <w:pStyle w:val="NoSpacing"/>
        <w:ind w:firstLine="720"/>
        <w:rPr>
          <w:rFonts w:ascii="Garamond" w:hAnsi="Garamond" w:cstheme="minorHAnsi"/>
          <w:lang w:val="es-MX"/>
        </w:rPr>
      </w:pPr>
      <w:r w:rsidRPr="00DB2D0C">
        <w:rPr>
          <w:rFonts w:ascii="Garamond" w:hAnsi="Garamond" w:cstheme="minorHAnsi"/>
          <w:i/>
          <w:lang w:val="es-MX"/>
        </w:rPr>
        <w:t>Desarrollo</w:t>
      </w:r>
      <w:r w:rsidRPr="00DB2D0C">
        <w:rPr>
          <w:rFonts w:ascii="Garamond" w:hAnsi="Garamond" w:cstheme="minorHAnsi"/>
          <w:lang w:val="es-MX"/>
        </w:rPr>
        <w:t xml:space="preserve">-Chimborazo (PIDD-1). </w:t>
      </w:r>
      <w:hyperlink r:id="rId65" w:history="1">
        <w:r w:rsidRPr="00DB2D0C">
          <w:rPr>
            <w:rStyle w:val="Hyperlink"/>
            <w:rFonts w:ascii="Garamond" w:hAnsi="Garamond"/>
            <w:lang w:val="es-MX"/>
          </w:rPr>
          <w:t>http://data.worldbank.org/</w:t>
        </w:r>
      </w:hyperlink>
      <w:r w:rsidRPr="00DB2D0C">
        <w:rPr>
          <w:rFonts w:ascii="Garamond" w:hAnsi="Garamond"/>
          <w:lang w:val="es-MX"/>
        </w:rPr>
        <w:t xml:space="preserve">. </w:t>
      </w:r>
    </w:p>
    <w:p w:rsidR="00350153" w:rsidRPr="0036565E" w:rsidRDefault="00350153" w:rsidP="008E3FA6">
      <w:pPr>
        <w:spacing w:line="360" w:lineRule="auto"/>
        <w:jc w:val="both"/>
        <w:rPr>
          <w:rFonts w:ascii="Garamond" w:eastAsiaTheme="minorEastAsia" w:hAnsi="Garamond"/>
          <w:lang w:val="es-ES_tradnl"/>
        </w:rPr>
      </w:pPr>
    </w:p>
    <w:p w:rsidR="008715BC" w:rsidRPr="0036565E" w:rsidRDefault="008715BC" w:rsidP="009B24AA">
      <w:pPr>
        <w:pStyle w:val="NoSpacing"/>
        <w:spacing w:line="360" w:lineRule="auto"/>
        <w:rPr>
          <w:rFonts w:ascii="Garamond" w:hAnsi="Garamond" w:cstheme="minorHAnsi"/>
          <w:lang w:val="es-ES_tradnl"/>
        </w:rPr>
      </w:pPr>
    </w:p>
    <w:sectPr w:rsidR="008715BC" w:rsidRPr="0036565E" w:rsidSect="00F6410F">
      <w:footerReference w:type="even" r:id="rId66"/>
      <w:footerReference w:type="default" r:id="rId67"/>
      <w:footerReference w:type="first" r:id="rId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1D" w:rsidRDefault="006C2C1D" w:rsidP="00336988">
      <w:pPr>
        <w:spacing w:after="0" w:line="240" w:lineRule="auto"/>
      </w:pPr>
      <w:r>
        <w:separator/>
      </w:r>
    </w:p>
  </w:endnote>
  <w:endnote w:type="continuationSeparator" w:id="0">
    <w:p w:rsidR="006C2C1D" w:rsidRDefault="006C2C1D" w:rsidP="0033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711295"/>
      <w:docPartObj>
        <w:docPartGallery w:val="Page Numbers (Bottom of Page)"/>
        <w:docPartUnique/>
      </w:docPartObj>
    </w:sdtPr>
    <w:sdtEndPr>
      <w:rPr>
        <w:noProof/>
      </w:rPr>
    </w:sdtEndPr>
    <w:sdtContent>
      <w:p w:rsidR="00672A78" w:rsidRDefault="00F31886">
        <w:pPr>
          <w:pStyle w:val="Footer"/>
          <w:jc w:val="center"/>
        </w:pPr>
        <w:r>
          <w:fldChar w:fldCharType="begin"/>
        </w:r>
        <w:r>
          <w:instrText xml:space="preserve"> PAGE   \* MERGEFORMAT </w:instrText>
        </w:r>
        <w:r>
          <w:fldChar w:fldCharType="separate"/>
        </w:r>
        <w:r w:rsidR="00672A78">
          <w:rPr>
            <w:noProof/>
          </w:rPr>
          <w:t>8</w:t>
        </w:r>
        <w:r>
          <w:rPr>
            <w:noProof/>
          </w:rPr>
          <w:fldChar w:fldCharType="end"/>
        </w:r>
      </w:p>
    </w:sdtContent>
  </w:sdt>
  <w:p w:rsidR="00672A78" w:rsidRPr="00F43C1A" w:rsidRDefault="00672A78">
    <w:pPr>
      <w:pStyle w:val="Footer"/>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64631"/>
      <w:docPartObj>
        <w:docPartGallery w:val="Page Numbers (Bottom of Page)"/>
        <w:docPartUnique/>
      </w:docPartObj>
    </w:sdtPr>
    <w:sdtEndPr>
      <w:rPr>
        <w:noProof/>
      </w:rPr>
    </w:sdtEndPr>
    <w:sdtContent>
      <w:p w:rsidR="00672A78" w:rsidRPr="00F6410F" w:rsidRDefault="00F31886" w:rsidP="00C82C4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78" w:rsidRPr="007F1FD3" w:rsidRDefault="00672A78" w:rsidP="005E5122">
    <w:pPr>
      <w:rPr>
        <w:rFonts w:ascii="Garamond" w:hAnsi="Garamond"/>
      </w:rPr>
    </w:pPr>
    <w:r w:rsidRPr="007F1FD3">
      <w:rPr>
        <w:rFonts w:ascii="Garamond" w:hAnsi="Garamond"/>
      </w:rPr>
      <w:t>This document was prepared by Eric Simning, Heath Henderson, Leonardo Corral and Paul Winters (SPD/SDV).</w:t>
    </w:r>
  </w:p>
  <w:p w:rsidR="00672A78" w:rsidRDefault="0067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1D" w:rsidRDefault="006C2C1D" w:rsidP="00336988">
      <w:pPr>
        <w:spacing w:after="0" w:line="240" w:lineRule="auto"/>
      </w:pPr>
      <w:r>
        <w:separator/>
      </w:r>
    </w:p>
  </w:footnote>
  <w:footnote w:type="continuationSeparator" w:id="0">
    <w:p w:rsidR="006C2C1D" w:rsidRDefault="006C2C1D" w:rsidP="00336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89E"/>
    <w:multiLevelType w:val="hybridMultilevel"/>
    <w:tmpl w:val="DB32987A"/>
    <w:lvl w:ilvl="0" w:tplc="FCACD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7374"/>
    <w:multiLevelType w:val="hybridMultilevel"/>
    <w:tmpl w:val="F5B6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7732E"/>
    <w:multiLevelType w:val="hybridMultilevel"/>
    <w:tmpl w:val="D54A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4F72"/>
    <w:multiLevelType w:val="hybridMultilevel"/>
    <w:tmpl w:val="F71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61BA9"/>
    <w:multiLevelType w:val="hybridMultilevel"/>
    <w:tmpl w:val="D0C4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E7F4C"/>
    <w:multiLevelType w:val="hybridMultilevel"/>
    <w:tmpl w:val="AE709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23DFA"/>
    <w:multiLevelType w:val="hybridMultilevel"/>
    <w:tmpl w:val="C47C4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21FC"/>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50256"/>
    <w:multiLevelType w:val="hybridMultilevel"/>
    <w:tmpl w:val="8B40B0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4328B"/>
    <w:multiLevelType w:val="hybridMultilevel"/>
    <w:tmpl w:val="63A8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282989"/>
    <w:multiLevelType w:val="hybridMultilevel"/>
    <w:tmpl w:val="205CE19E"/>
    <w:lvl w:ilvl="0" w:tplc="28D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377D1"/>
    <w:multiLevelType w:val="multilevel"/>
    <w:tmpl w:val="D3B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B5C9B"/>
    <w:multiLevelType w:val="hybridMultilevel"/>
    <w:tmpl w:val="25C45C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30A67"/>
    <w:multiLevelType w:val="hybridMultilevel"/>
    <w:tmpl w:val="7772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B00304"/>
    <w:multiLevelType w:val="hybridMultilevel"/>
    <w:tmpl w:val="A3F0A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1574C"/>
    <w:multiLevelType w:val="hybridMultilevel"/>
    <w:tmpl w:val="7992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45A21"/>
    <w:multiLevelType w:val="hybridMultilevel"/>
    <w:tmpl w:val="D89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046EE3"/>
    <w:multiLevelType w:val="hybridMultilevel"/>
    <w:tmpl w:val="85D8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04D5C"/>
    <w:multiLevelType w:val="hybridMultilevel"/>
    <w:tmpl w:val="0A4AFE8A"/>
    <w:lvl w:ilvl="0" w:tplc="28D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B5C47"/>
    <w:multiLevelType w:val="hybridMultilevel"/>
    <w:tmpl w:val="8E1062B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51529"/>
    <w:multiLevelType w:val="hybridMultilevel"/>
    <w:tmpl w:val="036A3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F1FDE"/>
    <w:multiLevelType w:val="hybridMultilevel"/>
    <w:tmpl w:val="807ED644"/>
    <w:lvl w:ilvl="0" w:tplc="28DA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7619F2"/>
    <w:multiLevelType w:val="hybridMultilevel"/>
    <w:tmpl w:val="35EAB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FF3D4B"/>
    <w:multiLevelType w:val="hybridMultilevel"/>
    <w:tmpl w:val="4AF4E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245465"/>
    <w:multiLevelType w:val="hybridMultilevel"/>
    <w:tmpl w:val="85A8E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F7A92"/>
    <w:multiLevelType w:val="hybridMultilevel"/>
    <w:tmpl w:val="12FE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E6DF1"/>
    <w:multiLevelType w:val="hybridMultilevel"/>
    <w:tmpl w:val="EE90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1D4401"/>
    <w:multiLevelType w:val="hybridMultilevel"/>
    <w:tmpl w:val="2062D5A6"/>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B3ABD"/>
    <w:multiLevelType w:val="hybridMultilevel"/>
    <w:tmpl w:val="31305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4C530A"/>
    <w:multiLevelType w:val="hybridMultilevel"/>
    <w:tmpl w:val="D9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947C7"/>
    <w:multiLevelType w:val="hybridMultilevel"/>
    <w:tmpl w:val="E05C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3A09A4"/>
    <w:multiLevelType w:val="hybridMultilevel"/>
    <w:tmpl w:val="11E0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6A1AE5"/>
    <w:multiLevelType w:val="hybridMultilevel"/>
    <w:tmpl w:val="D646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64EDA"/>
    <w:multiLevelType w:val="hybridMultilevel"/>
    <w:tmpl w:val="8676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6746A"/>
    <w:multiLevelType w:val="hybridMultilevel"/>
    <w:tmpl w:val="A2A06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07318"/>
    <w:multiLevelType w:val="hybridMultilevel"/>
    <w:tmpl w:val="5E1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FF725F"/>
    <w:multiLevelType w:val="hybridMultilevel"/>
    <w:tmpl w:val="D934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106E9"/>
    <w:multiLevelType w:val="hybridMultilevel"/>
    <w:tmpl w:val="88F0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6F5D76"/>
    <w:multiLevelType w:val="hybridMultilevel"/>
    <w:tmpl w:val="677EC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6C6543"/>
    <w:multiLevelType w:val="hybridMultilevel"/>
    <w:tmpl w:val="0A4AFE8A"/>
    <w:lvl w:ilvl="0" w:tplc="28DA9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907E9"/>
    <w:multiLevelType w:val="hybridMultilevel"/>
    <w:tmpl w:val="6868F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652BA"/>
    <w:multiLevelType w:val="hybridMultilevel"/>
    <w:tmpl w:val="E3FCC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CD7567"/>
    <w:multiLevelType w:val="hybridMultilevel"/>
    <w:tmpl w:val="A396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070E1F"/>
    <w:multiLevelType w:val="hybridMultilevel"/>
    <w:tmpl w:val="445C01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235093"/>
    <w:multiLevelType w:val="hybridMultilevel"/>
    <w:tmpl w:val="57F02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F65A09"/>
    <w:multiLevelType w:val="hybridMultilevel"/>
    <w:tmpl w:val="A3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37267"/>
    <w:multiLevelType w:val="hybridMultilevel"/>
    <w:tmpl w:val="43E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10"/>
  </w:num>
  <w:num w:numId="4">
    <w:abstractNumId w:val="39"/>
  </w:num>
  <w:num w:numId="5">
    <w:abstractNumId w:val="8"/>
  </w:num>
  <w:num w:numId="6">
    <w:abstractNumId w:val="24"/>
  </w:num>
  <w:num w:numId="7">
    <w:abstractNumId w:val="20"/>
  </w:num>
  <w:num w:numId="8">
    <w:abstractNumId w:val="14"/>
  </w:num>
  <w:num w:numId="9">
    <w:abstractNumId w:val="40"/>
  </w:num>
  <w:num w:numId="10">
    <w:abstractNumId w:val="15"/>
  </w:num>
  <w:num w:numId="11">
    <w:abstractNumId w:val="7"/>
  </w:num>
  <w:num w:numId="12">
    <w:abstractNumId w:val="34"/>
  </w:num>
  <w:num w:numId="13">
    <w:abstractNumId w:val="5"/>
  </w:num>
  <w:num w:numId="14">
    <w:abstractNumId w:val="0"/>
  </w:num>
  <w:num w:numId="15">
    <w:abstractNumId w:val="18"/>
  </w:num>
  <w:num w:numId="16">
    <w:abstractNumId w:val="27"/>
  </w:num>
  <w:num w:numId="17">
    <w:abstractNumId w:val="21"/>
  </w:num>
  <w:num w:numId="18">
    <w:abstractNumId w:val="25"/>
  </w:num>
  <w:num w:numId="19">
    <w:abstractNumId w:val="31"/>
  </w:num>
  <w:num w:numId="20">
    <w:abstractNumId w:val="36"/>
  </w:num>
  <w:num w:numId="21">
    <w:abstractNumId w:val="2"/>
  </w:num>
  <w:num w:numId="22">
    <w:abstractNumId w:val="19"/>
  </w:num>
  <w:num w:numId="23">
    <w:abstractNumId w:val="32"/>
  </w:num>
  <w:num w:numId="24">
    <w:abstractNumId w:val="1"/>
  </w:num>
  <w:num w:numId="25">
    <w:abstractNumId w:val="45"/>
  </w:num>
  <w:num w:numId="26">
    <w:abstractNumId w:val="23"/>
  </w:num>
  <w:num w:numId="27">
    <w:abstractNumId w:val="9"/>
  </w:num>
  <w:num w:numId="28">
    <w:abstractNumId w:val="41"/>
  </w:num>
  <w:num w:numId="29">
    <w:abstractNumId w:val="38"/>
  </w:num>
  <w:num w:numId="30">
    <w:abstractNumId w:val="6"/>
  </w:num>
  <w:num w:numId="31">
    <w:abstractNumId w:val="29"/>
  </w:num>
  <w:num w:numId="32">
    <w:abstractNumId w:val="44"/>
  </w:num>
  <w:num w:numId="33">
    <w:abstractNumId w:val="28"/>
  </w:num>
  <w:num w:numId="34">
    <w:abstractNumId w:val="4"/>
  </w:num>
  <w:num w:numId="35">
    <w:abstractNumId w:val="16"/>
  </w:num>
  <w:num w:numId="36">
    <w:abstractNumId w:val="37"/>
  </w:num>
  <w:num w:numId="37">
    <w:abstractNumId w:val="42"/>
  </w:num>
  <w:num w:numId="38">
    <w:abstractNumId w:val="26"/>
  </w:num>
  <w:num w:numId="39">
    <w:abstractNumId w:val="30"/>
  </w:num>
  <w:num w:numId="40">
    <w:abstractNumId w:val="13"/>
  </w:num>
  <w:num w:numId="41">
    <w:abstractNumId w:val="35"/>
  </w:num>
  <w:num w:numId="42">
    <w:abstractNumId w:val="22"/>
  </w:num>
  <w:num w:numId="43">
    <w:abstractNumId w:val="3"/>
  </w:num>
  <w:num w:numId="44">
    <w:abstractNumId w:val="46"/>
  </w:num>
  <w:num w:numId="45">
    <w:abstractNumId w:val="17"/>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88"/>
    <w:rsid w:val="00001219"/>
    <w:rsid w:val="000015C3"/>
    <w:rsid w:val="00001FF4"/>
    <w:rsid w:val="00006E8C"/>
    <w:rsid w:val="00012527"/>
    <w:rsid w:val="0001678F"/>
    <w:rsid w:val="000171AA"/>
    <w:rsid w:val="00021075"/>
    <w:rsid w:val="00023C60"/>
    <w:rsid w:val="00023E8F"/>
    <w:rsid w:val="0002466B"/>
    <w:rsid w:val="00026E90"/>
    <w:rsid w:val="00027D61"/>
    <w:rsid w:val="00027DB3"/>
    <w:rsid w:val="000402B9"/>
    <w:rsid w:val="00041723"/>
    <w:rsid w:val="00044A4A"/>
    <w:rsid w:val="00045DB4"/>
    <w:rsid w:val="000465D8"/>
    <w:rsid w:val="00051535"/>
    <w:rsid w:val="00054577"/>
    <w:rsid w:val="0006616C"/>
    <w:rsid w:val="00066634"/>
    <w:rsid w:val="000674E4"/>
    <w:rsid w:val="0007098A"/>
    <w:rsid w:val="00074E39"/>
    <w:rsid w:val="000759F9"/>
    <w:rsid w:val="00082432"/>
    <w:rsid w:val="0008295E"/>
    <w:rsid w:val="00085503"/>
    <w:rsid w:val="00087892"/>
    <w:rsid w:val="0009120C"/>
    <w:rsid w:val="000954F9"/>
    <w:rsid w:val="000A1A50"/>
    <w:rsid w:val="000A2B44"/>
    <w:rsid w:val="000A6FE7"/>
    <w:rsid w:val="000B1FC5"/>
    <w:rsid w:val="000B22FA"/>
    <w:rsid w:val="000B2D21"/>
    <w:rsid w:val="000B386E"/>
    <w:rsid w:val="000B4F46"/>
    <w:rsid w:val="000C3195"/>
    <w:rsid w:val="000D023E"/>
    <w:rsid w:val="000D07E9"/>
    <w:rsid w:val="000D180A"/>
    <w:rsid w:val="000D2E9F"/>
    <w:rsid w:val="000E1165"/>
    <w:rsid w:val="000E12C0"/>
    <w:rsid w:val="000E3DFE"/>
    <w:rsid w:val="000E4B78"/>
    <w:rsid w:val="000E531F"/>
    <w:rsid w:val="000E6221"/>
    <w:rsid w:val="000F1BA8"/>
    <w:rsid w:val="00100120"/>
    <w:rsid w:val="00100CE5"/>
    <w:rsid w:val="0010727B"/>
    <w:rsid w:val="001128EF"/>
    <w:rsid w:val="00112EB3"/>
    <w:rsid w:val="0011669A"/>
    <w:rsid w:val="00121E64"/>
    <w:rsid w:val="00122D44"/>
    <w:rsid w:val="00126325"/>
    <w:rsid w:val="0013035F"/>
    <w:rsid w:val="00134494"/>
    <w:rsid w:val="00142101"/>
    <w:rsid w:val="001444AF"/>
    <w:rsid w:val="00145D16"/>
    <w:rsid w:val="0014685A"/>
    <w:rsid w:val="00154EE1"/>
    <w:rsid w:val="00164889"/>
    <w:rsid w:val="001679E4"/>
    <w:rsid w:val="00170DBC"/>
    <w:rsid w:val="00176CDA"/>
    <w:rsid w:val="00177D05"/>
    <w:rsid w:val="00180EBA"/>
    <w:rsid w:val="00187D6E"/>
    <w:rsid w:val="00190AB2"/>
    <w:rsid w:val="00192AE6"/>
    <w:rsid w:val="00193497"/>
    <w:rsid w:val="00193FE4"/>
    <w:rsid w:val="001A7022"/>
    <w:rsid w:val="001B238F"/>
    <w:rsid w:val="001B51C5"/>
    <w:rsid w:val="001B5B00"/>
    <w:rsid w:val="001C08A6"/>
    <w:rsid w:val="001C2E1B"/>
    <w:rsid w:val="001D7510"/>
    <w:rsid w:val="001E348D"/>
    <w:rsid w:val="001E4D1C"/>
    <w:rsid w:val="001E6D2F"/>
    <w:rsid w:val="001F0E62"/>
    <w:rsid w:val="001F1E97"/>
    <w:rsid w:val="00202438"/>
    <w:rsid w:val="002068AB"/>
    <w:rsid w:val="002076CE"/>
    <w:rsid w:val="0021115C"/>
    <w:rsid w:val="00216C22"/>
    <w:rsid w:val="00216EA4"/>
    <w:rsid w:val="002220B7"/>
    <w:rsid w:val="002231B8"/>
    <w:rsid w:val="00224788"/>
    <w:rsid w:val="00224F93"/>
    <w:rsid w:val="00231FF1"/>
    <w:rsid w:val="00240815"/>
    <w:rsid w:val="00242CAF"/>
    <w:rsid w:val="002446E2"/>
    <w:rsid w:val="002473A4"/>
    <w:rsid w:val="0025592E"/>
    <w:rsid w:val="002604BF"/>
    <w:rsid w:val="00264637"/>
    <w:rsid w:val="002652F6"/>
    <w:rsid w:val="0027544C"/>
    <w:rsid w:val="00275AA1"/>
    <w:rsid w:val="002762BF"/>
    <w:rsid w:val="0027723F"/>
    <w:rsid w:val="0027738E"/>
    <w:rsid w:val="00283A2E"/>
    <w:rsid w:val="00283CC8"/>
    <w:rsid w:val="002843AE"/>
    <w:rsid w:val="002867F5"/>
    <w:rsid w:val="002921A3"/>
    <w:rsid w:val="002923D0"/>
    <w:rsid w:val="00296288"/>
    <w:rsid w:val="00297AA8"/>
    <w:rsid w:val="002A73C6"/>
    <w:rsid w:val="002B39C4"/>
    <w:rsid w:val="002B422F"/>
    <w:rsid w:val="002C1118"/>
    <w:rsid w:val="002D3286"/>
    <w:rsid w:val="002E4061"/>
    <w:rsid w:val="002E68D9"/>
    <w:rsid w:val="002F0E63"/>
    <w:rsid w:val="002F2B1B"/>
    <w:rsid w:val="002F5A30"/>
    <w:rsid w:val="003033DD"/>
    <w:rsid w:val="00306F88"/>
    <w:rsid w:val="003201E7"/>
    <w:rsid w:val="00321AB0"/>
    <w:rsid w:val="003249D6"/>
    <w:rsid w:val="003303FF"/>
    <w:rsid w:val="00332E7E"/>
    <w:rsid w:val="003350C3"/>
    <w:rsid w:val="00336988"/>
    <w:rsid w:val="00337464"/>
    <w:rsid w:val="00342255"/>
    <w:rsid w:val="00342798"/>
    <w:rsid w:val="00345106"/>
    <w:rsid w:val="00350153"/>
    <w:rsid w:val="00363488"/>
    <w:rsid w:val="0036565E"/>
    <w:rsid w:val="0036748C"/>
    <w:rsid w:val="00381532"/>
    <w:rsid w:val="003816A7"/>
    <w:rsid w:val="003A1AD9"/>
    <w:rsid w:val="003B162F"/>
    <w:rsid w:val="003B22EF"/>
    <w:rsid w:val="003B4810"/>
    <w:rsid w:val="003B798D"/>
    <w:rsid w:val="003C527C"/>
    <w:rsid w:val="003D3971"/>
    <w:rsid w:val="003D43F2"/>
    <w:rsid w:val="003D61E5"/>
    <w:rsid w:val="003D76C6"/>
    <w:rsid w:val="003E59BC"/>
    <w:rsid w:val="003F09C3"/>
    <w:rsid w:val="00404D79"/>
    <w:rsid w:val="00405CA2"/>
    <w:rsid w:val="00407C1A"/>
    <w:rsid w:val="00413AF8"/>
    <w:rsid w:val="00417C2C"/>
    <w:rsid w:val="00425169"/>
    <w:rsid w:val="0042697A"/>
    <w:rsid w:val="00434F2A"/>
    <w:rsid w:val="00434F2B"/>
    <w:rsid w:val="0043702F"/>
    <w:rsid w:val="0044568B"/>
    <w:rsid w:val="00445918"/>
    <w:rsid w:val="00453DF3"/>
    <w:rsid w:val="004564A0"/>
    <w:rsid w:val="00457953"/>
    <w:rsid w:val="00457C89"/>
    <w:rsid w:val="0047033C"/>
    <w:rsid w:val="00484668"/>
    <w:rsid w:val="00487C52"/>
    <w:rsid w:val="004905DA"/>
    <w:rsid w:val="00491EA7"/>
    <w:rsid w:val="0049295E"/>
    <w:rsid w:val="00493095"/>
    <w:rsid w:val="004A15BB"/>
    <w:rsid w:val="004A65F0"/>
    <w:rsid w:val="004B1002"/>
    <w:rsid w:val="004B3D3C"/>
    <w:rsid w:val="004D01F4"/>
    <w:rsid w:val="004E25A9"/>
    <w:rsid w:val="004E5AC3"/>
    <w:rsid w:val="004F03BC"/>
    <w:rsid w:val="004F137B"/>
    <w:rsid w:val="004F4C12"/>
    <w:rsid w:val="00501743"/>
    <w:rsid w:val="00502953"/>
    <w:rsid w:val="005030EE"/>
    <w:rsid w:val="005076E8"/>
    <w:rsid w:val="005077DE"/>
    <w:rsid w:val="005132EF"/>
    <w:rsid w:val="00514845"/>
    <w:rsid w:val="00524CEC"/>
    <w:rsid w:val="00526FC6"/>
    <w:rsid w:val="00531245"/>
    <w:rsid w:val="0053179D"/>
    <w:rsid w:val="005347C3"/>
    <w:rsid w:val="005405B3"/>
    <w:rsid w:val="00542C39"/>
    <w:rsid w:val="00545B57"/>
    <w:rsid w:val="00545BD4"/>
    <w:rsid w:val="00546C9D"/>
    <w:rsid w:val="005554D0"/>
    <w:rsid w:val="00564235"/>
    <w:rsid w:val="00566F26"/>
    <w:rsid w:val="0057102E"/>
    <w:rsid w:val="0057276D"/>
    <w:rsid w:val="005735E0"/>
    <w:rsid w:val="00574B7D"/>
    <w:rsid w:val="00580CA4"/>
    <w:rsid w:val="005823C8"/>
    <w:rsid w:val="00585FBF"/>
    <w:rsid w:val="00587D5B"/>
    <w:rsid w:val="00590D90"/>
    <w:rsid w:val="00594A91"/>
    <w:rsid w:val="00595E0A"/>
    <w:rsid w:val="00597555"/>
    <w:rsid w:val="005A56D8"/>
    <w:rsid w:val="005A66DF"/>
    <w:rsid w:val="005B3B4C"/>
    <w:rsid w:val="005B3DE3"/>
    <w:rsid w:val="005B697D"/>
    <w:rsid w:val="005C2726"/>
    <w:rsid w:val="005C2912"/>
    <w:rsid w:val="005C5C3D"/>
    <w:rsid w:val="005D75E9"/>
    <w:rsid w:val="005E0460"/>
    <w:rsid w:val="005E134A"/>
    <w:rsid w:val="005E2DC4"/>
    <w:rsid w:val="005E4DA4"/>
    <w:rsid w:val="005E5122"/>
    <w:rsid w:val="005F4B83"/>
    <w:rsid w:val="00602C69"/>
    <w:rsid w:val="00605FAC"/>
    <w:rsid w:val="00606447"/>
    <w:rsid w:val="00616470"/>
    <w:rsid w:val="0061680A"/>
    <w:rsid w:val="00616FEA"/>
    <w:rsid w:val="00624E6F"/>
    <w:rsid w:val="00626778"/>
    <w:rsid w:val="00627705"/>
    <w:rsid w:val="0063779A"/>
    <w:rsid w:val="00642C9D"/>
    <w:rsid w:val="006439DE"/>
    <w:rsid w:val="0066044C"/>
    <w:rsid w:val="00660551"/>
    <w:rsid w:val="00663BC4"/>
    <w:rsid w:val="00665D12"/>
    <w:rsid w:val="00670699"/>
    <w:rsid w:val="006708BC"/>
    <w:rsid w:val="00672A78"/>
    <w:rsid w:val="006730C9"/>
    <w:rsid w:val="006736F4"/>
    <w:rsid w:val="006751A9"/>
    <w:rsid w:val="00675897"/>
    <w:rsid w:val="00682052"/>
    <w:rsid w:val="0068237A"/>
    <w:rsid w:val="0068367B"/>
    <w:rsid w:val="00683975"/>
    <w:rsid w:val="0068760A"/>
    <w:rsid w:val="006879C6"/>
    <w:rsid w:val="00691553"/>
    <w:rsid w:val="00697DC7"/>
    <w:rsid w:val="006A31EC"/>
    <w:rsid w:val="006A39AC"/>
    <w:rsid w:val="006B0DEF"/>
    <w:rsid w:val="006B1C89"/>
    <w:rsid w:val="006B54ED"/>
    <w:rsid w:val="006C044D"/>
    <w:rsid w:val="006C07EE"/>
    <w:rsid w:val="006C2C1D"/>
    <w:rsid w:val="006D1FF8"/>
    <w:rsid w:val="006D3CCE"/>
    <w:rsid w:val="006E3955"/>
    <w:rsid w:val="006E418B"/>
    <w:rsid w:val="006E79EF"/>
    <w:rsid w:val="006F23BE"/>
    <w:rsid w:val="006F372B"/>
    <w:rsid w:val="00701C9A"/>
    <w:rsid w:val="00707039"/>
    <w:rsid w:val="0071024D"/>
    <w:rsid w:val="00710A1F"/>
    <w:rsid w:val="00711A9C"/>
    <w:rsid w:val="00712376"/>
    <w:rsid w:val="00716BFF"/>
    <w:rsid w:val="00720FB8"/>
    <w:rsid w:val="00723026"/>
    <w:rsid w:val="00725E6B"/>
    <w:rsid w:val="00730044"/>
    <w:rsid w:val="007303F8"/>
    <w:rsid w:val="0073189C"/>
    <w:rsid w:val="00731A95"/>
    <w:rsid w:val="0073321C"/>
    <w:rsid w:val="00740844"/>
    <w:rsid w:val="007422E4"/>
    <w:rsid w:val="00745867"/>
    <w:rsid w:val="00746B84"/>
    <w:rsid w:val="00791F55"/>
    <w:rsid w:val="00796639"/>
    <w:rsid w:val="00796EDE"/>
    <w:rsid w:val="007979A9"/>
    <w:rsid w:val="007A0C6B"/>
    <w:rsid w:val="007A210B"/>
    <w:rsid w:val="007A6785"/>
    <w:rsid w:val="007A6BEC"/>
    <w:rsid w:val="007C0458"/>
    <w:rsid w:val="007C16F5"/>
    <w:rsid w:val="007C2243"/>
    <w:rsid w:val="007D28D5"/>
    <w:rsid w:val="007D3E40"/>
    <w:rsid w:val="007D5C2A"/>
    <w:rsid w:val="007E0DE2"/>
    <w:rsid w:val="007E4350"/>
    <w:rsid w:val="007F0128"/>
    <w:rsid w:val="007F1FD3"/>
    <w:rsid w:val="007F2447"/>
    <w:rsid w:val="007F2FE3"/>
    <w:rsid w:val="007F5306"/>
    <w:rsid w:val="007F6251"/>
    <w:rsid w:val="00801367"/>
    <w:rsid w:val="00802C32"/>
    <w:rsid w:val="008062EB"/>
    <w:rsid w:val="00810D6D"/>
    <w:rsid w:val="008121F0"/>
    <w:rsid w:val="00812F58"/>
    <w:rsid w:val="00813BFD"/>
    <w:rsid w:val="00815D9E"/>
    <w:rsid w:val="0082461F"/>
    <w:rsid w:val="00824B14"/>
    <w:rsid w:val="00833525"/>
    <w:rsid w:val="0083407A"/>
    <w:rsid w:val="00836A55"/>
    <w:rsid w:val="008434B4"/>
    <w:rsid w:val="0084350E"/>
    <w:rsid w:val="00843B6D"/>
    <w:rsid w:val="00844BA0"/>
    <w:rsid w:val="00845B27"/>
    <w:rsid w:val="00853EE4"/>
    <w:rsid w:val="00855490"/>
    <w:rsid w:val="00862552"/>
    <w:rsid w:val="00863CC4"/>
    <w:rsid w:val="008662FB"/>
    <w:rsid w:val="0087060C"/>
    <w:rsid w:val="00870EB0"/>
    <w:rsid w:val="008715BC"/>
    <w:rsid w:val="00872A19"/>
    <w:rsid w:val="00875D00"/>
    <w:rsid w:val="00875D92"/>
    <w:rsid w:val="00881CEE"/>
    <w:rsid w:val="00883C4D"/>
    <w:rsid w:val="008964BB"/>
    <w:rsid w:val="00897A6F"/>
    <w:rsid w:val="008A3F93"/>
    <w:rsid w:val="008A46DE"/>
    <w:rsid w:val="008A6BDB"/>
    <w:rsid w:val="008A736F"/>
    <w:rsid w:val="008A7BAE"/>
    <w:rsid w:val="008B0909"/>
    <w:rsid w:val="008B5313"/>
    <w:rsid w:val="008B606D"/>
    <w:rsid w:val="008C70A4"/>
    <w:rsid w:val="008D137D"/>
    <w:rsid w:val="008E0274"/>
    <w:rsid w:val="008E2EB0"/>
    <w:rsid w:val="008E3FA6"/>
    <w:rsid w:val="008E4ABC"/>
    <w:rsid w:val="008E61A2"/>
    <w:rsid w:val="008F30AC"/>
    <w:rsid w:val="008F37A3"/>
    <w:rsid w:val="008F4497"/>
    <w:rsid w:val="008F4513"/>
    <w:rsid w:val="008F6D1E"/>
    <w:rsid w:val="00905055"/>
    <w:rsid w:val="00912793"/>
    <w:rsid w:val="009172E1"/>
    <w:rsid w:val="00921B2B"/>
    <w:rsid w:val="00922E51"/>
    <w:rsid w:val="009300C1"/>
    <w:rsid w:val="00941F9F"/>
    <w:rsid w:val="00945318"/>
    <w:rsid w:val="009453ED"/>
    <w:rsid w:val="009644E4"/>
    <w:rsid w:val="00966549"/>
    <w:rsid w:val="00971C33"/>
    <w:rsid w:val="00974FCA"/>
    <w:rsid w:val="00984085"/>
    <w:rsid w:val="00986F93"/>
    <w:rsid w:val="009928F8"/>
    <w:rsid w:val="00992BE7"/>
    <w:rsid w:val="009931E4"/>
    <w:rsid w:val="009965F5"/>
    <w:rsid w:val="009B24AA"/>
    <w:rsid w:val="009B68A2"/>
    <w:rsid w:val="009B70B3"/>
    <w:rsid w:val="009C696B"/>
    <w:rsid w:val="009D0773"/>
    <w:rsid w:val="009E2B66"/>
    <w:rsid w:val="009E3AC6"/>
    <w:rsid w:val="009E484A"/>
    <w:rsid w:val="009F2145"/>
    <w:rsid w:val="00A079BF"/>
    <w:rsid w:val="00A1162D"/>
    <w:rsid w:val="00A143D5"/>
    <w:rsid w:val="00A1524C"/>
    <w:rsid w:val="00A16E92"/>
    <w:rsid w:val="00A233FC"/>
    <w:rsid w:val="00A2358D"/>
    <w:rsid w:val="00A244C9"/>
    <w:rsid w:val="00A27639"/>
    <w:rsid w:val="00A31E7C"/>
    <w:rsid w:val="00A32554"/>
    <w:rsid w:val="00A36214"/>
    <w:rsid w:val="00A37092"/>
    <w:rsid w:val="00A40243"/>
    <w:rsid w:val="00A40B05"/>
    <w:rsid w:val="00A428D5"/>
    <w:rsid w:val="00A44F1B"/>
    <w:rsid w:val="00A559E9"/>
    <w:rsid w:val="00A70BCF"/>
    <w:rsid w:val="00A718F1"/>
    <w:rsid w:val="00A732ED"/>
    <w:rsid w:val="00A770FB"/>
    <w:rsid w:val="00A87A0C"/>
    <w:rsid w:val="00A90BF7"/>
    <w:rsid w:val="00A94234"/>
    <w:rsid w:val="00A94A7B"/>
    <w:rsid w:val="00A95D60"/>
    <w:rsid w:val="00A97B65"/>
    <w:rsid w:val="00AA02F1"/>
    <w:rsid w:val="00AA0E9F"/>
    <w:rsid w:val="00AA47A5"/>
    <w:rsid w:val="00AA6E2C"/>
    <w:rsid w:val="00AA71C3"/>
    <w:rsid w:val="00AB2AA0"/>
    <w:rsid w:val="00AB6D45"/>
    <w:rsid w:val="00AC072C"/>
    <w:rsid w:val="00AC4DF7"/>
    <w:rsid w:val="00AC53B6"/>
    <w:rsid w:val="00AC7856"/>
    <w:rsid w:val="00AC7A8C"/>
    <w:rsid w:val="00AD765A"/>
    <w:rsid w:val="00AE0237"/>
    <w:rsid w:val="00AE1A57"/>
    <w:rsid w:val="00AE1FF8"/>
    <w:rsid w:val="00AE308B"/>
    <w:rsid w:val="00AE4F6B"/>
    <w:rsid w:val="00AE5205"/>
    <w:rsid w:val="00AF0AC2"/>
    <w:rsid w:val="00AF1433"/>
    <w:rsid w:val="00AF569C"/>
    <w:rsid w:val="00AF718B"/>
    <w:rsid w:val="00B020DB"/>
    <w:rsid w:val="00B11412"/>
    <w:rsid w:val="00B16751"/>
    <w:rsid w:val="00B22F52"/>
    <w:rsid w:val="00B31292"/>
    <w:rsid w:val="00B33028"/>
    <w:rsid w:val="00B3377F"/>
    <w:rsid w:val="00B350E2"/>
    <w:rsid w:val="00B354DB"/>
    <w:rsid w:val="00B41D70"/>
    <w:rsid w:val="00B44C40"/>
    <w:rsid w:val="00B54566"/>
    <w:rsid w:val="00B6122F"/>
    <w:rsid w:val="00B75A01"/>
    <w:rsid w:val="00B77499"/>
    <w:rsid w:val="00B817FC"/>
    <w:rsid w:val="00B81B4F"/>
    <w:rsid w:val="00B82D10"/>
    <w:rsid w:val="00B830E1"/>
    <w:rsid w:val="00B854AE"/>
    <w:rsid w:val="00B85855"/>
    <w:rsid w:val="00B915CC"/>
    <w:rsid w:val="00B93000"/>
    <w:rsid w:val="00B976A2"/>
    <w:rsid w:val="00BA3EC5"/>
    <w:rsid w:val="00BA7222"/>
    <w:rsid w:val="00BB7052"/>
    <w:rsid w:val="00BB7702"/>
    <w:rsid w:val="00BC1469"/>
    <w:rsid w:val="00BC1FC8"/>
    <w:rsid w:val="00BC2A8E"/>
    <w:rsid w:val="00BC4D31"/>
    <w:rsid w:val="00BC4FAA"/>
    <w:rsid w:val="00BC50EC"/>
    <w:rsid w:val="00BC5802"/>
    <w:rsid w:val="00BC5C7F"/>
    <w:rsid w:val="00BC7715"/>
    <w:rsid w:val="00BD33FE"/>
    <w:rsid w:val="00BD6ED2"/>
    <w:rsid w:val="00BE2B07"/>
    <w:rsid w:val="00BE2FAC"/>
    <w:rsid w:val="00BE4DB3"/>
    <w:rsid w:val="00BE614A"/>
    <w:rsid w:val="00BE6C87"/>
    <w:rsid w:val="00BF6472"/>
    <w:rsid w:val="00C139F0"/>
    <w:rsid w:val="00C1600B"/>
    <w:rsid w:val="00C264A7"/>
    <w:rsid w:val="00C26703"/>
    <w:rsid w:val="00C273BC"/>
    <w:rsid w:val="00C304A7"/>
    <w:rsid w:val="00C34C36"/>
    <w:rsid w:val="00C4190D"/>
    <w:rsid w:val="00C43510"/>
    <w:rsid w:val="00C45F9E"/>
    <w:rsid w:val="00C47DC1"/>
    <w:rsid w:val="00C51014"/>
    <w:rsid w:val="00C53EA3"/>
    <w:rsid w:val="00C555F7"/>
    <w:rsid w:val="00C60AC0"/>
    <w:rsid w:val="00C64C67"/>
    <w:rsid w:val="00C6665F"/>
    <w:rsid w:val="00C7293B"/>
    <w:rsid w:val="00C730BC"/>
    <w:rsid w:val="00C740C1"/>
    <w:rsid w:val="00C750E7"/>
    <w:rsid w:val="00C762A7"/>
    <w:rsid w:val="00C7658A"/>
    <w:rsid w:val="00C81F0B"/>
    <w:rsid w:val="00C82C4F"/>
    <w:rsid w:val="00C84878"/>
    <w:rsid w:val="00C91991"/>
    <w:rsid w:val="00CA5FFF"/>
    <w:rsid w:val="00CA7A8F"/>
    <w:rsid w:val="00CB0499"/>
    <w:rsid w:val="00CB3CD2"/>
    <w:rsid w:val="00CB7880"/>
    <w:rsid w:val="00CC2C8D"/>
    <w:rsid w:val="00CC346D"/>
    <w:rsid w:val="00CC5FF6"/>
    <w:rsid w:val="00CD220A"/>
    <w:rsid w:val="00CD30C0"/>
    <w:rsid w:val="00CD3F9D"/>
    <w:rsid w:val="00CD5B02"/>
    <w:rsid w:val="00CE513A"/>
    <w:rsid w:val="00CF0801"/>
    <w:rsid w:val="00CF7474"/>
    <w:rsid w:val="00CF7544"/>
    <w:rsid w:val="00CF7DA7"/>
    <w:rsid w:val="00D0099B"/>
    <w:rsid w:val="00D02DAE"/>
    <w:rsid w:val="00D1376C"/>
    <w:rsid w:val="00D14A76"/>
    <w:rsid w:val="00D152D8"/>
    <w:rsid w:val="00D179EF"/>
    <w:rsid w:val="00D24A3E"/>
    <w:rsid w:val="00D2667A"/>
    <w:rsid w:val="00D27A86"/>
    <w:rsid w:val="00D33A87"/>
    <w:rsid w:val="00D3572A"/>
    <w:rsid w:val="00D35C1A"/>
    <w:rsid w:val="00D37116"/>
    <w:rsid w:val="00D565A5"/>
    <w:rsid w:val="00D661D9"/>
    <w:rsid w:val="00D80220"/>
    <w:rsid w:val="00D8072F"/>
    <w:rsid w:val="00D82BD3"/>
    <w:rsid w:val="00D9107F"/>
    <w:rsid w:val="00D936A2"/>
    <w:rsid w:val="00D93764"/>
    <w:rsid w:val="00D950B1"/>
    <w:rsid w:val="00D9562E"/>
    <w:rsid w:val="00DA0501"/>
    <w:rsid w:val="00DA21F9"/>
    <w:rsid w:val="00DA37EF"/>
    <w:rsid w:val="00DA44EE"/>
    <w:rsid w:val="00DA530A"/>
    <w:rsid w:val="00DB24D5"/>
    <w:rsid w:val="00DB2D0C"/>
    <w:rsid w:val="00DB3A9D"/>
    <w:rsid w:val="00DC255D"/>
    <w:rsid w:val="00DC69E7"/>
    <w:rsid w:val="00DD2FE9"/>
    <w:rsid w:val="00DD45C5"/>
    <w:rsid w:val="00DD5A7E"/>
    <w:rsid w:val="00DD6959"/>
    <w:rsid w:val="00DD7BE4"/>
    <w:rsid w:val="00DE27E7"/>
    <w:rsid w:val="00DE3D12"/>
    <w:rsid w:val="00DE5479"/>
    <w:rsid w:val="00DE65E8"/>
    <w:rsid w:val="00DF0E5E"/>
    <w:rsid w:val="00DF59E1"/>
    <w:rsid w:val="00E01A12"/>
    <w:rsid w:val="00E12A6C"/>
    <w:rsid w:val="00E17EA4"/>
    <w:rsid w:val="00E2684D"/>
    <w:rsid w:val="00E279E7"/>
    <w:rsid w:val="00E31CF4"/>
    <w:rsid w:val="00E338EC"/>
    <w:rsid w:val="00E368F7"/>
    <w:rsid w:val="00E369DF"/>
    <w:rsid w:val="00E37E06"/>
    <w:rsid w:val="00E4198B"/>
    <w:rsid w:val="00E45352"/>
    <w:rsid w:val="00E479BF"/>
    <w:rsid w:val="00E536E1"/>
    <w:rsid w:val="00E53743"/>
    <w:rsid w:val="00E629D2"/>
    <w:rsid w:val="00E62B39"/>
    <w:rsid w:val="00E6652F"/>
    <w:rsid w:val="00E70D68"/>
    <w:rsid w:val="00E82A0C"/>
    <w:rsid w:val="00E84019"/>
    <w:rsid w:val="00E9198A"/>
    <w:rsid w:val="00EA0973"/>
    <w:rsid w:val="00EA37C5"/>
    <w:rsid w:val="00EA4021"/>
    <w:rsid w:val="00EA7C0F"/>
    <w:rsid w:val="00EB196E"/>
    <w:rsid w:val="00EB19E2"/>
    <w:rsid w:val="00EB58AE"/>
    <w:rsid w:val="00EC09F4"/>
    <w:rsid w:val="00EC1252"/>
    <w:rsid w:val="00EC24E2"/>
    <w:rsid w:val="00ED4A7C"/>
    <w:rsid w:val="00ED5D3B"/>
    <w:rsid w:val="00ED6B5E"/>
    <w:rsid w:val="00EE163F"/>
    <w:rsid w:val="00EE1CE5"/>
    <w:rsid w:val="00EF1A52"/>
    <w:rsid w:val="00F066A8"/>
    <w:rsid w:val="00F2238F"/>
    <w:rsid w:val="00F26941"/>
    <w:rsid w:val="00F302ED"/>
    <w:rsid w:val="00F31886"/>
    <w:rsid w:val="00F35F63"/>
    <w:rsid w:val="00F4217A"/>
    <w:rsid w:val="00F43C1A"/>
    <w:rsid w:val="00F45FCC"/>
    <w:rsid w:val="00F46D85"/>
    <w:rsid w:val="00F4763A"/>
    <w:rsid w:val="00F575B6"/>
    <w:rsid w:val="00F57AC3"/>
    <w:rsid w:val="00F61199"/>
    <w:rsid w:val="00F6410F"/>
    <w:rsid w:val="00F67C63"/>
    <w:rsid w:val="00F75348"/>
    <w:rsid w:val="00F773A8"/>
    <w:rsid w:val="00F77751"/>
    <w:rsid w:val="00F8557F"/>
    <w:rsid w:val="00F87F62"/>
    <w:rsid w:val="00F953C1"/>
    <w:rsid w:val="00FB1B5C"/>
    <w:rsid w:val="00FC109B"/>
    <w:rsid w:val="00FC37D7"/>
    <w:rsid w:val="00FD3FB8"/>
    <w:rsid w:val="00FD56C7"/>
    <w:rsid w:val="00FD7F84"/>
    <w:rsid w:val="00FE13B7"/>
    <w:rsid w:val="00FF7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02"/>
  </w:style>
  <w:style w:type="paragraph" w:styleId="Heading1">
    <w:name w:val="heading 1"/>
    <w:basedOn w:val="Normal"/>
    <w:link w:val="Heading1Char"/>
    <w:uiPriority w:val="9"/>
    <w:qFormat/>
    <w:rsid w:val="008B0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9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715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988"/>
  </w:style>
  <w:style w:type="paragraph" w:styleId="Footer">
    <w:name w:val="footer"/>
    <w:basedOn w:val="Normal"/>
    <w:link w:val="FooterChar"/>
    <w:uiPriority w:val="99"/>
    <w:unhideWhenUsed/>
    <w:rsid w:val="0033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988"/>
  </w:style>
  <w:style w:type="paragraph" w:styleId="BalloonText">
    <w:name w:val="Balloon Text"/>
    <w:basedOn w:val="Normal"/>
    <w:link w:val="BalloonTextChar"/>
    <w:uiPriority w:val="99"/>
    <w:semiHidden/>
    <w:unhideWhenUsed/>
    <w:rsid w:val="0033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88"/>
    <w:rPr>
      <w:rFonts w:ascii="Tahoma" w:hAnsi="Tahoma" w:cs="Tahoma"/>
      <w:sz w:val="16"/>
      <w:szCs w:val="16"/>
    </w:rPr>
  </w:style>
  <w:style w:type="paragraph" w:styleId="ListParagraph">
    <w:name w:val="List Paragraph"/>
    <w:basedOn w:val="Normal"/>
    <w:uiPriority w:val="34"/>
    <w:qFormat/>
    <w:rsid w:val="00336988"/>
    <w:pPr>
      <w:ind w:left="720"/>
      <w:contextualSpacing/>
    </w:pPr>
  </w:style>
  <w:style w:type="paragraph" w:styleId="NoSpacing">
    <w:name w:val="No Spacing"/>
    <w:uiPriority w:val="1"/>
    <w:qFormat/>
    <w:rsid w:val="00DA530A"/>
    <w:pPr>
      <w:spacing w:after="0" w:line="240" w:lineRule="auto"/>
    </w:pPr>
  </w:style>
  <w:style w:type="character" w:customStyle="1" w:styleId="ColorfulList-Accent1Char">
    <w:name w:val="Colorful List - Accent 1 Char"/>
    <w:link w:val="ColorfulList-Accent1"/>
    <w:uiPriority w:val="34"/>
    <w:rsid w:val="00C750E7"/>
    <w:rPr>
      <w:sz w:val="22"/>
      <w:szCs w:val="22"/>
    </w:rPr>
  </w:style>
  <w:style w:type="table" w:styleId="ColorfulList-Accent1">
    <w:name w:val="Colorful List Accent 1"/>
    <w:basedOn w:val="TableNormal"/>
    <w:link w:val="ColorfulList-Accent1Char"/>
    <w:uiPriority w:val="34"/>
    <w:rsid w:val="00C750E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rsid w:val="009E484A"/>
    <w:rPr>
      <w:color w:val="0000FF"/>
      <w:u w:val="single"/>
    </w:rPr>
  </w:style>
  <w:style w:type="character" w:customStyle="1" w:styleId="apple-converted-space">
    <w:name w:val="apple-converted-space"/>
    <w:basedOn w:val="DefaultParagraphFont"/>
    <w:rsid w:val="0073321C"/>
  </w:style>
  <w:style w:type="character" w:customStyle="1" w:styleId="slug-pub-date">
    <w:name w:val="slug-pub-date"/>
    <w:basedOn w:val="DefaultParagraphFont"/>
    <w:rsid w:val="008B0909"/>
  </w:style>
  <w:style w:type="character" w:customStyle="1" w:styleId="slug-vol">
    <w:name w:val="slug-vol"/>
    <w:basedOn w:val="DefaultParagraphFont"/>
    <w:rsid w:val="008B0909"/>
  </w:style>
  <w:style w:type="character" w:customStyle="1" w:styleId="slug-issue">
    <w:name w:val="slug-issue"/>
    <w:basedOn w:val="DefaultParagraphFont"/>
    <w:rsid w:val="008B0909"/>
  </w:style>
  <w:style w:type="character" w:customStyle="1" w:styleId="slug-pages">
    <w:name w:val="slug-pages"/>
    <w:basedOn w:val="DefaultParagraphFont"/>
    <w:rsid w:val="008B0909"/>
  </w:style>
  <w:style w:type="paragraph" w:customStyle="1" w:styleId="Default">
    <w:name w:val="Default"/>
    <w:rsid w:val="008715BC"/>
    <w:pPr>
      <w:autoSpaceDE w:val="0"/>
      <w:autoSpaceDN w:val="0"/>
      <w:adjustRightInd w:val="0"/>
      <w:spacing w:after="0" w:line="240" w:lineRule="auto"/>
    </w:pPr>
    <w:rPr>
      <w:rFonts w:ascii="Code" w:hAnsi="Code" w:cs="Code"/>
      <w:color w:val="000000"/>
      <w:sz w:val="24"/>
      <w:szCs w:val="24"/>
    </w:rPr>
  </w:style>
  <w:style w:type="character" w:customStyle="1" w:styleId="ColorfulShading-Accent3Char">
    <w:name w:val="Colorful Shading - Accent 3 Char"/>
    <w:link w:val="ColorfulShading-Accent3"/>
    <w:uiPriority w:val="34"/>
    <w:rsid w:val="00C273BC"/>
    <w:rPr>
      <w:sz w:val="22"/>
      <w:szCs w:val="22"/>
    </w:rPr>
  </w:style>
  <w:style w:type="table" w:styleId="ColorfulShading-Accent3">
    <w:name w:val="Colorful Shading Accent 3"/>
    <w:basedOn w:val="TableNormal"/>
    <w:link w:val="ColorfulShading-Accent3Char"/>
    <w:uiPriority w:val="34"/>
    <w:rsid w:val="00C273BC"/>
    <w:pPr>
      <w:spacing w:after="0" w:line="240" w:lineRule="auto"/>
    </w:p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ableGrid">
    <w:name w:val="Table Grid"/>
    <w:basedOn w:val="TableNormal"/>
    <w:uiPriority w:val="59"/>
    <w:rsid w:val="000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7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9E7"/>
    <w:rPr>
      <w:sz w:val="20"/>
      <w:szCs w:val="20"/>
    </w:rPr>
  </w:style>
  <w:style w:type="character" w:customStyle="1" w:styleId="cit-auth">
    <w:name w:val="cit-auth"/>
    <w:basedOn w:val="DefaultParagraphFont"/>
    <w:rsid w:val="00E279E7"/>
  </w:style>
  <w:style w:type="character" w:customStyle="1" w:styleId="cit-name-surname">
    <w:name w:val="cit-name-surname"/>
    <w:basedOn w:val="DefaultParagraphFont"/>
    <w:rsid w:val="00E279E7"/>
  </w:style>
  <w:style w:type="character" w:customStyle="1" w:styleId="cit-name-given-names">
    <w:name w:val="cit-name-given-names"/>
    <w:basedOn w:val="DefaultParagraphFont"/>
    <w:rsid w:val="00E279E7"/>
  </w:style>
  <w:style w:type="character" w:customStyle="1" w:styleId="cit-article-title">
    <w:name w:val="cit-article-title"/>
    <w:basedOn w:val="DefaultParagraphFont"/>
    <w:rsid w:val="00E279E7"/>
  </w:style>
  <w:style w:type="character" w:customStyle="1" w:styleId="cit-pub-date">
    <w:name w:val="cit-pub-date"/>
    <w:basedOn w:val="DefaultParagraphFont"/>
    <w:rsid w:val="00E279E7"/>
  </w:style>
  <w:style w:type="character" w:customStyle="1" w:styleId="cit-vol">
    <w:name w:val="cit-vol"/>
    <w:basedOn w:val="DefaultParagraphFont"/>
    <w:rsid w:val="00E279E7"/>
  </w:style>
  <w:style w:type="character" w:customStyle="1" w:styleId="cit-fpage">
    <w:name w:val="cit-fpage"/>
    <w:basedOn w:val="DefaultParagraphFont"/>
    <w:rsid w:val="00E279E7"/>
  </w:style>
  <w:style w:type="character" w:customStyle="1" w:styleId="cit-lpage">
    <w:name w:val="cit-lpage"/>
    <w:basedOn w:val="DefaultParagraphFont"/>
    <w:rsid w:val="00E279E7"/>
  </w:style>
  <w:style w:type="character" w:styleId="CommentReference">
    <w:name w:val="annotation reference"/>
    <w:basedOn w:val="DefaultParagraphFont"/>
    <w:uiPriority w:val="99"/>
    <w:semiHidden/>
    <w:unhideWhenUsed/>
    <w:rsid w:val="001444AF"/>
    <w:rPr>
      <w:sz w:val="16"/>
      <w:szCs w:val="16"/>
    </w:rPr>
  </w:style>
  <w:style w:type="paragraph" w:styleId="CommentText">
    <w:name w:val="annotation text"/>
    <w:basedOn w:val="Normal"/>
    <w:link w:val="CommentTextChar"/>
    <w:uiPriority w:val="99"/>
    <w:semiHidden/>
    <w:unhideWhenUsed/>
    <w:rsid w:val="001444AF"/>
    <w:pPr>
      <w:spacing w:line="240" w:lineRule="auto"/>
    </w:pPr>
    <w:rPr>
      <w:sz w:val="20"/>
      <w:szCs w:val="20"/>
    </w:rPr>
  </w:style>
  <w:style w:type="character" w:customStyle="1" w:styleId="CommentTextChar">
    <w:name w:val="Comment Text Char"/>
    <w:basedOn w:val="DefaultParagraphFont"/>
    <w:link w:val="CommentText"/>
    <w:uiPriority w:val="99"/>
    <w:semiHidden/>
    <w:rsid w:val="001444AF"/>
    <w:rPr>
      <w:sz w:val="20"/>
      <w:szCs w:val="20"/>
    </w:rPr>
  </w:style>
  <w:style w:type="paragraph" w:styleId="CommentSubject">
    <w:name w:val="annotation subject"/>
    <w:basedOn w:val="CommentText"/>
    <w:next w:val="CommentText"/>
    <w:link w:val="CommentSubjectChar"/>
    <w:uiPriority w:val="99"/>
    <w:semiHidden/>
    <w:unhideWhenUsed/>
    <w:rsid w:val="001444AF"/>
    <w:rPr>
      <w:b/>
      <w:bCs/>
    </w:rPr>
  </w:style>
  <w:style w:type="character" w:customStyle="1" w:styleId="CommentSubjectChar">
    <w:name w:val="Comment Subject Char"/>
    <w:basedOn w:val="CommentTextChar"/>
    <w:link w:val="CommentSubject"/>
    <w:uiPriority w:val="99"/>
    <w:semiHidden/>
    <w:rsid w:val="001444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02"/>
  </w:style>
  <w:style w:type="paragraph" w:styleId="Heading1">
    <w:name w:val="heading 1"/>
    <w:basedOn w:val="Normal"/>
    <w:link w:val="Heading1Char"/>
    <w:uiPriority w:val="9"/>
    <w:qFormat/>
    <w:rsid w:val="008B0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9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715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988"/>
  </w:style>
  <w:style w:type="paragraph" w:styleId="Footer">
    <w:name w:val="footer"/>
    <w:basedOn w:val="Normal"/>
    <w:link w:val="FooterChar"/>
    <w:uiPriority w:val="99"/>
    <w:unhideWhenUsed/>
    <w:rsid w:val="0033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988"/>
  </w:style>
  <w:style w:type="paragraph" w:styleId="BalloonText">
    <w:name w:val="Balloon Text"/>
    <w:basedOn w:val="Normal"/>
    <w:link w:val="BalloonTextChar"/>
    <w:uiPriority w:val="99"/>
    <w:semiHidden/>
    <w:unhideWhenUsed/>
    <w:rsid w:val="0033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88"/>
    <w:rPr>
      <w:rFonts w:ascii="Tahoma" w:hAnsi="Tahoma" w:cs="Tahoma"/>
      <w:sz w:val="16"/>
      <w:szCs w:val="16"/>
    </w:rPr>
  </w:style>
  <w:style w:type="paragraph" w:styleId="ListParagraph">
    <w:name w:val="List Paragraph"/>
    <w:basedOn w:val="Normal"/>
    <w:uiPriority w:val="34"/>
    <w:qFormat/>
    <w:rsid w:val="00336988"/>
    <w:pPr>
      <w:ind w:left="720"/>
      <w:contextualSpacing/>
    </w:pPr>
  </w:style>
  <w:style w:type="paragraph" w:styleId="NoSpacing">
    <w:name w:val="No Spacing"/>
    <w:uiPriority w:val="1"/>
    <w:qFormat/>
    <w:rsid w:val="00DA530A"/>
    <w:pPr>
      <w:spacing w:after="0" w:line="240" w:lineRule="auto"/>
    </w:pPr>
  </w:style>
  <w:style w:type="character" w:customStyle="1" w:styleId="ColorfulList-Accent1Char">
    <w:name w:val="Colorful List - Accent 1 Char"/>
    <w:link w:val="ColorfulList-Accent1"/>
    <w:uiPriority w:val="34"/>
    <w:rsid w:val="00C750E7"/>
    <w:rPr>
      <w:sz w:val="22"/>
      <w:szCs w:val="22"/>
    </w:rPr>
  </w:style>
  <w:style w:type="table" w:styleId="ColorfulList-Accent1">
    <w:name w:val="Colorful List Accent 1"/>
    <w:basedOn w:val="TableNormal"/>
    <w:link w:val="ColorfulList-Accent1Char"/>
    <w:uiPriority w:val="34"/>
    <w:rsid w:val="00C750E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rsid w:val="009E484A"/>
    <w:rPr>
      <w:color w:val="0000FF"/>
      <w:u w:val="single"/>
    </w:rPr>
  </w:style>
  <w:style w:type="character" w:customStyle="1" w:styleId="apple-converted-space">
    <w:name w:val="apple-converted-space"/>
    <w:basedOn w:val="DefaultParagraphFont"/>
    <w:rsid w:val="0073321C"/>
  </w:style>
  <w:style w:type="character" w:customStyle="1" w:styleId="slug-pub-date">
    <w:name w:val="slug-pub-date"/>
    <w:basedOn w:val="DefaultParagraphFont"/>
    <w:rsid w:val="008B0909"/>
  </w:style>
  <w:style w:type="character" w:customStyle="1" w:styleId="slug-vol">
    <w:name w:val="slug-vol"/>
    <w:basedOn w:val="DefaultParagraphFont"/>
    <w:rsid w:val="008B0909"/>
  </w:style>
  <w:style w:type="character" w:customStyle="1" w:styleId="slug-issue">
    <w:name w:val="slug-issue"/>
    <w:basedOn w:val="DefaultParagraphFont"/>
    <w:rsid w:val="008B0909"/>
  </w:style>
  <w:style w:type="character" w:customStyle="1" w:styleId="slug-pages">
    <w:name w:val="slug-pages"/>
    <w:basedOn w:val="DefaultParagraphFont"/>
    <w:rsid w:val="008B0909"/>
  </w:style>
  <w:style w:type="paragraph" w:customStyle="1" w:styleId="Default">
    <w:name w:val="Default"/>
    <w:rsid w:val="008715BC"/>
    <w:pPr>
      <w:autoSpaceDE w:val="0"/>
      <w:autoSpaceDN w:val="0"/>
      <w:adjustRightInd w:val="0"/>
      <w:spacing w:after="0" w:line="240" w:lineRule="auto"/>
    </w:pPr>
    <w:rPr>
      <w:rFonts w:ascii="Code" w:hAnsi="Code" w:cs="Code"/>
      <w:color w:val="000000"/>
      <w:sz w:val="24"/>
      <w:szCs w:val="24"/>
    </w:rPr>
  </w:style>
  <w:style w:type="character" w:customStyle="1" w:styleId="ColorfulShading-Accent3Char">
    <w:name w:val="Colorful Shading - Accent 3 Char"/>
    <w:link w:val="ColorfulShading-Accent3"/>
    <w:uiPriority w:val="34"/>
    <w:rsid w:val="00C273BC"/>
    <w:rPr>
      <w:sz w:val="22"/>
      <w:szCs w:val="22"/>
    </w:rPr>
  </w:style>
  <w:style w:type="table" w:styleId="ColorfulShading-Accent3">
    <w:name w:val="Colorful Shading Accent 3"/>
    <w:basedOn w:val="TableNormal"/>
    <w:link w:val="ColorfulShading-Accent3Char"/>
    <w:uiPriority w:val="34"/>
    <w:rsid w:val="00C273BC"/>
    <w:pPr>
      <w:spacing w:after="0" w:line="240" w:lineRule="auto"/>
    </w:p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ableGrid">
    <w:name w:val="Table Grid"/>
    <w:basedOn w:val="TableNormal"/>
    <w:uiPriority w:val="59"/>
    <w:rsid w:val="000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7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9E7"/>
    <w:rPr>
      <w:sz w:val="20"/>
      <w:szCs w:val="20"/>
    </w:rPr>
  </w:style>
  <w:style w:type="character" w:customStyle="1" w:styleId="cit-auth">
    <w:name w:val="cit-auth"/>
    <w:basedOn w:val="DefaultParagraphFont"/>
    <w:rsid w:val="00E279E7"/>
  </w:style>
  <w:style w:type="character" w:customStyle="1" w:styleId="cit-name-surname">
    <w:name w:val="cit-name-surname"/>
    <w:basedOn w:val="DefaultParagraphFont"/>
    <w:rsid w:val="00E279E7"/>
  </w:style>
  <w:style w:type="character" w:customStyle="1" w:styleId="cit-name-given-names">
    <w:name w:val="cit-name-given-names"/>
    <w:basedOn w:val="DefaultParagraphFont"/>
    <w:rsid w:val="00E279E7"/>
  </w:style>
  <w:style w:type="character" w:customStyle="1" w:styleId="cit-article-title">
    <w:name w:val="cit-article-title"/>
    <w:basedOn w:val="DefaultParagraphFont"/>
    <w:rsid w:val="00E279E7"/>
  </w:style>
  <w:style w:type="character" w:customStyle="1" w:styleId="cit-pub-date">
    <w:name w:val="cit-pub-date"/>
    <w:basedOn w:val="DefaultParagraphFont"/>
    <w:rsid w:val="00E279E7"/>
  </w:style>
  <w:style w:type="character" w:customStyle="1" w:styleId="cit-vol">
    <w:name w:val="cit-vol"/>
    <w:basedOn w:val="DefaultParagraphFont"/>
    <w:rsid w:val="00E279E7"/>
  </w:style>
  <w:style w:type="character" w:customStyle="1" w:styleId="cit-fpage">
    <w:name w:val="cit-fpage"/>
    <w:basedOn w:val="DefaultParagraphFont"/>
    <w:rsid w:val="00E279E7"/>
  </w:style>
  <w:style w:type="character" w:customStyle="1" w:styleId="cit-lpage">
    <w:name w:val="cit-lpage"/>
    <w:basedOn w:val="DefaultParagraphFont"/>
    <w:rsid w:val="00E279E7"/>
  </w:style>
  <w:style w:type="character" w:styleId="CommentReference">
    <w:name w:val="annotation reference"/>
    <w:basedOn w:val="DefaultParagraphFont"/>
    <w:uiPriority w:val="99"/>
    <w:semiHidden/>
    <w:unhideWhenUsed/>
    <w:rsid w:val="001444AF"/>
    <w:rPr>
      <w:sz w:val="16"/>
      <w:szCs w:val="16"/>
    </w:rPr>
  </w:style>
  <w:style w:type="paragraph" w:styleId="CommentText">
    <w:name w:val="annotation text"/>
    <w:basedOn w:val="Normal"/>
    <w:link w:val="CommentTextChar"/>
    <w:uiPriority w:val="99"/>
    <w:semiHidden/>
    <w:unhideWhenUsed/>
    <w:rsid w:val="001444AF"/>
    <w:pPr>
      <w:spacing w:line="240" w:lineRule="auto"/>
    </w:pPr>
    <w:rPr>
      <w:sz w:val="20"/>
      <w:szCs w:val="20"/>
    </w:rPr>
  </w:style>
  <w:style w:type="character" w:customStyle="1" w:styleId="CommentTextChar">
    <w:name w:val="Comment Text Char"/>
    <w:basedOn w:val="DefaultParagraphFont"/>
    <w:link w:val="CommentText"/>
    <w:uiPriority w:val="99"/>
    <w:semiHidden/>
    <w:rsid w:val="001444AF"/>
    <w:rPr>
      <w:sz w:val="20"/>
      <w:szCs w:val="20"/>
    </w:rPr>
  </w:style>
  <w:style w:type="paragraph" w:styleId="CommentSubject">
    <w:name w:val="annotation subject"/>
    <w:basedOn w:val="CommentText"/>
    <w:next w:val="CommentText"/>
    <w:link w:val="CommentSubjectChar"/>
    <w:uiPriority w:val="99"/>
    <w:semiHidden/>
    <w:unhideWhenUsed/>
    <w:rsid w:val="001444AF"/>
    <w:rPr>
      <w:b/>
      <w:bCs/>
    </w:rPr>
  </w:style>
  <w:style w:type="character" w:customStyle="1" w:styleId="CommentSubjectChar">
    <w:name w:val="Comment Subject Char"/>
    <w:basedOn w:val="CommentTextChar"/>
    <w:link w:val="CommentSubject"/>
    <w:uiPriority w:val="99"/>
    <w:semiHidden/>
    <w:rsid w:val="0014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079">
      <w:bodyDiv w:val="1"/>
      <w:marLeft w:val="0"/>
      <w:marRight w:val="0"/>
      <w:marTop w:val="0"/>
      <w:marBottom w:val="0"/>
      <w:divBdr>
        <w:top w:val="none" w:sz="0" w:space="0" w:color="auto"/>
        <w:left w:val="none" w:sz="0" w:space="0" w:color="auto"/>
        <w:bottom w:val="none" w:sz="0" w:space="0" w:color="auto"/>
        <w:right w:val="none" w:sz="0" w:space="0" w:color="auto"/>
      </w:divBdr>
    </w:div>
    <w:div w:id="458383496">
      <w:bodyDiv w:val="1"/>
      <w:marLeft w:val="0"/>
      <w:marRight w:val="0"/>
      <w:marTop w:val="0"/>
      <w:marBottom w:val="0"/>
      <w:divBdr>
        <w:top w:val="none" w:sz="0" w:space="0" w:color="auto"/>
        <w:left w:val="none" w:sz="0" w:space="0" w:color="auto"/>
        <w:bottom w:val="none" w:sz="0" w:space="0" w:color="auto"/>
        <w:right w:val="none" w:sz="0" w:space="0" w:color="auto"/>
      </w:divBdr>
    </w:div>
    <w:div w:id="541745103">
      <w:bodyDiv w:val="1"/>
      <w:marLeft w:val="0"/>
      <w:marRight w:val="0"/>
      <w:marTop w:val="0"/>
      <w:marBottom w:val="0"/>
      <w:divBdr>
        <w:top w:val="none" w:sz="0" w:space="0" w:color="auto"/>
        <w:left w:val="none" w:sz="0" w:space="0" w:color="auto"/>
        <w:bottom w:val="none" w:sz="0" w:space="0" w:color="auto"/>
        <w:right w:val="none" w:sz="0" w:space="0" w:color="auto"/>
      </w:divBdr>
    </w:div>
    <w:div w:id="1215046258">
      <w:bodyDiv w:val="1"/>
      <w:marLeft w:val="0"/>
      <w:marRight w:val="0"/>
      <w:marTop w:val="0"/>
      <w:marBottom w:val="0"/>
      <w:divBdr>
        <w:top w:val="none" w:sz="0" w:space="0" w:color="auto"/>
        <w:left w:val="none" w:sz="0" w:space="0" w:color="auto"/>
        <w:bottom w:val="none" w:sz="0" w:space="0" w:color="auto"/>
        <w:right w:val="none" w:sz="0" w:space="0" w:color="auto"/>
      </w:divBdr>
    </w:div>
    <w:div w:id="1799835109">
      <w:bodyDiv w:val="1"/>
      <w:marLeft w:val="0"/>
      <w:marRight w:val="0"/>
      <w:marTop w:val="0"/>
      <w:marBottom w:val="0"/>
      <w:divBdr>
        <w:top w:val="none" w:sz="0" w:space="0" w:color="auto"/>
        <w:left w:val="none" w:sz="0" w:space="0" w:color="auto"/>
        <w:bottom w:val="none" w:sz="0" w:space="0" w:color="auto"/>
        <w:right w:val="none" w:sz="0" w:space="0" w:color="auto"/>
      </w:divBdr>
      <w:divsChild>
        <w:div w:id="577517933">
          <w:marLeft w:val="0"/>
          <w:marRight w:val="0"/>
          <w:marTop w:val="0"/>
          <w:marBottom w:val="0"/>
          <w:divBdr>
            <w:top w:val="none" w:sz="0" w:space="0" w:color="auto"/>
            <w:left w:val="none" w:sz="0" w:space="0" w:color="auto"/>
            <w:bottom w:val="none" w:sz="0" w:space="0" w:color="auto"/>
            <w:right w:val="none" w:sz="0" w:space="0" w:color="auto"/>
          </w:divBdr>
        </w:div>
        <w:div w:id="59024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hyperlink" Target="http://www.bce.fin.ec/" TargetMode="External"/><Relationship Id="rId6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footer" Target="footer1.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hyperlink" Target="http://www.agricultura.gob.ec/"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1.wmf"/><Relationship Id="rId72"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theme" Target="theme/theme1.xml"/><Relationship Id="rId75"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hyperlink" Target="http://data.worldbank.org/"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 Type="http://schemas.openxmlformats.org/officeDocument/2006/relationships/endnotes" Target="endnotes.xml"/><Relationship Id="rId7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47C11A40D7BAB4ABF24CC946AF85DB5" ma:contentTypeVersion="3030" ma:contentTypeDescription="A content type to manage public (operations) IDB documents" ma:contentTypeScope="" ma:versionID="c2b29204698a8dc0182889fb16b8476b">
  <xsd:schema xmlns:xsd="http://www.w3.org/2001/XMLSchema" xmlns:xs="http://www.w3.org/2001/XMLSchema" xmlns:p="http://schemas.microsoft.com/office/2006/metadata/properties" xmlns:ns2="cdc7663a-08f0-4737-9e8c-148ce897a09c" targetNamespace="http://schemas.microsoft.com/office/2006/metadata/properties" ma:root="true" ma:fieldsID="31d4f6411e33d7c1aadf295e3289719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C-L112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Abstract xmlns="cdc7663a-08f0-4737-9e8c-148ce897a09c" xsi:nil="true"/>
    <Record_x0020_Number xmlns="cdc7663a-08f0-4737-9e8c-148ce897a09c" xsi:nil="true"/>
    <Disclosure_x0020_Activity xmlns="cdc7663a-08f0-4737-9e8c-148ce897a09c">Proposal for Operation Development</Disclosure_x0020_Activity>
    <Region xmlns="cdc7663a-08f0-4737-9e8c-148ce897a09c" xsi:nil="true"/>
    <Division_x0020_or_x0020_Unit xmlns="cdc7663a-08f0-4737-9e8c-148ce897a09c">INE/RND</Division_x0020_or_x0020_Unit>
    <Other_x0020_Author xmlns="cdc7663a-08f0-4737-9e8c-148ce897a09c">nancyjc</Other_x0020_Author>
    <Key_x0020_Document xmlns="cdc7663a-08f0-4737-9e8c-148ce897a09c">false</Key_x0020_Document>
    <IDBDocs_x0020_Number xmlns="cdc7663a-08f0-4737-9e8c-148ce897a09c">37735865</IDBDocs_x0020_Number>
    <Publication_x0020_Type xmlns="cdc7663a-08f0-4737-9e8c-148ce897a09c" xsi:nil="true"/>
    <Document_x0020_Author xmlns="cdc7663a-08f0-4737-9e8c-148ce897a09c">Jesurun-Clements, Nancy</Document_x0020_Author>
    <Operation_x0020_Type xmlns="cdc7663a-08f0-4737-9e8c-148ce897a09c" xsi:nil="true"/>
    <TaxCatchAll xmlns="cdc7663a-08f0-4737-9e8c-148ce897a09c">
      <Value>32</Value>
      <Value>10</Value>
    </TaxCatchAll>
    <Issue_x0020_Date xmlns="cdc7663a-08f0-4737-9e8c-148ce897a09c" xsi:nil="true"/>
    <Fiscal_x0020_Year_x0020_IDB xmlns="cdc7663a-08f0-4737-9e8c-148ce897a09c">2013</Fiscal_x0020_Year_x0020_IDB>
    <Project_x0020_Number xmlns="cdc7663a-08f0-4737-9e8c-148ce897a09c">N/A</Project_x0020_Number>
    <Package_x0020_Code xmlns="cdc7663a-08f0-4737-9e8c-148ce897a09c" xsi:nil="true"/>
    <Migration_x0020_Info xmlns="cdc7663a-08f0-4737-9e8c-148ce897a09c">&lt;div class="ExternalClass471498AEA1384B298D58AB2C3EDB4795"&gt;MS WORDPODProposal for Operation Development0YPO-EC-L1121-Plan34254842&lt;/div&gt;</Migration_x0020_Info>
    <Approval_x0020_Number xmlns="cdc7663a-08f0-4737-9e8c-148ce897a09c" xsi:nil="true"/>
    <Business_x0020_Area xmlns="cdc7663a-08f0-4737-9e8c-148ce897a09c" xsi:nil="true"/>
    <SISCOR_x0020_Number xmlns="cdc7663a-08f0-4737-9e8c-148ce897a09c" xsi:nil="true"/>
    <Webtopic xmlns="cdc7663a-08f0-4737-9e8c-148ce897a09c">Agriculture and Rural Development;Agricultural Development;Irrigation and Drainage;Transportation</Webtopic>
    <Publishing_x0020_House xmlns="cdc7663a-08f0-4737-9e8c-148ce897a09c" xsi:nil="true"/>
    <Identifier xmlns="cdc7663a-08f0-4737-9e8c-148ce897a09c"> TECFILE</Identifier>
    <Disclosed xmlns="cdc7663a-08f0-4737-9e8c-148ce897a09c">true</Disclosed>
    <KP_x0020_Topics xmlns="cdc7663a-08f0-4737-9e8c-148ce897a09c" xsi:nil="true"/>
    <Document_x0020_Language_x0020_IDB xmlns="cdc7663a-08f0-4737-9e8c-148ce897a09c">English</Document_x0020_Language_x0020_IDB>
    <Phase xmlns="cdc7663a-08f0-4737-9e8c-148ce897a09c" xsi:nil="true"/>
    <Editor1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EZSHARE-1436703570-29095</_dlc_DocId>
    <_dlc_DocIdUrl xmlns="cdc7663a-08f0-4737-9e8c-148ce897a09c">
      <Url>https://idbg.sharepoint.com/teams/EZ-EC-LON/EC-L1121/_layouts/15/DocIdRedir.aspx?ID=EZSHARE-1436703570-29095</Url>
      <Description>EZSHARE-1436703570-29095</Description>
    </_dlc_DocIdUrl>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4AB8462B-17E2-4FBB-8B32-886F086FEB2B}"/>
</file>

<file path=customXml/itemProps2.xml><?xml version="1.0" encoding="utf-8"?>
<ds:datastoreItem xmlns:ds="http://schemas.openxmlformats.org/officeDocument/2006/customXml" ds:itemID="{F91EBA98-2EFA-4651-973F-00EF9C7AD8D0}"/>
</file>

<file path=customXml/itemProps3.xml><?xml version="1.0" encoding="utf-8"?>
<ds:datastoreItem xmlns:ds="http://schemas.openxmlformats.org/officeDocument/2006/customXml" ds:itemID="{632DECDF-913A-4958-ADCD-4AF6F50C83A7}"/>
</file>

<file path=customXml/itemProps4.xml><?xml version="1.0" encoding="utf-8"?>
<ds:datastoreItem xmlns:ds="http://schemas.openxmlformats.org/officeDocument/2006/customXml" ds:itemID="{35CB313F-EEE0-4401-A69B-D67D4056BB69}"/>
</file>

<file path=customXml/itemProps5.xml><?xml version="1.0" encoding="utf-8"?>
<ds:datastoreItem xmlns:ds="http://schemas.openxmlformats.org/officeDocument/2006/customXml" ds:itemID="{7BDFF94B-E7F0-4629-AAD7-FBC0792E3F40}"/>
</file>

<file path=customXml/itemProps6.xml><?xml version="1.0" encoding="utf-8"?>
<ds:datastoreItem xmlns:ds="http://schemas.openxmlformats.org/officeDocument/2006/customXml" ds:itemID="{A3B7096D-340B-40CF-B073-6CDB07803309}"/>
</file>

<file path=docProps/app.xml><?xml version="1.0" encoding="utf-8"?>
<Properties xmlns="http://schemas.openxmlformats.org/officeDocument/2006/extended-properties" xmlns:vt="http://schemas.openxmlformats.org/officeDocument/2006/docPropsVTypes">
  <Template>Normal</Template>
  <TotalTime>3</TotalTime>
  <Pages>22</Pages>
  <Words>7710</Words>
  <Characters>43953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PIDD Impact Evaluation Plan</vt:lpstr>
    </vt:vector>
  </TitlesOfParts>
  <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Evaluación de Impacto - EC-L1121</dc:title>
  <dc:creator>Eric Simning</dc:creator>
  <cp:keywords/>
  <cp:lastModifiedBy>Inter-American Development Bank</cp:lastModifiedBy>
  <cp:revision>2</cp:revision>
  <cp:lastPrinted>2013-04-24T21:10:00Z</cp:lastPrinted>
  <dcterms:created xsi:type="dcterms:W3CDTF">2013-05-15T21:08:00Z</dcterms:created>
  <dcterms:modified xsi:type="dcterms:W3CDTF">2013-05-15T21:08:00Z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0x0101001A458A224826124E8B45B1D613300CFC00947C11A40D7BAB4ABF24CC946AF85DB5</vt:lpwstr>
  </property>
  <property fmtid="{D5CDD505-2E9C-101B-9397-08002B2CF9AE}" pid="5" name="Series Operations IDB">
    <vt:lpwstr/>
  </property>
  <property fmtid="{D5CDD505-2E9C-101B-9397-08002B2CF9AE}" pid="6" name="Sub-Sector">
    <vt:lpwstr/>
  </property>
  <property fmtid="{D5CDD505-2E9C-101B-9397-08002B2CF9AE}" pid="7" name="Country">
    <vt:lpwstr>32;#Ecuador|8f163189-00fa-4e7c-827d-28fb5798781c</vt:lpwstr>
  </property>
  <property fmtid="{D5CDD505-2E9C-101B-9397-08002B2CF9AE}" pid="8" name="Fund IDB">
    <vt:lpwstr/>
  </property>
  <property fmtid="{D5CDD505-2E9C-101B-9397-08002B2CF9AE}" pid="9" name="Series_x0020_Operations_x0020_IDB">
    <vt:lpwstr/>
  </property>
  <property fmtid="{D5CDD505-2E9C-101B-9397-08002B2CF9AE}" pid="10" name="To:">
    <vt:lpwstr/>
  </property>
  <property fmtid="{D5CDD505-2E9C-101B-9397-08002B2CF9AE}" pid="11" name="From:">
    <vt:lpwstr>nancyjc</vt:lpwstr>
  </property>
  <property fmtid="{D5CDD505-2E9C-101B-9397-08002B2CF9AE}" pid="12" name="Sector IDB">
    <vt:lpwstr/>
  </property>
  <property fmtid="{D5CDD505-2E9C-101B-9397-08002B2CF9AE}" pid="13" name="Function Operations IDB">
    <vt:lpwstr>10;#IDBDocs|cca77002-e150-4b2d-ab1f-1d7a7cdcae16</vt:lpwstr>
  </property>
  <property fmtid="{D5CDD505-2E9C-101B-9397-08002B2CF9AE}" pid="14" name="TaxKeywordTaxHTField">
    <vt:lpwstr/>
  </property>
  <property fmtid="{D5CDD505-2E9C-101B-9397-08002B2CF9AE}" pid="15" name="_dlc_DocIdItemGuid">
    <vt:lpwstr>dce0a0e9-8820-443d-8abe-33125bae9c2e</vt:lpwstr>
  </property>
</Properties>
</file>