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0" w:rsidRDefault="000D27F0" w:rsidP="000D27F0">
      <w:pPr>
        <w:spacing w:after="0" w:line="264" w:lineRule="auto"/>
        <w:jc w:val="center"/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</w:pPr>
      <w:bookmarkStart w:id="0" w:name="_Toc321388673"/>
      <w:bookmarkStart w:id="1" w:name="_Toc321390496"/>
    </w:p>
    <w:p w:rsidR="000D27F0" w:rsidRDefault="000D27F0" w:rsidP="000D27F0">
      <w:pPr>
        <w:spacing w:after="0" w:line="264" w:lineRule="auto"/>
        <w:jc w:val="center"/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</w:pPr>
    </w:p>
    <w:p w:rsidR="00D20739" w:rsidRDefault="00D20739" w:rsidP="000D27F0">
      <w:pPr>
        <w:spacing w:after="0" w:line="264" w:lineRule="auto"/>
        <w:jc w:val="center"/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</w:pPr>
    </w:p>
    <w:p w:rsidR="000D27F0" w:rsidRDefault="000D27F0" w:rsidP="000D27F0">
      <w:pPr>
        <w:spacing w:after="0" w:line="264" w:lineRule="auto"/>
        <w:jc w:val="center"/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</w:pPr>
      <w:bookmarkStart w:id="2" w:name="_GoBack"/>
      <w:bookmarkEnd w:id="2"/>
      <w:r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  <w:t>PROVINCIA DE CHIMBORAZO</w:t>
      </w:r>
      <w:r w:rsidR="00691AE7"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  <w:t xml:space="preserve"> </w:t>
      </w:r>
    </w:p>
    <w:p w:rsidR="00FF5752" w:rsidRPr="00FF5752" w:rsidRDefault="00FF5752" w:rsidP="000D27F0">
      <w:pPr>
        <w:spacing w:after="0" w:line="264" w:lineRule="auto"/>
        <w:jc w:val="center"/>
        <w:rPr>
          <w:rFonts w:ascii="Tw Cen MT" w:eastAsia="Times New Roman" w:hAnsi="Tw Cen MT" w:cs="Times New Roman"/>
          <w:b/>
          <w:bCs/>
          <w:caps/>
          <w:sz w:val="24"/>
          <w:szCs w:val="24"/>
          <w:lang w:val="es-ES"/>
        </w:rPr>
      </w:pPr>
      <w:r w:rsidRPr="00FF5752"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  <w:t>Rendimiento de los principales cultivos</w:t>
      </w:r>
      <w:bookmarkEnd w:id="0"/>
      <w:bookmarkEnd w:id="1"/>
      <w:r w:rsidR="00691AE7">
        <w:rPr>
          <w:rFonts w:ascii="Tw Cen MT" w:eastAsia="Times New Roman" w:hAnsi="Tw Cen MT" w:cs="Tw Cen MT"/>
          <w:b/>
          <w:bCs/>
          <w:caps/>
          <w:sz w:val="24"/>
          <w:szCs w:val="24"/>
          <w:lang w:val="es-ES"/>
        </w:rPr>
        <w:t xml:space="preserve"> Vs. NACIONAL</w:t>
      </w:r>
    </w:p>
    <w:tbl>
      <w:tblPr>
        <w:tblW w:w="4197" w:type="pct"/>
        <w:jc w:val="center"/>
        <w:tblLook w:val="00A0" w:firstRow="1" w:lastRow="0" w:firstColumn="1" w:lastColumn="0" w:noHBand="0" w:noVBand="0"/>
      </w:tblPr>
      <w:tblGrid>
        <w:gridCol w:w="2922"/>
        <w:gridCol w:w="2484"/>
        <w:gridCol w:w="2632"/>
      </w:tblGrid>
      <w:tr w:rsidR="00FF5752" w:rsidRPr="00691AE7" w:rsidTr="00F8405F">
        <w:trPr>
          <w:trHeight w:val="473"/>
          <w:jc w:val="center"/>
        </w:trPr>
        <w:tc>
          <w:tcPr>
            <w:tcW w:w="1818" w:type="pct"/>
            <w:vMerge w:val="restart"/>
            <w:tcBorders>
              <w:bottom w:val="single" w:sz="12" w:space="0" w:color="FFFFFF"/>
            </w:tcBorders>
            <w:shd w:val="clear" w:color="auto" w:fill="C46024"/>
            <w:vAlign w:val="center"/>
          </w:tcPr>
          <w:p w:rsidR="00FF5752" w:rsidRPr="00FF5752" w:rsidRDefault="00FF5752" w:rsidP="00FF5752">
            <w:pPr>
              <w:spacing w:after="0" w:line="240" w:lineRule="auto"/>
              <w:jc w:val="center"/>
              <w:rPr>
                <w:rFonts w:ascii="Tw Cen MT" w:eastAsia="Times New Roman" w:hAnsi="Tw Cen MT" w:cs="Tw Cen MT"/>
                <w:b/>
                <w:bCs/>
                <w:color w:val="FFFFFF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FFFFFF"/>
                <w:sz w:val="20"/>
                <w:szCs w:val="20"/>
                <w:lang w:val="es-EC"/>
              </w:rPr>
              <w:t>PRODUCTO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46024"/>
            <w:vAlign w:val="center"/>
          </w:tcPr>
          <w:p w:rsidR="00FF5752" w:rsidRPr="00FF5752" w:rsidRDefault="00FF5752" w:rsidP="00FF5752">
            <w:pPr>
              <w:spacing w:after="0" w:line="240" w:lineRule="auto"/>
              <w:jc w:val="center"/>
              <w:rPr>
                <w:rFonts w:ascii="Tw Cen MT" w:eastAsia="Times New Roman" w:hAnsi="Tw Cen MT" w:cs="Tw Cen MT"/>
                <w:b/>
                <w:bCs/>
                <w:color w:val="FFFFFF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FFFFFF"/>
                <w:sz w:val="20"/>
                <w:szCs w:val="20"/>
                <w:lang w:val="es-EC"/>
              </w:rPr>
              <w:t>PROMEDIO</w:t>
            </w:r>
          </w:p>
        </w:tc>
      </w:tr>
      <w:tr w:rsidR="00FF5752" w:rsidRPr="00691AE7" w:rsidTr="00F8405F">
        <w:trPr>
          <w:trHeight w:val="20"/>
          <w:jc w:val="center"/>
        </w:trPr>
        <w:tc>
          <w:tcPr>
            <w:tcW w:w="1818" w:type="pct"/>
            <w:vMerge/>
            <w:tcBorders>
              <w:bottom w:val="single" w:sz="4" w:space="0" w:color="auto"/>
            </w:tcBorders>
            <w:shd w:val="clear" w:color="auto" w:fill="E9F0F6"/>
            <w:vAlign w:val="center"/>
          </w:tcPr>
          <w:p w:rsidR="00FF5752" w:rsidRPr="00FF5752" w:rsidRDefault="00FF5752" w:rsidP="00FF57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15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>Chimborazo</w:t>
            </w:r>
          </w:p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>(TM/Ha)</w:t>
            </w: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E9F0F6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>Nacional</w:t>
            </w:r>
          </w:p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>(Tm/Ha)</w:t>
            </w:r>
          </w:p>
        </w:tc>
      </w:tr>
      <w:tr w:rsidR="00FF5752" w:rsidRPr="00691AE7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F4F7FA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Papa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2,97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F4F7FA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5,63</w:t>
            </w:r>
          </w:p>
        </w:tc>
      </w:tr>
      <w:tr w:rsidR="00FF5752" w:rsidRPr="00691AE7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E9F0F6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Cebada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0,50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E9F0F6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0,56</w:t>
            </w:r>
          </w:p>
        </w:tc>
      </w:tr>
      <w:tr w:rsidR="00FF5752" w:rsidRPr="00691AE7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F4F7FA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Zanahoria Amarilla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6,52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F4F7FA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6,58</w:t>
            </w:r>
          </w:p>
        </w:tc>
      </w:tr>
      <w:tr w:rsidR="00FF5752" w:rsidRPr="00FF5752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E9F0F6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Cebolla Colorada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5,04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E9F0F6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6,84</w:t>
            </w:r>
          </w:p>
        </w:tc>
      </w:tr>
      <w:tr w:rsidR="00FF5752" w:rsidRPr="00FF5752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F4F7FA"/>
          </w:tcPr>
          <w:p w:rsidR="00FF5752" w:rsidRPr="00FF5752" w:rsidRDefault="00691AE7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>Maíz</w:t>
            </w:r>
            <w:r w:rsidR="00FF5752"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 suave seco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0,35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F4F7FA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0,50</w:t>
            </w:r>
          </w:p>
        </w:tc>
      </w:tr>
      <w:tr w:rsidR="00FF5752" w:rsidRPr="00FF5752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E9F0F6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Haba tierna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1,64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E9F0F6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1,38</w:t>
            </w:r>
          </w:p>
        </w:tc>
      </w:tr>
      <w:tr w:rsidR="00FF5752" w:rsidRPr="00FF5752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F4F7FA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Haba seca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0,43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F4F7FA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0,21</w:t>
            </w:r>
          </w:p>
        </w:tc>
      </w:tr>
      <w:tr w:rsidR="00FF5752" w:rsidRPr="00FF5752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E9F0F6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Frejol seco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0,33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E9F0F6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0,20</w:t>
            </w:r>
          </w:p>
        </w:tc>
      </w:tr>
      <w:tr w:rsidR="00FF5752" w:rsidRPr="00FF5752" w:rsidTr="00F8405F">
        <w:trPr>
          <w:trHeight w:val="20"/>
          <w:jc w:val="center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F4F7FA"/>
          </w:tcPr>
          <w:p w:rsidR="00FF5752" w:rsidRPr="00FF5752" w:rsidRDefault="00FF5752" w:rsidP="00FF5752">
            <w:pPr>
              <w:spacing w:after="180" w:line="240" w:lineRule="auto"/>
              <w:jc w:val="both"/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b/>
                <w:bCs/>
                <w:color w:val="000000"/>
                <w:sz w:val="20"/>
                <w:szCs w:val="20"/>
                <w:lang w:val="es-EC"/>
              </w:rPr>
              <w:t xml:space="preserve">Trigo 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CF4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0,39</w:t>
            </w:r>
          </w:p>
        </w:tc>
        <w:tc>
          <w:tcPr>
            <w:tcW w:w="1637" w:type="pct"/>
            <w:tcBorders>
              <w:left w:val="single" w:sz="4" w:space="0" w:color="auto"/>
            </w:tcBorders>
            <w:shd w:val="clear" w:color="auto" w:fill="F4F7FA"/>
            <w:vAlign w:val="center"/>
          </w:tcPr>
          <w:p w:rsidR="00FF5752" w:rsidRPr="00FF5752" w:rsidRDefault="00FF5752" w:rsidP="00FF5752">
            <w:pPr>
              <w:spacing w:after="180" w:line="240" w:lineRule="auto"/>
              <w:jc w:val="center"/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</w:pPr>
            <w:r w:rsidRPr="00FF5752">
              <w:rPr>
                <w:rFonts w:ascii="Tw Cen MT" w:eastAsia="Times New Roman" w:hAnsi="Tw Cen MT" w:cs="Tw Cen MT"/>
                <w:color w:val="000000"/>
                <w:sz w:val="20"/>
                <w:szCs w:val="20"/>
                <w:lang w:val="es-EC"/>
              </w:rPr>
              <w:t>0,62</w:t>
            </w:r>
          </w:p>
        </w:tc>
      </w:tr>
    </w:tbl>
    <w:p w:rsidR="00FF5752" w:rsidRPr="00FF5752" w:rsidRDefault="00FF5752" w:rsidP="00FF5752">
      <w:pPr>
        <w:spacing w:after="0" w:line="240" w:lineRule="auto"/>
        <w:ind w:left="851"/>
        <w:jc w:val="both"/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</w:pPr>
      <w:r w:rsidRPr="00FF5752"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  <w:t xml:space="preserve">Fuente: </w:t>
      </w:r>
      <w:r w:rsidRPr="00FF5752"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_tradnl" w:eastAsia="es-ES"/>
        </w:rPr>
        <w:t>Plan de Desarrollo y Ordenamiento Territorial de Chimborazo 2012 (</w:t>
      </w:r>
      <w:r w:rsidRPr="00FF5752"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  <w:t>PDOT</w:t>
      </w:r>
      <w:r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  <w:t>)</w:t>
      </w:r>
      <w:r w:rsidRPr="00FF5752"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  <w:t xml:space="preserve"> Chimborazo 2011.</w:t>
      </w:r>
    </w:p>
    <w:p w:rsidR="00FF5752" w:rsidRPr="00FF5752" w:rsidRDefault="00FF5752" w:rsidP="00FF5752">
      <w:pPr>
        <w:spacing w:after="0" w:line="240" w:lineRule="auto"/>
        <w:ind w:left="851"/>
        <w:jc w:val="both"/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</w:pPr>
      <w:r w:rsidRPr="00FF5752"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  <w:t>Elaborado por: Equipo Consultor</w:t>
      </w:r>
    </w:p>
    <w:p w:rsidR="00FF5752" w:rsidRPr="00FF5752" w:rsidRDefault="00FF5752" w:rsidP="00FF5752">
      <w:pPr>
        <w:spacing w:after="0" w:line="240" w:lineRule="auto"/>
        <w:ind w:left="851"/>
        <w:jc w:val="both"/>
        <w:rPr>
          <w:rFonts w:ascii="Tw Cen MT" w:eastAsia="Times New Roman" w:hAnsi="Tw Cen MT" w:cs="Tw Cen MT"/>
          <w:i/>
          <w:iCs/>
          <w:smallCaps/>
          <w:color w:val="775F55"/>
          <w:spacing w:val="6"/>
          <w:sz w:val="24"/>
          <w:szCs w:val="24"/>
          <w:lang w:val="es-ES" w:eastAsia="es-ES"/>
        </w:rPr>
      </w:pPr>
    </w:p>
    <w:p w:rsidR="00524E4E" w:rsidRDefault="00524E4E"/>
    <w:sectPr w:rsidR="0052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52"/>
    <w:rsid w:val="00067840"/>
    <w:rsid w:val="000D27F0"/>
    <w:rsid w:val="00141E9C"/>
    <w:rsid w:val="001B1A79"/>
    <w:rsid w:val="00292890"/>
    <w:rsid w:val="0031663E"/>
    <w:rsid w:val="003D3C98"/>
    <w:rsid w:val="0042327C"/>
    <w:rsid w:val="00524E4E"/>
    <w:rsid w:val="00691AE7"/>
    <w:rsid w:val="00842667"/>
    <w:rsid w:val="008A042B"/>
    <w:rsid w:val="00937B9C"/>
    <w:rsid w:val="00987080"/>
    <w:rsid w:val="00A12852"/>
    <w:rsid w:val="00A57073"/>
    <w:rsid w:val="00AA454C"/>
    <w:rsid w:val="00AF1C3D"/>
    <w:rsid w:val="00D20739"/>
    <w:rsid w:val="00D40C53"/>
    <w:rsid w:val="00DC77F6"/>
    <w:rsid w:val="00E672C2"/>
    <w:rsid w:val="00F04434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37715912</IDBDocs_x0020_Number>
    <TaxCatchAll xmlns="9c571b2f-e523-4ab2-ba2e-09e151a03ef4">
      <Value>5</Value>
      <Value>10</Value>
    </TaxCatchAll>
    <Phase xmlns="9c571b2f-e523-4ab2-ba2e-09e151a03ef4" xsi:nil="true"/>
    <SISCOR_x0020_Number xmlns="9c571b2f-e523-4ab2-ba2e-09e151a03ef4" xsi:nil="true"/>
    <Division_x0020_or_x0020_Unit xmlns="9c571b2f-e523-4ab2-ba2e-09e151a03ef4">INE/RND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Jesurun-Clements, Nancy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EC-L1121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WORD&lt;/APPLICATION&gt;&lt;USER_STAGE&gt;Proposal for Operation Development&lt;/USER_STAGE&gt;&lt;PD_OBJ_TYPE&gt;0&lt;/PD_OBJ_TYPE&gt;&lt;MAKERECORD&gt;Y&lt;/MAKERECORD&gt;&lt;PD_FILEPT_NO&gt;PO-EC-L1121-Plan&lt;/PD_FILEPT_NO&gt;&lt;/Data&gt;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Proposal for Operation Development</Disclosure_x0020_Activity>
    <Webtopic xmlns="9c571b2f-e523-4ab2-ba2e-09e151a03ef4">AG-ADR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33A87EB38332DC4B9F3D4E27D9CEDF41" ma:contentTypeVersion="0" ma:contentTypeDescription="A content type to manage public (operations) IDB documents" ma:contentTypeScope="" ma:versionID="c9dfb65aa2cc0d93cff2e4549e35abc4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45da323492fbefc348bae8ba3d48cd8f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d045b0c-8341-4af3-9263-b3f75b940832}" ma:internalName="TaxCatchAll" ma:showField="CatchAllData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d045b0c-8341-4af3-9263-b3f75b940832}" ma:internalName="TaxCatchAllLabel" ma:readOnly="true" ma:showField="CatchAllDataLabel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8F76A-079E-47B1-8755-4D81F67776DD}"/>
</file>

<file path=customXml/itemProps2.xml><?xml version="1.0" encoding="utf-8"?>
<ds:datastoreItem xmlns:ds="http://schemas.openxmlformats.org/officeDocument/2006/customXml" ds:itemID="{92A88483-D572-48D6-B9E3-E48771CF7102}"/>
</file>

<file path=customXml/itemProps3.xml><?xml version="1.0" encoding="utf-8"?>
<ds:datastoreItem xmlns:ds="http://schemas.openxmlformats.org/officeDocument/2006/customXml" ds:itemID="{EEEFBDA4-A409-4E29-9E9C-641E5A4C0DCF}"/>
</file>

<file path=customXml/itemProps4.xml><?xml version="1.0" encoding="utf-8"?>
<ds:datastoreItem xmlns:ds="http://schemas.openxmlformats.org/officeDocument/2006/customXml" ds:itemID="{A45AB5F8-B9A0-4B2F-BD8B-A6DBECBBF3A7}"/>
</file>

<file path=customXml/itemProps5.xml><?xml version="1.0" encoding="utf-8"?>
<ds:datastoreItem xmlns:ds="http://schemas.openxmlformats.org/officeDocument/2006/customXml" ds:itemID="{A0322E44-E09C-4335-8AC7-352A4E545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Inter-American Development Bank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RENDIMIENTO DE LOS PRINCIPALES CULTIVOS_ CHIMBORAZO Vs_ NACIONAL</dc:title>
  <dc:creator>Inter-American Development Bank</dc:creator>
  <cp:lastModifiedBy>Inter-American Development Bank</cp:lastModifiedBy>
  <cp:revision>2</cp:revision>
  <dcterms:created xsi:type="dcterms:W3CDTF">2013-04-17T20:09:00Z</dcterms:created>
  <dcterms:modified xsi:type="dcterms:W3CDTF">2013-04-17T20:09:00Z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0x01010046CF21643EE8D14686A648AA6DAD08920033A87EB38332DC4B9F3D4E27D9CEDF41</vt:lpwstr>
  </property>
  <property fmtid="{D5CDD505-2E9C-101B-9397-08002B2CF9AE}" pid="3" name="TaxKeyword">
    <vt:lpwstr/>
  </property>
  <property fmtid="{D5CDD505-2E9C-101B-9397-08002B2CF9AE}" pid="4" name="Function Operations IDB">
    <vt:lpwstr>5;#Project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10;#Project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10;#Project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