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71" w:rsidRDefault="003D6D71" w:rsidP="003D6D71">
      <w:bookmarkStart w:id="0" w:name="_GoBack"/>
      <w:bookmarkEnd w:id="0"/>
    </w:p>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3D6D71" w:rsidTr="008423DF">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5B1EB8" w:rsidRDefault="003D6D71" w:rsidP="006B6653">
            <w:pPr>
              <w:spacing w:after="240"/>
              <w:jc w:val="center"/>
              <w:rPr>
                <w:rFonts w:ascii="Arial" w:hAnsi="Arial" w:cs="Arial"/>
                <w:b/>
                <w:bCs/>
                <w:sz w:val="28"/>
                <w:szCs w:val="28"/>
              </w:rPr>
            </w:pPr>
            <w:r>
              <w:rPr>
                <w:rFonts w:ascii="Arial" w:hAnsi="Arial" w:cs="Arial"/>
                <w:b/>
                <w:bCs/>
                <w:sz w:val="28"/>
                <w:szCs w:val="28"/>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8"/>
              <w:gridCol w:w="3275"/>
              <w:gridCol w:w="4277"/>
            </w:tblGrid>
            <w:tr w:rsidR="003D6D71" w:rsidTr="00DB71CC">
              <w:tc>
                <w:tcPr>
                  <w:tcW w:w="1469"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jc w:val="center"/>
                    <w:rPr>
                      <w:rFonts w:ascii="Arial" w:hAnsi="Arial" w:cs="Arial"/>
                      <w:b/>
                      <w:bCs/>
                      <w:sz w:val="20"/>
                      <w:szCs w:val="20"/>
                    </w:rPr>
                  </w:pPr>
                  <w:r>
                    <w:rPr>
                      <w:rFonts w:ascii="Arial" w:hAnsi="Arial" w:cs="Arial"/>
                      <w:b/>
                      <w:bCs/>
                      <w:sz w:val="20"/>
                      <w:szCs w:val="20"/>
                    </w:rPr>
                    <w:t>PROJECT DETAILS</w:t>
                  </w:r>
                </w:p>
              </w:tc>
              <w:tc>
                <w:tcPr>
                  <w:tcW w:w="3226"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IDB Sector</w:t>
                  </w:r>
                </w:p>
              </w:tc>
              <w:tc>
                <w:tcPr>
                  <w:tcW w:w="43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SUSTAINABLE TOURISM-DEVELOPMENT TOURISM DESTINATION &amp; PRODUCT MANAGEMENT</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Investment Loan</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Generic Checklist</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Velasco, M. Mercedes (MVELASCO@iadb.org)</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National Tourism Program -- </w:t>
                  </w:r>
                  <w:proofErr w:type="spellStart"/>
                  <w:r>
                    <w:rPr>
                      <w:rFonts w:ascii="Arial" w:hAnsi="Arial" w:cs="Arial"/>
                      <w:sz w:val="20"/>
                      <w:szCs w:val="20"/>
                    </w:rPr>
                    <w:t>Sergipe</w:t>
                  </w:r>
                  <w:proofErr w:type="spellEnd"/>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BR-L1256</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Levy, Denise Urias (DENISEL@iadb.org)</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2012-05-08</w:t>
                  </w:r>
                </w:p>
              </w:tc>
            </w:tr>
            <w:tr w:rsidR="003D6D71" w:rsidTr="005B1EB8">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sz w:val="20"/>
                      <w:szCs w:val="20"/>
                    </w:rPr>
                  </w:pPr>
                </w:p>
              </w:tc>
            </w:tr>
          </w:tbl>
          <w:p w:rsidR="003D6D71" w:rsidRDefault="003D6D71" w:rsidP="008423DF">
            <w:pPr>
              <w:spacing w:after="240"/>
              <w:rPr>
                <w:rFonts w:ascii="Arial"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4"/>
              <w:gridCol w:w="1976"/>
              <w:gridCol w:w="3132"/>
              <w:gridCol w:w="2408"/>
            </w:tblGrid>
            <w:tr w:rsidR="003D6D71" w:rsidTr="008423DF">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jc w:val="center"/>
                    <w:rPr>
                      <w:rFonts w:ascii="Arial" w:hAnsi="Arial" w:cs="Arial"/>
                      <w:b/>
                      <w:bCs/>
                      <w:sz w:val="20"/>
                      <w:szCs w:val="20"/>
                    </w:rPr>
                  </w:pPr>
                  <w:r>
                    <w:rPr>
                      <w:rFonts w:ascii="Arial" w:hAnsi="Arial" w:cs="Arial"/>
                      <w:b/>
                      <w:bCs/>
                      <w:sz w:val="20"/>
                      <w:szCs w:val="20"/>
                    </w:rPr>
                    <w:t>SAFEGUARD POLICY FILTER RESULTS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Loan Operation</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Safeguard Policy Items</w:t>
                  </w:r>
                  <w:r>
                    <w:rPr>
                      <w:rFonts w:ascii="Arial" w:hAnsi="Arial" w:cs="Arial"/>
                      <w:b/>
                      <w:bCs/>
                      <w:sz w:val="20"/>
                      <w:szCs w:val="20"/>
                    </w:rPr>
                    <w:br/>
                    <w:t xml:space="preserve">Identified </w:t>
                  </w:r>
                  <w:r>
                    <w:rPr>
                      <w:rFonts w:ascii="Arial"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Does this project offer opportunities for indigenous peoples through its project components?</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(B.01) Indigenous People Policy– OP-765</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Activities to be financed in the project area are located within a geographical area or sector exposed to natural hazards (Type 1 Disaster Risk Scenario).</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(B.01) Disaster Risk Management Policy– OP-704</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The Bank will make available to the public the relevant Project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(B.01) Access to Information Policy– OP-102</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Does this project offer opportunities to promote </w:t>
                  </w:r>
                  <w:hyperlink r:id="rId7" w:history="1">
                    <w:r>
                      <w:rPr>
                        <w:rStyle w:val="Hyperlink"/>
                        <w:rFonts w:ascii="Arial" w:hAnsi="Arial" w:cs="Arial"/>
                        <w:sz w:val="20"/>
                        <w:szCs w:val="20"/>
                      </w:rPr>
                      <w:t>gender equality</w:t>
                    </w:r>
                  </w:hyperlink>
                  <w:r>
                    <w:rPr>
                      <w:rFonts w:ascii="Arial" w:hAnsi="Arial" w:cs="Arial"/>
                      <w:sz w:val="20"/>
                      <w:szCs w:val="20"/>
                    </w:rPr>
                    <w:t xml:space="preserve"> or </w:t>
                  </w:r>
                  <w:hyperlink r:id="rId8" w:history="1">
                    <w:r>
                      <w:rPr>
                        <w:rStyle w:val="Hyperlink"/>
                        <w:rFonts w:ascii="Arial" w:hAnsi="Arial" w:cs="Arial"/>
                        <w:sz w:val="20"/>
                        <w:szCs w:val="20"/>
                      </w:rPr>
                      <w:t>women's empowerment</w:t>
                    </w:r>
                  </w:hyperlink>
                  <w:r>
                    <w:rPr>
                      <w:rFonts w:ascii="Arial" w:hAnsi="Arial" w:cs="Arial"/>
                      <w:sz w:val="20"/>
                      <w:szCs w:val="20"/>
                    </w:rPr>
                    <w:t xml:space="preserve"> through its project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(B.01) Gender Equality Policy– OP-270</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The operation is in compliance with environmental, specific women’s rights, gender, and indigenous laws and regulations of the country where the operation is being implemented (including national obligations established under ratified </w:t>
                  </w:r>
                  <w:r>
                    <w:rPr>
                      <w:rFonts w:ascii="Arial" w:hAnsi="Arial" w:cs="Arial"/>
                      <w:sz w:val="20"/>
                      <w:szCs w:val="20"/>
                    </w:rPr>
                    <w:lastRenderedPageBreak/>
                    <w:t>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lastRenderedPageBreak/>
                    <w:t>(B.02)</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(B.03)</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The Borrower/Executing Agency exhibits weak institutional capacity for managing environmental and social issues.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(B.04)</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The operation may be of higher risk due to controversial environmental and associated social issues or liabilities.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(B.04)</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An Environmental Assessment is required.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(B.05)</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Consultations with affected parties will be performed equitably and inclusively with the views of all stakeholders taken into account, including in particular: (a) equal participation of women and men, (b) socio-culturally appropriate participation of indigenous peoples and (c) mechanisms for equitable participation by vulnerable groups. </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(B.06)</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(B.07)</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Environmental or culturally sensitive areas, defined in the Policy as critical natural habitats or critical cultural sites in project area of influence (please refer to the </w:t>
                  </w:r>
                  <w:hyperlink r:id="rId9" w:tgtFrame="_blank" w:history="1">
                    <w:r>
                      <w:rPr>
                        <w:rStyle w:val="Hyperlink"/>
                        <w:rFonts w:ascii="Arial" w:hAnsi="Arial" w:cs="Arial"/>
                        <w:sz w:val="20"/>
                        <w:szCs w:val="20"/>
                      </w:rPr>
                      <w:t>Integrated Biodiversity Assessment Tool</w:t>
                    </w:r>
                  </w:hyperlink>
                  <w:r>
                    <w:rPr>
                      <w:rFonts w:ascii="Arial" w:hAnsi="Arial" w:cs="Arial"/>
                      <w:sz w:val="20"/>
                      <w:szCs w:val="20"/>
                    </w:rPr>
                    <w:t xml:space="preserve"> for more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(B.09)</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 xml:space="preserve">The operation has the potential </w:t>
                  </w:r>
                  <w:r>
                    <w:rPr>
                      <w:rFonts w:ascii="Arial" w:hAnsi="Arial" w:cs="Arial"/>
                      <w:sz w:val="20"/>
                      <w:szCs w:val="20"/>
                    </w:rPr>
                    <w:lastRenderedPageBreak/>
                    <w:t>to pollute the environment (e.g. air, soil, water, greenhouse gases...).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lastRenderedPageBreak/>
                    <w:t>(B.11)</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color w:val="0000FF"/>
                      <w:sz w:val="20"/>
                      <w:szCs w:val="20"/>
                    </w:rPr>
                  </w:pPr>
                  <w:r>
                    <w:rPr>
                      <w:rFonts w:ascii="Arial" w:hAnsi="Arial" w:cs="Arial"/>
                      <w:color w:val="0000FF"/>
                      <w:sz w:val="20"/>
                      <w:szCs w:val="20"/>
                    </w:rPr>
                    <w:t>(B.17)</w:t>
                  </w: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Potential Safeguard Policy</w:t>
                  </w:r>
                  <w:r>
                    <w:rPr>
                      <w:rFonts w:ascii="Arial" w:hAnsi="Arial" w:cs="Arial"/>
                      <w:b/>
                      <w:bCs/>
                      <w:sz w:val="20"/>
                      <w:szCs w:val="20"/>
                    </w:rPr>
                    <w:br/>
                  </w:r>
                  <w:proofErr w:type="gramStart"/>
                  <w:r>
                    <w:rPr>
                      <w:rFonts w:ascii="Arial" w:hAnsi="Arial" w:cs="Arial"/>
                      <w:b/>
                      <w:bCs/>
                      <w:sz w:val="20"/>
                      <w:szCs w:val="20"/>
                    </w:rPr>
                    <w:t>Items</w:t>
                  </w:r>
                  <w:r>
                    <w:rPr>
                      <w:rFonts w:ascii="Arial" w:hAnsi="Arial" w:cs="Arial"/>
                      <w:b/>
                      <w:bCs/>
                      <w:color w:val="FF0000"/>
                      <w:sz w:val="20"/>
                      <w:szCs w:val="20"/>
                    </w:rPr>
                    <w:t>(</w:t>
                  </w:r>
                  <w:proofErr w:type="gramEnd"/>
                  <w:r>
                    <w:rPr>
                      <w:rFonts w:ascii="Arial"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3D6D71" w:rsidRDefault="003D6D71" w:rsidP="008423DF">
                  <w:pPr>
                    <w:spacing w:after="240"/>
                    <w:rPr>
                      <w:rFonts w:ascii="Arial" w:hAnsi="Arial" w:cs="Arial"/>
                      <w:sz w:val="20"/>
                      <w:szCs w:val="20"/>
                    </w:rPr>
                  </w:pPr>
                  <w:r>
                    <w:rPr>
                      <w:rFonts w:ascii="Arial"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p>
              </w:tc>
            </w:tr>
            <w:tr w:rsidR="003D6D71"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spacing w:after="240"/>
                    <w:rPr>
                      <w:rFonts w:ascii="Arial" w:hAnsi="Arial" w:cs="Arial"/>
                      <w:sz w:val="20"/>
                      <w:szCs w:val="20"/>
                    </w:rPr>
                  </w:pPr>
                  <w:r>
                    <w:rPr>
                      <w:rFonts w:ascii="Arial" w:hAnsi="Arial" w:cs="Arial"/>
                      <w:sz w:val="20"/>
                      <w:szCs w:val="20"/>
                    </w:rPr>
                    <w:t>Operation has triggered 1 or more Policy Directives; please refer to appropriate Directive(s). Complete Project Classification Tool. Submit Safeguard Policy Filter Report, PP (or equivalent) and Safeguard Screening Form to ESR.</w:t>
                  </w:r>
                  <w:r>
                    <w:rPr>
                      <w:rFonts w:ascii="Arial" w:hAnsi="Arial" w:cs="Arial"/>
                      <w:sz w:val="20"/>
                      <w:szCs w:val="20"/>
                    </w:rPr>
                    <w:br/>
                  </w:r>
                  <w:r>
                    <w:rPr>
                      <w:rFonts w:ascii="Arial" w:hAnsi="Arial" w:cs="Arial"/>
                      <w:sz w:val="20"/>
                      <w:szCs w:val="20"/>
                    </w:rPr>
                    <w:br/>
                    <w:t>The project triggered the Disaster Risk Management policy (OP-704).</w:t>
                  </w:r>
                  <w:r>
                    <w:rPr>
                      <w:rFonts w:ascii="Arial" w:hAnsi="Arial" w:cs="Arial"/>
                      <w:sz w:val="20"/>
                      <w:szCs w:val="20"/>
                    </w:rPr>
                    <w:br/>
                  </w:r>
                  <w:r>
                    <w:rPr>
                      <w:rFonts w:ascii="Arial" w:hAnsi="Arial" w:cs="Arial"/>
                      <w:sz w:val="20"/>
                      <w:szCs w:val="20"/>
                    </w:rPr>
                    <w:br/>
                    <w:t>A more limited and specific Disaster Risk Assessment (DRA) may be required (see Directive A-2 of the DRM Policy OP-704). Please contact a Natural Disaster Specialist in VPS/ESG or INE/RND for guidance.</w:t>
                  </w:r>
                </w:p>
              </w:tc>
            </w:tr>
            <w:tr w:rsidR="003D6D71" w:rsidTr="005B1EB8">
              <w:trPr>
                <w:trHeight w:val="9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sz w:val="20"/>
                      <w:szCs w:val="20"/>
                    </w:rPr>
                  </w:pPr>
                </w:p>
              </w:tc>
            </w:tr>
          </w:tbl>
          <w:p w:rsidR="003D6D71" w:rsidRDefault="003D6D71" w:rsidP="008423DF">
            <w:pPr>
              <w:spacing w:after="24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9"/>
              <w:gridCol w:w="2392"/>
              <w:gridCol w:w="5169"/>
            </w:tblGrid>
            <w:tr w:rsidR="003D6D71" w:rsidTr="008423DF">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jc w:val="center"/>
                    <w:rPr>
                      <w:rFonts w:ascii="Arial" w:hAnsi="Arial" w:cs="Arial"/>
                      <w:b/>
                      <w:bCs/>
                      <w:sz w:val="20"/>
                      <w:szCs w:val="20"/>
                    </w:rPr>
                  </w:pPr>
                  <w:r>
                    <w:rPr>
                      <w:rFonts w:ascii="Arial"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b/>
                      <w:bCs/>
                      <w:sz w:val="20"/>
                      <w:szCs w:val="20"/>
                    </w:rPr>
                  </w:pPr>
                  <w:r>
                    <w:rPr>
                      <w:rFonts w:ascii="Arial"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Levy, Denise Urias (DENISEL@iadb.org)</w:t>
                  </w:r>
                </w:p>
              </w:tc>
            </w:tr>
            <w:tr w:rsidR="003D6D71" w:rsidTr="008423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p>
              </w:tc>
            </w:tr>
            <w:tr w:rsidR="003D6D71" w:rsidTr="008423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6D71" w:rsidRDefault="003D6D71"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3D6D71" w:rsidRDefault="003D6D71" w:rsidP="008423DF">
                  <w:pPr>
                    <w:rPr>
                      <w:rFonts w:ascii="Arial" w:hAnsi="Arial" w:cs="Arial"/>
                      <w:b/>
                      <w:bCs/>
                      <w:sz w:val="20"/>
                      <w:szCs w:val="20"/>
                    </w:rPr>
                  </w:pPr>
                  <w:r>
                    <w:rPr>
                      <w:rFonts w:ascii="Arial"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3D6D71" w:rsidRDefault="003D6D71" w:rsidP="008423DF">
                  <w:pPr>
                    <w:rPr>
                      <w:rFonts w:ascii="Arial" w:hAnsi="Arial" w:cs="Arial"/>
                      <w:sz w:val="20"/>
                      <w:szCs w:val="20"/>
                    </w:rPr>
                  </w:pPr>
                  <w:r>
                    <w:rPr>
                      <w:rFonts w:ascii="Arial" w:hAnsi="Arial" w:cs="Arial"/>
                      <w:sz w:val="20"/>
                      <w:szCs w:val="20"/>
                    </w:rPr>
                    <w:t>2012-05-08</w:t>
                  </w:r>
                </w:p>
              </w:tc>
            </w:tr>
          </w:tbl>
          <w:p w:rsidR="003D6D71" w:rsidRDefault="003D6D71" w:rsidP="008423DF">
            <w:pPr>
              <w:rPr>
                <w:rFonts w:ascii="Arial" w:hAnsi="Arial" w:cs="Arial"/>
                <w:sz w:val="20"/>
                <w:szCs w:val="20"/>
              </w:rPr>
            </w:pPr>
            <w:r>
              <w:rPr>
                <w:rFonts w:ascii="Arial" w:hAnsi="Arial" w:cs="Arial"/>
                <w:sz w:val="20"/>
                <w:szCs w:val="20"/>
              </w:rPr>
              <w:br/>
            </w: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p w:rsidR="00DB71CC" w:rsidRDefault="00DB71CC" w:rsidP="008423DF">
            <w:pPr>
              <w:rPr>
                <w:rFonts w:ascii="Arial" w:hAnsi="Arial" w:cs="Arial"/>
                <w:sz w:val="20"/>
                <w:szCs w:val="20"/>
              </w:rPr>
            </w:pPr>
          </w:p>
        </w:tc>
      </w:tr>
    </w:tbl>
    <w:p w:rsidR="003D6D71" w:rsidRPr="003D6D71" w:rsidRDefault="003D6D71" w:rsidP="003D6D71"/>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8E478B" w:rsidTr="008423DF">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8E478B" w:rsidRDefault="008E478B" w:rsidP="006B6653">
            <w:pPr>
              <w:spacing w:after="240"/>
              <w:jc w:val="center"/>
              <w:rPr>
                <w:rFonts w:ascii="Arial" w:hAnsi="Arial" w:cs="Arial"/>
                <w:sz w:val="20"/>
                <w:szCs w:val="20"/>
              </w:rPr>
            </w:pPr>
            <w:r>
              <w:rPr>
                <w:rFonts w:ascii="Arial" w:hAnsi="Arial" w:cs="Arial"/>
                <w:b/>
                <w:bCs/>
                <w:sz w:val="28"/>
                <w:szCs w:val="28"/>
              </w:rPr>
              <w:lastRenderedPageBreak/>
              <w:t>SAFEGUARD SCREENING FORM</w:t>
            </w:r>
            <w:r>
              <w:rPr>
                <w:rFonts w:ascii="Arial" w:hAnsi="Arial" w:cs="Arial"/>
                <w:sz w:val="20"/>
                <w:szCs w:val="20"/>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3226"/>
              <w:gridCol w:w="4305"/>
            </w:tblGrid>
            <w:tr w:rsidR="008E478B" w:rsidTr="008423DF">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jc w:val="center"/>
                    <w:rPr>
                      <w:rFonts w:ascii="Arial" w:hAnsi="Arial" w:cs="Arial"/>
                      <w:b/>
                      <w:bCs/>
                      <w:sz w:val="20"/>
                      <w:szCs w:val="20"/>
                    </w:rPr>
                  </w:pPr>
                  <w:r>
                    <w:rPr>
                      <w:rFonts w:ascii="Arial" w:hAnsi="Arial" w:cs="Arial"/>
                      <w:b/>
                      <w:bCs/>
                      <w:sz w:val="20"/>
                      <w:szCs w:val="20"/>
                    </w:rPr>
                    <w:t>PROJECT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IDB Sector</w:t>
                  </w:r>
                </w:p>
              </w:tc>
              <w:tc>
                <w:tcPr>
                  <w:tcW w:w="4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SUSTAINABLE TOURISM-DEVELOPMENT TOURISM DESTINATION &amp; PRODUCT MANAGEMENT</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Investment Loan</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BRAZIL</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Generic Checklist</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Velasco, M. Mercedes (MVELASCO@iadb.org)</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 xml:space="preserve">National Tourism Program -- </w:t>
                  </w:r>
                  <w:proofErr w:type="spellStart"/>
                  <w:r>
                    <w:rPr>
                      <w:rFonts w:ascii="Arial" w:hAnsi="Arial" w:cs="Arial"/>
                      <w:sz w:val="20"/>
                      <w:szCs w:val="20"/>
                    </w:rPr>
                    <w:t>Sergipe</w:t>
                  </w:r>
                  <w:proofErr w:type="spellEnd"/>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BR-L1256</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Levy, Denise Urias (DENISEL@iadb.org)</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2012-05-08</w:t>
                  </w:r>
                </w:p>
              </w:tc>
            </w:tr>
            <w:tr w:rsidR="008E478B" w:rsidTr="005B1EB8">
              <w:trPr>
                <w:trHeight w:val="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sz w:val="20"/>
                      <w:szCs w:val="20"/>
                    </w:rPr>
                  </w:pPr>
                </w:p>
              </w:tc>
            </w:tr>
          </w:tbl>
          <w:p w:rsidR="008E478B" w:rsidRDefault="008E478B" w:rsidP="008423DF">
            <w:pPr>
              <w:spacing w:after="24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8"/>
              <w:gridCol w:w="2000"/>
              <w:gridCol w:w="1510"/>
              <w:gridCol w:w="3602"/>
            </w:tblGrid>
            <w:tr w:rsidR="008E478B" w:rsidTr="008423DF">
              <w:trPr>
                <w:trHeight w:val="6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jc w:val="center"/>
                    <w:rPr>
                      <w:rFonts w:ascii="Arial" w:hAnsi="Arial" w:cs="Arial"/>
                      <w:b/>
                      <w:bCs/>
                      <w:sz w:val="20"/>
                      <w:szCs w:val="20"/>
                    </w:rPr>
                  </w:pPr>
                  <w:r>
                    <w:rPr>
                      <w:rFonts w:ascii="Arial" w:hAnsi="Arial" w:cs="Arial"/>
                      <w:b/>
                      <w:bCs/>
                      <w:sz w:val="20"/>
                      <w:szCs w:val="20"/>
                    </w:rPr>
                    <w:t>PROJECT CLASSIFICATION SUMMARY</w:t>
                  </w:r>
                </w:p>
              </w:tc>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Project Category:</w:t>
                  </w:r>
                  <w:r>
                    <w:rPr>
                      <w:rFonts w:ascii="Arial" w:hAnsi="Arial" w:cs="Arial"/>
                      <w:b/>
                      <w:bCs/>
                      <w:sz w:val="20"/>
                      <w:szCs w:val="20"/>
                    </w:rPr>
                    <w:br/>
                  </w:r>
                  <w:r>
                    <w:rPr>
                      <w:rFonts w:ascii="Arial" w:hAnsi="Arial" w:cs="Arial"/>
                      <w:sz w:val="20"/>
                      <w:szCs w:val="20"/>
                    </w:rPr>
                    <w:t>B</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Override Justification:</w:t>
                  </w:r>
                </w:p>
              </w:tc>
            </w:tr>
            <w:tr w:rsidR="008E478B" w:rsidTr="008423DF">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Comments:</w:t>
                  </w:r>
                </w:p>
              </w:tc>
            </w:tr>
            <w:tr w:rsidR="008E478B" w:rsidTr="008423D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b/>
                      <w:bCs/>
                      <w:sz w:val="20"/>
                      <w:szCs w:val="20"/>
                    </w:rPr>
                  </w:pPr>
                  <w:r>
                    <w:rPr>
                      <w:rFonts w:ascii="Arial" w:hAnsi="Arial" w:cs="Arial"/>
                      <w:b/>
                      <w:bCs/>
                      <w:sz w:val="20"/>
                      <w:szCs w:val="20"/>
                    </w:rPr>
                    <w:t>Conditions/</w:t>
                  </w:r>
                  <w:r>
                    <w:rPr>
                      <w:rFonts w:ascii="Arial"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spacing w:after="240"/>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Category</w:t>
                  </w:r>
                  <w:proofErr w:type="gramEnd"/>
                  <w:r>
                    <w:rPr>
                      <w:rFonts w:ascii="Arial" w:hAnsi="Arial" w:cs="Arial"/>
                      <w:sz w:val="20"/>
                      <w:szCs w:val="20"/>
                    </w:rPr>
                    <w:t xml:space="preserve"> "B" operations require an environmental analysis (see Environment Policy Guideline: Directive B.5 for Environmental Analysis requirements).</w:t>
                  </w:r>
                </w:p>
                <w:p w:rsidR="008E478B" w:rsidRDefault="008E478B" w:rsidP="008423DF">
                  <w:pPr>
                    <w:spacing w:after="240"/>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The</w:t>
                  </w:r>
                  <w:proofErr w:type="gramEnd"/>
                  <w:r>
                    <w:rPr>
                      <w:rFonts w:ascii="Arial" w:hAnsi="Arial" w:cs="Arial"/>
                      <w:sz w:val="20"/>
                      <w:szCs w:val="20"/>
                    </w:rPr>
                    <w:t xml:space="preserve"> Project Team must send to ESR the PP (or equivalent) containing the Environmental and Social Strategy (the requirements for an ESS are described in the Environment Policy Guideline: Directive B.3) as well as the Safeguard Policy Filter and Safeguard Screening Form Reports.</w:t>
                  </w:r>
                </w:p>
                <w:p w:rsidR="008E478B" w:rsidRDefault="008E478B" w:rsidP="008423DF">
                  <w:pPr>
                    <w:spacing w:after="240"/>
                    <w:rPr>
                      <w:rFonts w:ascii="Arial" w:hAnsi="Arial" w:cs="Arial"/>
                      <w:sz w:val="20"/>
                      <w:szCs w:val="20"/>
                    </w:rPr>
                  </w:pPr>
                  <w:proofErr w:type="gramStart"/>
                  <w:r>
                    <w:rPr>
                      <w:rFonts w:ascii="Arial" w:hAnsi="Symbol" w:cs="Arial"/>
                      <w:sz w:val="20"/>
                      <w:szCs w:val="20"/>
                    </w:rPr>
                    <w:t></w:t>
                  </w:r>
                  <w:r>
                    <w:rPr>
                      <w:rFonts w:ascii="Arial" w:hAnsi="Arial" w:cs="Arial"/>
                      <w:sz w:val="20"/>
                      <w:szCs w:val="20"/>
                    </w:rPr>
                    <w:t xml:space="preserve">  These</w:t>
                  </w:r>
                  <w:proofErr w:type="gramEnd"/>
                  <w:r>
                    <w:rPr>
                      <w:rFonts w:ascii="Arial" w:hAnsi="Arial" w:cs="Arial"/>
                      <w:sz w:val="20"/>
                      <w:szCs w:val="20"/>
                    </w:rPr>
                    <w:t xml:space="preserve"> operations will normally require an environmental and/or social impact analysis, according to, and focusing on, the specific issues identified in the screening process, and an environmental and social management plan (ESMP). However, these operations should also establish safeguard, or monitoring requirements to address environmental and other risks (social, disaster, cultural, health and safety etc.) where necessary.</w:t>
                  </w:r>
                </w:p>
              </w:tc>
            </w:tr>
          </w:tbl>
          <w:p w:rsidR="008E478B" w:rsidRDefault="008E478B" w:rsidP="008423DF">
            <w:pPr>
              <w:spacing w:after="240"/>
              <w:rPr>
                <w:rFonts w:ascii="Arial"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7"/>
              <w:gridCol w:w="2625"/>
              <w:gridCol w:w="4598"/>
            </w:tblGrid>
            <w:tr w:rsidR="008E478B" w:rsidTr="005B1EB8">
              <w:tc>
                <w:tcPr>
                  <w:tcW w:w="1777"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jc w:val="center"/>
                    <w:rPr>
                      <w:rFonts w:ascii="Arial" w:hAnsi="Arial" w:cs="Arial"/>
                      <w:b/>
                      <w:bCs/>
                      <w:sz w:val="20"/>
                      <w:szCs w:val="20"/>
                    </w:rPr>
                  </w:pPr>
                  <w:r>
                    <w:rPr>
                      <w:rFonts w:ascii="Arial" w:hAnsi="Arial" w:cs="Arial"/>
                      <w:b/>
                      <w:bCs/>
                      <w:sz w:val="20"/>
                      <w:szCs w:val="20"/>
                    </w:rPr>
                    <w:t xml:space="preserve">SUMMARY OF </w:t>
                  </w:r>
                  <w:r>
                    <w:rPr>
                      <w:rFonts w:ascii="Arial" w:hAnsi="Arial" w:cs="Arial"/>
                      <w:b/>
                      <w:bCs/>
                      <w:sz w:val="20"/>
                      <w:szCs w:val="20"/>
                    </w:rPr>
                    <w:lastRenderedPageBreak/>
                    <w:t>IMPACTS/RISKS AND POTENTIAL SOLUTIONS</w:t>
                  </w: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lastRenderedPageBreak/>
                    <w:t>Identified Impacts/Risks</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Potential Solutions</w:t>
                  </w:r>
                </w:p>
              </w:tc>
            </w:tr>
            <w:tr w:rsidR="008E478B" w:rsidTr="005B1E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Minor or moderate conversion or degradation impacts to natural habitats (such as forests, wetlands or grasslands).</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b/>
                      <w:bCs/>
                      <w:sz w:val="20"/>
                      <w:szCs w:val="20"/>
                    </w:rPr>
                    <w:t>Ensure Proper Management and Monitoring of the Impacts of Natural Habitat Loss:</w:t>
                  </w:r>
                  <w:r>
                    <w:rPr>
                      <w:rFonts w:ascii="Arial" w:hAnsi="Arial" w:cs="Arial"/>
                      <w:sz w:val="20"/>
                      <w:szCs w:val="20"/>
                    </w:rPr>
                    <w:t xml:space="preserve"> A Biodiversity Management Plan (BMP) should be prepared that defines how impacts will be mitigated (roles and responsibilities, monitoring, budget, etc.) and could be incorporated in the ESMP. Depending on the financial product, the BMP should be referenced in appropriate legal documentation (covenants, conditions of disbursement, etc.). Confirmation should be obtained from competent experts that they are confident that the plan can mitigate impacts and also that the relevant authorities have approved the BMP.</w:t>
                  </w:r>
                </w:p>
              </w:tc>
            </w:tr>
            <w:tr w:rsidR="008E478B" w:rsidTr="005B1E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Generation of solid waste is moderate in volume, does not include hazardous materials and follows standards recognized by multilateral development banks.</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b/>
                      <w:bCs/>
                      <w:sz w:val="20"/>
                      <w:szCs w:val="20"/>
                    </w:rPr>
                    <w:t>Solid Waste Management:</w:t>
                  </w:r>
                  <w:r>
                    <w:rPr>
                      <w:rFonts w:ascii="Arial" w:hAnsi="Arial" w:cs="Arial"/>
                      <w:sz w:val="20"/>
                      <w:szCs w:val="20"/>
                    </w:rPr>
                    <w:t xml:space="preserve"> The borrower should monitor and report on waste reduction, management and disposal and may also need to develop a Waste Management Plan (which could be included in the ESMP). Effort should be placed on reducing and re-cycling solid wastes. Specifically (if applicable) in the case that national legislations have no provisions for the disposal and destruction of hazardous materials, the applicable procedures established within the Rotterdam Convention, the Stockholm Convention, the Basel Convention, the WHO List on Banned Pesticides, and the Pollution Prevention and Abatement Handbook (PPAH), should be taken into consideration.</w:t>
                  </w:r>
                </w:p>
              </w:tc>
            </w:tr>
            <w:tr w:rsidR="008E478B" w:rsidTr="005B1E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Moderate Greenhouse Gas Emissions are predicted.</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b/>
                      <w:bCs/>
                      <w:sz w:val="20"/>
                      <w:szCs w:val="20"/>
                    </w:rPr>
                    <w:t>Greenhouse Gas (GHG) Assessment:</w:t>
                  </w:r>
                  <w:r>
                    <w:rPr>
                      <w:rFonts w:ascii="Arial" w:hAnsi="Arial" w:cs="Arial"/>
                      <w:sz w:val="20"/>
                      <w:szCs w:val="20"/>
                    </w:rPr>
                    <w:t xml:space="preserve"> The borrower should promote the reduction of project-related greenhouse gas emissions in a manner appropriate to the nature and scale of project operations and impacts. The borrower should quantify direct emissions from the facilities owned or controlled within the physical project boundary and indirect emissions associated with the off-site production of power used by the project. Quantification and monitoring of GHG emissions should be conducted annually in accordance with internationally recognized methodologies (i.e. IPCC - </w:t>
                  </w:r>
                  <w:hyperlink r:id="rId10" w:tgtFrame="_blank" w:history="1">
                    <w:r>
                      <w:rPr>
                        <w:rStyle w:val="Hyperlink"/>
                        <w:rFonts w:ascii="Arial" w:hAnsi="Arial" w:cs="Arial"/>
                        <w:sz w:val="20"/>
                        <w:szCs w:val="20"/>
                      </w:rPr>
                      <w:t>http://www.ipcc.ch/</w:t>
                    </w:r>
                  </w:hyperlink>
                  <w:r>
                    <w:rPr>
                      <w:rFonts w:ascii="Arial" w:hAnsi="Arial" w:cs="Arial"/>
                      <w:sz w:val="20"/>
                      <w:szCs w:val="20"/>
                    </w:rPr>
                    <w:t>). In addition, the borrower should evaluate technically and financially feasible and cost-effective options for the reduction/offset of emissions that may be achieved during the design and operation of the project. The Sustainable Energy and Climate Change Initiative (SECCI) can help with this task (</w:t>
                  </w:r>
                  <w:hyperlink r:id="rId11" w:tgtFrame="_blank" w:history="1">
                    <w:r>
                      <w:rPr>
                        <w:rStyle w:val="Hyperlink"/>
                        <w:rFonts w:ascii="Arial" w:hAnsi="Arial" w:cs="Arial"/>
                        <w:sz w:val="20"/>
                        <w:szCs w:val="20"/>
                      </w:rPr>
                      <w:t>http://www.iadb.org/secci/</w:t>
                    </w:r>
                  </w:hyperlink>
                  <w:r>
                    <w:rPr>
                      <w:rFonts w:ascii="Arial" w:hAnsi="Arial" w:cs="Arial"/>
                      <w:sz w:val="20"/>
                      <w:szCs w:val="20"/>
                    </w:rPr>
                    <w:t>).</w:t>
                  </w:r>
                </w:p>
              </w:tc>
            </w:tr>
            <w:tr w:rsidR="008E478B" w:rsidTr="005B1E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 xml:space="preserve">Borrower is not responsible for directly managing the activities that have negative impacts on indigenous peoples (i.e. </w:t>
                  </w:r>
                  <w:r>
                    <w:rPr>
                      <w:rFonts w:ascii="Arial" w:hAnsi="Arial" w:cs="Arial"/>
                      <w:sz w:val="20"/>
                      <w:szCs w:val="20"/>
                    </w:rPr>
                    <w:lastRenderedPageBreak/>
                    <w:t xml:space="preserve">it is the responsibility of government or </w:t>
                  </w:r>
                  <w:proofErr w:type="spellStart"/>
                  <w:r>
                    <w:rPr>
                      <w:rFonts w:ascii="Arial" w:hAnsi="Arial" w:cs="Arial"/>
                      <w:sz w:val="20"/>
                      <w:szCs w:val="20"/>
                    </w:rPr>
                    <w:t>parastatal</w:t>
                  </w:r>
                  <w:proofErr w:type="spellEnd"/>
                  <w:r>
                    <w:rPr>
                      <w:rFonts w:ascii="Arial" w:hAnsi="Arial" w:cs="Arial"/>
                      <w:sz w:val="20"/>
                      <w:szCs w:val="20"/>
                    </w:rPr>
                    <w:t xml:space="preserve"> agencies other than the executing agency) and impacts are minor to moderate in nature.</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b/>
                      <w:bCs/>
                      <w:sz w:val="20"/>
                      <w:szCs w:val="20"/>
                    </w:rPr>
                    <w:lastRenderedPageBreak/>
                    <w:t xml:space="preserve">Ensure Adequacy of Mitigation </w:t>
                  </w:r>
                  <w:proofErr w:type="spellStart"/>
                  <w:r>
                    <w:rPr>
                      <w:rFonts w:ascii="Arial" w:hAnsi="Arial" w:cs="Arial"/>
                      <w:b/>
                      <w:bCs/>
                      <w:sz w:val="20"/>
                      <w:szCs w:val="20"/>
                    </w:rPr>
                    <w:t>Framework</w:t>
                  </w:r>
                  <w:proofErr w:type="gramStart"/>
                  <w:r>
                    <w:rPr>
                      <w:rFonts w:ascii="Arial" w:hAnsi="Arial" w:cs="Arial"/>
                      <w:b/>
                      <w:bCs/>
                      <w:sz w:val="20"/>
                      <w:szCs w:val="20"/>
                    </w:rPr>
                    <w:t>:</w:t>
                  </w:r>
                  <w:r>
                    <w:rPr>
                      <w:rFonts w:ascii="Arial" w:hAnsi="Arial" w:cs="Arial"/>
                      <w:sz w:val="20"/>
                      <w:szCs w:val="20"/>
                    </w:rPr>
                    <w:t>Where</w:t>
                  </w:r>
                  <w:proofErr w:type="spellEnd"/>
                  <w:proofErr w:type="gramEnd"/>
                  <w:r>
                    <w:rPr>
                      <w:rFonts w:ascii="Arial" w:hAnsi="Arial" w:cs="Arial"/>
                      <w:sz w:val="20"/>
                      <w:szCs w:val="20"/>
                    </w:rPr>
                    <w:t xml:space="preserve"> the activities that have the potential to impact indigenous peoples are the responsibility of third parties (associated facilities, activities under government jurisdiction, etc.), the </w:t>
                  </w:r>
                  <w:r>
                    <w:rPr>
                      <w:rFonts w:ascii="Arial" w:hAnsi="Arial" w:cs="Arial"/>
                      <w:sz w:val="20"/>
                      <w:szCs w:val="20"/>
                    </w:rPr>
                    <w:lastRenderedPageBreak/>
                    <w:t>borrower will need to collaborate with these third parties to ascertain that they are implementing a Mitigation Framework that is consistent with the objectives of OP-765, particularly with respect to avoiding adverse effects on indigenous peoples. In circumstances where third-party capacity is limited (or commitment is unclear), the borrower will need to play an active role in supporting the implementation of a reasonable mitigation framework. Depending on the financial product, the borrower's actions to cause the mitigation framework to be adequately implemented should be referenced in appropriate legal documentation (covenants, conditions of disbursement, project completion tests, credit and operation regulations, etc.). Reporting and independent monitoring of mitigation implementation should be required.</w:t>
                  </w:r>
                </w:p>
              </w:tc>
            </w:tr>
            <w:tr w:rsidR="008E478B" w:rsidTr="005B1EB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262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Potential to exclude Indigenous Peoples from Project benefits on discriminatory basis.</w:t>
                  </w:r>
                </w:p>
              </w:tc>
              <w:tc>
                <w:tcPr>
                  <w:tcW w:w="459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b/>
                      <w:bCs/>
                      <w:sz w:val="20"/>
                      <w:szCs w:val="20"/>
                    </w:rPr>
                    <w:t>Mitigation Framework (specific)-consultation with Indigenous Peoples required:</w:t>
                  </w:r>
                  <w:r>
                    <w:rPr>
                      <w:rFonts w:ascii="Arial" w:hAnsi="Arial" w:cs="Arial"/>
                      <w:sz w:val="20"/>
                      <w:szCs w:val="20"/>
                    </w:rPr>
                    <w:t xml:space="preserve"> Where the Project or its context present potential for ethnically based discrimination against IPs, Project preparation should include an analysis of discriminatory factors (specific or as part of overall social assessment) and the Project should include information, dissemination, training and other corrective measures as appropriate aimed at overcoming linguistic and other barriers to afford indigenous workers, entrepreneurs, beneficiaries or contractors the same protection and access afforded to other groups and equal access to Project-generated resources and benefits (e.g. credit, employment, public services, etc.). The Mitigation Framework must address all the factors specifically. The Mitigation Framework will be referenced in the legal documentation (covenants, conditions of disbursement, etc.), require regular reporting, frequent and independent monitoring, and independent review of implementation, including participatory monitoring.</w:t>
                  </w:r>
                </w:p>
                <w:p w:rsidR="005B1EB8" w:rsidRDefault="005B1EB8" w:rsidP="008423DF">
                  <w:pPr>
                    <w:rPr>
                      <w:rFonts w:ascii="Arial" w:hAnsi="Arial" w:cs="Arial"/>
                      <w:sz w:val="20"/>
                      <w:szCs w:val="20"/>
                    </w:rPr>
                  </w:pPr>
                </w:p>
              </w:tc>
            </w:tr>
          </w:tbl>
          <w:p w:rsidR="008E478B" w:rsidRDefault="008E478B" w:rsidP="008423DF">
            <w:pPr>
              <w:spacing w:after="240"/>
              <w:rPr>
                <w:rFonts w:ascii="Arial"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00"/>
              <w:gridCol w:w="4506"/>
              <w:gridCol w:w="2994"/>
            </w:tblGrid>
            <w:tr w:rsidR="008E478B" w:rsidTr="008423DF">
              <w:tc>
                <w:tcPr>
                  <w:tcW w:w="15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5B1EB8">
                  <w:pPr>
                    <w:keepNext/>
                    <w:jc w:val="center"/>
                    <w:rPr>
                      <w:rFonts w:ascii="Arial" w:hAnsi="Arial" w:cs="Arial"/>
                      <w:b/>
                      <w:bCs/>
                      <w:sz w:val="20"/>
                      <w:szCs w:val="20"/>
                    </w:rPr>
                  </w:pPr>
                  <w:r>
                    <w:rPr>
                      <w:rFonts w:ascii="Arial" w:hAnsi="Arial" w:cs="Arial"/>
                      <w:b/>
                      <w:bCs/>
                      <w:sz w:val="20"/>
                      <w:szCs w:val="20"/>
                    </w:rPr>
                    <w:t>DISASTER SUMMARY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5B1EB8">
                  <w:pPr>
                    <w:keepNext/>
                    <w:rPr>
                      <w:rFonts w:ascii="Arial" w:hAnsi="Arial" w:cs="Arial"/>
                      <w:b/>
                      <w:bCs/>
                      <w:sz w:val="20"/>
                      <w:szCs w:val="20"/>
                    </w:rPr>
                  </w:pPr>
                  <w:r>
                    <w:rPr>
                      <w:rFonts w:ascii="Arial" w:hAnsi="Arial" w:cs="Arial"/>
                      <w:b/>
                      <w:bCs/>
                      <w:sz w:val="20"/>
                      <w:szCs w:val="20"/>
                    </w:rPr>
                    <w:t>Details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The Project should include the necessary measures to reduce disaster risk to acceptable levels as determined by the Bank on the basis of generally accepted standards and practices. Alternative prevention and mitigation measures that decrease vulnerability must be analyzed and included in project design and implementation as applicable. These measures should include safety and contingency planning </w:t>
                  </w:r>
                  <w:r>
                    <w:rPr>
                      <w:rFonts w:ascii="Arial" w:hAnsi="Arial" w:cs="Arial"/>
                      <w:sz w:val="20"/>
                      <w:szCs w:val="20"/>
                    </w:rPr>
                    <w:lastRenderedPageBreak/>
                    <w:t>to protect human health and economic assets. Expert opinion and adherence to international standards should be sought, where reasonably necessary.</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5B1EB8">
                  <w:pPr>
                    <w:keepNext/>
                    <w:rPr>
                      <w:rFonts w:ascii="Arial" w:hAnsi="Arial" w:cs="Arial"/>
                      <w:b/>
                      <w:bCs/>
                      <w:sz w:val="20"/>
                      <w:szCs w:val="20"/>
                    </w:rPr>
                  </w:pPr>
                  <w:r>
                    <w:rPr>
                      <w:rFonts w:ascii="Arial" w:hAnsi="Arial" w:cs="Arial"/>
                      <w:b/>
                      <w:bCs/>
                      <w:sz w:val="20"/>
                      <w:szCs w:val="20"/>
                    </w:rPr>
                    <w:lastRenderedPageBreak/>
                    <w:t>Actions</w:t>
                  </w:r>
                  <w:r>
                    <w:rPr>
                      <w:rFonts w:ascii="Arial" w:hAnsi="Arial" w:cs="Arial"/>
                      <w:b/>
                      <w:bCs/>
                      <w:sz w:val="20"/>
                      <w:szCs w:val="20"/>
                    </w:rPr>
                    <w:br/>
                  </w:r>
                  <w:r>
                    <w:rPr>
                      <w:rFonts w:ascii="Arial" w:hAnsi="Arial" w:cs="Arial"/>
                      <w:b/>
                      <w:bCs/>
                      <w:sz w:val="20"/>
                      <w:szCs w:val="20"/>
                    </w:rPr>
                    <w:br/>
                  </w:r>
                  <w:r>
                    <w:rPr>
                      <w:rFonts w:ascii="Arial" w:hAnsi="Arial" w:cs="Arial"/>
                      <w:sz w:val="20"/>
                      <w:szCs w:val="20"/>
                    </w:rPr>
                    <w:t>A more limited and specific Disaster Risk Assessment (DRA) may be required (see Directive A-2 of the DRM Policy OP-704). Please contact a Natural Disaster Specialist in VPS/ESG or INE/RND for guidance.</w:t>
                  </w:r>
                </w:p>
              </w:tc>
            </w:tr>
          </w:tbl>
          <w:p w:rsidR="008E478B" w:rsidRDefault="008E478B" w:rsidP="008423DF">
            <w:pPr>
              <w:spacing w:after="24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9"/>
              <w:gridCol w:w="2392"/>
              <w:gridCol w:w="5169"/>
            </w:tblGrid>
            <w:tr w:rsidR="008E478B" w:rsidTr="008423DF">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jc w:val="center"/>
                    <w:rPr>
                      <w:rFonts w:ascii="Arial" w:hAnsi="Arial" w:cs="Arial"/>
                      <w:b/>
                      <w:bCs/>
                      <w:sz w:val="20"/>
                      <w:szCs w:val="20"/>
                    </w:rPr>
                  </w:pPr>
                  <w:r>
                    <w:rPr>
                      <w:rFonts w:ascii="Arial"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b/>
                      <w:bCs/>
                      <w:sz w:val="20"/>
                      <w:szCs w:val="20"/>
                    </w:rPr>
                  </w:pPr>
                  <w:r>
                    <w:rPr>
                      <w:rFonts w:ascii="Arial"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Levy, Denise Urias (DENISEL@iadb.org)</w:t>
                  </w:r>
                </w:p>
              </w:tc>
            </w:tr>
            <w:tr w:rsidR="008E478B" w:rsidTr="008423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p>
              </w:tc>
            </w:tr>
            <w:tr w:rsidR="008E478B" w:rsidTr="008423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478B" w:rsidRDefault="008E478B" w:rsidP="008423DF">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E478B" w:rsidRDefault="008E478B" w:rsidP="008423DF">
                  <w:pPr>
                    <w:rPr>
                      <w:rFonts w:ascii="Arial" w:hAnsi="Arial" w:cs="Arial"/>
                      <w:b/>
                      <w:bCs/>
                      <w:sz w:val="20"/>
                      <w:szCs w:val="20"/>
                    </w:rPr>
                  </w:pPr>
                  <w:r>
                    <w:rPr>
                      <w:rFonts w:ascii="Arial"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8E478B" w:rsidRDefault="008E478B" w:rsidP="008423DF">
                  <w:pPr>
                    <w:rPr>
                      <w:rFonts w:ascii="Arial" w:hAnsi="Arial" w:cs="Arial"/>
                      <w:sz w:val="20"/>
                      <w:szCs w:val="20"/>
                    </w:rPr>
                  </w:pPr>
                  <w:r>
                    <w:rPr>
                      <w:rFonts w:ascii="Arial" w:hAnsi="Arial" w:cs="Arial"/>
                      <w:sz w:val="20"/>
                      <w:szCs w:val="20"/>
                    </w:rPr>
                    <w:t>2012-05-08</w:t>
                  </w:r>
                </w:p>
              </w:tc>
            </w:tr>
          </w:tbl>
          <w:p w:rsidR="008E478B" w:rsidRDefault="008E478B" w:rsidP="008423DF">
            <w:pPr>
              <w:rPr>
                <w:rFonts w:ascii="Arial" w:hAnsi="Arial" w:cs="Arial"/>
                <w:sz w:val="20"/>
                <w:szCs w:val="20"/>
              </w:rPr>
            </w:pPr>
            <w:r>
              <w:rPr>
                <w:rFonts w:ascii="Arial" w:hAnsi="Arial" w:cs="Arial"/>
                <w:sz w:val="20"/>
                <w:szCs w:val="20"/>
              </w:rPr>
              <w:br/>
              <w:t> </w:t>
            </w:r>
          </w:p>
        </w:tc>
      </w:tr>
    </w:tbl>
    <w:p w:rsidR="003D6D71" w:rsidRPr="003D6D71" w:rsidRDefault="003D6D71" w:rsidP="003D6D71"/>
    <w:sectPr w:rsidR="003D6D71" w:rsidRPr="003D6D71" w:rsidSect="00B16BAD">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B1" w:rsidRDefault="004B6AB1">
      <w:r>
        <w:separator/>
      </w:r>
    </w:p>
  </w:endnote>
  <w:endnote w:type="continuationSeparator" w:id="0">
    <w:p w:rsidR="004B6AB1" w:rsidRDefault="004B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B1" w:rsidRDefault="004B6AB1">
      <w:r>
        <w:separator/>
      </w:r>
    </w:p>
  </w:footnote>
  <w:footnote w:type="continuationSeparator" w:id="0">
    <w:p w:rsidR="004B6AB1" w:rsidRDefault="004B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25" w:rsidRPr="008E3839" w:rsidRDefault="00DB19B1" w:rsidP="0087740E">
    <w:pPr>
      <w:pStyle w:val="Header"/>
      <w:jc w:val="right"/>
      <w:rPr>
        <w:sz w:val="22"/>
        <w:szCs w:val="22"/>
        <w:lang w:val="pt-BR"/>
      </w:rPr>
    </w:pPr>
    <w:r w:rsidRPr="008E3839">
      <w:rPr>
        <w:sz w:val="22"/>
        <w:szCs w:val="22"/>
        <w:lang w:val="pt-BR"/>
      </w:rPr>
      <w:t>A</w:t>
    </w:r>
    <w:r w:rsidR="00E91D3B">
      <w:rPr>
        <w:sz w:val="22"/>
        <w:szCs w:val="22"/>
        <w:lang w:val="pt-BR"/>
      </w:rPr>
      <w:t>nexo</w:t>
    </w:r>
    <w:r w:rsidRPr="008E3839">
      <w:rPr>
        <w:sz w:val="22"/>
        <w:szCs w:val="22"/>
        <w:lang w:val="pt-BR"/>
      </w:rPr>
      <w:t xml:space="preserve"> I</w:t>
    </w:r>
    <w:r w:rsidR="00E91D3B">
      <w:rPr>
        <w:sz w:val="22"/>
        <w:szCs w:val="22"/>
        <w:lang w:val="pt-BR"/>
      </w:rPr>
      <w:t>V</w:t>
    </w:r>
    <w:r w:rsidR="00DB71CC">
      <w:rPr>
        <w:sz w:val="22"/>
        <w:szCs w:val="22"/>
        <w:lang w:val="pt-BR"/>
      </w:rPr>
      <w:t xml:space="preserve"> - </w:t>
    </w:r>
    <w:r w:rsidR="007E7F31">
      <w:rPr>
        <w:sz w:val="22"/>
        <w:szCs w:val="22"/>
        <w:lang w:val="pt-BR"/>
      </w:rPr>
      <w:t>B</w:t>
    </w:r>
    <w:r w:rsidR="002E427B" w:rsidRPr="008E3839">
      <w:rPr>
        <w:sz w:val="22"/>
        <w:szCs w:val="22"/>
        <w:lang w:val="pt-BR"/>
      </w:rPr>
      <w:t>R</w:t>
    </w:r>
    <w:r w:rsidR="00303425" w:rsidRPr="008E3839">
      <w:rPr>
        <w:sz w:val="22"/>
        <w:szCs w:val="22"/>
        <w:lang w:val="pt-BR"/>
      </w:rPr>
      <w:t>-L</w:t>
    </w:r>
    <w:r w:rsidR="007E7F31">
      <w:rPr>
        <w:sz w:val="22"/>
        <w:szCs w:val="22"/>
        <w:lang w:val="pt-BR"/>
      </w:rPr>
      <w:t>1256</w:t>
    </w:r>
  </w:p>
  <w:p w:rsidR="00DB19B1" w:rsidRPr="008E3839" w:rsidRDefault="00DB19B1" w:rsidP="0087740E">
    <w:pPr>
      <w:pStyle w:val="Header"/>
      <w:jc w:val="right"/>
      <w:rPr>
        <w:sz w:val="22"/>
        <w:szCs w:val="22"/>
        <w:lang w:val="pt-BR"/>
      </w:rPr>
    </w:pPr>
    <w:r w:rsidRPr="008E3839">
      <w:rPr>
        <w:sz w:val="22"/>
        <w:szCs w:val="22"/>
        <w:lang w:val="pt-BR"/>
      </w:rPr>
      <w:t xml:space="preserve">Página </w:t>
    </w:r>
    <w:r w:rsidR="00F70AC4" w:rsidRPr="0087740E">
      <w:rPr>
        <w:sz w:val="22"/>
        <w:szCs w:val="22"/>
      </w:rPr>
      <w:fldChar w:fldCharType="begin"/>
    </w:r>
    <w:r w:rsidRPr="008E3839">
      <w:rPr>
        <w:sz w:val="22"/>
        <w:szCs w:val="22"/>
        <w:lang w:val="pt-BR"/>
      </w:rPr>
      <w:instrText xml:space="preserve"> PAGE </w:instrText>
    </w:r>
    <w:r w:rsidR="00F70AC4" w:rsidRPr="0087740E">
      <w:rPr>
        <w:sz w:val="22"/>
        <w:szCs w:val="22"/>
      </w:rPr>
      <w:fldChar w:fldCharType="separate"/>
    </w:r>
    <w:r w:rsidR="00BB4DD1">
      <w:rPr>
        <w:noProof/>
        <w:sz w:val="22"/>
        <w:szCs w:val="22"/>
        <w:lang w:val="pt-BR"/>
      </w:rPr>
      <w:t>1</w:t>
    </w:r>
    <w:r w:rsidR="00F70AC4" w:rsidRPr="0087740E">
      <w:rPr>
        <w:sz w:val="22"/>
        <w:szCs w:val="22"/>
      </w:rPr>
      <w:fldChar w:fldCharType="end"/>
    </w:r>
    <w:r w:rsidRPr="008E3839">
      <w:rPr>
        <w:sz w:val="22"/>
        <w:szCs w:val="22"/>
        <w:lang w:val="pt-BR"/>
      </w:rPr>
      <w:t xml:space="preserve"> de </w:t>
    </w:r>
    <w:r w:rsidR="00F70AC4" w:rsidRPr="0087740E">
      <w:rPr>
        <w:sz w:val="22"/>
        <w:szCs w:val="22"/>
      </w:rPr>
      <w:fldChar w:fldCharType="begin"/>
    </w:r>
    <w:r w:rsidRPr="008E3839">
      <w:rPr>
        <w:sz w:val="22"/>
        <w:szCs w:val="22"/>
        <w:lang w:val="pt-BR"/>
      </w:rPr>
      <w:instrText xml:space="preserve"> NUMPAGES </w:instrText>
    </w:r>
    <w:r w:rsidR="00F70AC4" w:rsidRPr="0087740E">
      <w:rPr>
        <w:sz w:val="22"/>
        <w:szCs w:val="22"/>
      </w:rPr>
      <w:fldChar w:fldCharType="separate"/>
    </w:r>
    <w:r w:rsidR="00BB4DD1">
      <w:rPr>
        <w:noProof/>
        <w:sz w:val="22"/>
        <w:szCs w:val="22"/>
        <w:lang w:val="pt-BR"/>
      </w:rPr>
      <w:t>7</w:t>
    </w:r>
    <w:r w:rsidR="00F70AC4" w:rsidRPr="0087740E">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3E"/>
    <w:rsid w:val="00062561"/>
    <w:rsid w:val="00084491"/>
    <w:rsid w:val="0008533E"/>
    <w:rsid w:val="000878F3"/>
    <w:rsid w:val="000C688D"/>
    <w:rsid w:val="0014768A"/>
    <w:rsid w:val="00166DFF"/>
    <w:rsid w:val="001D5542"/>
    <w:rsid w:val="002B56A7"/>
    <w:rsid w:val="002D15E6"/>
    <w:rsid w:val="002E2999"/>
    <w:rsid w:val="002E427B"/>
    <w:rsid w:val="002F66E7"/>
    <w:rsid w:val="00303425"/>
    <w:rsid w:val="003A3575"/>
    <w:rsid w:val="003A4F03"/>
    <w:rsid w:val="003D6D71"/>
    <w:rsid w:val="004368C3"/>
    <w:rsid w:val="004A12D7"/>
    <w:rsid w:val="004B6AB1"/>
    <w:rsid w:val="005B1EB8"/>
    <w:rsid w:val="00643D89"/>
    <w:rsid w:val="006B6653"/>
    <w:rsid w:val="007A4E5F"/>
    <w:rsid w:val="007E7F31"/>
    <w:rsid w:val="007F1F6E"/>
    <w:rsid w:val="00843249"/>
    <w:rsid w:val="0087740E"/>
    <w:rsid w:val="008E3839"/>
    <w:rsid w:val="008E478B"/>
    <w:rsid w:val="00AD0145"/>
    <w:rsid w:val="00B16BAD"/>
    <w:rsid w:val="00BB4DD1"/>
    <w:rsid w:val="00C43256"/>
    <w:rsid w:val="00C90018"/>
    <w:rsid w:val="00CA04DE"/>
    <w:rsid w:val="00D12499"/>
    <w:rsid w:val="00D63E74"/>
    <w:rsid w:val="00DA7EEC"/>
    <w:rsid w:val="00DB19B1"/>
    <w:rsid w:val="00DB71CC"/>
    <w:rsid w:val="00E6173E"/>
    <w:rsid w:val="00E91D3B"/>
    <w:rsid w:val="00F70AC4"/>
    <w:rsid w:val="00F9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rsid w:val="00B16BAD"/>
    <w:pPr>
      <w:spacing w:before="100" w:beforeAutospacing="1" w:after="100" w:afterAutospacing="1"/>
      <w:textAlignment w:val="top"/>
    </w:pPr>
    <w:rPr>
      <w:b/>
      <w:bCs/>
      <w:sz w:val="16"/>
      <w:szCs w:val="16"/>
    </w:rPr>
  </w:style>
  <w:style w:type="paragraph" w:customStyle="1" w:styleId="tablehead">
    <w:name w:val="tablehead"/>
    <w:basedOn w:val="Normal"/>
    <w:rsid w:val="00B16BAD"/>
    <w:pPr>
      <w:spacing w:before="100" w:beforeAutospacing="1" w:after="100" w:afterAutospacing="1"/>
      <w:jc w:val="center"/>
    </w:pPr>
    <w:rPr>
      <w:b/>
      <w:bCs/>
      <w:sz w:val="20"/>
      <w:szCs w:val="20"/>
    </w:rPr>
  </w:style>
  <w:style w:type="paragraph" w:customStyle="1" w:styleId="grayme">
    <w:name w:val="grayme"/>
    <w:basedOn w:val="Normal"/>
    <w:rsid w:val="00B16BAD"/>
    <w:pPr>
      <w:spacing w:before="100" w:beforeAutospacing="1" w:after="100" w:afterAutospacing="1"/>
    </w:pPr>
    <w:rPr>
      <w:i/>
      <w:iCs/>
      <w:color w:val="888888"/>
    </w:rPr>
  </w:style>
  <w:style w:type="character" w:styleId="Hyperlink">
    <w:name w:val="Hyperlink"/>
    <w:basedOn w:val="DefaultParagraphFont"/>
    <w:rsid w:val="00B16BAD"/>
    <w:rPr>
      <w:color w:val="0000FF"/>
      <w:u w:val="single"/>
    </w:rPr>
  </w:style>
  <w:style w:type="character" w:styleId="FollowedHyperlink">
    <w:name w:val="FollowedHyperlink"/>
    <w:basedOn w:val="DefaultParagraphFont"/>
    <w:rsid w:val="00B16BAD"/>
    <w:rPr>
      <w:color w:val="0000FF"/>
      <w:u w:val="single"/>
    </w:rPr>
  </w:style>
  <w:style w:type="paragraph" w:styleId="Header">
    <w:name w:val="header"/>
    <w:basedOn w:val="Normal"/>
    <w:rsid w:val="0087740E"/>
    <w:pPr>
      <w:tabs>
        <w:tab w:val="center" w:pos="4320"/>
        <w:tab w:val="right" w:pos="8640"/>
      </w:tabs>
    </w:pPr>
  </w:style>
  <w:style w:type="paragraph" w:styleId="Footer">
    <w:name w:val="footer"/>
    <w:basedOn w:val="Normal"/>
    <w:rsid w:val="0087740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rsid w:val="00B16BAD"/>
    <w:pPr>
      <w:spacing w:before="100" w:beforeAutospacing="1" w:after="100" w:afterAutospacing="1"/>
      <w:textAlignment w:val="top"/>
    </w:pPr>
    <w:rPr>
      <w:b/>
      <w:bCs/>
      <w:sz w:val="16"/>
      <w:szCs w:val="16"/>
    </w:rPr>
  </w:style>
  <w:style w:type="paragraph" w:customStyle="1" w:styleId="tablehead">
    <w:name w:val="tablehead"/>
    <w:basedOn w:val="Normal"/>
    <w:rsid w:val="00B16BAD"/>
    <w:pPr>
      <w:spacing w:before="100" w:beforeAutospacing="1" w:after="100" w:afterAutospacing="1"/>
      <w:jc w:val="center"/>
    </w:pPr>
    <w:rPr>
      <w:b/>
      <w:bCs/>
      <w:sz w:val="20"/>
      <w:szCs w:val="20"/>
    </w:rPr>
  </w:style>
  <w:style w:type="paragraph" w:customStyle="1" w:styleId="grayme">
    <w:name w:val="grayme"/>
    <w:basedOn w:val="Normal"/>
    <w:rsid w:val="00B16BAD"/>
    <w:pPr>
      <w:spacing w:before="100" w:beforeAutospacing="1" w:after="100" w:afterAutospacing="1"/>
    </w:pPr>
    <w:rPr>
      <w:i/>
      <w:iCs/>
      <w:color w:val="888888"/>
    </w:rPr>
  </w:style>
  <w:style w:type="character" w:styleId="Hyperlink">
    <w:name w:val="Hyperlink"/>
    <w:basedOn w:val="DefaultParagraphFont"/>
    <w:rsid w:val="00B16BAD"/>
    <w:rPr>
      <w:color w:val="0000FF"/>
      <w:u w:val="single"/>
    </w:rPr>
  </w:style>
  <w:style w:type="character" w:styleId="FollowedHyperlink">
    <w:name w:val="FollowedHyperlink"/>
    <w:basedOn w:val="DefaultParagraphFont"/>
    <w:rsid w:val="00B16BAD"/>
    <w:rPr>
      <w:color w:val="0000FF"/>
      <w:u w:val="single"/>
    </w:rPr>
  </w:style>
  <w:style w:type="paragraph" w:styleId="Header">
    <w:name w:val="header"/>
    <w:basedOn w:val="Normal"/>
    <w:rsid w:val="0087740E"/>
    <w:pPr>
      <w:tabs>
        <w:tab w:val="center" w:pos="4320"/>
        <w:tab w:val="right" w:pos="8640"/>
      </w:tabs>
    </w:pPr>
  </w:style>
  <w:style w:type="paragraph" w:styleId="Footer">
    <w:name w:val="footer"/>
    <w:basedOn w:val="Normal"/>
    <w:rsid w:val="0087740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7012">
      <w:marLeft w:val="0"/>
      <w:marRight w:val="0"/>
      <w:marTop w:val="0"/>
      <w:marBottom w:val="0"/>
      <w:divBdr>
        <w:top w:val="none" w:sz="0" w:space="0" w:color="auto"/>
        <w:left w:val="none" w:sz="0" w:space="0" w:color="auto"/>
        <w:bottom w:val="none" w:sz="0" w:space="0" w:color="auto"/>
        <w:right w:val="none" w:sz="0" w:space="0" w:color="auto"/>
      </w:divBdr>
    </w:div>
    <w:div w:id="164989740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Term('Women\'s%20Empowerment',%20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javascript:ShowTerm('Gender%20Equality',%201)" TargetMode="External"/><Relationship Id="rId12" Type="http://schemas.openxmlformats.org/officeDocument/2006/relationships/header" Target="head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adb.org/secci/"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ipcc.ch/" TargetMode="Externa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s://www.ibat-alliance.org/ibat-idb/index.php?bp=l0g1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C0A6038A29514091A6F1DC5AE0D2CE" ma:contentTypeVersion="0" ma:contentTypeDescription="A content type to manage public (operations) IDB documents" ma:contentTypeScope="" ma:versionID="aeb57ed66ecaa353dbf731c11db53b04">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37692978</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Velasco, M. Mercedes</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BR-L1256</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Proposal&lt;/USER_STAGE&gt;&lt;PD_OBJ_TYPE&gt;0&lt;/PD_OBJ_TYPE&gt;&lt;MAKERECORD&gt;N&lt;/MAKERECORD&gt;&lt;PD_FILEPT_NO&gt;PO-BR-L1256-Plan&lt;/PD_FILEPT_NO&gt;&lt;/Data&gt;</Migration_x0020_Info>
    <Operation_x0020_Type xmlns="9c571b2f-e523-4ab2-ba2e-09e151a03ef4" xsi:nil="true"/>
    <Document_x0020_Language_x0020_IDB xmlns="9c571b2f-e523-4ab2-ba2e-09e151a03ef4">Spanish</Document_x0020_Language_x0020_IDB>
    <Identifier xmlns="9c571b2f-e523-4ab2-ba2e-09e151a03ef4">LinkOp-PIC TECFILE</Identifier>
    <Disclosure_x0020_Activity xmlns="9c571b2f-e523-4ab2-ba2e-09e151a03ef4">Loan Proposal</Disclosure_x0020_Activity>
    <Webtopic xmlns="9c571b2f-e523-4ab2-ba2e-09e151a03ef4">PA-ECO</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BD3B02B5-539A-477E-9798-8C4C46E50FFB}"/>
</file>

<file path=customXml/itemProps2.xml><?xml version="1.0" encoding="utf-8"?>
<ds:datastoreItem xmlns:ds="http://schemas.openxmlformats.org/officeDocument/2006/customXml" ds:itemID="{9FB2D51B-10FA-4B99-8EFD-3B5A33EF0B22}"/>
</file>

<file path=customXml/itemProps3.xml><?xml version="1.0" encoding="utf-8"?>
<ds:datastoreItem xmlns:ds="http://schemas.openxmlformats.org/officeDocument/2006/customXml" ds:itemID="{6F448397-247A-4827-B5BB-779F2D21C445}"/>
</file>

<file path=customXml/itemProps4.xml><?xml version="1.0" encoding="utf-8"?>
<ds:datastoreItem xmlns:ds="http://schemas.openxmlformats.org/officeDocument/2006/customXml" ds:itemID="{0579FF74-B03D-45B6-8DD1-61DF1A64B5CF}"/>
</file>

<file path=customXml/itemProps5.xml><?xml version="1.0" encoding="utf-8"?>
<ds:datastoreItem xmlns:ds="http://schemas.openxmlformats.org/officeDocument/2006/customXml" ds:itemID="{B095D8E7-3066-4E7E-BA92-3B81C44D50ED}"/>
</file>

<file path=docProps/app.xml><?xml version="1.0" encoding="utf-8"?>
<Properties xmlns="http://schemas.openxmlformats.org/officeDocument/2006/extended-properties" xmlns:vt="http://schemas.openxmlformats.org/officeDocument/2006/docPropsVTypes">
  <Template>Normal.dotm</Template>
  <TotalTime>5</TotalTime>
  <Pages>7</Pages>
  <Words>1489</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BR-L1256</vt:lpstr>
    </vt:vector>
  </TitlesOfParts>
  <Company>Inter-American Development Bank</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Filtro de Salvaguardas (SPF) y Formulario de Clasificación de Proyectos (SSF)</dc:title>
  <dc:creator>M. Mercedes Velasco</dc:creator>
  <cp:lastModifiedBy>Test</cp:lastModifiedBy>
  <cp:revision>7</cp:revision>
  <cp:lastPrinted>2013-04-30T19:48:00Z</cp:lastPrinted>
  <dcterms:created xsi:type="dcterms:W3CDTF">2013-04-05T18:37:00Z</dcterms:created>
  <dcterms:modified xsi:type="dcterms:W3CDTF">2013-04-30T19:48:00Z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0x01010046CF21643EE8D14686A648AA6DAD089200D4C0A6038A29514091A6F1DC5AE0D2CE</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