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118" w:rsidRPr="00B833E0" w:rsidRDefault="00E12118">
      <w:pPr>
        <w:pStyle w:val="Title"/>
        <w:tabs>
          <w:tab w:val="clear" w:pos="1440"/>
          <w:tab w:val="clear" w:pos="3060"/>
        </w:tabs>
        <w:outlineLvl w:val="9"/>
        <w:rPr>
          <w:smallCaps/>
          <w:lang w:val="es-ES"/>
        </w:rPr>
      </w:pPr>
      <w:r w:rsidRPr="00B833E0">
        <w:rPr>
          <w:smallCaps/>
          <w:lang w:val="es-ES"/>
        </w:rPr>
        <w:t>Document</w:t>
      </w:r>
      <w:r w:rsidR="00E23CA7" w:rsidRPr="00B833E0">
        <w:rPr>
          <w:smallCaps/>
          <w:lang w:val="es-ES"/>
        </w:rPr>
        <w:t>o del Banco Interamericano de</w:t>
      </w:r>
      <w:r w:rsidRPr="00B833E0">
        <w:rPr>
          <w:smallCaps/>
          <w:lang w:val="es-ES"/>
        </w:rPr>
        <w:t xml:space="preserve"> De</w:t>
      </w:r>
      <w:r w:rsidR="00E23CA7" w:rsidRPr="00B833E0">
        <w:rPr>
          <w:smallCaps/>
          <w:lang w:val="es-ES"/>
        </w:rPr>
        <w:t>sarrollo</w:t>
      </w:r>
    </w:p>
    <w:p w:rsidR="00E12118" w:rsidRPr="00B833E0" w:rsidRDefault="00E12118">
      <w:pPr>
        <w:tabs>
          <w:tab w:val="left" w:pos="1440"/>
          <w:tab w:val="left" w:pos="3060"/>
        </w:tabs>
        <w:jc w:val="center"/>
        <w:outlineLvl w:val="0"/>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34110A">
      <w:pPr>
        <w:tabs>
          <w:tab w:val="left" w:pos="1440"/>
          <w:tab w:val="left" w:pos="3060"/>
        </w:tabs>
        <w:jc w:val="center"/>
        <w:rPr>
          <w:smallCaps/>
          <w:sz w:val="32"/>
          <w:szCs w:val="32"/>
          <w:lang w:val="es-ES"/>
        </w:rPr>
      </w:pPr>
      <w:r>
        <w:rPr>
          <w:b/>
          <w:smallCaps/>
          <w:sz w:val="32"/>
          <w:szCs w:val="32"/>
          <w:lang w:val="es-ES"/>
        </w:rPr>
        <w:t>Costa Rica</w:t>
      </w:r>
      <w:r w:rsidR="0074637A" w:rsidRPr="00B833E0">
        <w:rPr>
          <w:b/>
          <w:smallCaps/>
          <w:sz w:val="32"/>
          <w:szCs w:val="32"/>
          <w:lang w:val="es-ES"/>
        </w:rPr>
        <w:t xml:space="preserve"> </w:t>
      </w:r>
    </w:p>
    <w:p w:rsidR="00E12118" w:rsidRPr="00B833E0" w:rsidRDefault="00E12118">
      <w:pPr>
        <w:tabs>
          <w:tab w:val="left" w:pos="1440"/>
          <w:tab w:val="left" w:pos="3060"/>
        </w:tabs>
        <w:jc w:val="center"/>
        <w:rPr>
          <w:smallCaps/>
          <w:lang w:val="es-ES"/>
        </w:rPr>
      </w:pPr>
    </w:p>
    <w:p w:rsidR="00E12118" w:rsidRPr="00B833E0" w:rsidRDefault="00E12118">
      <w:pPr>
        <w:tabs>
          <w:tab w:val="left" w:pos="1440"/>
          <w:tab w:val="left" w:pos="3060"/>
        </w:tabs>
        <w:jc w:val="center"/>
        <w:rPr>
          <w:smallCaps/>
          <w:lang w:val="es-ES"/>
        </w:rPr>
      </w:pPr>
    </w:p>
    <w:p w:rsidR="00E12118" w:rsidRPr="00B833E0" w:rsidRDefault="00E12118">
      <w:pPr>
        <w:tabs>
          <w:tab w:val="left" w:pos="1440"/>
          <w:tab w:val="left" w:pos="3060"/>
        </w:tabs>
        <w:jc w:val="center"/>
        <w:rPr>
          <w:smallCaps/>
          <w:lang w:val="es-ES"/>
        </w:rPr>
      </w:pPr>
    </w:p>
    <w:p w:rsidR="00E12118" w:rsidRPr="00B833E0" w:rsidRDefault="00E12118">
      <w:pPr>
        <w:tabs>
          <w:tab w:val="left" w:pos="1440"/>
          <w:tab w:val="left" w:pos="3060"/>
        </w:tabs>
        <w:jc w:val="center"/>
        <w:rPr>
          <w:smallCaps/>
          <w:lang w:val="es-ES"/>
        </w:rPr>
      </w:pPr>
    </w:p>
    <w:p w:rsidR="00E23CA7" w:rsidRPr="00B833E0" w:rsidRDefault="00661AA6">
      <w:pPr>
        <w:tabs>
          <w:tab w:val="left" w:pos="1440"/>
          <w:tab w:val="left" w:pos="3060"/>
        </w:tabs>
        <w:jc w:val="center"/>
        <w:rPr>
          <w:b/>
          <w:snapToGrid w:val="0"/>
          <w:szCs w:val="24"/>
          <w:lang w:val="es-ES"/>
        </w:rPr>
      </w:pPr>
      <w:r w:rsidRPr="00B833E0">
        <w:rPr>
          <w:b/>
          <w:snapToGrid w:val="0"/>
          <w:szCs w:val="24"/>
          <w:lang w:val="es-ES"/>
        </w:rPr>
        <w:t>PRÉSTAMO</w:t>
      </w:r>
      <w:r w:rsidR="000709C5" w:rsidRPr="00B833E0">
        <w:rPr>
          <w:b/>
          <w:snapToGrid w:val="0"/>
          <w:szCs w:val="24"/>
          <w:lang w:val="es-ES"/>
        </w:rPr>
        <w:t xml:space="preserve"> CONTINGENTE PARA EMERGENCIAS POR DESASTRES </w:t>
      </w:r>
    </w:p>
    <w:p w:rsidR="002B489E" w:rsidRPr="00B833E0" w:rsidRDefault="002B489E">
      <w:pPr>
        <w:tabs>
          <w:tab w:val="left" w:pos="1440"/>
          <w:tab w:val="left" w:pos="3060"/>
        </w:tabs>
        <w:jc w:val="center"/>
        <w:rPr>
          <w:snapToGrid w:val="0"/>
          <w:szCs w:val="24"/>
          <w:lang w:val="es-ES"/>
        </w:rPr>
      </w:pPr>
    </w:p>
    <w:p w:rsidR="00E12118" w:rsidRPr="00B833E0" w:rsidRDefault="00E23CA7">
      <w:pPr>
        <w:tabs>
          <w:tab w:val="left" w:pos="1440"/>
          <w:tab w:val="left" w:pos="3060"/>
        </w:tabs>
        <w:jc w:val="center"/>
        <w:rPr>
          <w:smallCaps/>
          <w:szCs w:val="24"/>
          <w:lang w:val="es-ES"/>
        </w:rPr>
      </w:pPr>
      <w:r w:rsidRPr="00B833E0">
        <w:rPr>
          <w:snapToGrid w:val="0"/>
          <w:szCs w:val="24"/>
          <w:lang w:val="es-ES"/>
        </w:rPr>
        <w:t>(</w:t>
      </w:r>
      <w:r w:rsidR="0034110A">
        <w:rPr>
          <w:snapToGrid w:val="0"/>
          <w:szCs w:val="24"/>
          <w:lang w:val="es-ES"/>
        </w:rPr>
        <w:t>CR</w:t>
      </w:r>
      <w:r w:rsidRPr="00B833E0">
        <w:rPr>
          <w:snapToGrid w:val="0"/>
          <w:szCs w:val="24"/>
          <w:lang w:val="es-ES"/>
        </w:rPr>
        <w:t>-</w:t>
      </w:r>
      <w:r w:rsidR="005E1DCA" w:rsidRPr="00B833E0">
        <w:rPr>
          <w:szCs w:val="24"/>
          <w:lang w:val="es-ES"/>
        </w:rPr>
        <w:t xml:space="preserve"> </w:t>
      </w:r>
      <w:r w:rsidR="0074637A" w:rsidRPr="00B833E0">
        <w:rPr>
          <w:snapToGrid w:val="0"/>
          <w:szCs w:val="24"/>
          <w:lang w:val="es-ES"/>
        </w:rPr>
        <w:t>X10</w:t>
      </w:r>
      <w:r w:rsidR="0034110A">
        <w:rPr>
          <w:snapToGrid w:val="0"/>
          <w:szCs w:val="24"/>
          <w:lang w:val="es-ES"/>
        </w:rPr>
        <w:t>10</w:t>
      </w:r>
      <w:r w:rsidR="00E9725B" w:rsidRPr="00B833E0">
        <w:rPr>
          <w:snapToGrid w:val="0"/>
          <w:szCs w:val="24"/>
          <w:lang w:val="es-ES"/>
        </w:rPr>
        <w:t>)</w:t>
      </w:r>
      <w:r w:rsidR="00E9725B" w:rsidRPr="00B833E0">
        <w:rPr>
          <w:smallCaps/>
          <w:szCs w:val="24"/>
          <w:lang w:val="es-ES"/>
        </w:rPr>
        <w:t xml:space="preserve"> </w:t>
      </w:r>
    </w:p>
    <w:p w:rsidR="00E12118" w:rsidRPr="00B833E0" w:rsidRDefault="00E12118">
      <w:pPr>
        <w:tabs>
          <w:tab w:val="left" w:pos="1440"/>
          <w:tab w:val="left" w:pos="3060"/>
        </w:tabs>
        <w:jc w:val="center"/>
        <w:rPr>
          <w:b/>
          <w:smallCaps/>
          <w:lang w:val="es-ES"/>
        </w:rPr>
      </w:pPr>
    </w:p>
    <w:p w:rsidR="00E12118" w:rsidRPr="00B833E0" w:rsidRDefault="00E12118" w:rsidP="00CD3245">
      <w:pPr>
        <w:pStyle w:val="Newpage"/>
        <w:rPr>
          <w:lang w:val="es-ES"/>
        </w:rPr>
      </w:pPr>
    </w:p>
    <w:p w:rsidR="00E12118" w:rsidRPr="00B833E0" w:rsidRDefault="00E12118">
      <w:pPr>
        <w:tabs>
          <w:tab w:val="left" w:pos="1440"/>
          <w:tab w:val="left" w:pos="3060"/>
        </w:tabs>
        <w:jc w:val="center"/>
        <w:rPr>
          <w:smallCaps/>
          <w:lang w:val="es-ES"/>
        </w:rPr>
      </w:pPr>
    </w:p>
    <w:p w:rsidR="00E12118" w:rsidRPr="00B833E0" w:rsidRDefault="00E12118">
      <w:pPr>
        <w:tabs>
          <w:tab w:val="left" w:pos="1440"/>
          <w:tab w:val="left" w:pos="3060"/>
        </w:tabs>
        <w:jc w:val="center"/>
        <w:rPr>
          <w:smallCaps/>
          <w:lang w:val="es-ES"/>
        </w:rPr>
      </w:pPr>
    </w:p>
    <w:p w:rsidR="00E12118" w:rsidRPr="00B833E0" w:rsidRDefault="0043256E">
      <w:pPr>
        <w:tabs>
          <w:tab w:val="left" w:pos="1440"/>
          <w:tab w:val="left" w:pos="3060"/>
        </w:tabs>
        <w:jc w:val="center"/>
        <w:outlineLvl w:val="0"/>
        <w:rPr>
          <w:b/>
          <w:smallCaps/>
          <w:szCs w:val="24"/>
          <w:lang w:val="es-ES"/>
        </w:rPr>
      </w:pPr>
      <w:r w:rsidRPr="00B833E0">
        <w:rPr>
          <w:b/>
          <w:smallCaps/>
          <w:szCs w:val="24"/>
          <w:lang w:val="es-ES"/>
        </w:rPr>
        <w:t>Anexo de Aná</w:t>
      </w:r>
      <w:r w:rsidR="005E1DCA" w:rsidRPr="00B833E0">
        <w:rPr>
          <w:b/>
          <w:smallCaps/>
          <w:szCs w:val="24"/>
          <w:lang w:val="es-ES"/>
        </w:rPr>
        <w:t xml:space="preserve">lisis </w:t>
      </w:r>
      <w:r w:rsidRPr="00B833E0">
        <w:rPr>
          <w:b/>
          <w:smallCaps/>
          <w:szCs w:val="24"/>
          <w:lang w:val="es-ES"/>
        </w:rPr>
        <w:t>Econó</w:t>
      </w:r>
      <w:r w:rsidR="00F7780E" w:rsidRPr="00B833E0">
        <w:rPr>
          <w:b/>
          <w:smallCaps/>
          <w:szCs w:val="24"/>
          <w:lang w:val="es-ES"/>
        </w:rPr>
        <w:t>mic</w:t>
      </w:r>
      <w:r w:rsidR="005E1DCA" w:rsidRPr="00B833E0">
        <w:rPr>
          <w:b/>
          <w:smallCaps/>
          <w:szCs w:val="24"/>
          <w:lang w:val="es-ES"/>
        </w:rPr>
        <w:t>o</w:t>
      </w: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E12118" w:rsidRPr="00B833E0" w:rsidRDefault="00E12118">
      <w:pPr>
        <w:tabs>
          <w:tab w:val="left" w:pos="1440"/>
          <w:tab w:val="left" w:pos="3060"/>
        </w:tabs>
        <w:jc w:val="center"/>
        <w:rPr>
          <w:lang w:val="es-ES"/>
        </w:rPr>
      </w:pPr>
    </w:p>
    <w:p w:rsidR="00540511" w:rsidRPr="00B833E0" w:rsidRDefault="00540511">
      <w:pPr>
        <w:tabs>
          <w:tab w:val="left" w:pos="1440"/>
          <w:tab w:val="left" w:pos="3060"/>
        </w:tabs>
        <w:outlineLvl w:val="0"/>
        <w:rPr>
          <w:lang w:val="es-ES"/>
        </w:rPr>
        <w:sectPr w:rsidR="00540511" w:rsidRPr="00B833E0" w:rsidSect="009612C8">
          <w:headerReference w:type="even" r:id="rId9"/>
          <w:headerReference w:type="default" r:id="rId10"/>
          <w:footerReference w:type="even" r:id="rId11"/>
          <w:footerReference w:type="default" r:id="rId12"/>
          <w:pgSz w:w="12240" w:h="15840" w:code="1"/>
          <w:pgMar w:top="1440" w:right="1800" w:bottom="1440" w:left="1800" w:header="706" w:footer="706" w:gutter="0"/>
          <w:pgNumType w:fmt="lowerRoman" w:start="1"/>
          <w:cols w:space="720"/>
          <w:formProt w:val="0"/>
          <w:titlePg/>
        </w:sectPr>
      </w:pPr>
    </w:p>
    <w:p w:rsidR="00E12118" w:rsidRPr="00B833E0" w:rsidRDefault="00E12118">
      <w:pPr>
        <w:tabs>
          <w:tab w:val="left" w:pos="1440"/>
          <w:tab w:val="left" w:pos="3060"/>
        </w:tabs>
        <w:outlineLvl w:val="0"/>
        <w:rPr>
          <w:lang w:val="es-ES"/>
        </w:rPr>
      </w:pPr>
    </w:p>
    <w:p w:rsidR="00E12118" w:rsidRPr="00B833E0" w:rsidRDefault="00E8427D" w:rsidP="00CD3245">
      <w:pPr>
        <w:pStyle w:val="Newpage"/>
        <w:rPr>
          <w:lang w:val="es-ES"/>
        </w:rPr>
      </w:pPr>
      <w:bookmarkStart w:id="0" w:name="Contents"/>
      <w:r w:rsidRPr="00B833E0">
        <w:rPr>
          <w:lang w:val="es-ES"/>
        </w:rPr>
        <w:t>C</w:t>
      </w:r>
      <w:r w:rsidR="00E12118" w:rsidRPr="00B833E0">
        <w:rPr>
          <w:lang w:val="es-ES"/>
        </w:rPr>
        <w:t>onten</w:t>
      </w:r>
      <w:r w:rsidR="00E23CA7" w:rsidRPr="00B833E0">
        <w:rPr>
          <w:lang w:val="es-ES"/>
        </w:rPr>
        <w:t>ido</w:t>
      </w:r>
    </w:p>
    <w:bookmarkEnd w:id="0"/>
    <w:p w:rsidR="008E629C" w:rsidRPr="00B833E0" w:rsidRDefault="008E629C" w:rsidP="00CD3245">
      <w:pPr>
        <w:pStyle w:val="Newpage"/>
        <w:rPr>
          <w:lang w:val="es-ES"/>
        </w:rPr>
      </w:pPr>
    </w:p>
    <w:p w:rsidR="008E629C" w:rsidRPr="00B833E0" w:rsidRDefault="008E629C" w:rsidP="00CD3245">
      <w:pPr>
        <w:pStyle w:val="Newpage"/>
        <w:rPr>
          <w:lang w:val="es-ES"/>
        </w:rPr>
      </w:pPr>
    </w:p>
    <w:p w:rsidR="00E12118" w:rsidRPr="00B833E0" w:rsidRDefault="00E12118" w:rsidP="00CD3245">
      <w:pPr>
        <w:pStyle w:val="Newpage"/>
        <w:rPr>
          <w:lang w:val="es-ES"/>
        </w:rPr>
      </w:pPr>
    </w:p>
    <w:p w:rsidR="00F7780E" w:rsidRPr="00B833E0" w:rsidRDefault="00E23CA7" w:rsidP="00C173AE">
      <w:pPr>
        <w:pStyle w:val="TOC3"/>
        <w:numPr>
          <w:ilvl w:val="0"/>
          <w:numId w:val="13"/>
        </w:numPr>
        <w:tabs>
          <w:tab w:val="clear" w:pos="1728"/>
          <w:tab w:val="left" w:pos="1080"/>
        </w:tabs>
        <w:spacing w:after="240"/>
        <w:rPr>
          <w:smallCaps/>
          <w:noProof w:val="0"/>
          <w:lang w:val="es-ES"/>
        </w:rPr>
      </w:pPr>
      <w:r w:rsidRPr="00B833E0">
        <w:rPr>
          <w:smallCaps/>
          <w:noProof w:val="0"/>
          <w:lang w:val="es-ES"/>
        </w:rPr>
        <w:t>Introducci</w:t>
      </w:r>
      <w:r w:rsidR="0043256E" w:rsidRPr="00B833E0">
        <w:rPr>
          <w:smallCaps/>
          <w:noProof w:val="0"/>
          <w:lang w:val="es-ES"/>
        </w:rPr>
        <w:t>ó</w:t>
      </w:r>
      <w:r w:rsidR="00F7780E" w:rsidRPr="00B833E0">
        <w:rPr>
          <w:smallCaps/>
          <w:noProof w:val="0"/>
          <w:lang w:val="es-ES"/>
        </w:rPr>
        <w:t>n</w:t>
      </w:r>
    </w:p>
    <w:p w:rsidR="00F7780E" w:rsidRPr="00B833E0" w:rsidRDefault="00E23CA7" w:rsidP="00C173AE">
      <w:pPr>
        <w:pStyle w:val="TOC3"/>
        <w:numPr>
          <w:ilvl w:val="0"/>
          <w:numId w:val="13"/>
        </w:numPr>
        <w:tabs>
          <w:tab w:val="clear" w:pos="1728"/>
          <w:tab w:val="left" w:pos="1080"/>
        </w:tabs>
        <w:spacing w:after="240"/>
        <w:rPr>
          <w:smallCaps/>
          <w:noProof w:val="0"/>
          <w:lang w:val="es-ES"/>
        </w:rPr>
      </w:pPr>
      <w:r w:rsidRPr="00B833E0">
        <w:rPr>
          <w:smallCaps/>
          <w:noProof w:val="0"/>
          <w:lang w:val="es-ES"/>
        </w:rPr>
        <w:t>Metas, Supuestos y Alternativas</w:t>
      </w:r>
    </w:p>
    <w:p w:rsidR="00F7780E" w:rsidRPr="00B833E0" w:rsidRDefault="0043256E" w:rsidP="00C173AE">
      <w:pPr>
        <w:pStyle w:val="TOC3"/>
        <w:numPr>
          <w:ilvl w:val="0"/>
          <w:numId w:val="13"/>
        </w:numPr>
        <w:tabs>
          <w:tab w:val="clear" w:pos="1728"/>
          <w:tab w:val="left" w:pos="1080"/>
        </w:tabs>
        <w:spacing w:after="240"/>
        <w:ind w:left="1710" w:hanging="1350"/>
        <w:rPr>
          <w:smallCaps/>
          <w:noProof w:val="0"/>
          <w:lang w:val="es-ES"/>
        </w:rPr>
      </w:pPr>
      <w:r w:rsidRPr="00B833E0">
        <w:rPr>
          <w:smallCaps/>
          <w:noProof w:val="0"/>
          <w:lang w:val="es-ES"/>
        </w:rPr>
        <w:t>Costos Económicos y Medición de la Eficacia en Funció</w:t>
      </w:r>
      <w:r w:rsidR="00E23CA7" w:rsidRPr="00B833E0">
        <w:rPr>
          <w:smallCaps/>
          <w:noProof w:val="0"/>
          <w:lang w:val="es-ES"/>
        </w:rPr>
        <w:t>n del Costo</w:t>
      </w:r>
    </w:p>
    <w:p w:rsidR="00F052E5" w:rsidRPr="00B833E0" w:rsidRDefault="00F052E5" w:rsidP="00C173AE">
      <w:pPr>
        <w:pStyle w:val="TOC3"/>
        <w:numPr>
          <w:ilvl w:val="0"/>
          <w:numId w:val="13"/>
        </w:numPr>
        <w:tabs>
          <w:tab w:val="clear" w:pos="1728"/>
          <w:tab w:val="left" w:pos="1080"/>
        </w:tabs>
        <w:spacing w:after="240"/>
        <w:rPr>
          <w:smallCaps/>
          <w:noProof w:val="0"/>
          <w:lang w:val="es-ES"/>
        </w:rPr>
      </w:pPr>
      <w:r w:rsidRPr="00B833E0">
        <w:rPr>
          <w:smallCaps/>
          <w:noProof w:val="0"/>
          <w:lang w:val="es-ES"/>
        </w:rPr>
        <w:t>Disponibilidad de los Recursos</w:t>
      </w:r>
    </w:p>
    <w:p w:rsidR="00F052E5" w:rsidRPr="00B833E0" w:rsidRDefault="00F052E5" w:rsidP="00C173AE">
      <w:pPr>
        <w:pStyle w:val="TOC3"/>
        <w:numPr>
          <w:ilvl w:val="0"/>
          <w:numId w:val="13"/>
        </w:numPr>
        <w:tabs>
          <w:tab w:val="clear" w:pos="1728"/>
          <w:tab w:val="left" w:pos="1080"/>
        </w:tabs>
        <w:spacing w:after="240"/>
        <w:rPr>
          <w:smallCaps/>
          <w:noProof w:val="0"/>
          <w:lang w:val="es-ES"/>
        </w:rPr>
      </w:pPr>
      <w:r w:rsidRPr="00B833E0">
        <w:rPr>
          <w:smallCaps/>
          <w:noProof w:val="0"/>
          <w:lang w:val="es-ES"/>
        </w:rPr>
        <w:t>Costo Financiero</w:t>
      </w:r>
    </w:p>
    <w:p w:rsidR="00F052E5" w:rsidRPr="00B833E0" w:rsidRDefault="00F052E5" w:rsidP="00F052E5">
      <w:pPr>
        <w:pStyle w:val="TOC3"/>
        <w:numPr>
          <w:ilvl w:val="0"/>
          <w:numId w:val="13"/>
        </w:numPr>
        <w:tabs>
          <w:tab w:val="clear" w:pos="1728"/>
          <w:tab w:val="left" w:pos="1080"/>
        </w:tabs>
        <w:spacing w:after="240"/>
        <w:rPr>
          <w:smallCaps/>
          <w:noProof w:val="0"/>
          <w:lang w:val="es-ES"/>
        </w:rPr>
      </w:pPr>
      <w:r w:rsidRPr="00B833E0">
        <w:rPr>
          <w:smallCaps/>
          <w:noProof w:val="0"/>
          <w:lang w:val="es-ES"/>
        </w:rPr>
        <w:t>Indicadores</w:t>
      </w:r>
    </w:p>
    <w:p w:rsidR="00F7780E" w:rsidRPr="00B833E0" w:rsidRDefault="00E23CA7" w:rsidP="00C173AE">
      <w:pPr>
        <w:pStyle w:val="TOC3"/>
        <w:numPr>
          <w:ilvl w:val="0"/>
          <w:numId w:val="13"/>
        </w:numPr>
        <w:tabs>
          <w:tab w:val="clear" w:pos="1728"/>
          <w:tab w:val="left" w:pos="1080"/>
        </w:tabs>
        <w:spacing w:after="240"/>
        <w:rPr>
          <w:smallCaps/>
          <w:noProof w:val="0"/>
          <w:lang w:val="es-ES"/>
        </w:rPr>
      </w:pPr>
      <w:r w:rsidRPr="00B833E0">
        <w:rPr>
          <w:smallCaps/>
          <w:noProof w:val="0"/>
          <w:lang w:val="es-ES"/>
        </w:rPr>
        <w:t>Val</w:t>
      </w:r>
      <w:r w:rsidR="0043256E" w:rsidRPr="00B833E0">
        <w:rPr>
          <w:smallCaps/>
          <w:noProof w:val="0"/>
          <w:lang w:val="es-ES"/>
        </w:rPr>
        <w:t>oración de la Eficacia en Funció</w:t>
      </w:r>
      <w:r w:rsidRPr="00B833E0">
        <w:rPr>
          <w:smallCaps/>
          <w:noProof w:val="0"/>
          <w:lang w:val="es-ES"/>
        </w:rPr>
        <w:t>n del Costo</w:t>
      </w:r>
    </w:p>
    <w:p w:rsidR="00F7780E" w:rsidRPr="00B833E0" w:rsidRDefault="0043256E" w:rsidP="00C173AE">
      <w:pPr>
        <w:pStyle w:val="TOC3"/>
        <w:numPr>
          <w:ilvl w:val="0"/>
          <w:numId w:val="13"/>
        </w:numPr>
        <w:tabs>
          <w:tab w:val="clear" w:pos="1728"/>
          <w:tab w:val="left" w:pos="1080"/>
        </w:tabs>
        <w:spacing w:after="240"/>
        <w:rPr>
          <w:smallCaps/>
          <w:noProof w:val="0"/>
          <w:lang w:val="es-ES"/>
        </w:rPr>
      </w:pPr>
      <w:r w:rsidRPr="00B833E0">
        <w:rPr>
          <w:smallCaps/>
          <w:noProof w:val="0"/>
          <w:lang w:val="es-ES"/>
        </w:rPr>
        <w:t>Aná</w:t>
      </w:r>
      <w:r w:rsidR="00E23CA7" w:rsidRPr="00B833E0">
        <w:rPr>
          <w:smallCaps/>
          <w:noProof w:val="0"/>
          <w:lang w:val="es-ES"/>
        </w:rPr>
        <w:t>li</w:t>
      </w:r>
      <w:r w:rsidR="00F7780E" w:rsidRPr="00B833E0">
        <w:rPr>
          <w:smallCaps/>
          <w:noProof w:val="0"/>
          <w:lang w:val="es-ES"/>
        </w:rPr>
        <w:t>sis</w:t>
      </w:r>
      <w:r w:rsidR="00E23CA7" w:rsidRPr="00B833E0">
        <w:rPr>
          <w:smallCaps/>
          <w:noProof w:val="0"/>
          <w:lang w:val="es-ES"/>
        </w:rPr>
        <w:t xml:space="preserve"> de Sensibilidad</w:t>
      </w:r>
    </w:p>
    <w:p w:rsidR="00F7780E" w:rsidRPr="00B833E0" w:rsidRDefault="00F7780E" w:rsidP="00C173AE">
      <w:pPr>
        <w:pStyle w:val="TOC3"/>
        <w:numPr>
          <w:ilvl w:val="0"/>
          <w:numId w:val="13"/>
        </w:numPr>
        <w:tabs>
          <w:tab w:val="clear" w:pos="1728"/>
          <w:tab w:val="left" w:pos="1080"/>
        </w:tabs>
        <w:spacing w:after="240"/>
        <w:rPr>
          <w:smallCaps/>
          <w:noProof w:val="0"/>
          <w:lang w:val="es-ES"/>
        </w:rPr>
      </w:pPr>
      <w:r w:rsidRPr="00B833E0">
        <w:rPr>
          <w:smallCaps/>
          <w:noProof w:val="0"/>
          <w:lang w:val="es-ES"/>
        </w:rPr>
        <w:t>Conclusion</w:t>
      </w:r>
      <w:r w:rsidR="00E23CA7" w:rsidRPr="00B833E0">
        <w:rPr>
          <w:smallCaps/>
          <w:noProof w:val="0"/>
          <w:lang w:val="es-ES"/>
        </w:rPr>
        <w:t>e</w:t>
      </w:r>
      <w:r w:rsidRPr="00B833E0">
        <w:rPr>
          <w:smallCaps/>
          <w:noProof w:val="0"/>
          <w:lang w:val="es-ES"/>
        </w:rPr>
        <w:t>s</w:t>
      </w:r>
    </w:p>
    <w:p w:rsidR="00E23CA7" w:rsidRPr="00B833E0" w:rsidRDefault="00E23CA7" w:rsidP="00E23CA7">
      <w:pPr>
        <w:rPr>
          <w:lang w:val="es-ES"/>
        </w:rPr>
      </w:pPr>
    </w:p>
    <w:p w:rsidR="00D34A60" w:rsidRPr="00B833E0" w:rsidRDefault="008E629C" w:rsidP="002F3035">
      <w:pPr>
        <w:pStyle w:val="TOC3"/>
        <w:rPr>
          <w:noProof w:val="0"/>
          <w:lang w:val="es-ES"/>
        </w:rPr>
        <w:sectPr w:rsidR="00D34A60" w:rsidRPr="00B833E0" w:rsidSect="009612C8">
          <w:headerReference w:type="default" r:id="rId13"/>
          <w:pgSz w:w="12240" w:h="15840" w:code="1"/>
          <w:pgMar w:top="1440" w:right="1800" w:bottom="1440" w:left="1800" w:header="706" w:footer="706" w:gutter="0"/>
          <w:pgNumType w:start="1"/>
          <w:cols w:space="720"/>
          <w:formProt w:val="0"/>
          <w:titlePg/>
        </w:sectPr>
      </w:pPr>
      <w:r w:rsidRPr="00B833E0">
        <w:rPr>
          <w:noProof w:val="0"/>
          <w:lang w:val="es-ES"/>
        </w:rPr>
        <w:br w:type="page"/>
      </w:r>
      <w:bookmarkStart w:id="1" w:name="ESSectionPages0"/>
      <w:bookmarkStart w:id="2" w:name="ESSectionPages"/>
      <w:bookmarkEnd w:id="1"/>
      <w:bookmarkEnd w:id="2"/>
    </w:p>
    <w:p w:rsidR="00CD3245" w:rsidRPr="00B833E0" w:rsidRDefault="00CD3245" w:rsidP="00CD3245">
      <w:pPr>
        <w:rPr>
          <w:lang w:val="es-ES"/>
        </w:rPr>
      </w:pPr>
    </w:p>
    <w:p w:rsidR="00CD3245" w:rsidRPr="00B833E0" w:rsidRDefault="00CD3245" w:rsidP="00CD3245">
      <w:pPr>
        <w:rPr>
          <w:lang w:val="es-ES"/>
        </w:rPr>
        <w:sectPr w:rsidR="00CD3245" w:rsidRPr="00B833E0" w:rsidSect="009612C8">
          <w:headerReference w:type="even" r:id="rId14"/>
          <w:headerReference w:type="default" r:id="rId15"/>
          <w:headerReference w:type="first" r:id="rId16"/>
          <w:type w:val="continuous"/>
          <w:pgSz w:w="12240" w:h="15840" w:code="1"/>
          <w:pgMar w:top="1350" w:right="1080" w:bottom="1530" w:left="1800" w:header="706" w:footer="436" w:gutter="0"/>
          <w:cols w:space="720"/>
          <w:formProt w:val="0"/>
          <w:titlePg/>
        </w:sectPr>
      </w:pPr>
    </w:p>
    <w:p w:rsidR="00802C9A" w:rsidRPr="00B833E0" w:rsidRDefault="005F7A7D" w:rsidP="00CD3245">
      <w:pPr>
        <w:pStyle w:val="Chapter"/>
        <w:rPr>
          <w:lang w:val="es-ES"/>
        </w:rPr>
      </w:pPr>
      <w:r w:rsidRPr="00B833E0">
        <w:rPr>
          <w:lang w:val="es-ES"/>
        </w:rPr>
        <w:lastRenderedPageBreak/>
        <w:t>Introducc</w:t>
      </w:r>
      <w:r w:rsidR="0043256E" w:rsidRPr="00B833E0">
        <w:rPr>
          <w:lang w:val="es-ES"/>
        </w:rPr>
        <w:t>ió</w:t>
      </w:r>
      <w:r w:rsidR="00F7780E" w:rsidRPr="00B833E0">
        <w:rPr>
          <w:lang w:val="es-ES"/>
        </w:rPr>
        <w:t>n</w:t>
      </w:r>
    </w:p>
    <w:p w:rsidR="0034110A" w:rsidRPr="0034110A" w:rsidRDefault="0034110A" w:rsidP="0034110A">
      <w:pPr>
        <w:pStyle w:val="Paragraph"/>
        <w:rPr>
          <w:lang w:val="es-ES"/>
        </w:rPr>
      </w:pPr>
      <w:r w:rsidRPr="0034110A">
        <w:rPr>
          <w:lang w:val="es-ES"/>
        </w:rPr>
        <w:t xml:space="preserve">Los países de Centroamérica y el Caribe se encuentran expuestos con una frecuencia creciente a desastres naturales de intensidad severa. Costa Rica, por su ubicación geográfica, está expuesta a un número elevado de amenazas naturales como inundaciones, huracanes, terremotos, volcanes, y deslizamientos. Según un estudio realizado por el Banco </w:t>
      </w:r>
      <w:proofErr w:type="gramStart"/>
      <w:r w:rsidRPr="0034110A">
        <w:rPr>
          <w:lang w:val="es-ES"/>
        </w:rPr>
        <w:t>Mundial ,</w:t>
      </w:r>
      <w:proofErr w:type="gramEnd"/>
      <w:r w:rsidRPr="0034110A">
        <w:rPr>
          <w:lang w:val="es-ES"/>
        </w:rPr>
        <w:t xml:space="preserve"> Costa Rica es el segundo país del mundo con mayor exposición a amenazas múltiples según la superficie territorial expuesta, con un 36,8% de su área total expuesta a tres o más tipos de eventos naturales adversos de magnitud potencialmente severa o catastrófica. Esta situación, sumada a diversos factores sociales, económicos, y de concentración y crecimiento poblacional, resultan en una elevada vulnerabilidad de Costa Rica ante desastres naturales. En efecto, aproximadamente el 80% del PIB del país proviene de zonas con alto riesgo de múltiples peligros.</w:t>
      </w:r>
    </w:p>
    <w:p w:rsidR="0034110A" w:rsidRDefault="0034110A" w:rsidP="0034110A">
      <w:pPr>
        <w:pStyle w:val="Paragraph"/>
        <w:rPr>
          <w:lang w:val="es-ES"/>
        </w:rPr>
      </w:pPr>
      <w:r w:rsidRPr="0034110A">
        <w:rPr>
          <w:lang w:val="es-ES"/>
        </w:rPr>
        <w:t xml:space="preserve">La frecuencia de los desastres naturales en Costa Rica es alta. Sólo en los últimos 40 años el país ha sufrido 53 desastres de origen natural de diversos tipos y ha registrado pérdidas económicas por un monto aproximado de US$1.112 millones, afectando a más de 1,67 millones de </w:t>
      </w:r>
      <w:proofErr w:type="gramStart"/>
      <w:r w:rsidRPr="0034110A">
        <w:rPr>
          <w:lang w:val="es-ES"/>
        </w:rPr>
        <w:t>personas .</w:t>
      </w:r>
      <w:proofErr w:type="gramEnd"/>
      <w:r w:rsidRPr="0034110A">
        <w:rPr>
          <w:lang w:val="es-ES"/>
        </w:rPr>
        <w:t xml:space="preserve"> Entre los eventos más devastadores para el país destacan el huracán César de 1996 y el sismo de </w:t>
      </w:r>
      <w:proofErr w:type="spellStart"/>
      <w:r w:rsidRPr="0034110A">
        <w:rPr>
          <w:lang w:val="es-ES"/>
        </w:rPr>
        <w:t>Telire</w:t>
      </w:r>
      <w:proofErr w:type="spellEnd"/>
      <w:r w:rsidRPr="0034110A">
        <w:rPr>
          <w:lang w:val="es-ES"/>
        </w:rPr>
        <w:t>-Limón de 1991 que causaron pérdidas económicas totales de US$200 millones y US$500 millones, respectivamente.</w:t>
      </w:r>
    </w:p>
    <w:p w:rsidR="0034110A" w:rsidRPr="0034110A" w:rsidRDefault="00AD2722" w:rsidP="003642A0">
      <w:pPr>
        <w:pStyle w:val="Paragraph"/>
        <w:rPr>
          <w:lang w:val="es-ES"/>
        </w:rPr>
      </w:pPr>
      <w:r w:rsidRPr="00B833E0">
        <w:rPr>
          <w:lang w:val="es-ES"/>
        </w:rPr>
        <w:t xml:space="preserve">Por lo anterior, se considera que </w:t>
      </w:r>
      <w:r w:rsidR="0034110A">
        <w:rPr>
          <w:lang w:val="es-ES"/>
        </w:rPr>
        <w:t>a</w:t>
      </w:r>
      <w:r w:rsidR="0034110A" w:rsidRPr="00CC7D51">
        <w:rPr>
          <w:lang w:val="es-ES_tradnl"/>
        </w:rPr>
        <w:t xml:space="preserve"> pesar de que la situación macroeconómica de </w:t>
      </w:r>
      <w:r w:rsidR="0034110A">
        <w:rPr>
          <w:lang w:val="es-ES_tradnl"/>
        </w:rPr>
        <w:t>Costa Rica se considera en general positiva</w:t>
      </w:r>
      <w:r w:rsidR="0034110A">
        <w:rPr>
          <w:rStyle w:val="FootnoteReference"/>
          <w:color w:val="000000"/>
          <w:szCs w:val="24"/>
          <w:lang w:val="es-ES_tradnl"/>
        </w:rPr>
        <w:footnoteReference w:id="1"/>
      </w:r>
      <w:r w:rsidR="0034110A">
        <w:rPr>
          <w:lang w:val="es-ES_tradnl"/>
        </w:rPr>
        <w:t xml:space="preserve">, </w:t>
      </w:r>
      <w:r w:rsidR="0034110A" w:rsidRPr="00CC7D51">
        <w:rPr>
          <w:lang w:val="es-ES_tradnl"/>
        </w:rPr>
        <w:t>la ocurrencia de un desastre natural de gran magnitud representa uno de los principales pasivos contingentes que podría comprometer dicha estabilidad. De acuerdo a un estudio técnico elaborado por el Banco</w:t>
      </w:r>
      <w:r w:rsidR="0034110A" w:rsidRPr="00CC7D51">
        <w:rPr>
          <w:rStyle w:val="FootnoteReference"/>
          <w:color w:val="000000"/>
          <w:szCs w:val="24"/>
          <w:lang w:val="es-ES_tradnl"/>
        </w:rPr>
        <w:footnoteReference w:id="2"/>
      </w:r>
      <w:r w:rsidR="0034110A" w:rsidRPr="00CC7D51">
        <w:rPr>
          <w:lang w:val="es-ES_tradnl"/>
        </w:rPr>
        <w:t xml:space="preserve"> que </w:t>
      </w:r>
      <w:r w:rsidR="0034110A">
        <w:rPr>
          <w:lang w:val="es-ES_tradnl"/>
        </w:rPr>
        <w:t>analiza</w:t>
      </w:r>
      <w:r w:rsidR="0034110A" w:rsidRPr="00CC7D51">
        <w:rPr>
          <w:lang w:val="es-ES_tradnl"/>
        </w:rPr>
        <w:t xml:space="preserve"> la capacidad económica del país para hacer frente a eventos catastróficos, ante </w:t>
      </w:r>
      <w:r w:rsidR="0034110A">
        <w:rPr>
          <w:lang w:val="es-ES_tradnl"/>
        </w:rPr>
        <w:t xml:space="preserve">la ocurrencia de </w:t>
      </w:r>
      <w:r w:rsidR="0034110A" w:rsidRPr="00CC7D51">
        <w:rPr>
          <w:lang w:val="es-ES_tradnl"/>
        </w:rPr>
        <w:t>un evento extremo con un período de recurrencia de aproximadamente 100 años, el país podría incurrir en</w:t>
      </w:r>
      <w:r w:rsidR="0034110A">
        <w:rPr>
          <w:lang w:val="es-ES_tradnl"/>
        </w:rPr>
        <w:t xml:space="preserve"> </w:t>
      </w:r>
      <w:r w:rsidR="0034110A" w:rsidRPr="00CC7D51">
        <w:rPr>
          <w:lang w:val="es-ES_tradnl"/>
        </w:rPr>
        <w:t>pérdida</w:t>
      </w:r>
      <w:r w:rsidR="0034110A">
        <w:rPr>
          <w:lang w:val="es-ES_tradnl"/>
        </w:rPr>
        <w:t>s</w:t>
      </w:r>
      <w:r w:rsidR="0034110A" w:rsidRPr="00CC7D51">
        <w:rPr>
          <w:lang w:val="es-ES_tradnl"/>
        </w:rPr>
        <w:t xml:space="preserve"> equivalente</w:t>
      </w:r>
      <w:r w:rsidR="0034110A">
        <w:rPr>
          <w:lang w:val="es-ES_tradnl"/>
        </w:rPr>
        <w:t>s</w:t>
      </w:r>
      <w:r w:rsidR="0034110A" w:rsidRPr="00CC7D51">
        <w:rPr>
          <w:lang w:val="es-ES_tradnl"/>
        </w:rPr>
        <w:t xml:space="preserve"> a </w:t>
      </w:r>
      <w:r w:rsidR="0034110A">
        <w:rPr>
          <w:lang w:val="es-ES_tradnl"/>
        </w:rPr>
        <w:t>un 6,95% del PIB</w:t>
      </w:r>
      <w:r w:rsidR="0034110A">
        <w:rPr>
          <w:rStyle w:val="FootnoteReference"/>
          <w:color w:val="000000"/>
          <w:szCs w:val="24"/>
          <w:lang w:val="es-ES_tradnl"/>
        </w:rPr>
        <w:footnoteReference w:id="3"/>
      </w:r>
      <w:r w:rsidR="0034110A">
        <w:rPr>
          <w:lang w:val="es-ES_tradnl"/>
        </w:rPr>
        <w:t xml:space="preserve">, de las cuales un 4,7% </w:t>
      </w:r>
      <w:r w:rsidR="0034110A" w:rsidRPr="00CC7D51">
        <w:rPr>
          <w:lang w:val="es-ES_tradnl"/>
        </w:rPr>
        <w:t>del PIB</w:t>
      </w:r>
      <w:r w:rsidR="0034110A">
        <w:rPr>
          <w:lang w:val="es-ES_tradnl"/>
        </w:rPr>
        <w:t xml:space="preserve"> serían asumidas por el sector público</w:t>
      </w:r>
      <w:r w:rsidR="0034110A" w:rsidRPr="00CC7D51">
        <w:rPr>
          <w:lang w:val="es-ES_tradnl"/>
        </w:rPr>
        <w:t>.</w:t>
      </w:r>
      <w:r w:rsidR="0034110A" w:rsidRPr="0034110A">
        <w:rPr>
          <w:lang w:val="es-ES"/>
        </w:rPr>
        <w:t xml:space="preserve"> </w:t>
      </w:r>
      <w:r w:rsidR="0034110A" w:rsidRPr="00B833E0">
        <w:rPr>
          <w:lang w:val="es-ES"/>
        </w:rPr>
        <w:t>Resulta así evidente la importancia de que el país avance en el desarrollo de una estrategia financiera integral que le permita establecer una cobertura financiera apropiada para atender, al menos inicialmente la fase de las emergencias en caso de desastres catastróficos.</w:t>
      </w:r>
    </w:p>
    <w:p w:rsidR="00C173AE" w:rsidRPr="00B833E0" w:rsidRDefault="00C173AE" w:rsidP="003642A0">
      <w:pPr>
        <w:pStyle w:val="Paragraph"/>
        <w:rPr>
          <w:lang w:val="es-ES"/>
        </w:rPr>
      </w:pPr>
      <w:r w:rsidRPr="00B833E0">
        <w:rPr>
          <w:lang w:val="es-ES"/>
        </w:rPr>
        <w:t xml:space="preserve">En este sentido, el presente análisis da por hecho que los potenciales beneficios de enfocarse en </w:t>
      </w:r>
      <w:r w:rsidR="001A1A9C" w:rsidRPr="00B833E0">
        <w:rPr>
          <w:lang w:val="es-ES"/>
        </w:rPr>
        <w:t xml:space="preserve">estos </w:t>
      </w:r>
      <w:r w:rsidRPr="00B833E0">
        <w:rPr>
          <w:lang w:val="es-ES"/>
        </w:rPr>
        <w:t xml:space="preserve">programas de financiamiento ex ante para la fase de emergencia </w:t>
      </w:r>
      <w:r w:rsidR="00F12EC3" w:rsidRPr="00B833E0">
        <w:rPr>
          <w:lang w:val="es-ES"/>
        </w:rPr>
        <w:t xml:space="preserve">de desastres </w:t>
      </w:r>
      <w:r w:rsidRPr="00B833E0">
        <w:rPr>
          <w:lang w:val="es-ES"/>
        </w:rPr>
        <w:t xml:space="preserve">son mayores que sus eventuales costos. La disponibilidad oportuna de recursos líquidos en la fase de emergencia </w:t>
      </w:r>
      <w:r w:rsidR="00F12EC3" w:rsidRPr="00B833E0">
        <w:rPr>
          <w:lang w:val="es-ES"/>
        </w:rPr>
        <w:t>reduce parcialmente el riesgo de peores escenarios de impacto del desastre sobre las cuentas públicas</w:t>
      </w:r>
      <w:r w:rsidR="005C115B" w:rsidRPr="00B833E0">
        <w:rPr>
          <w:lang w:val="es-ES"/>
        </w:rPr>
        <w:t>,</w:t>
      </w:r>
      <w:r w:rsidR="00F12EC3" w:rsidRPr="00B833E0">
        <w:rPr>
          <w:lang w:val="es-ES"/>
        </w:rPr>
        <w:t xml:space="preserve"> al disponer de financiamiento para enfrentar los costos de las emergencias</w:t>
      </w:r>
      <w:r w:rsidR="00647A42" w:rsidRPr="00B833E0">
        <w:rPr>
          <w:lang w:val="es-ES"/>
        </w:rPr>
        <w:t>, a la vez que</w:t>
      </w:r>
      <w:r w:rsidR="00F12EC3" w:rsidRPr="00B833E0">
        <w:rPr>
          <w:lang w:val="es-ES"/>
        </w:rPr>
        <w:t xml:space="preserve"> </w:t>
      </w:r>
      <w:r w:rsidRPr="00B833E0">
        <w:rPr>
          <w:lang w:val="es-ES"/>
        </w:rPr>
        <w:t xml:space="preserve">evita incurrir en mayores costos por agravamiento de pérdidas, </w:t>
      </w:r>
      <w:r w:rsidR="00F12EC3" w:rsidRPr="00B833E0">
        <w:rPr>
          <w:lang w:val="es-ES"/>
        </w:rPr>
        <w:t xml:space="preserve">y </w:t>
      </w:r>
      <w:r w:rsidRPr="00B833E0">
        <w:rPr>
          <w:lang w:val="es-ES"/>
        </w:rPr>
        <w:t>del prolongamiento de la caída de la actividad económica</w:t>
      </w:r>
      <w:r w:rsidR="00647A42" w:rsidRPr="00B833E0">
        <w:rPr>
          <w:lang w:val="es-ES"/>
        </w:rPr>
        <w:t xml:space="preserve"> </w:t>
      </w:r>
      <w:r w:rsidR="00F12EC3" w:rsidRPr="00B833E0">
        <w:rPr>
          <w:lang w:val="es-ES"/>
        </w:rPr>
        <w:t xml:space="preserve">(BID. </w:t>
      </w:r>
      <w:proofErr w:type="spellStart"/>
      <w:r w:rsidR="001B5F39" w:rsidRPr="00B833E0">
        <w:rPr>
          <w:lang w:val="es-ES"/>
        </w:rPr>
        <w:t>Distaster</w:t>
      </w:r>
      <w:proofErr w:type="spellEnd"/>
      <w:r w:rsidR="001B5F39" w:rsidRPr="00B833E0">
        <w:rPr>
          <w:lang w:val="es-ES"/>
        </w:rPr>
        <w:t xml:space="preserve"> </w:t>
      </w:r>
      <w:proofErr w:type="spellStart"/>
      <w:r w:rsidR="001B5F39" w:rsidRPr="00B833E0">
        <w:rPr>
          <w:lang w:val="es-ES"/>
        </w:rPr>
        <w:t>Risk</w:t>
      </w:r>
      <w:proofErr w:type="spellEnd"/>
      <w:r w:rsidR="001B5F39" w:rsidRPr="00B833E0">
        <w:rPr>
          <w:lang w:val="es-ES"/>
        </w:rPr>
        <w:t xml:space="preserve"> Management. </w:t>
      </w:r>
      <w:proofErr w:type="spellStart"/>
      <w:r w:rsidR="001B5F39" w:rsidRPr="00B833E0">
        <w:rPr>
          <w:lang w:val="es-ES"/>
        </w:rPr>
        <w:t>Freeman</w:t>
      </w:r>
      <w:proofErr w:type="spellEnd"/>
      <w:r w:rsidR="001B5F39" w:rsidRPr="00B833E0">
        <w:rPr>
          <w:lang w:val="es-ES"/>
        </w:rPr>
        <w:t xml:space="preserve">, </w:t>
      </w:r>
      <w:proofErr w:type="spellStart"/>
      <w:r w:rsidR="001B5F39" w:rsidRPr="00B833E0">
        <w:rPr>
          <w:lang w:val="es-ES"/>
        </w:rPr>
        <w:t>Mechler</w:t>
      </w:r>
      <w:proofErr w:type="spellEnd"/>
      <w:r w:rsidR="001B5F39" w:rsidRPr="00B833E0">
        <w:rPr>
          <w:lang w:val="es-ES"/>
        </w:rPr>
        <w:t xml:space="preserve"> y otros</w:t>
      </w:r>
      <w:r w:rsidR="000D611F">
        <w:rPr>
          <w:lang w:val="es-ES"/>
        </w:rPr>
        <w:t>,</w:t>
      </w:r>
      <w:r w:rsidR="001B5F39" w:rsidRPr="00B833E0">
        <w:rPr>
          <w:lang w:val="es-ES"/>
        </w:rPr>
        <w:t xml:space="preserve"> </w:t>
      </w:r>
      <w:r w:rsidR="000D611F">
        <w:rPr>
          <w:lang w:val="es-ES"/>
        </w:rPr>
        <w:t>2002</w:t>
      </w:r>
      <w:r w:rsidR="001B5F39" w:rsidRPr="00B833E0">
        <w:rPr>
          <w:lang w:val="es-ES"/>
        </w:rPr>
        <w:t>)</w:t>
      </w:r>
      <w:r w:rsidRPr="00B833E0">
        <w:rPr>
          <w:lang w:val="es-ES"/>
        </w:rPr>
        <w:t>.</w:t>
      </w:r>
    </w:p>
    <w:p w:rsidR="002F72F5" w:rsidRPr="00B833E0" w:rsidRDefault="00DA2FFD" w:rsidP="003642A0">
      <w:pPr>
        <w:pStyle w:val="Paragraph"/>
        <w:rPr>
          <w:lang w:val="es-ES"/>
        </w:rPr>
      </w:pPr>
      <w:r w:rsidRPr="00B833E0">
        <w:rPr>
          <w:lang w:val="es-ES"/>
        </w:rPr>
        <w:lastRenderedPageBreak/>
        <w:t xml:space="preserve">La </w:t>
      </w:r>
      <w:r w:rsidR="004022F3" w:rsidRPr="00B833E0">
        <w:rPr>
          <w:lang w:val="es-ES"/>
        </w:rPr>
        <w:t xml:space="preserve">presente </w:t>
      </w:r>
      <w:r w:rsidRPr="00B833E0">
        <w:rPr>
          <w:lang w:val="es-ES"/>
        </w:rPr>
        <w:t xml:space="preserve">operación </w:t>
      </w:r>
      <w:r w:rsidR="004022F3" w:rsidRPr="00B833E0">
        <w:rPr>
          <w:lang w:val="es-ES"/>
        </w:rPr>
        <w:t>de</w:t>
      </w:r>
      <w:r w:rsidR="003E3109" w:rsidRPr="00B833E0">
        <w:rPr>
          <w:lang w:val="es-ES"/>
        </w:rPr>
        <w:t xml:space="preserve"> deuda contingente</w:t>
      </w:r>
      <w:r w:rsidR="00647A42" w:rsidRPr="00B833E0">
        <w:rPr>
          <w:lang w:val="es-ES"/>
        </w:rPr>
        <w:t xml:space="preserve"> hace posible una </w:t>
      </w:r>
      <w:r w:rsidR="003E3109" w:rsidRPr="00B833E0">
        <w:rPr>
          <w:lang w:val="es-ES"/>
        </w:rPr>
        <w:t>cobertura</w:t>
      </w:r>
      <w:r w:rsidR="002F72F5" w:rsidRPr="00B833E0">
        <w:rPr>
          <w:lang w:val="es-ES"/>
        </w:rPr>
        <w:t xml:space="preserve"> </w:t>
      </w:r>
      <w:r w:rsidR="003E3109" w:rsidRPr="00B833E0">
        <w:rPr>
          <w:lang w:val="es-ES"/>
        </w:rPr>
        <w:t xml:space="preserve">más eficiente en términos del costo y </w:t>
      </w:r>
      <w:r w:rsidR="001A1A9C" w:rsidRPr="00B833E0">
        <w:rPr>
          <w:lang w:val="es-ES"/>
        </w:rPr>
        <w:t xml:space="preserve">de </w:t>
      </w:r>
      <w:r w:rsidR="003E3109" w:rsidRPr="00B833E0">
        <w:rPr>
          <w:lang w:val="es-ES"/>
        </w:rPr>
        <w:t>disponibilidad de los recursos necesarios</w:t>
      </w:r>
      <w:r w:rsidR="002F72F5" w:rsidRPr="00B833E0">
        <w:rPr>
          <w:lang w:val="es-ES"/>
        </w:rPr>
        <w:t xml:space="preserve"> </w:t>
      </w:r>
      <w:r w:rsidR="003E3109" w:rsidRPr="00B833E0">
        <w:rPr>
          <w:lang w:val="es-ES"/>
        </w:rPr>
        <w:t xml:space="preserve">para afrontar los gastos extraordinarios </w:t>
      </w:r>
      <w:r w:rsidR="007B4C57" w:rsidRPr="00B833E0">
        <w:rPr>
          <w:lang w:val="es-ES"/>
        </w:rPr>
        <w:t>d</w:t>
      </w:r>
      <w:r w:rsidR="00C173AE" w:rsidRPr="00B833E0">
        <w:rPr>
          <w:lang w:val="es-ES"/>
        </w:rPr>
        <w:t xml:space="preserve">urante la fase de </w:t>
      </w:r>
      <w:r w:rsidRPr="00B833E0">
        <w:rPr>
          <w:lang w:val="es-ES"/>
        </w:rPr>
        <w:t>emergencia</w:t>
      </w:r>
      <w:r w:rsidR="00647A42" w:rsidRPr="00B833E0">
        <w:rPr>
          <w:lang w:val="es-ES"/>
        </w:rPr>
        <w:t xml:space="preserve"> de un desastre</w:t>
      </w:r>
      <w:r w:rsidR="004022F3" w:rsidRPr="00B833E0">
        <w:rPr>
          <w:lang w:val="es-ES"/>
        </w:rPr>
        <w:t>. La disposición de estos recursos p</w:t>
      </w:r>
      <w:r w:rsidRPr="00B833E0">
        <w:rPr>
          <w:lang w:val="es-ES"/>
        </w:rPr>
        <w:t xml:space="preserve">ermite </w:t>
      </w:r>
      <w:r w:rsidR="003E3109" w:rsidRPr="00B833E0">
        <w:rPr>
          <w:lang w:val="es-ES"/>
        </w:rPr>
        <w:t>una reducción de la brecha de liquidez que generalmente enfrenta el</w:t>
      </w:r>
      <w:r w:rsidR="002F72F5" w:rsidRPr="00B833E0">
        <w:rPr>
          <w:lang w:val="es-ES"/>
        </w:rPr>
        <w:t xml:space="preserve"> </w:t>
      </w:r>
      <w:r w:rsidR="003E3109" w:rsidRPr="00B833E0">
        <w:rPr>
          <w:lang w:val="es-ES"/>
        </w:rPr>
        <w:t>gobierno en estas ocasiones, como consecuencia de la combinación de</w:t>
      </w:r>
      <w:r w:rsidR="004022F3" w:rsidRPr="00B833E0">
        <w:rPr>
          <w:lang w:val="es-ES"/>
        </w:rPr>
        <w:t xml:space="preserve">: i) </w:t>
      </w:r>
      <w:r w:rsidR="003E3109" w:rsidRPr="00B833E0">
        <w:rPr>
          <w:lang w:val="es-ES"/>
        </w:rPr>
        <w:t>mayores gastos</w:t>
      </w:r>
      <w:r w:rsidR="004022F3" w:rsidRPr="00B833E0">
        <w:rPr>
          <w:lang w:val="es-ES"/>
        </w:rPr>
        <w:t xml:space="preserve">; ii) </w:t>
      </w:r>
      <w:r w:rsidR="003E3109" w:rsidRPr="00B833E0">
        <w:rPr>
          <w:lang w:val="es-ES"/>
        </w:rPr>
        <w:t>menores ingresos</w:t>
      </w:r>
      <w:r w:rsidR="004022F3" w:rsidRPr="00B833E0">
        <w:rPr>
          <w:lang w:val="es-ES"/>
        </w:rPr>
        <w:t>;</w:t>
      </w:r>
      <w:r w:rsidR="003E3109" w:rsidRPr="00B833E0">
        <w:rPr>
          <w:lang w:val="es-ES"/>
        </w:rPr>
        <w:t xml:space="preserve"> y </w:t>
      </w:r>
      <w:r w:rsidR="004022F3" w:rsidRPr="00B833E0">
        <w:rPr>
          <w:lang w:val="es-ES"/>
        </w:rPr>
        <w:t xml:space="preserve">iii) </w:t>
      </w:r>
      <w:r w:rsidR="003E3109" w:rsidRPr="00B833E0">
        <w:rPr>
          <w:lang w:val="es-ES"/>
        </w:rPr>
        <w:t xml:space="preserve">restricciones incrementales en el acceso </w:t>
      </w:r>
      <w:r w:rsidR="004022F3" w:rsidRPr="00B833E0">
        <w:rPr>
          <w:lang w:val="es-ES"/>
        </w:rPr>
        <w:t xml:space="preserve">a recursos crediticios </w:t>
      </w:r>
      <w:r w:rsidR="003E3109" w:rsidRPr="00B833E0">
        <w:rPr>
          <w:lang w:val="es-ES"/>
        </w:rPr>
        <w:t xml:space="preserve">y </w:t>
      </w:r>
      <w:r w:rsidR="004022F3" w:rsidRPr="00B833E0">
        <w:rPr>
          <w:lang w:val="es-ES"/>
        </w:rPr>
        <w:t xml:space="preserve">aumento de su </w:t>
      </w:r>
      <w:r w:rsidR="003E3109" w:rsidRPr="00B833E0">
        <w:rPr>
          <w:lang w:val="es-ES"/>
        </w:rPr>
        <w:t>costo</w:t>
      </w:r>
      <w:r w:rsidR="007B4C57" w:rsidRPr="00B833E0">
        <w:rPr>
          <w:lang w:val="es-ES"/>
        </w:rPr>
        <w:t>.</w:t>
      </w:r>
    </w:p>
    <w:p w:rsidR="00CD3245" w:rsidRPr="00B833E0" w:rsidRDefault="00CD3245" w:rsidP="003642A0">
      <w:pPr>
        <w:pStyle w:val="Paragraph"/>
        <w:rPr>
          <w:lang w:val="es-ES"/>
        </w:rPr>
        <w:sectPr w:rsidR="00CD3245" w:rsidRPr="00B833E0" w:rsidSect="009612C8">
          <w:type w:val="continuous"/>
          <w:pgSz w:w="12240" w:h="15840" w:code="1"/>
          <w:pgMar w:top="1350" w:right="1080" w:bottom="1530" w:left="1800" w:header="706" w:footer="436" w:gutter="0"/>
          <w:cols w:space="720"/>
          <w:formProt w:val="0"/>
          <w:titlePg/>
        </w:sectPr>
      </w:pPr>
    </w:p>
    <w:p w:rsidR="005F7A7D" w:rsidRPr="00B833E0" w:rsidRDefault="005F7A7D" w:rsidP="003642A0">
      <w:pPr>
        <w:pStyle w:val="Chapter"/>
        <w:tabs>
          <w:tab w:val="num" w:pos="720"/>
        </w:tabs>
        <w:ind w:hanging="720"/>
        <w:rPr>
          <w:lang w:val="es-ES"/>
        </w:rPr>
      </w:pPr>
      <w:r w:rsidRPr="00B833E0">
        <w:rPr>
          <w:lang w:val="es-ES"/>
        </w:rPr>
        <w:lastRenderedPageBreak/>
        <w:t>Metas, Supuestos y Alternativas</w:t>
      </w:r>
    </w:p>
    <w:p w:rsidR="0053071B" w:rsidRPr="00B833E0" w:rsidRDefault="0053071B" w:rsidP="003642A0">
      <w:pPr>
        <w:pStyle w:val="Paragraph"/>
        <w:tabs>
          <w:tab w:val="num" w:pos="3600"/>
        </w:tabs>
        <w:autoSpaceDE w:val="0"/>
        <w:autoSpaceDN w:val="0"/>
        <w:adjustRightInd w:val="0"/>
        <w:rPr>
          <w:szCs w:val="24"/>
          <w:lang w:val="es-ES"/>
        </w:rPr>
      </w:pPr>
      <w:r w:rsidRPr="00B833E0">
        <w:rPr>
          <w:szCs w:val="24"/>
          <w:lang w:val="es-ES"/>
        </w:rPr>
        <w:t xml:space="preserve">El objetivo específico de la operación </w:t>
      </w:r>
      <w:r w:rsidR="00B73DE0" w:rsidRPr="00B833E0">
        <w:rPr>
          <w:szCs w:val="24"/>
          <w:lang w:val="es-ES"/>
        </w:rPr>
        <w:t>es</w:t>
      </w:r>
      <w:r w:rsidRPr="00B833E0">
        <w:rPr>
          <w:szCs w:val="24"/>
          <w:lang w:val="es-ES"/>
        </w:rPr>
        <w:t xml:space="preserve"> proporcionar una mayor </w:t>
      </w:r>
      <w:r w:rsidR="00B5620C" w:rsidRPr="00B833E0">
        <w:rPr>
          <w:szCs w:val="24"/>
          <w:lang w:val="es-ES"/>
        </w:rPr>
        <w:t>disponibilidad</w:t>
      </w:r>
      <w:r w:rsidRPr="00B833E0">
        <w:rPr>
          <w:szCs w:val="24"/>
          <w:lang w:val="es-ES"/>
        </w:rPr>
        <w:t xml:space="preserve">, estabilidad y eficiencia a la cobertura financiera ex ante con </w:t>
      </w:r>
      <w:r w:rsidR="00DA2FFD" w:rsidRPr="00B833E0">
        <w:rPr>
          <w:szCs w:val="24"/>
          <w:lang w:val="es-ES"/>
        </w:rPr>
        <w:t xml:space="preserve">la </w:t>
      </w:r>
      <w:r w:rsidRPr="00B833E0">
        <w:rPr>
          <w:szCs w:val="24"/>
          <w:lang w:val="es-ES"/>
        </w:rPr>
        <w:t>que cuenta el país para atender emergencias por desastres naturales de</w:t>
      </w:r>
      <w:r w:rsidR="00B73DE0" w:rsidRPr="00B833E0">
        <w:rPr>
          <w:szCs w:val="24"/>
          <w:lang w:val="es-ES"/>
        </w:rPr>
        <w:t xml:space="preserve"> carácter severo o catastrófico</w:t>
      </w:r>
      <w:r w:rsidR="005B2C97" w:rsidRPr="00B833E0">
        <w:rPr>
          <w:szCs w:val="24"/>
          <w:lang w:val="es-ES"/>
        </w:rPr>
        <w:t>.</w:t>
      </w:r>
    </w:p>
    <w:p w:rsidR="0059521B" w:rsidRPr="00B833E0" w:rsidRDefault="0059521B" w:rsidP="003642A0">
      <w:pPr>
        <w:pStyle w:val="Paragraph"/>
        <w:autoSpaceDE w:val="0"/>
        <w:autoSpaceDN w:val="0"/>
        <w:adjustRightInd w:val="0"/>
        <w:rPr>
          <w:szCs w:val="24"/>
          <w:lang w:val="es-ES"/>
        </w:rPr>
      </w:pPr>
      <w:r w:rsidRPr="00B833E0">
        <w:rPr>
          <w:szCs w:val="24"/>
          <w:lang w:val="es-ES"/>
        </w:rPr>
        <w:t xml:space="preserve">Se ha decidido utilizar una metodología costo eficacia en vez de una </w:t>
      </w:r>
      <w:r w:rsidR="00693EAF" w:rsidRPr="00B833E0">
        <w:rPr>
          <w:szCs w:val="24"/>
          <w:lang w:val="es-ES"/>
        </w:rPr>
        <w:t xml:space="preserve">metodología </w:t>
      </w:r>
      <w:r w:rsidRPr="00B833E0">
        <w:rPr>
          <w:szCs w:val="24"/>
          <w:lang w:val="es-ES"/>
        </w:rPr>
        <w:t xml:space="preserve">coste-beneficio, ya que el costo de medir </w:t>
      </w:r>
      <w:r w:rsidR="00225796" w:rsidRPr="00B833E0">
        <w:rPr>
          <w:szCs w:val="24"/>
          <w:lang w:val="es-ES"/>
        </w:rPr>
        <w:t>“beneficios</w:t>
      </w:r>
      <w:r w:rsidRPr="00B833E0">
        <w:rPr>
          <w:szCs w:val="24"/>
          <w:lang w:val="es-ES"/>
        </w:rPr>
        <w:t xml:space="preserve"> contingentes</w:t>
      </w:r>
      <w:r w:rsidR="00693EAF" w:rsidRPr="00B833E0">
        <w:rPr>
          <w:szCs w:val="24"/>
          <w:lang w:val="es-ES"/>
        </w:rPr>
        <w:t xml:space="preserve">” </w:t>
      </w:r>
      <w:r w:rsidRPr="00B833E0">
        <w:rPr>
          <w:szCs w:val="24"/>
          <w:lang w:val="es-ES"/>
        </w:rPr>
        <w:t xml:space="preserve">es muy alto, y el retorno de esta medición es muy bajo. </w:t>
      </w:r>
      <w:r w:rsidR="00693EAF" w:rsidRPr="00B833E0">
        <w:rPr>
          <w:szCs w:val="24"/>
          <w:lang w:val="es-ES"/>
        </w:rPr>
        <w:t>Se ha</w:t>
      </w:r>
      <w:r w:rsidRPr="00B833E0">
        <w:rPr>
          <w:szCs w:val="24"/>
          <w:lang w:val="es-ES"/>
        </w:rPr>
        <w:t xml:space="preserve"> de tener en cuenta que la probabilidad de realizar desembolsos es baja debido al carácter contingente de la operación. Los desembolsos sólo se producirán de verificarse la ocurrencia de un evento elegible durante el período de vigencia del Contrato de Préstamo. </w:t>
      </w:r>
    </w:p>
    <w:p w:rsidR="00AC6882" w:rsidRPr="00B833E0" w:rsidRDefault="005C115B" w:rsidP="003642A0">
      <w:pPr>
        <w:pStyle w:val="Paragraph"/>
        <w:autoSpaceDE w:val="0"/>
        <w:autoSpaceDN w:val="0"/>
        <w:adjustRightInd w:val="0"/>
        <w:rPr>
          <w:szCs w:val="24"/>
          <w:lang w:val="es-ES"/>
        </w:rPr>
      </w:pPr>
      <w:r w:rsidRPr="00B833E0">
        <w:rPr>
          <w:szCs w:val="24"/>
          <w:lang w:val="es-ES"/>
        </w:rPr>
        <w:t>Ante est</w:t>
      </w:r>
      <w:r w:rsidR="00B64747" w:rsidRPr="00B833E0">
        <w:rPr>
          <w:szCs w:val="24"/>
          <w:lang w:val="es-ES"/>
        </w:rPr>
        <w:t>e contexto</w:t>
      </w:r>
      <w:r w:rsidRPr="00B833E0">
        <w:rPr>
          <w:szCs w:val="24"/>
          <w:lang w:val="es-ES"/>
        </w:rPr>
        <w:t>, e</w:t>
      </w:r>
      <w:r w:rsidR="00AC6882" w:rsidRPr="00B833E0">
        <w:rPr>
          <w:szCs w:val="24"/>
          <w:lang w:val="es-ES"/>
        </w:rPr>
        <w:t xml:space="preserve">l análisis </w:t>
      </w:r>
      <w:r w:rsidR="00B64747" w:rsidRPr="00B833E0">
        <w:rPr>
          <w:szCs w:val="24"/>
          <w:lang w:val="es-ES"/>
        </w:rPr>
        <w:t>costo ef</w:t>
      </w:r>
      <w:r w:rsidR="009829BF" w:rsidRPr="00B833E0">
        <w:rPr>
          <w:szCs w:val="24"/>
          <w:lang w:val="es-ES"/>
        </w:rPr>
        <w:t xml:space="preserve">icacia </w:t>
      </w:r>
      <w:r w:rsidR="00AC6882" w:rsidRPr="00B833E0">
        <w:rPr>
          <w:szCs w:val="24"/>
          <w:lang w:val="es-ES"/>
        </w:rPr>
        <w:t xml:space="preserve">valora la eficiencia de </w:t>
      </w:r>
      <w:r w:rsidR="00E433A3" w:rsidRPr="00B833E0">
        <w:rPr>
          <w:szCs w:val="24"/>
          <w:lang w:val="es-ES"/>
        </w:rPr>
        <w:t xml:space="preserve">las </w:t>
      </w:r>
      <w:r w:rsidR="00B64747" w:rsidRPr="00B833E0">
        <w:rPr>
          <w:szCs w:val="24"/>
          <w:lang w:val="es-ES"/>
        </w:rPr>
        <w:t xml:space="preserve">distintas </w:t>
      </w:r>
      <w:r w:rsidR="00AC6882" w:rsidRPr="00B833E0">
        <w:rPr>
          <w:szCs w:val="24"/>
          <w:lang w:val="es-ES"/>
        </w:rPr>
        <w:t xml:space="preserve">alternativas </w:t>
      </w:r>
      <w:r w:rsidR="001A1A9C" w:rsidRPr="00B833E0">
        <w:rPr>
          <w:szCs w:val="24"/>
          <w:lang w:val="es-ES"/>
        </w:rPr>
        <w:t xml:space="preserve">de </w:t>
      </w:r>
      <w:r w:rsidR="00E433A3" w:rsidRPr="00B833E0">
        <w:rPr>
          <w:szCs w:val="24"/>
          <w:lang w:val="es-ES"/>
        </w:rPr>
        <w:t xml:space="preserve">cobertura mediante deuda que </w:t>
      </w:r>
      <w:r w:rsidR="00294392">
        <w:rPr>
          <w:szCs w:val="24"/>
          <w:lang w:val="es-ES"/>
        </w:rPr>
        <w:t>Costa Rica</w:t>
      </w:r>
      <w:r w:rsidR="008A438D" w:rsidRPr="00B833E0">
        <w:rPr>
          <w:szCs w:val="24"/>
          <w:lang w:val="es-ES"/>
        </w:rPr>
        <w:t xml:space="preserve"> </w:t>
      </w:r>
      <w:r w:rsidR="00E433A3" w:rsidRPr="00B833E0">
        <w:rPr>
          <w:szCs w:val="24"/>
          <w:lang w:val="es-ES"/>
        </w:rPr>
        <w:t xml:space="preserve">tendría </w:t>
      </w:r>
      <w:r w:rsidR="00AC6882" w:rsidRPr="00B833E0">
        <w:rPr>
          <w:szCs w:val="24"/>
          <w:lang w:val="es-ES"/>
        </w:rPr>
        <w:t xml:space="preserve">para </w:t>
      </w:r>
      <w:r w:rsidR="00E433A3" w:rsidRPr="00B833E0">
        <w:rPr>
          <w:szCs w:val="24"/>
          <w:lang w:val="es-ES"/>
        </w:rPr>
        <w:t xml:space="preserve">atender </w:t>
      </w:r>
      <w:r w:rsidR="00AC6882" w:rsidRPr="00B833E0">
        <w:rPr>
          <w:szCs w:val="24"/>
          <w:lang w:val="es-ES"/>
        </w:rPr>
        <w:t>los gastos extraordinarios de emergencia</w:t>
      </w:r>
      <w:r w:rsidR="00B64747" w:rsidRPr="00B833E0">
        <w:rPr>
          <w:szCs w:val="24"/>
          <w:lang w:val="es-ES"/>
        </w:rPr>
        <w:t>s</w:t>
      </w:r>
      <w:r w:rsidR="00AC6882" w:rsidRPr="00B833E0">
        <w:rPr>
          <w:szCs w:val="24"/>
          <w:lang w:val="es-ES"/>
        </w:rPr>
        <w:t xml:space="preserve"> </w:t>
      </w:r>
      <w:r w:rsidR="00E433A3" w:rsidRPr="00B833E0">
        <w:rPr>
          <w:szCs w:val="24"/>
          <w:lang w:val="es-ES"/>
        </w:rPr>
        <w:t>genera</w:t>
      </w:r>
      <w:r w:rsidR="00B64747" w:rsidRPr="00B833E0">
        <w:rPr>
          <w:szCs w:val="24"/>
          <w:lang w:val="es-ES"/>
        </w:rPr>
        <w:t>das</w:t>
      </w:r>
      <w:r w:rsidR="00E433A3" w:rsidRPr="00B833E0">
        <w:rPr>
          <w:szCs w:val="24"/>
          <w:lang w:val="es-ES"/>
        </w:rPr>
        <w:t xml:space="preserve"> </w:t>
      </w:r>
      <w:r w:rsidR="00B64747" w:rsidRPr="00B833E0">
        <w:rPr>
          <w:szCs w:val="24"/>
          <w:lang w:val="es-ES"/>
        </w:rPr>
        <w:t xml:space="preserve">por </w:t>
      </w:r>
      <w:r w:rsidR="00AC6882" w:rsidRPr="00B833E0">
        <w:rPr>
          <w:szCs w:val="24"/>
          <w:lang w:val="es-ES"/>
        </w:rPr>
        <w:t>catástrofe</w:t>
      </w:r>
      <w:r w:rsidR="00B64747" w:rsidRPr="00B833E0">
        <w:rPr>
          <w:szCs w:val="24"/>
          <w:lang w:val="es-ES"/>
        </w:rPr>
        <w:t>s naturales</w:t>
      </w:r>
      <w:r w:rsidR="00E433A3" w:rsidRPr="00B833E0">
        <w:rPr>
          <w:szCs w:val="24"/>
          <w:lang w:val="es-ES"/>
        </w:rPr>
        <w:t xml:space="preserve">. </w:t>
      </w:r>
      <w:r w:rsidR="00B64747" w:rsidRPr="00B833E0">
        <w:rPr>
          <w:szCs w:val="24"/>
          <w:lang w:val="es-ES"/>
        </w:rPr>
        <w:t>Para ello, s</w:t>
      </w:r>
      <w:r w:rsidR="00AC6882" w:rsidRPr="00B833E0">
        <w:rPr>
          <w:szCs w:val="24"/>
          <w:lang w:val="es-ES"/>
        </w:rPr>
        <w:t xml:space="preserve">e hace una comparación entre los parámetros de financiamiento </w:t>
      </w:r>
      <w:r w:rsidR="00E433A3" w:rsidRPr="00B833E0">
        <w:rPr>
          <w:szCs w:val="24"/>
          <w:lang w:val="es-ES"/>
        </w:rPr>
        <w:t>de</w:t>
      </w:r>
      <w:r w:rsidR="001A1A9C" w:rsidRPr="00B833E0">
        <w:rPr>
          <w:szCs w:val="24"/>
          <w:lang w:val="es-ES"/>
        </w:rPr>
        <w:t xml:space="preserve">: </w:t>
      </w:r>
      <w:r w:rsidR="0098000B">
        <w:rPr>
          <w:szCs w:val="24"/>
          <w:lang w:val="es-ES"/>
        </w:rPr>
        <w:t>i</w:t>
      </w:r>
      <w:r w:rsidR="001A1A9C" w:rsidRPr="00B833E0">
        <w:rPr>
          <w:szCs w:val="24"/>
          <w:lang w:val="es-ES"/>
        </w:rPr>
        <w:t>)</w:t>
      </w:r>
      <w:r w:rsidR="00E433A3" w:rsidRPr="00B833E0">
        <w:rPr>
          <w:szCs w:val="24"/>
          <w:lang w:val="es-ES"/>
        </w:rPr>
        <w:t xml:space="preserve"> </w:t>
      </w:r>
      <w:r w:rsidR="001A1A9C" w:rsidRPr="00B833E0">
        <w:rPr>
          <w:szCs w:val="24"/>
          <w:lang w:val="es-ES"/>
        </w:rPr>
        <w:t xml:space="preserve">el </w:t>
      </w:r>
      <w:r w:rsidR="0096493E" w:rsidRPr="00B833E0">
        <w:rPr>
          <w:szCs w:val="24"/>
          <w:lang w:val="es-ES"/>
        </w:rPr>
        <w:t xml:space="preserve">préstamo contingente BID; y </w:t>
      </w:r>
      <w:r w:rsidR="0098000B">
        <w:rPr>
          <w:szCs w:val="24"/>
          <w:lang w:val="es-ES"/>
        </w:rPr>
        <w:t>ii</w:t>
      </w:r>
      <w:r w:rsidR="0096493E" w:rsidRPr="00B833E0">
        <w:rPr>
          <w:szCs w:val="24"/>
          <w:lang w:val="es-ES"/>
        </w:rPr>
        <w:t>) las principales alternativas con que contaría el país para el fondeo de emergencias por desastres naturales mediante otros instrumentos de deuda: una línea de crédito comercial (ex ante), y la emisión de deuda comercial externa soberana (ex post).</w:t>
      </w:r>
    </w:p>
    <w:p w:rsidR="00AC6882" w:rsidRPr="00B833E0" w:rsidRDefault="0096493E" w:rsidP="003642A0">
      <w:pPr>
        <w:pStyle w:val="Paragraph"/>
        <w:rPr>
          <w:lang w:val="es-ES"/>
        </w:rPr>
      </w:pPr>
      <w:r w:rsidRPr="00B833E0">
        <w:rPr>
          <w:lang w:val="es-ES"/>
        </w:rPr>
        <w:t>En este sentido, desde el punto de vista financiero lo más importante para la oportuna atención de una emergencia provocada por un desastre natural, es que la cobertura provista sea eficiente en términos de: i) el costo; y ii) la rapidez en el acceso a estos recursos. Por tanto, la principal cuestión que se evaluará en este préstamo será si la cobertura provista es eficiente, en términos de costo y de rapidez en la disponibil</w:t>
      </w:r>
      <w:r w:rsidR="00E433A3" w:rsidRPr="00B833E0">
        <w:rPr>
          <w:lang w:val="es-ES"/>
        </w:rPr>
        <w:t xml:space="preserve">idad </w:t>
      </w:r>
      <w:r w:rsidR="00C77ED7" w:rsidRPr="00B833E0">
        <w:rPr>
          <w:lang w:val="es-ES"/>
        </w:rPr>
        <w:t>de los recursos</w:t>
      </w:r>
      <w:r w:rsidR="00AC6882" w:rsidRPr="00B833E0">
        <w:rPr>
          <w:lang w:val="es-ES"/>
        </w:rPr>
        <w:t xml:space="preserve">. </w:t>
      </w:r>
    </w:p>
    <w:p w:rsidR="006111D8" w:rsidRPr="00B833E0" w:rsidRDefault="006111D8" w:rsidP="003642A0">
      <w:pPr>
        <w:pStyle w:val="Paragraph"/>
        <w:autoSpaceDE w:val="0"/>
        <w:autoSpaceDN w:val="0"/>
        <w:adjustRightInd w:val="0"/>
        <w:rPr>
          <w:lang w:val="es-ES"/>
        </w:rPr>
      </w:pPr>
      <w:r w:rsidRPr="00B833E0">
        <w:rPr>
          <w:szCs w:val="24"/>
          <w:lang w:val="es-ES"/>
        </w:rPr>
        <w:t>Así, la</w:t>
      </w:r>
      <w:r w:rsidR="0053071B" w:rsidRPr="00B833E0">
        <w:rPr>
          <w:szCs w:val="24"/>
          <w:lang w:val="es-ES"/>
        </w:rPr>
        <w:t xml:space="preserve"> eficiencia </w:t>
      </w:r>
      <w:r w:rsidR="005B1260" w:rsidRPr="00B833E0">
        <w:rPr>
          <w:szCs w:val="24"/>
          <w:lang w:val="es-ES"/>
        </w:rPr>
        <w:t>para ambas alternativas de</w:t>
      </w:r>
      <w:r w:rsidRPr="00B833E0">
        <w:rPr>
          <w:szCs w:val="24"/>
          <w:lang w:val="es-ES"/>
        </w:rPr>
        <w:t xml:space="preserve"> utilización de </w:t>
      </w:r>
      <w:r w:rsidR="0053071B" w:rsidRPr="00B833E0">
        <w:rPr>
          <w:szCs w:val="24"/>
          <w:lang w:val="es-ES"/>
        </w:rPr>
        <w:t xml:space="preserve">los recursos </w:t>
      </w:r>
      <w:r w:rsidRPr="00B833E0">
        <w:rPr>
          <w:szCs w:val="24"/>
          <w:lang w:val="es-ES"/>
        </w:rPr>
        <w:t xml:space="preserve">necesarios, se evaluará en base a dos </w:t>
      </w:r>
      <w:r w:rsidR="000E5DFC" w:rsidRPr="00B833E0">
        <w:rPr>
          <w:szCs w:val="24"/>
          <w:lang w:val="es-ES"/>
        </w:rPr>
        <w:t>parámetros centrales</w:t>
      </w:r>
      <w:r w:rsidRPr="00B833E0">
        <w:rPr>
          <w:szCs w:val="24"/>
          <w:lang w:val="es-ES"/>
        </w:rPr>
        <w:t>:</w:t>
      </w:r>
    </w:p>
    <w:p w:rsidR="006111D8" w:rsidRPr="00B833E0" w:rsidRDefault="0053071B" w:rsidP="003642A0">
      <w:pPr>
        <w:pStyle w:val="Paragraph"/>
        <w:numPr>
          <w:ilvl w:val="0"/>
          <w:numId w:val="20"/>
        </w:numPr>
        <w:tabs>
          <w:tab w:val="num" w:pos="720"/>
        </w:tabs>
        <w:autoSpaceDE w:val="0"/>
        <w:autoSpaceDN w:val="0"/>
        <w:adjustRightInd w:val="0"/>
        <w:rPr>
          <w:szCs w:val="24"/>
          <w:lang w:val="es-ES"/>
        </w:rPr>
      </w:pPr>
      <w:r w:rsidRPr="00B833E0">
        <w:rPr>
          <w:szCs w:val="24"/>
          <w:lang w:val="es-ES"/>
        </w:rPr>
        <w:t xml:space="preserve">la rapidez en otorgar los recursos </w:t>
      </w:r>
      <w:r w:rsidR="00D13130" w:rsidRPr="00B833E0">
        <w:rPr>
          <w:szCs w:val="24"/>
          <w:lang w:val="es-ES"/>
        </w:rPr>
        <w:t xml:space="preserve">al país </w:t>
      </w:r>
      <w:r w:rsidRPr="00B833E0">
        <w:rPr>
          <w:szCs w:val="24"/>
          <w:lang w:val="es-ES"/>
        </w:rPr>
        <w:t>para atender los gastos extraordinario</w:t>
      </w:r>
      <w:r w:rsidR="006111D8" w:rsidRPr="00B833E0">
        <w:rPr>
          <w:szCs w:val="24"/>
          <w:lang w:val="es-ES"/>
        </w:rPr>
        <w:t>s de emergencias por desastres;</w:t>
      </w:r>
      <w:r w:rsidR="005B1260" w:rsidRPr="00B833E0">
        <w:rPr>
          <w:szCs w:val="24"/>
          <w:lang w:val="es-ES"/>
        </w:rPr>
        <w:t xml:space="preserve"> y</w:t>
      </w:r>
    </w:p>
    <w:p w:rsidR="0053071B" w:rsidRPr="00B833E0" w:rsidRDefault="0053071B" w:rsidP="003642A0">
      <w:pPr>
        <w:pStyle w:val="Paragraph"/>
        <w:numPr>
          <w:ilvl w:val="0"/>
          <w:numId w:val="20"/>
        </w:numPr>
        <w:tabs>
          <w:tab w:val="num" w:pos="720"/>
        </w:tabs>
        <w:autoSpaceDE w:val="0"/>
        <w:autoSpaceDN w:val="0"/>
        <w:adjustRightInd w:val="0"/>
        <w:rPr>
          <w:lang w:val="es-ES"/>
        </w:rPr>
      </w:pPr>
      <w:r w:rsidRPr="00B833E0">
        <w:rPr>
          <w:szCs w:val="24"/>
          <w:lang w:val="es-ES"/>
        </w:rPr>
        <w:t xml:space="preserve">el costo de los </w:t>
      </w:r>
      <w:r w:rsidR="006111D8" w:rsidRPr="00B833E0">
        <w:rPr>
          <w:szCs w:val="24"/>
          <w:lang w:val="es-ES"/>
        </w:rPr>
        <w:t xml:space="preserve">recursos, es decir el </w:t>
      </w:r>
      <w:r w:rsidRPr="00B833E0">
        <w:rPr>
          <w:szCs w:val="24"/>
          <w:lang w:val="es-ES"/>
        </w:rPr>
        <w:t xml:space="preserve">costo financiero por unidad de gasto extraordinario de emergencia </w:t>
      </w:r>
      <w:r w:rsidR="00C77ED7" w:rsidRPr="00B833E0">
        <w:rPr>
          <w:szCs w:val="24"/>
          <w:lang w:val="es-ES"/>
        </w:rPr>
        <w:t xml:space="preserve">que sea </w:t>
      </w:r>
      <w:r w:rsidRPr="00B833E0">
        <w:rPr>
          <w:szCs w:val="24"/>
          <w:lang w:val="es-ES"/>
        </w:rPr>
        <w:t>financiado mediante deuda.</w:t>
      </w:r>
    </w:p>
    <w:p w:rsidR="000709C5" w:rsidRPr="00B833E0" w:rsidRDefault="000709C5" w:rsidP="003642A0">
      <w:pPr>
        <w:pStyle w:val="Paragraph"/>
        <w:numPr>
          <w:ilvl w:val="0"/>
          <w:numId w:val="0"/>
        </w:numPr>
        <w:tabs>
          <w:tab w:val="num" w:pos="720"/>
        </w:tabs>
        <w:autoSpaceDE w:val="0"/>
        <w:autoSpaceDN w:val="0"/>
        <w:adjustRightInd w:val="0"/>
        <w:ind w:left="1440" w:hanging="720"/>
        <w:rPr>
          <w:lang w:val="es-ES"/>
        </w:rPr>
        <w:sectPr w:rsidR="000709C5" w:rsidRPr="00B833E0" w:rsidSect="009612C8">
          <w:type w:val="continuous"/>
          <w:pgSz w:w="12240" w:h="15840" w:code="1"/>
          <w:pgMar w:top="1350" w:right="1080" w:bottom="1530" w:left="1800" w:header="706" w:footer="436" w:gutter="0"/>
          <w:cols w:space="720"/>
          <w:formProt w:val="0"/>
          <w:titlePg/>
        </w:sectPr>
      </w:pPr>
    </w:p>
    <w:p w:rsidR="005F7A7D" w:rsidRPr="00B833E0" w:rsidRDefault="0043256E" w:rsidP="003642A0">
      <w:pPr>
        <w:pStyle w:val="Chapter"/>
        <w:tabs>
          <w:tab w:val="num" w:pos="720"/>
        </w:tabs>
        <w:ind w:hanging="720"/>
        <w:rPr>
          <w:lang w:val="es-ES"/>
        </w:rPr>
      </w:pPr>
      <w:bookmarkStart w:id="3" w:name="_Toc208109836"/>
      <w:bookmarkStart w:id="4" w:name="_Toc208118131"/>
      <w:r w:rsidRPr="00B833E0">
        <w:rPr>
          <w:lang w:val="es-ES"/>
        </w:rPr>
        <w:lastRenderedPageBreak/>
        <w:t>Costos Económicos y Medición de la Eficacia en Funció</w:t>
      </w:r>
      <w:r w:rsidR="005F7A7D" w:rsidRPr="00B833E0">
        <w:rPr>
          <w:lang w:val="es-ES"/>
        </w:rPr>
        <w:t>n del Costo</w:t>
      </w:r>
    </w:p>
    <w:p w:rsidR="005C115B" w:rsidRPr="00B833E0" w:rsidRDefault="005B1260" w:rsidP="003642A0">
      <w:pPr>
        <w:pStyle w:val="Paragraph"/>
        <w:autoSpaceDE w:val="0"/>
        <w:autoSpaceDN w:val="0"/>
        <w:adjustRightInd w:val="0"/>
        <w:spacing w:after="240"/>
        <w:rPr>
          <w:lang w:val="es-ES"/>
        </w:rPr>
      </w:pPr>
      <w:r w:rsidRPr="00B833E0">
        <w:rPr>
          <w:szCs w:val="24"/>
          <w:lang w:val="es-ES"/>
        </w:rPr>
        <w:t xml:space="preserve">Tal como se mencionó en </w:t>
      </w:r>
      <w:r w:rsidR="00725CF7">
        <w:rPr>
          <w:szCs w:val="24"/>
          <w:lang w:val="es-ES"/>
        </w:rPr>
        <w:t>la sección anterior</w:t>
      </w:r>
      <w:r w:rsidRPr="00B833E0">
        <w:rPr>
          <w:szCs w:val="24"/>
          <w:lang w:val="es-ES"/>
        </w:rPr>
        <w:t xml:space="preserve">, el análisis </w:t>
      </w:r>
      <w:r w:rsidR="000E5DFC" w:rsidRPr="00B833E0">
        <w:rPr>
          <w:szCs w:val="24"/>
          <w:lang w:val="es-ES"/>
        </w:rPr>
        <w:t xml:space="preserve">compara </w:t>
      </w:r>
      <w:r w:rsidRPr="00B833E0">
        <w:rPr>
          <w:szCs w:val="24"/>
          <w:lang w:val="es-ES"/>
        </w:rPr>
        <w:t>dos indicadores centrales para cada alternativa</w:t>
      </w:r>
      <w:r w:rsidR="0096493E" w:rsidRPr="00B833E0">
        <w:rPr>
          <w:szCs w:val="24"/>
          <w:lang w:val="es-ES"/>
        </w:rPr>
        <w:t>, los cuales miden la rapidez en la disponibilidad de los recursos y el costo de los mismos. En el siguiente cuadro se detalla el indicador utilizado para la medición de cada uno de los parámetros.</w:t>
      </w:r>
    </w:p>
    <w:tbl>
      <w:tblPr>
        <w:tblStyle w:val="TableGrid"/>
        <w:tblpPr w:leftFromText="180" w:rightFromText="180" w:vertAnchor="text" w:horzAnchor="margin" w:tblpXSpec="center" w:tblpY="95"/>
        <w:tblW w:w="0" w:type="auto"/>
        <w:tblLook w:val="04A0" w:firstRow="1" w:lastRow="0" w:firstColumn="1" w:lastColumn="0" w:noHBand="0" w:noVBand="1"/>
      </w:tblPr>
      <w:tblGrid>
        <w:gridCol w:w="637"/>
        <w:gridCol w:w="4080"/>
        <w:gridCol w:w="3113"/>
      </w:tblGrid>
      <w:tr w:rsidR="008D5D84" w:rsidTr="00454E13">
        <w:trPr>
          <w:trHeight w:val="263"/>
        </w:trPr>
        <w:tc>
          <w:tcPr>
            <w:tcW w:w="637" w:type="dxa"/>
            <w:shd w:val="clear" w:color="auto" w:fill="DBE5F1" w:themeFill="accent1" w:themeFillTint="33"/>
          </w:tcPr>
          <w:p w:rsidR="008D5D84" w:rsidRPr="000E5DFC" w:rsidRDefault="008D5D84" w:rsidP="00454E13">
            <w:pPr>
              <w:pStyle w:val="Paragraph"/>
              <w:numPr>
                <w:ilvl w:val="0"/>
                <w:numId w:val="0"/>
              </w:numPr>
              <w:autoSpaceDE w:val="0"/>
              <w:autoSpaceDN w:val="0"/>
              <w:adjustRightInd w:val="0"/>
              <w:spacing w:before="60" w:after="60"/>
              <w:ind w:right="720" w:hanging="720"/>
              <w:jc w:val="center"/>
              <w:rPr>
                <w:b/>
                <w:sz w:val="20"/>
                <w:lang w:val="es-ES_tradnl"/>
              </w:rPr>
            </w:pPr>
          </w:p>
        </w:tc>
        <w:tc>
          <w:tcPr>
            <w:tcW w:w="4080" w:type="dxa"/>
            <w:shd w:val="clear" w:color="auto" w:fill="DBE5F1" w:themeFill="accent1" w:themeFillTint="33"/>
          </w:tcPr>
          <w:p w:rsidR="008D5D84" w:rsidRDefault="008D5D84" w:rsidP="00454E13">
            <w:pPr>
              <w:pStyle w:val="Paragraph"/>
              <w:numPr>
                <w:ilvl w:val="0"/>
                <w:numId w:val="0"/>
              </w:numPr>
              <w:autoSpaceDE w:val="0"/>
              <w:autoSpaceDN w:val="0"/>
              <w:adjustRightInd w:val="0"/>
              <w:spacing w:before="60" w:after="60"/>
              <w:ind w:right="-89" w:hanging="720"/>
              <w:jc w:val="center"/>
              <w:rPr>
                <w:b/>
                <w:sz w:val="20"/>
                <w:lang w:val="es-ES_tradnl"/>
              </w:rPr>
            </w:pPr>
            <w:r w:rsidRPr="000E5DFC">
              <w:rPr>
                <w:b/>
                <w:sz w:val="20"/>
                <w:lang w:val="es-ES_tradnl"/>
              </w:rPr>
              <w:t>Parámetro</w:t>
            </w:r>
          </w:p>
        </w:tc>
        <w:tc>
          <w:tcPr>
            <w:tcW w:w="3113" w:type="dxa"/>
            <w:shd w:val="clear" w:color="auto" w:fill="DBE5F1" w:themeFill="accent1" w:themeFillTint="33"/>
          </w:tcPr>
          <w:p w:rsidR="008D5D84" w:rsidRDefault="008D5D84" w:rsidP="00454E13">
            <w:pPr>
              <w:pStyle w:val="Paragraph"/>
              <w:numPr>
                <w:ilvl w:val="0"/>
                <w:numId w:val="0"/>
              </w:numPr>
              <w:autoSpaceDE w:val="0"/>
              <w:autoSpaceDN w:val="0"/>
              <w:adjustRightInd w:val="0"/>
              <w:spacing w:before="60" w:after="60"/>
              <w:ind w:right="-89"/>
              <w:jc w:val="center"/>
              <w:rPr>
                <w:b/>
                <w:sz w:val="20"/>
                <w:lang w:val="es-ES_tradnl"/>
              </w:rPr>
            </w:pPr>
            <w:r w:rsidRPr="000E5DFC">
              <w:rPr>
                <w:b/>
                <w:sz w:val="20"/>
                <w:lang w:val="es-ES_tradnl"/>
              </w:rPr>
              <w:t>Indicador</w:t>
            </w:r>
          </w:p>
        </w:tc>
      </w:tr>
      <w:tr w:rsidR="008D5D84" w:rsidRPr="000D611F" w:rsidTr="00454E13">
        <w:tc>
          <w:tcPr>
            <w:tcW w:w="637" w:type="dxa"/>
            <w:vAlign w:val="center"/>
          </w:tcPr>
          <w:p w:rsidR="008D5D84" w:rsidRDefault="008D5D84" w:rsidP="00454E13">
            <w:pPr>
              <w:jc w:val="center"/>
              <w:rPr>
                <w:lang w:val="es-ES_tradnl"/>
              </w:rPr>
            </w:pPr>
            <w:r>
              <w:rPr>
                <w:sz w:val="20"/>
                <w:lang w:val="es-ES_tradnl"/>
              </w:rPr>
              <w:t>1</w:t>
            </w:r>
          </w:p>
        </w:tc>
        <w:tc>
          <w:tcPr>
            <w:tcW w:w="4080" w:type="dxa"/>
            <w:vAlign w:val="center"/>
          </w:tcPr>
          <w:p w:rsidR="008D5D84" w:rsidRPr="000E5DFC" w:rsidRDefault="008D5D84" w:rsidP="00454E13">
            <w:pPr>
              <w:pStyle w:val="Paragraph"/>
              <w:numPr>
                <w:ilvl w:val="0"/>
                <w:numId w:val="0"/>
              </w:numPr>
              <w:autoSpaceDE w:val="0"/>
              <w:autoSpaceDN w:val="0"/>
              <w:adjustRightInd w:val="0"/>
              <w:spacing w:before="0" w:after="0"/>
              <w:ind w:left="162" w:right="-71"/>
              <w:jc w:val="left"/>
              <w:rPr>
                <w:sz w:val="20"/>
                <w:lang w:val="es-ES_tradnl"/>
              </w:rPr>
            </w:pPr>
            <w:r w:rsidRPr="000E5DFC">
              <w:rPr>
                <w:sz w:val="20"/>
                <w:lang w:val="es-ES_tradnl"/>
              </w:rPr>
              <w:t>Rapidez en otorgar los recursos para atender los gastos extraordinarios de emergencias por desastres</w:t>
            </w:r>
            <w:r>
              <w:rPr>
                <w:sz w:val="20"/>
                <w:lang w:val="es-ES_tradnl"/>
              </w:rPr>
              <w:t>.</w:t>
            </w:r>
          </w:p>
        </w:tc>
        <w:tc>
          <w:tcPr>
            <w:tcW w:w="3113" w:type="dxa"/>
            <w:vAlign w:val="center"/>
          </w:tcPr>
          <w:p w:rsidR="008D5D84" w:rsidRDefault="008D5D84" w:rsidP="00454E13">
            <w:pPr>
              <w:pStyle w:val="Paragraph"/>
              <w:numPr>
                <w:ilvl w:val="0"/>
                <w:numId w:val="0"/>
              </w:numPr>
              <w:autoSpaceDE w:val="0"/>
              <w:autoSpaceDN w:val="0"/>
              <w:adjustRightInd w:val="0"/>
              <w:spacing w:before="0" w:after="0"/>
              <w:ind w:left="162" w:right="-16"/>
              <w:jc w:val="left"/>
              <w:rPr>
                <w:sz w:val="20"/>
                <w:lang w:val="es-ES_tradnl"/>
              </w:rPr>
            </w:pPr>
            <w:r w:rsidRPr="000E5DFC">
              <w:rPr>
                <w:sz w:val="20"/>
                <w:lang w:val="es-ES_tradnl"/>
              </w:rPr>
              <w:t xml:space="preserve">Número de días trascurridos desde la solicitud de desembolso </w:t>
            </w:r>
            <w:r>
              <w:rPr>
                <w:sz w:val="20"/>
                <w:lang w:val="es-ES_tradnl"/>
              </w:rPr>
              <w:t xml:space="preserve">por parte del país </w:t>
            </w:r>
            <w:r w:rsidRPr="000E5DFC">
              <w:rPr>
                <w:sz w:val="20"/>
                <w:lang w:val="es-ES_tradnl"/>
              </w:rPr>
              <w:t>hasta</w:t>
            </w:r>
            <w:r>
              <w:rPr>
                <w:sz w:val="20"/>
                <w:lang w:val="es-ES_tradnl"/>
              </w:rPr>
              <w:t xml:space="preserve"> que </w:t>
            </w:r>
            <w:r w:rsidRPr="000E5DFC">
              <w:rPr>
                <w:sz w:val="20"/>
                <w:lang w:val="es-ES_tradnl"/>
              </w:rPr>
              <w:t>dispon</w:t>
            </w:r>
            <w:r>
              <w:rPr>
                <w:sz w:val="20"/>
                <w:lang w:val="es-ES_tradnl"/>
              </w:rPr>
              <w:t xml:space="preserve">e </w:t>
            </w:r>
            <w:r w:rsidRPr="000E5DFC">
              <w:rPr>
                <w:sz w:val="20"/>
                <w:lang w:val="es-ES_tradnl"/>
              </w:rPr>
              <w:t>de los recursos.</w:t>
            </w:r>
          </w:p>
        </w:tc>
      </w:tr>
      <w:tr w:rsidR="008D5D84" w:rsidRPr="009B198B" w:rsidTr="00454E13">
        <w:trPr>
          <w:trHeight w:val="92"/>
        </w:trPr>
        <w:tc>
          <w:tcPr>
            <w:tcW w:w="637" w:type="dxa"/>
          </w:tcPr>
          <w:p w:rsidR="008D5D84" w:rsidRDefault="008D5D84" w:rsidP="00454E13">
            <w:pPr>
              <w:pStyle w:val="Paragraph"/>
              <w:numPr>
                <w:ilvl w:val="0"/>
                <w:numId w:val="0"/>
              </w:numPr>
              <w:autoSpaceDE w:val="0"/>
              <w:autoSpaceDN w:val="0"/>
              <w:adjustRightInd w:val="0"/>
              <w:spacing w:before="0" w:after="0"/>
              <w:ind w:right="-60"/>
              <w:jc w:val="center"/>
              <w:rPr>
                <w:lang w:val="es-ES_tradnl"/>
              </w:rPr>
            </w:pPr>
            <w:r>
              <w:rPr>
                <w:sz w:val="20"/>
                <w:lang w:val="es-ES_tradnl"/>
              </w:rPr>
              <w:t>2</w:t>
            </w:r>
          </w:p>
        </w:tc>
        <w:tc>
          <w:tcPr>
            <w:tcW w:w="4080" w:type="dxa"/>
            <w:vAlign w:val="center"/>
          </w:tcPr>
          <w:p w:rsidR="008D5D84" w:rsidRPr="000E5DFC" w:rsidRDefault="008D5D84" w:rsidP="00454E13">
            <w:pPr>
              <w:pStyle w:val="Paragraph"/>
              <w:numPr>
                <w:ilvl w:val="0"/>
                <w:numId w:val="0"/>
              </w:numPr>
              <w:autoSpaceDE w:val="0"/>
              <w:autoSpaceDN w:val="0"/>
              <w:adjustRightInd w:val="0"/>
              <w:spacing w:before="0" w:after="0"/>
              <w:ind w:left="162" w:right="-71"/>
              <w:jc w:val="left"/>
              <w:rPr>
                <w:sz w:val="20"/>
                <w:lang w:val="es-ES_tradnl"/>
              </w:rPr>
            </w:pPr>
            <w:r w:rsidRPr="000E5DFC">
              <w:rPr>
                <w:sz w:val="20"/>
                <w:lang w:val="es-ES_tradnl"/>
              </w:rPr>
              <w:t>Costo financiero por unidad de gasto extraordinario de emergencia financiado mediante deuda</w:t>
            </w:r>
            <w:r>
              <w:rPr>
                <w:sz w:val="20"/>
                <w:lang w:val="es-ES_tradnl"/>
              </w:rPr>
              <w:t>.</w:t>
            </w:r>
          </w:p>
        </w:tc>
        <w:tc>
          <w:tcPr>
            <w:tcW w:w="3113" w:type="dxa"/>
            <w:vAlign w:val="center"/>
          </w:tcPr>
          <w:p w:rsidR="008D5D84" w:rsidRDefault="008D5D84" w:rsidP="00454E13">
            <w:pPr>
              <w:pStyle w:val="Paragraph"/>
              <w:numPr>
                <w:ilvl w:val="0"/>
                <w:numId w:val="0"/>
              </w:numPr>
              <w:autoSpaceDE w:val="0"/>
              <w:autoSpaceDN w:val="0"/>
              <w:adjustRightInd w:val="0"/>
              <w:spacing w:before="0" w:after="0"/>
              <w:ind w:left="162" w:right="-16"/>
              <w:jc w:val="left"/>
              <w:rPr>
                <w:sz w:val="20"/>
                <w:lang w:val="es-ES_tradnl"/>
              </w:rPr>
            </w:pPr>
            <w:r w:rsidRPr="000E5DFC">
              <w:rPr>
                <w:sz w:val="20"/>
                <w:lang w:val="es-ES_tradnl"/>
              </w:rPr>
              <w:t>Tasa de interés.</w:t>
            </w:r>
          </w:p>
        </w:tc>
      </w:tr>
    </w:tbl>
    <w:p w:rsidR="002B489E" w:rsidRPr="00B833E0" w:rsidRDefault="002B489E" w:rsidP="003642A0">
      <w:pPr>
        <w:pStyle w:val="Paragraph"/>
        <w:numPr>
          <w:ilvl w:val="0"/>
          <w:numId w:val="0"/>
        </w:numPr>
        <w:tabs>
          <w:tab w:val="num" w:pos="720"/>
        </w:tabs>
        <w:autoSpaceDE w:val="0"/>
        <w:autoSpaceDN w:val="0"/>
        <w:adjustRightInd w:val="0"/>
        <w:spacing w:after="240"/>
        <w:ind w:left="720" w:hanging="720"/>
        <w:rPr>
          <w:lang w:val="es-ES"/>
        </w:rPr>
      </w:pPr>
    </w:p>
    <w:p w:rsidR="00C173AE" w:rsidRPr="00B833E0" w:rsidRDefault="00C173AE" w:rsidP="003642A0">
      <w:pPr>
        <w:pStyle w:val="Paragraph"/>
        <w:numPr>
          <w:ilvl w:val="0"/>
          <w:numId w:val="0"/>
        </w:numPr>
        <w:tabs>
          <w:tab w:val="num" w:pos="720"/>
        </w:tabs>
        <w:autoSpaceDE w:val="0"/>
        <w:autoSpaceDN w:val="0"/>
        <w:adjustRightInd w:val="0"/>
        <w:spacing w:after="240"/>
        <w:ind w:left="720" w:hanging="720"/>
        <w:rPr>
          <w:lang w:val="es-ES"/>
        </w:rPr>
      </w:pPr>
    </w:p>
    <w:p w:rsidR="00BF5F1C" w:rsidRPr="00B833E0" w:rsidRDefault="00BF5F1C" w:rsidP="003642A0">
      <w:pPr>
        <w:tabs>
          <w:tab w:val="num" w:pos="720"/>
          <w:tab w:val="left" w:pos="1440"/>
          <w:tab w:val="left" w:pos="3060"/>
        </w:tabs>
        <w:ind w:hanging="720"/>
        <w:outlineLvl w:val="0"/>
        <w:rPr>
          <w:b/>
          <w:smallCaps/>
          <w:lang w:val="es-ES"/>
        </w:rPr>
      </w:pPr>
    </w:p>
    <w:p w:rsidR="002B489E" w:rsidRPr="00B833E0" w:rsidRDefault="002B489E" w:rsidP="003642A0">
      <w:pPr>
        <w:tabs>
          <w:tab w:val="num" w:pos="720"/>
        </w:tabs>
        <w:ind w:hanging="720"/>
        <w:rPr>
          <w:lang w:val="es-ES"/>
        </w:rPr>
      </w:pPr>
    </w:p>
    <w:p w:rsidR="002B489E" w:rsidRPr="00B833E0" w:rsidRDefault="002B489E" w:rsidP="003642A0">
      <w:pPr>
        <w:tabs>
          <w:tab w:val="num" w:pos="720"/>
        </w:tabs>
        <w:ind w:hanging="720"/>
        <w:rPr>
          <w:lang w:val="es-ES"/>
        </w:rPr>
      </w:pPr>
    </w:p>
    <w:p w:rsidR="002B489E" w:rsidRPr="00B833E0" w:rsidRDefault="002B489E" w:rsidP="003642A0">
      <w:pPr>
        <w:tabs>
          <w:tab w:val="num" w:pos="720"/>
        </w:tabs>
        <w:ind w:hanging="720"/>
        <w:rPr>
          <w:lang w:val="es-ES"/>
        </w:rPr>
      </w:pPr>
    </w:p>
    <w:p w:rsidR="004D5B1E" w:rsidRPr="00B833E0" w:rsidRDefault="00D3375D" w:rsidP="003642A0">
      <w:pPr>
        <w:pStyle w:val="Paragraph"/>
        <w:autoSpaceDE w:val="0"/>
        <w:autoSpaceDN w:val="0"/>
        <w:adjustRightInd w:val="0"/>
        <w:rPr>
          <w:lang w:val="es-ES"/>
        </w:rPr>
      </w:pPr>
      <w:r w:rsidRPr="00B833E0">
        <w:rPr>
          <w:lang w:val="es-ES"/>
        </w:rPr>
        <w:t xml:space="preserve">Cabe señalar que el préstamo BID incluye la opción de que el país utilice, alternativamente a los recursos del préstamo, recursos de una Lista de </w:t>
      </w:r>
      <w:proofErr w:type="spellStart"/>
      <w:r w:rsidRPr="00B833E0">
        <w:rPr>
          <w:lang w:val="es-ES"/>
        </w:rPr>
        <w:t>Redireccionamiento</w:t>
      </w:r>
      <w:proofErr w:type="spellEnd"/>
      <w:r w:rsidRPr="00B833E0">
        <w:rPr>
          <w:lang w:val="es-ES"/>
        </w:rPr>
        <w:t xml:space="preserve"> Automático (LRA) que identifica saldos disponibles y no desembolsados de préstamos ya aprobados por el BID</w:t>
      </w:r>
      <w:r w:rsidR="005C115B" w:rsidRPr="00B833E0">
        <w:rPr>
          <w:lang w:val="es-ES"/>
        </w:rPr>
        <w:t xml:space="preserve">. En este caso </w:t>
      </w:r>
      <w:r w:rsidR="004D5B1E" w:rsidRPr="00B833E0">
        <w:rPr>
          <w:lang w:val="es-ES"/>
        </w:rPr>
        <w:t>e</w:t>
      </w:r>
      <w:r w:rsidRPr="00B833E0">
        <w:rPr>
          <w:lang w:val="es-ES"/>
        </w:rPr>
        <w:t>l país ya estaría pagando comisión de crédito</w:t>
      </w:r>
      <w:r w:rsidR="005C115B" w:rsidRPr="00B833E0">
        <w:rPr>
          <w:lang w:val="es-ES"/>
        </w:rPr>
        <w:t xml:space="preserve"> por estos préstamos</w:t>
      </w:r>
      <w:r w:rsidR="005C35CB" w:rsidRPr="00B833E0">
        <w:rPr>
          <w:lang w:val="es-ES"/>
        </w:rPr>
        <w:t>,</w:t>
      </w:r>
      <w:r w:rsidR="004D5B1E" w:rsidRPr="00B833E0">
        <w:rPr>
          <w:lang w:val="es-ES"/>
        </w:rPr>
        <w:t xml:space="preserve"> </w:t>
      </w:r>
      <w:r w:rsidR="005C115B" w:rsidRPr="00B833E0">
        <w:rPr>
          <w:lang w:val="es-ES"/>
        </w:rPr>
        <w:t xml:space="preserve">y </w:t>
      </w:r>
      <w:r w:rsidR="005C35CB" w:rsidRPr="00B833E0">
        <w:rPr>
          <w:lang w:val="es-ES"/>
        </w:rPr>
        <w:t xml:space="preserve">por lo tanto </w:t>
      </w:r>
      <w:r w:rsidR="004D5B1E" w:rsidRPr="00B833E0">
        <w:rPr>
          <w:lang w:val="es-ES"/>
        </w:rPr>
        <w:t xml:space="preserve">no tendría que pagar comisión de crédito por el </w:t>
      </w:r>
      <w:r w:rsidR="009829BF" w:rsidRPr="00B833E0">
        <w:rPr>
          <w:lang w:val="es-ES"/>
        </w:rPr>
        <w:t xml:space="preserve">presente </w:t>
      </w:r>
      <w:r w:rsidR="004D5B1E" w:rsidRPr="00B833E0">
        <w:rPr>
          <w:lang w:val="es-ES"/>
        </w:rPr>
        <w:t xml:space="preserve">préstamo hasta que </w:t>
      </w:r>
      <w:r w:rsidR="005C115B" w:rsidRPr="00B833E0">
        <w:rPr>
          <w:lang w:val="es-ES"/>
        </w:rPr>
        <w:t xml:space="preserve">este </w:t>
      </w:r>
      <w:r w:rsidR="004D5B1E" w:rsidRPr="00B833E0">
        <w:rPr>
          <w:lang w:val="es-ES"/>
        </w:rPr>
        <w:t>no sea  utilizado</w:t>
      </w:r>
      <w:r w:rsidR="005C35CB" w:rsidRPr="00B833E0">
        <w:rPr>
          <w:lang w:val="es-ES"/>
        </w:rPr>
        <w:t>. M</w:t>
      </w:r>
      <w:r w:rsidR="004D5B1E" w:rsidRPr="00B833E0">
        <w:rPr>
          <w:lang w:val="es-ES"/>
        </w:rPr>
        <w:t xml:space="preserve">ientras que </w:t>
      </w:r>
      <w:r w:rsidR="005C35CB" w:rsidRPr="00B833E0">
        <w:rPr>
          <w:lang w:val="es-ES"/>
        </w:rPr>
        <w:t xml:space="preserve">por </w:t>
      </w:r>
      <w:r w:rsidR="009829BF" w:rsidRPr="00B833E0">
        <w:rPr>
          <w:lang w:val="es-ES"/>
        </w:rPr>
        <w:t>contra</w:t>
      </w:r>
      <w:r w:rsidR="005C35CB" w:rsidRPr="00B833E0">
        <w:rPr>
          <w:lang w:val="es-ES"/>
        </w:rPr>
        <w:t xml:space="preserve">, </w:t>
      </w:r>
      <w:r w:rsidR="004D5B1E" w:rsidRPr="00B833E0">
        <w:rPr>
          <w:lang w:val="es-ES"/>
        </w:rPr>
        <w:t>las líneas de crédito comerciales cobran comisión de crédito durante todo el periodo de disponibilidad de la línea, independientemente de su utilización</w:t>
      </w:r>
      <w:r w:rsidR="005C115B" w:rsidRPr="00B833E0">
        <w:rPr>
          <w:lang w:val="es-ES"/>
        </w:rPr>
        <w:t>.</w:t>
      </w:r>
      <w:r w:rsidR="004D5B1E" w:rsidRPr="00B833E0">
        <w:rPr>
          <w:lang w:val="es-ES"/>
        </w:rPr>
        <w:t xml:space="preserve"> </w:t>
      </w:r>
    </w:p>
    <w:p w:rsidR="00D3375D" w:rsidRPr="00B833E0" w:rsidRDefault="004D5B1E" w:rsidP="003642A0">
      <w:pPr>
        <w:pStyle w:val="Paragraph"/>
        <w:autoSpaceDE w:val="0"/>
        <w:autoSpaceDN w:val="0"/>
        <w:adjustRightInd w:val="0"/>
        <w:rPr>
          <w:lang w:val="es-ES"/>
        </w:rPr>
      </w:pPr>
      <w:r w:rsidRPr="00B833E0">
        <w:rPr>
          <w:lang w:val="es-ES"/>
        </w:rPr>
        <w:t xml:space="preserve">Por tanto, </w:t>
      </w:r>
      <w:r w:rsidR="005C115B" w:rsidRPr="00B833E0">
        <w:rPr>
          <w:lang w:val="es-ES"/>
        </w:rPr>
        <w:t xml:space="preserve">si el país </w:t>
      </w:r>
      <w:r w:rsidRPr="00B833E0">
        <w:rPr>
          <w:lang w:val="es-ES"/>
        </w:rPr>
        <w:t>no utili</w:t>
      </w:r>
      <w:r w:rsidR="005C115B" w:rsidRPr="00B833E0">
        <w:rPr>
          <w:lang w:val="es-ES"/>
        </w:rPr>
        <w:t>za</w:t>
      </w:r>
      <w:r w:rsidRPr="00B833E0">
        <w:rPr>
          <w:lang w:val="es-ES"/>
        </w:rPr>
        <w:t xml:space="preserve"> el préstamo </w:t>
      </w:r>
      <w:r w:rsidR="005C115B" w:rsidRPr="00B833E0">
        <w:rPr>
          <w:lang w:val="es-ES"/>
        </w:rPr>
        <w:t>n</w:t>
      </w:r>
      <w:r w:rsidRPr="00B833E0">
        <w:rPr>
          <w:lang w:val="es-ES"/>
        </w:rPr>
        <w:t>o pagaría comisión de crédito alguna, por lo que el coste de disposición del préstamo BID ser</w:t>
      </w:r>
      <w:r w:rsidR="008A438D" w:rsidRPr="00B833E0">
        <w:rPr>
          <w:lang w:val="es-ES"/>
        </w:rPr>
        <w:t>í</w:t>
      </w:r>
      <w:r w:rsidRPr="00B833E0">
        <w:rPr>
          <w:lang w:val="es-ES"/>
        </w:rPr>
        <w:t>a 0</w:t>
      </w:r>
      <w:r w:rsidR="009829BF" w:rsidRPr="00B833E0">
        <w:rPr>
          <w:lang w:val="es-ES"/>
        </w:rPr>
        <w:t>, mientras que e</w:t>
      </w:r>
      <w:r w:rsidRPr="00B833E0">
        <w:rPr>
          <w:lang w:val="es-ES"/>
        </w:rPr>
        <w:t xml:space="preserve">n el caso de la disposición de una línea de crédito </w:t>
      </w:r>
      <w:r w:rsidR="00B65D0A" w:rsidRPr="00B833E0">
        <w:rPr>
          <w:lang w:val="es-ES"/>
        </w:rPr>
        <w:t xml:space="preserve">comercial </w:t>
      </w:r>
      <w:r w:rsidRPr="00B833E0">
        <w:rPr>
          <w:lang w:val="es-ES"/>
        </w:rPr>
        <w:t xml:space="preserve">ex ante, </w:t>
      </w:r>
      <w:r w:rsidR="009829BF" w:rsidRPr="00B833E0">
        <w:rPr>
          <w:lang w:val="es-ES"/>
        </w:rPr>
        <w:t xml:space="preserve">siempre habría </w:t>
      </w:r>
      <w:r w:rsidRPr="00B833E0">
        <w:rPr>
          <w:lang w:val="es-ES"/>
        </w:rPr>
        <w:t>un costo (comisión de crédito) para el país. E</w:t>
      </w:r>
      <w:r w:rsidR="009829BF" w:rsidRPr="00B833E0">
        <w:rPr>
          <w:lang w:val="es-ES"/>
        </w:rPr>
        <w:t xml:space="preserve">ntre las alternativas ex ante, </w:t>
      </w:r>
      <w:r w:rsidRPr="00B833E0">
        <w:rPr>
          <w:lang w:val="es-ES"/>
        </w:rPr>
        <w:t xml:space="preserve">por definición </w:t>
      </w:r>
      <w:r w:rsidR="005C35CB" w:rsidRPr="00B833E0">
        <w:rPr>
          <w:lang w:val="es-ES"/>
        </w:rPr>
        <w:t>l</w:t>
      </w:r>
      <w:r w:rsidRPr="00B833E0">
        <w:rPr>
          <w:lang w:val="es-ES"/>
        </w:rPr>
        <w:t>a alternativa con coste 0 siempre va a ser la más efic</w:t>
      </w:r>
      <w:r w:rsidR="00B65D0A" w:rsidRPr="00B833E0">
        <w:rPr>
          <w:lang w:val="es-ES"/>
        </w:rPr>
        <w:t xml:space="preserve">iente </w:t>
      </w:r>
      <w:r w:rsidR="005C35CB" w:rsidRPr="00B833E0">
        <w:rPr>
          <w:lang w:val="es-ES"/>
        </w:rPr>
        <w:t>en términos de costo</w:t>
      </w:r>
      <w:r w:rsidR="009829BF" w:rsidRPr="00B833E0">
        <w:rPr>
          <w:lang w:val="es-ES"/>
        </w:rPr>
        <w:t xml:space="preserve"> por lo que la segunda alternativa no se analiza</w:t>
      </w:r>
      <w:r w:rsidRPr="00B833E0">
        <w:rPr>
          <w:lang w:val="es-ES"/>
        </w:rPr>
        <w:t>. El análisis se centrar</w:t>
      </w:r>
      <w:r w:rsidR="00B65D0A" w:rsidRPr="00B833E0">
        <w:rPr>
          <w:lang w:val="es-ES"/>
        </w:rPr>
        <w:t>á</w:t>
      </w:r>
      <w:r w:rsidRPr="00B833E0">
        <w:rPr>
          <w:lang w:val="es-ES"/>
        </w:rPr>
        <w:t xml:space="preserve"> en comparar </w:t>
      </w:r>
      <w:r w:rsidR="005C35CB" w:rsidRPr="00B833E0">
        <w:rPr>
          <w:lang w:val="es-ES"/>
        </w:rPr>
        <w:t>la alternativa ex ante d</w:t>
      </w:r>
      <w:r w:rsidRPr="00B833E0">
        <w:rPr>
          <w:lang w:val="es-ES"/>
        </w:rPr>
        <w:t xml:space="preserve">el préstamo BID con la alternativa ex post de emisión de deuda comercial externa soberana. </w:t>
      </w:r>
    </w:p>
    <w:p w:rsidR="00121C06" w:rsidRPr="00B833E0" w:rsidRDefault="00121C06" w:rsidP="00CD3245">
      <w:pPr>
        <w:pStyle w:val="Chapter"/>
        <w:rPr>
          <w:lang w:val="es-ES"/>
        </w:rPr>
      </w:pPr>
      <w:r w:rsidRPr="00B833E0">
        <w:rPr>
          <w:lang w:val="es-ES"/>
        </w:rPr>
        <w:t>Disponibilidad de los Recursos</w:t>
      </w:r>
    </w:p>
    <w:p w:rsidR="00121C06" w:rsidRPr="00B833E0" w:rsidRDefault="00303592" w:rsidP="008D5D84">
      <w:pPr>
        <w:pStyle w:val="Paragraph"/>
        <w:tabs>
          <w:tab w:val="clear" w:pos="720"/>
        </w:tabs>
        <w:autoSpaceDE w:val="0"/>
        <w:autoSpaceDN w:val="0"/>
        <w:adjustRightInd w:val="0"/>
        <w:rPr>
          <w:lang w:val="es-ES"/>
        </w:rPr>
      </w:pPr>
      <w:r w:rsidRPr="00B833E0">
        <w:rPr>
          <w:szCs w:val="24"/>
          <w:lang w:val="es-ES"/>
        </w:rPr>
        <w:t xml:space="preserve">En el caso del préstamo BID y en concordancia con lo establecido en la matriz de resultados, en el caso de un eventual desastre natural de carácter severo o catastrófico, se estima un tiempo máximo de </w:t>
      </w:r>
      <w:r w:rsidR="00ED1461" w:rsidRPr="00B833E0">
        <w:rPr>
          <w:szCs w:val="24"/>
          <w:lang w:val="es-ES"/>
        </w:rPr>
        <w:t xml:space="preserve">20 días </w:t>
      </w:r>
      <w:r w:rsidRPr="00B833E0">
        <w:rPr>
          <w:szCs w:val="24"/>
          <w:lang w:val="es-ES"/>
        </w:rPr>
        <w:t xml:space="preserve">desde que el país hace la solicitud de desembolso hasta que dispone de los recursos. </w:t>
      </w:r>
      <w:r w:rsidR="002E18C2" w:rsidRPr="00B833E0">
        <w:rPr>
          <w:szCs w:val="24"/>
          <w:lang w:val="es-ES"/>
        </w:rPr>
        <w:t xml:space="preserve">Dicha estimación se ha </w:t>
      </w:r>
      <w:r w:rsidR="005C35CB" w:rsidRPr="00B833E0">
        <w:rPr>
          <w:szCs w:val="24"/>
          <w:lang w:val="es-ES"/>
        </w:rPr>
        <w:t>realizado</w:t>
      </w:r>
      <w:r w:rsidR="002E18C2" w:rsidRPr="00B833E0">
        <w:rPr>
          <w:szCs w:val="24"/>
          <w:lang w:val="es-ES"/>
        </w:rPr>
        <w:t xml:space="preserve"> en base a la secuencia operativa del Banco</w:t>
      </w:r>
      <w:r w:rsidR="005C35CB" w:rsidRPr="00B833E0">
        <w:rPr>
          <w:szCs w:val="24"/>
          <w:lang w:val="es-ES"/>
        </w:rPr>
        <w:t xml:space="preserve"> para el desembolso del </w:t>
      </w:r>
      <w:r w:rsidR="009829BF" w:rsidRPr="00B833E0">
        <w:rPr>
          <w:szCs w:val="24"/>
          <w:lang w:val="es-ES"/>
        </w:rPr>
        <w:t>préstamo</w:t>
      </w:r>
      <w:r w:rsidR="00210D0D" w:rsidRPr="00B833E0">
        <w:rPr>
          <w:szCs w:val="24"/>
          <w:lang w:val="es-ES"/>
        </w:rPr>
        <w:t>,</w:t>
      </w:r>
      <w:r w:rsidR="002E18C2" w:rsidRPr="00B833E0">
        <w:rPr>
          <w:lang w:val="es-ES"/>
        </w:rPr>
        <w:t xml:space="preserve"> e incluye: </w:t>
      </w:r>
      <w:r w:rsidR="00B94001" w:rsidRPr="00B833E0">
        <w:rPr>
          <w:lang w:val="es-ES"/>
        </w:rPr>
        <w:t>i</w:t>
      </w:r>
      <w:r w:rsidR="002E18C2" w:rsidRPr="00B833E0">
        <w:rPr>
          <w:lang w:val="es-ES"/>
        </w:rPr>
        <w:t xml:space="preserve">) el tiempo que  toma </w:t>
      </w:r>
      <w:r w:rsidR="00210D0D" w:rsidRPr="00B833E0">
        <w:rPr>
          <w:lang w:val="es-ES"/>
        </w:rPr>
        <w:t>el</w:t>
      </w:r>
      <w:r w:rsidR="002E18C2" w:rsidRPr="00B833E0">
        <w:rPr>
          <w:lang w:val="es-ES"/>
        </w:rPr>
        <w:t xml:space="preserve"> BID </w:t>
      </w:r>
      <w:r w:rsidR="00210D0D" w:rsidRPr="00B833E0">
        <w:rPr>
          <w:lang w:val="es-ES"/>
        </w:rPr>
        <w:t xml:space="preserve">para </w:t>
      </w:r>
      <w:r w:rsidR="002E18C2" w:rsidRPr="00B833E0">
        <w:rPr>
          <w:lang w:val="es-ES"/>
        </w:rPr>
        <w:t xml:space="preserve">verificar la ocurrencia de un evento elegible; y </w:t>
      </w:r>
      <w:r w:rsidR="00B94001" w:rsidRPr="00B833E0">
        <w:rPr>
          <w:lang w:val="es-ES"/>
        </w:rPr>
        <w:t>ii</w:t>
      </w:r>
      <w:r w:rsidR="002E18C2" w:rsidRPr="00B833E0">
        <w:rPr>
          <w:lang w:val="es-ES"/>
        </w:rPr>
        <w:t>)</w:t>
      </w:r>
      <w:r w:rsidR="00210D0D" w:rsidRPr="00B833E0">
        <w:rPr>
          <w:lang w:val="es-ES"/>
        </w:rPr>
        <w:t xml:space="preserve"> posteriormente, una vez verificada la elegibilidad para desembolsos,</w:t>
      </w:r>
      <w:r w:rsidR="002E18C2" w:rsidRPr="00B833E0">
        <w:rPr>
          <w:lang w:val="es-ES"/>
        </w:rPr>
        <w:t xml:space="preserve"> el </w:t>
      </w:r>
      <w:r w:rsidR="002E18C2" w:rsidRPr="00B833E0">
        <w:rPr>
          <w:szCs w:val="24"/>
          <w:lang w:val="es-ES"/>
        </w:rPr>
        <w:t xml:space="preserve"> </w:t>
      </w:r>
      <w:r w:rsidR="004F7695" w:rsidRPr="00B833E0">
        <w:rPr>
          <w:szCs w:val="24"/>
          <w:lang w:val="es-ES"/>
        </w:rPr>
        <w:t xml:space="preserve">registro y procesamiento de autorización de desembolsos, </w:t>
      </w:r>
      <w:r w:rsidR="002E18C2" w:rsidRPr="00B833E0">
        <w:rPr>
          <w:szCs w:val="24"/>
          <w:lang w:val="es-ES"/>
        </w:rPr>
        <w:t xml:space="preserve">desde </w:t>
      </w:r>
      <w:r w:rsidR="00DA2FFD" w:rsidRPr="00B833E0">
        <w:rPr>
          <w:szCs w:val="24"/>
          <w:lang w:val="es-ES"/>
        </w:rPr>
        <w:t xml:space="preserve">su registro en </w:t>
      </w:r>
      <w:r w:rsidR="004F7695" w:rsidRPr="00B833E0">
        <w:rPr>
          <w:szCs w:val="24"/>
          <w:lang w:val="es-ES"/>
        </w:rPr>
        <w:t>OPUS y los sistemas de Finanzas</w:t>
      </w:r>
      <w:r w:rsidR="00210D0D" w:rsidRPr="00B833E0">
        <w:rPr>
          <w:szCs w:val="24"/>
          <w:lang w:val="es-ES"/>
        </w:rPr>
        <w:t>,</w:t>
      </w:r>
      <w:r w:rsidR="00F111DF" w:rsidRPr="00B833E0">
        <w:rPr>
          <w:szCs w:val="24"/>
          <w:lang w:val="es-ES"/>
        </w:rPr>
        <w:t xml:space="preserve"> hasta su firma por los </w:t>
      </w:r>
      <w:r w:rsidR="00210D0D" w:rsidRPr="00B833E0">
        <w:rPr>
          <w:szCs w:val="24"/>
          <w:lang w:val="es-ES"/>
        </w:rPr>
        <w:t>G</w:t>
      </w:r>
      <w:r w:rsidR="00F111DF" w:rsidRPr="00B833E0">
        <w:rPr>
          <w:szCs w:val="24"/>
          <w:lang w:val="es-ES"/>
        </w:rPr>
        <w:t xml:space="preserve">erentes de </w:t>
      </w:r>
      <w:r w:rsidR="00210D0D" w:rsidRPr="00B833E0">
        <w:rPr>
          <w:szCs w:val="24"/>
          <w:lang w:val="es-ES"/>
        </w:rPr>
        <w:t>P</w:t>
      </w:r>
      <w:r w:rsidR="00F111DF" w:rsidRPr="00B833E0">
        <w:rPr>
          <w:szCs w:val="24"/>
          <w:lang w:val="es-ES"/>
        </w:rPr>
        <w:t>aíses</w:t>
      </w:r>
      <w:r w:rsidR="00956921" w:rsidRPr="00B833E0">
        <w:rPr>
          <w:szCs w:val="24"/>
          <w:lang w:val="es-ES"/>
        </w:rPr>
        <w:t xml:space="preserve"> y </w:t>
      </w:r>
      <w:r w:rsidR="00210D0D" w:rsidRPr="00B833E0">
        <w:rPr>
          <w:szCs w:val="24"/>
          <w:lang w:val="es-ES"/>
        </w:rPr>
        <w:t>S</w:t>
      </w:r>
      <w:r w:rsidR="00956921" w:rsidRPr="00B833E0">
        <w:rPr>
          <w:szCs w:val="24"/>
          <w:lang w:val="es-ES"/>
        </w:rPr>
        <w:t>ectores</w:t>
      </w:r>
      <w:r w:rsidR="004F7695" w:rsidRPr="00B833E0">
        <w:rPr>
          <w:lang w:val="es-ES"/>
        </w:rPr>
        <w:t xml:space="preserve">. </w:t>
      </w:r>
    </w:p>
    <w:p w:rsidR="00303592" w:rsidRPr="00B833E0" w:rsidRDefault="00956921" w:rsidP="008D5D84">
      <w:pPr>
        <w:pStyle w:val="Paragraph"/>
        <w:tabs>
          <w:tab w:val="clear" w:pos="720"/>
        </w:tabs>
        <w:autoSpaceDE w:val="0"/>
        <w:autoSpaceDN w:val="0"/>
        <w:adjustRightInd w:val="0"/>
        <w:rPr>
          <w:lang w:val="es-ES"/>
        </w:rPr>
      </w:pPr>
      <w:r w:rsidRPr="00B833E0">
        <w:rPr>
          <w:szCs w:val="24"/>
          <w:lang w:val="es-ES"/>
        </w:rPr>
        <w:lastRenderedPageBreak/>
        <w:t xml:space="preserve">Por otra parte, se estima que </w:t>
      </w:r>
      <w:r w:rsidR="00303592" w:rsidRPr="00B833E0">
        <w:rPr>
          <w:szCs w:val="24"/>
          <w:lang w:val="es-ES"/>
        </w:rPr>
        <w:t xml:space="preserve">el tiempo </w:t>
      </w:r>
      <w:r w:rsidRPr="00B833E0">
        <w:rPr>
          <w:szCs w:val="24"/>
          <w:lang w:val="es-ES"/>
        </w:rPr>
        <w:t xml:space="preserve">mínimo </w:t>
      </w:r>
      <w:r w:rsidR="00303592" w:rsidRPr="00B833E0">
        <w:rPr>
          <w:szCs w:val="24"/>
          <w:lang w:val="es-ES"/>
        </w:rPr>
        <w:t xml:space="preserve">promedio que </w:t>
      </w:r>
      <w:r w:rsidR="00F111DF" w:rsidRPr="00B833E0">
        <w:rPr>
          <w:szCs w:val="24"/>
          <w:lang w:val="es-ES"/>
        </w:rPr>
        <w:t xml:space="preserve">se </w:t>
      </w:r>
      <w:r w:rsidR="00303592" w:rsidRPr="00B833E0">
        <w:rPr>
          <w:szCs w:val="24"/>
          <w:lang w:val="es-ES"/>
        </w:rPr>
        <w:t xml:space="preserve">tarda en </w:t>
      </w:r>
      <w:r w:rsidR="00D46CB3" w:rsidRPr="00B833E0">
        <w:rPr>
          <w:szCs w:val="24"/>
          <w:lang w:val="es-ES"/>
        </w:rPr>
        <w:t xml:space="preserve">autorizar y </w:t>
      </w:r>
      <w:r w:rsidR="00303592" w:rsidRPr="00B833E0">
        <w:rPr>
          <w:szCs w:val="24"/>
          <w:lang w:val="es-ES"/>
        </w:rPr>
        <w:t xml:space="preserve">gestionar </w:t>
      </w:r>
      <w:r w:rsidRPr="00B833E0">
        <w:rPr>
          <w:szCs w:val="24"/>
          <w:lang w:val="es-ES"/>
        </w:rPr>
        <w:t>una</w:t>
      </w:r>
      <w:r w:rsidR="00303592" w:rsidRPr="00B833E0">
        <w:rPr>
          <w:szCs w:val="24"/>
          <w:lang w:val="es-ES"/>
        </w:rPr>
        <w:t xml:space="preserve"> emisión de bonos soberanos en el mercado internacional es de </w:t>
      </w:r>
      <w:r w:rsidR="00281A51" w:rsidRPr="00B833E0">
        <w:rPr>
          <w:szCs w:val="24"/>
          <w:lang w:val="es-ES"/>
        </w:rPr>
        <w:t>9</w:t>
      </w:r>
      <w:r w:rsidR="00F111DF" w:rsidRPr="00B833E0">
        <w:rPr>
          <w:szCs w:val="24"/>
          <w:lang w:val="es-ES"/>
        </w:rPr>
        <w:t>0</w:t>
      </w:r>
      <w:r w:rsidR="00303592" w:rsidRPr="00B833E0">
        <w:rPr>
          <w:szCs w:val="24"/>
          <w:lang w:val="es-ES"/>
        </w:rPr>
        <w:t xml:space="preserve"> días</w:t>
      </w:r>
      <w:r w:rsidR="00121C06" w:rsidRPr="00B833E0">
        <w:rPr>
          <w:szCs w:val="24"/>
          <w:lang w:val="es-ES"/>
        </w:rPr>
        <w:t>.</w:t>
      </w:r>
      <w:r w:rsidRPr="00B833E0">
        <w:rPr>
          <w:szCs w:val="24"/>
          <w:lang w:val="es-ES"/>
        </w:rPr>
        <w:t xml:space="preserve"> </w:t>
      </w:r>
      <w:r w:rsidR="00F111DF" w:rsidRPr="00B833E0">
        <w:rPr>
          <w:szCs w:val="24"/>
          <w:lang w:val="es-ES"/>
        </w:rPr>
        <w:t>E</w:t>
      </w:r>
      <w:r w:rsidR="000E0506" w:rsidRPr="00B833E0">
        <w:rPr>
          <w:szCs w:val="24"/>
          <w:lang w:val="es-ES"/>
        </w:rPr>
        <w:t xml:space="preserve">l presente análisis </w:t>
      </w:r>
      <w:r w:rsidR="00121C06" w:rsidRPr="00B833E0">
        <w:rPr>
          <w:szCs w:val="24"/>
          <w:lang w:val="es-ES"/>
        </w:rPr>
        <w:t xml:space="preserve">asume </w:t>
      </w:r>
      <w:r w:rsidR="000E0506" w:rsidRPr="00B833E0">
        <w:rPr>
          <w:szCs w:val="24"/>
          <w:lang w:val="es-ES"/>
        </w:rPr>
        <w:t xml:space="preserve">conservadoramente </w:t>
      </w:r>
      <w:r w:rsidR="00121C06" w:rsidRPr="00B833E0">
        <w:rPr>
          <w:szCs w:val="24"/>
          <w:lang w:val="es-ES"/>
        </w:rPr>
        <w:t xml:space="preserve">que dicho valor se </w:t>
      </w:r>
      <w:r w:rsidR="00D46CB3" w:rsidRPr="00B833E0">
        <w:rPr>
          <w:szCs w:val="24"/>
          <w:lang w:val="es-ES"/>
        </w:rPr>
        <w:t>reduciría</w:t>
      </w:r>
      <w:r w:rsidR="00121C06" w:rsidRPr="00B833E0">
        <w:rPr>
          <w:szCs w:val="24"/>
          <w:lang w:val="es-ES"/>
        </w:rPr>
        <w:t>,</w:t>
      </w:r>
      <w:r w:rsidR="00D46CB3" w:rsidRPr="00B833E0">
        <w:rPr>
          <w:szCs w:val="24"/>
          <w:lang w:val="es-ES"/>
        </w:rPr>
        <w:t xml:space="preserve"> a la mitad (45) en </w:t>
      </w:r>
      <w:r w:rsidR="00121C06" w:rsidRPr="00B833E0">
        <w:rPr>
          <w:szCs w:val="24"/>
          <w:lang w:val="es-ES"/>
        </w:rPr>
        <w:t>el eventual caso de ocurrencia de</w:t>
      </w:r>
      <w:r w:rsidR="00210D0D" w:rsidRPr="00B833E0">
        <w:rPr>
          <w:szCs w:val="24"/>
          <w:lang w:val="es-ES"/>
        </w:rPr>
        <w:t xml:space="preserve"> un </w:t>
      </w:r>
      <w:r w:rsidR="00121C06" w:rsidRPr="00B833E0">
        <w:rPr>
          <w:szCs w:val="24"/>
          <w:lang w:val="es-ES"/>
        </w:rPr>
        <w:t>desastre</w:t>
      </w:r>
      <w:r w:rsidRPr="00B833E0">
        <w:rPr>
          <w:szCs w:val="24"/>
          <w:lang w:val="es-ES"/>
        </w:rPr>
        <w:t xml:space="preserve"> catastrófico</w:t>
      </w:r>
      <w:r w:rsidR="00121C06" w:rsidRPr="00B833E0">
        <w:rPr>
          <w:szCs w:val="24"/>
          <w:lang w:val="es-ES"/>
        </w:rPr>
        <w:t>.</w:t>
      </w:r>
      <w:r w:rsidR="00281A51" w:rsidRPr="00B833E0">
        <w:rPr>
          <w:szCs w:val="24"/>
          <w:lang w:val="es-ES"/>
        </w:rPr>
        <w:t xml:space="preserve"> </w:t>
      </w:r>
      <w:r w:rsidR="000E0506" w:rsidRPr="00B833E0">
        <w:rPr>
          <w:szCs w:val="24"/>
          <w:lang w:val="es-ES"/>
        </w:rPr>
        <w:t>De esta forma se busca dar un mayor grado de confiabilidad al análisis.</w:t>
      </w:r>
    </w:p>
    <w:p w:rsidR="00121C06" w:rsidRPr="00B833E0" w:rsidRDefault="00121C06" w:rsidP="00CD3245">
      <w:pPr>
        <w:pStyle w:val="Chapter"/>
        <w:rPr>
          <w:lang w:val="es-ES"/>
        </w:rPr>
      </w:pPr>
      <w:r w:rsidRPr="00B833E0">
        <w:rPr>
          <w:lang w:val="es-ES"/>
        </w:rPr>
        <w:t>Costo Financiero</w:t>
      </w:r>
    </w:p>
    <w:p w:rsidR="00F8415E" w:rsidRPr="00B833E0" w:rsidRDefault="00121C06" w:rsidP="003642A0">
      <w:pPr>
        <w:pStyle w:val="Paragraph"/>
        <w:rPr>
          <w:lang w:val="es-ES"/>
        </w:rPr>
      </w:pPr>
      <w:r w:rsidRPr="00B833E0">
        <w:rPr>
          <w:lang w:val="es-ES"/>
        </w:rPr>
        <w:t>Con respecto a</w:t>
      </w:r>
      <w:r w:rsidR="00952EE0" w:rsidRPr="00B833E0">
        <w:rPr>
          <w:lang w:val="es-ES"/>
        </w:rPr>
        <w:t xml:space="preserve"> los costos, se analiza el diferencial entre </w:t>
      </w:r>
      <w:r w:rsidR="00671B41" w:rsidRPr="00B833E0">
        <w:rPr>
          <w:lang w:val="es-ES"/>
        </w:rPr>
        <w:t xml:space="preserve">el </w:t>
      </w:r>
      <w:r w:rsidR="00D46CB3" w:rsidRPr="00B833E0">
        <w:rPr>
          <w:lang w:val="es-ES"/>
        </w:rPr>
        <w:t xml:space="preserve">costo financiero del </w:t>
      </w:r>
      <w:r w:rsidR="00671B41" w:rsidRPr="00B833E0">
        <w:rPr>
          <w:lang w:val="es-ES"/>
        </w:rPr>
        <w:t>préstamo BID, y</w:t>
      </w:r>
      <w:r w:rsidR="00671B41" w:rsidRPr="00B833E0" w:rsidDel="00210D0D">
        <w:rPr>
          <w:lang w:val="es-ES"/>
        </w:rPr>
        <w:t xml:space="preserve"> </w:t>
      </w:r>
      <w:r w:rsidR="00952EE0" w:rsidRPr="00B833E0">
        <w:rPr>
          <w:lang w:val="es-ES"/>
        </w:rPr>
        <w:t>la deuda comercial ext</w:t>
      </w:r>
      <w:r w:rsidR="005B2C97" w:rsidRPr="00B833E0">
        <w:rPr>
          <w:lang w:val="es-ES"/>
        </w:rPr>
        <w:t xml:space="preserve">erna soberana a largo plazo de </w:t>
      </w:r>
      <w:r w:rsidR="00664484">
        <w:rPr>
          <w:lang w:val="es-ES"/>
        </w:rPr>
        <w:t>Costa Rica</w:t>
      </w:r>
      <w:r w:rsidR="00210D0D" w:rsidRPr="00B833E0">
        <w:rPr>
          <w:lang w:val="es-ES"/>
        </w:rPr>
        <w:t>.</w:t>
      </w:r>
      <w:r w:rsidR="003E2629">
        <w:rPr>
          <w:lang w:val="es-ES"/>
        </w:rPr>
        <w:t xml:space="preserve"> Al primer trimestres de 2012, e</w:t>
      </w:r>
      <w:r w:rsidR="00664484">
        <w:rPr>
          <w:lang w:val="es-ES"/>
        </w:rPr>
        <w:t>l costo del préstamo BID</w:t>
      </w:r>
      <w:r w:rsidR="003E2629">
        <w:rPr>
          <w:lang w:val="es-ES"/>
        </w:rPr>
        <w:t xml:space="preserve"> viene </w:t>
      </w:r>
      <w:r w:rsidR="00E80675" w:rsidRPr="00B833E0">
        <w:rPr>
          <w:lang w:val="es-ES"/>
        </w:rPr>
        <w:t xml:space="preserve">dado por la tasa de interés de LIBOR a </w:t>
      </w:r>
      <w:r w:rsidR="00664484">
        <w:rPr>
          <w:lang w:val="es-ES"/>
        </w:rPr>
        <w:t>3</w:t>
      </w:r>
      <w:r w:rsidR="00E80675" w:rsidRPr="00B833E0">
        <w:rPr>
          <w:lang w:val="es-ES"/>
        </w:rPr>
        <w:t xml:space="preserve"> meses </w:t>
      </w:r>
      <w:r w:rsidR="003E2629">
        <w:rPr>
          <w:lang w:val="es-ES"/>
        </w:rPr>
        <w:t>(</w:t>
      </w:r>
      <w:r w:rsidR="00545485" w:rsidRPr="00B833E0">
        <w:rPr>
          <w:lang w:val="es-ES"/>
        </w:rPr>
        <w:t>5</w:t>
      </w:r>
      <w:r w:rsidR="003E2629">
        <w:rPr>
          <w:lang w:val="es-ES"/>
        </w:rPr>
        <w:t>7</w:t>
      </w:r>
      <w:r w:rsidR="005F05C8" w:rsidRPr="00B833E0">
        <w:rPr>
          <w:lang w:val="es-ES"/>
        </w:rPr>
        <w:t xml:space="preserve"> </w:t>
      </w:r>
      <w:r w:rsidR="00E80675" w:rsidRPr="00B833E0">
        <w:rPr>
          <w:lang w:val="es-ES"/>
        </w:rPr>
        <w:t>p</w:t>
      </w:r>
      <w:r w:rsidR="005F05C8" w:rsidRPr="00B833E0">
        <w:rPr>
          <w:lang w:val="es-ES"/>
        </w:rPr>
        <w:t>untos básicos</w:t>
      </w:r>
      <w:r w:rsidR="003E2629">
        <w:rPr>
          <w:lang w:val="es-ES"/>
        </w:rPr>
        <w:t xml:space="preserve">, o </w:t>
      </w:r>
      <w:proofErr w:type="spellStart"/>
      <w:r w:rsidR="003E2629">
        <w:rPr>
          <w:lang w:val="es-ES"/>
        </w:rPr>
        <w:t>pb</w:t>
      </w:r>
      <w:proofErr w:type="spellEnd"/>
      <w:r w:rsidR="00E80675" w:rsidRPr="00B833E0">
        <w:rPr>
          <w:lang w:val="es-ES"/>
        </w:rPr>
        <w:t xml:space="preserve">) </w:t>
      </w:r>
      <w:r w:rsidR="005F05C8" w:rsidRPr="00B833E0">
        <w:rPr>
          <w:lang w:val="es-ES"/>
        </w:rPr>
        <w:t>más</w:t>
      </w:r>
      <w:r w:rsidR="00E80675" w:rsidRPr="00B833E0">
        <w:rPr>
          <w:lang w:val="es-ES"/>
        </w:rPr>
        <w:t xml:space="preserve"> </w:t>
      </w:r>
      <w:r w:rsidR="00545485" w:rsidRPr="00B833E0">
        <w:rPr>
          <w:lang w:val="es-ES"/>
        </w:rPr>
        <w:t>el margen de fondeo (</w:t>
      </w:r>
      <w:r w:rsidR="003E2629">
        <w:rPr>
          <w:lang w:val="es-ES"/>
        </w:rPr>
        <w:t>3</w:t>
      </w:r>
      <w:r w:rsidR="00545485" w:rsidRPr="00B833E0">
        <w:rPr>
          <w:lang w:val="es-ES"/>
        </w:rPr>
        <w:t xml:space="preserve"> </w:t>
      </w:r>
      <w:proofErr w:type="spellStart"/>
      <w:r w:rsidR="00545485" w:rsidRPr="00B833E0">
        <w:rPr>
          <w:lang w:val="es-ES"/>
        </w:rPr>
        <w:t>pb</w:t>
      </w:r>
      <w:proofErr w:type="spellEnd"/>
      <w:r w:rsidR="00545485" w:rsidRPr="00B833E0">
        <w:rPr>
          <w:lang w:val="es-ES"/>
        </w:rPr>
        <w:t xml:space="preserve">) y </w:t>
      </w:r>
      <w:r w:rsidR="00E80675" w:rsidRPr="00B833E0">
        <w:rPr>
          <w:lang w:val="es-ES"/>
        </w:rPr>
        <w:t xml:space="preserve">un </w:t>
      </w:r>
      <w:r w:rsidR="001B5F39" w:rsidRPr="00B833E0">
        <w:rPr>
          <w:lang w:val="es-ES"/>
        </w:rPr>
        <w:t xml:space="preserve">spread </w:t>
      </w:r>
      <w:r w:rsidR="003E2629">
        <w:rPr>
          <w:lang w:val="es-ES"/>
        </w:rPr>
        <w:t xml:space="preserve">de 62 </w:t>
      </w:r>
      <w:proofErr w:type="spellStart"/>
      <w:r w:rsidR="003E2629">
        <w:rPr>
          <w:lang w:val="es-ES"/>
        </w:rPr>
        <w:t>pb</w:t>
      </w:r>
      <w:proofErr w:type="spellEnd"/>
      <w:r w:rsidR="003E2629">
        <w:rPr>
          <w:lang w:val="es-ES"/>
        </w:rPr>
        <w:t xml:space="preserve"> fijado por </w:t>
      </w:r>
      <w:r w:rsidR="005F05C8" w:rsidRPr="00B833E0">
        <w:rPr>
          <w:lang w:val="es-ES"/>
        </w:rPr>
        <w:t xml:space="preserve">el Departamento de Finanzas del Banco </w:t>
      </w:r>
      <w:r w:rsidR="003E2629">
        <w:rPr>
          <w:lang w:val="es-ES"/>
        </w:rPr>
        <w:t xml:space="preserve">el cual se </w:t>
      </w:r>
      <w:r w:rsidR="005F05C8" w:rsidRPr="00B833E0">
        <w:rPr>
          <w:lang w:val="es-ES"/>
        </w:rPr>
        <w:t>revisa cada 6 meses</w:t>
      </w:r>
      <w:r w:rsidR="003E2629">
        <w:rPr>
          <w:lang w:val="es-ES"/>
        </w:rPr>
        <w:t xml:space="preserve">. </w:t>
      </w:r>
      <w:r w:rsidR="005F05C8" w:rsidRPr="00B833E0">
        <w:rPr>
          <w:lang w:val="es-ES"/>
        </w:rPr>
        <w:t xml:space="preserve">Este costo </w:t>
      </w:r>
      <w:r w:rsidR="00F8415E" w:rsidRPr="00B833E0">
        <w:rPr>
          <w:lang w:val="es-ES"/>
        </w:rPr>
        <w:t xml:space="preserve">de </w:t>
      </w:r>
      <w:r w:rsidR="00F8415E" w:rsidRPr="002C0130">
        <w:rPr>
          <w:b/>
          <w:lang w:val="es-ES"/>
        </w:rPr>
        <w:t>1</w:t>
      </w:r>
      <w:r w:rsidR="003E2629" w:rsidRPr="002C0130">
        <w:rPr>
          <w:b/>
          <w:lang w:val="es-ES"/>
        </w:rPr>
        <w:t>22</w:t>
      </w:r>
      <w:r w:rsidR="00F8415E" w:rsidRPr="002C0130">
        <w:rPr>
          <w:b/>
          <w:lang w:val="es-ES"/>
        </w:rPr>
        <w:t xml:space="preserve"> </w:t>
      </w:r>
      <w:proofErr w:type="spellStart"/>
      <w:r w:rsidR="00F8415E" w:rsidRPr="002C0130">
        <w:rPr>
          <w:b/>
          <w:lang w:val="es-ES"/>
        </w:rPr>
        <w:t>pb</w:t>
      </w:r>
      <w:proofErr w:type="spellEnd"/>
      <w:r w:rsidR="00F8415E" w:rsidRPr="00B833E0">
        <w:rPr>
          <w:lang w:val="es-ES"/>
        </w:rPr>
        <w:t xml:space="preserve"> </w:t>
      </w:r>
      <w:r w:rsidR="005F05C8" w:rsidRPr="00B833E0">
        <w:rPr>
          <w:lang w:val="es-ES"/>
        </w:rPr>
        <w:t xml:space="preserve">aplicaría a los recursos provenientes del Capital Ordinario del Banco. </w:t>
      </w:r>
      <w:r w:rsidR="005A65F1" w:rsidRPr="00B833E0">
        <w:rPr>
          <w:rFonts w:eastAsia="Arial Unicode MS"/>
          <w:lang w:val="es-ES"/>
        </w:rPr>
        <w:t xml:space="preserve">Si bien cabe señalar que </w:t>
      </w:r>
      <w:r w:rsidR="005A65F1" w:rsidRPr="00B833E0">
        <w:rPr>
          <w:lang w:val="es-ES"/>
        </w:rPr>
        <w:t xml:space="preserve">al momento de la negociación del préstamo, el país puede elegir entre fijar la tasa LIBOR o dejarla flotante. Ante la actual coyuntura económica, donde la tasa LIBOR se encuentra en mínimos históricos, es de esperar que los países tomen la opción de fijar la tasa. En ese caso el coste total del financiamiento del Banco consistiría en </w:t>
      </w:r>
      <w:r w:rsidR="00B65D0A" w:rsidRPr="00B833E0">
        <w:rPr>
          <w:lang w:val="es-ES"/>
        </w:rPr>
        <w:t>l</w:t>
      </w:r>
      <w:r w:rsidR="005A65F1" w:rsidRPr="00B833E0">
        <w:rPr>
          <w:lang w:val="es-ES"/>
        </w:rPr>
        <w:t>a tasa LIBOR actual m</w:t>
      </w:r>
      <w:r w:rsidR="00B65D0A" w:rsidRPr="00B833E0">
        <w:rPr>
          <w:lang w:val="es-ES"/>
        </w:rPr>
        <w:t>á</w:t>
      </w:r>
      <w:r w:rsidR="005A65F1" w:rsidRPr="00B833E0">
        <w:rPr>
          <w:lang w:val="es-ES"/>
        </w:rPr>
        <w:t>s el spread, y se le agregaría el coste del swap de tipos de interés que el Banco tendría que comprar para cubrir su riesgo ante la volatilidad de las tasas de interés (</w:t>
      </w:r>
      <w:r w:rsidR="00DB12CB">
        <w:rPr>
          <w:lang w:val="es-ES"/>
        </w:rPr>
        <w:t>se asume un costo aproximado de</w:t>
      </w:r>
      <w:r w:rsidR="005A65F1" w:rsidRPr="00B833E0">
        <w:rPr>
          <w:lang w:val="es-ES"/>
        </w:rPr>
        <w:t xml:space="preserve"> este swap </w:t>
      </w:r>
      <w:r w:rsidR="00DB12CB">
        <w:rPr>
          <w:lang w:val="es-ES"/>
        </w:rPr>
        <w:t xml:space="preserve">en </w:t>
      </w:r>
      <w:r w:rsidR="0079302C" w:rsidRPr="000D611F">
        <w:rPr>
          <w:lang w:val="es-ES"/>
        </w:rPr>
        <w:t xml:space="preserve">225 </w:t>
      </w:r>
      <w:proofErr w:type="spellStart"/>
      <w:r w:rsidR="0079302C" w:rsidRPr="000D611F">
        <w:rPr>
          <w:lang w:val="es-ES"/>
        </w:rPr>
        <w:t>p</w:t>
      </w:r>
      <w:r w:rsidR="0079302C" w:rsidRPr="00B833E0">
        <w:rPr>
          <w:lang w:val="es-ES"/>
        </w:rPr>
        <w:t>b</w:t>
      </w:r>
      <w:proofErr w:type="spellEnd"/>
      <w:r w:rsidR="005A65F1" w:rsidRPr="00B833E0">
        <w:rPr>
          <w:lang w:val="es-ES"/>
        </w:rPr>
        <w:t xml:space="preserve">). En este caso, el costo de financiación del préstamo </w:t>
      </w:r>
      <w:r w:rsidR="005673D0" w:rsidRPr="00B833E0">
        <w:rPr>
          <w:lang w:val="es-ES"/>
        </w:rPr>
        <w:t>contingente del BID se</w:t>
      </w:r>
      <w:r w:rsidR="005A65F1" w:rsidRPr="00B833E0">
        <w:rPr>
          <w:lang w:val="es-ES"/>
        </w:rPr>
        <w:t xml:space="preserve">ría </w:t>
      </w:r>
      <w:r w:rsidR="005A65F1" w:rsidRPr="00945909">
        <w:rPr>
          <w:b/>
          <w:lang w:val="es-ES"/>
        </w:rPr>
        <w:t>3</w:t>
      </w:r>
      <w:r w:rsidR="00945909" w:rsidRPr="00945909">
        <w:rPr>
          <w:b/>
          <w:lang w:val="es-ES"/>
        </w:rPr>
        <w:t>47</w:t>
      </w:r>
      <w:r w:rsidR="005A65F1" w:rsidRPr="00945909">
        <w:rPr>
          <w:b/>
          <w:lang w:val="es-ES"/>
        </w:rPr>
        <w:t xml:space="preserve"> </w:t>
      </w:r>
      <w:proofErr w:type="spellStart"/>
      <w:r w:rsidR="005A65F1" w:rsidRPr="00945909">
        <w:rPr>
          <w:b/>
          <w:lang w:val="es-ES"/>
        </w:rPr>
        <w:t>pb</w:t>
      </w:r>
      <w:proofErr w:type="spellEnd"/>
      <w:r w:rsidR="005A65F1" w:rsidRPr="00B833E0">
        <w:rPr>
          <w:lang w:val="es-ES"/>
        </w:rPr>
        <w:t xml:space="preserve"> para todo el periodo de cobertura.</w:t>
      </w:r>
      <w:r w:rsidR="00530E11" w:rsidRPr="00B833E0">
        <w:rPr>
          <w:lang w:val="es-ES"/>
        </w:rPr>
        <w:t xml:space="preserve"> </w:t>
      </w:r>
    </w:p>
    <w:p w:rsidR="00391671" w:rsidRPr="00B833E0" w:rsidRDefault="00391671" w:rsidP="003642A0">
      <w:pPr>
        <w:pStyle w:val="Paragraph"/>
        <w:rPr>
          <w:lang w:val="es-ES"/>
        </w:rPr>
      </w:pPr>
      <w:r w:rsidRPr="00B833E0">
        <w:rPr>
          <w:lang w:val="es-ES"/>
        </w:rPr>
        <w:t>En cuanto a la financiación en el mercado internacional,</w:t>
      </w:r>
      <w:r w:rsidR="00447F8E" w:rsidRPr="00B833E0">
        <w:rPr>
          <w:lang w:val="es-ES"/>
        </w:rPr>
        <w:t xml:space="preserve"> el gobierno </w:t>
      </w:r>
      <w:r w:rsidR="003E2629">
        <w:rPr>
          <w:lang w:val="es-ES"/>
        </w:rPr>
        <w:t>de Costa Rica</w:t>
      </w:r>
      <w:r w:rsidR="00447F8E" w:rsidRPr="00B833E0">
        <w:rPr>
          <w:lang w:val="es-ES"/>
        </w:rPr>
        <w:t xml:space="preserve"> no ha tenido problemas de acceso a financiamiento en los últimos años</w:t>
      </w:r>
      <w:r w:rsidR="003E2629">
        <w:rPr>
          <w:lang w:val="es-ES"/>
        </w:rPr>
        <w:t>.</w:t>
      </w:r>
      <w:r w:rsidR="00447F8E" w:rsidRPr="00B833E0">
        <w:rPr>
          <w:lang w:val="es-ES"/>
        </w:rPr>
        <w:t xml:space="preserve"> </w:t>
      </w:r>
      <w:r w:rsidR="003E2629">
        <w:rPr>
          <w:lang w:val="es-ES"/>
        </w:rPr>
        <w:t>La emisión más reciente fue en el</w:t>
      </w:r>
      <w:r w:rsidR="00447F8E" w:rsidRPr="00B833E0">
        <w:rPr>
          <w:lang w:val="es-ES"/>
        </w:rPr>
        <w:t xml:space="preserve"> 200</w:t>
      </w:r>
      <w:r w:rsidR="003E2629">
        <w:rPr>
          <w:lang w:val="es-ES"/>
        </w:rPr>
        <w:t>4</w:t>
      </w:r>
      <w:r w:rsidR="002E6750">
        <w:rPr>
          <w:lang w:val="es-ES"/>
        </w:rPr>
        <w:t>, aunque el Gobierno ha anunciado que efectuará una nueva emisión de bonos soberanos en el mercado internacional aproximadamente para el mes de noviembre de 2012</w:t>
      </w:r>
      <w:r w:rsidR="003642A0" w:rsidRPr="00B833E0">
        <w:rPr>
          <w:lang w:val="es-ES"/>
        </w:rPr>
        <w:t>.</w:t>
      </w:r>
      <w:r w:rsidR="00447F8E" w:rsidRPr="00B833E0">
        <w:rPr>
          <w:lang w:val="es-ES"/>
        </w:rPr>
        <w:t xml:space="preserve"> </w:t>
      </w:r>
      <w:r w:rsidR="003E2629">
        <w:rPr>
          <w:lang w:val="es-ES"/>
        </w:rPr>
        <w:t>Actualmente, Costa Rica</w:t>
      </w:r>
      <w:r w:rsidR="003E2629" w:rsidRPr="00B833E0">
        <w:rPr>
          <w:lang w:val="es-ES"/>
        </w:rPr>
        <w:t xml:space="preserve"> </w:t>
      </w:r>
      <w:r w:rsidR="003E2629">
        <w:rPr>
          <w:lang w:val="es-ES"/>
        </w:rPr>
        <w:t>manti</w:t>
      </w:r>
      <w:r w:rsidR="003E2629" w:rsidRPr="00B833E0">
        <w:rPr>
          <w:lang w:val="es-ES"/>
        </w:rPr>
        <w:t>ene una calificación de su deuda pública externa de largo plazo de BB</w:t>
      </w:r>
      <w:r w:rsidR="003E2629">
        <w:rPr>
          <w:lang w:val="es-ES"/>
        </w:rPr>
        <w:t xml:space="preserve"> según</w:t>
      </w:r>
      <w:r w:rsidR="003E2629" w:rsidRPr="00B833E0">
        <w:rPr>
          <w:lang w:val="es-ES"/>
        </w:rPr>
        <w:t xml:space="preserve"> </w:t>
      </w:r>
      <w:r w:rsidR="003E2629" w:rsidRPr="00391671">
        <w:rPr>
          <w:lang w:val="es-ES"/>
        </w:rPr>
        <w:t xml:space="preserve">Standard &amp; </w:t>
      </w:r>
      <w:proofErr w:type="spellStart"/>
      <w:r w:rsidR="003E2629" w:rsidRPr="00391671">
        <w:rPr>
          <w:lang w:val="es-ES"/>
        </w:rPr>
        <w:t>Poor’s</w:t>
      </w:r>
      <w:proofErr w:type="spellEnd"/>
      <w:r w:rsidR="003E2629">
        <w:rPr>
          <w:lang w:val="es-ES"/>
        </w:rPr>
        <w:t xml:space="preserve">, mientras que la </w:t>
      </w:r>
      <w:r w:rsidR="003E2629" w:rsidRPr="00391671">
        <w:rPr>
          <w:lang w:val="es-ES"/>
        </w:rPr>
        <w:t xml:space="preserve">calificación </w:t>
      </w:r>
      <w:r w:rsidR="003E2629">
        <w:rPr>
          <w:lang w:val="es-ES"/>
        </w:rPr>
        <w:t>otorgada por</w:t>
      </w:r>
      <w:r w:rsidR="003E2629" w:rsidRPr="00391671">
        <w:rPr>
          <w:lang w:val="es-ES"/>
        </w:rPr>
        <w:t xml:space="preserve"> </w:t>
      </w:r>
      <w:proofErr w:type="spellStart"/>
      <w:r w:rsidR="003E2629">
        <w:rPr>
          <w:lang w:val="es-ES"/>
        </w:rPr>
        <w:t>Fitch</w:t>
      </w:r>
      <w:proofErr w:type="spellEnd"/>
      <w:r w:rsidR="003E2629">
        <w:rPr>
          <w:lang w:val="es-ES"/>
        </w:rPr>
        <w:t xml:space="preserve"> </w:t>
      </w:r>
      <w:r w:rsidR="003E2629" w:rsidRPr="00391671">
        <w:rPr>
          <w:lang w:val="es-ES"/>
        </w:rPr>
        <w:t xml:space="preserve">es </w:t>
      </w:r>
      <w:r w:rsidR="003E2629">
        <w:rPr>
          <w:lang w:val="es-ES"/>
        </w:rPr>
        <w:t xml:space="preserve">BB+ y la de </w:t>
      </w:r>
      <w:proofErr w:type="spellStart"/>
      <w:r w:rsidR="003E2629" w:rsidRPr="00391671">
        <w:rPr>
          <w:lang w:val="es-ES"/>
        </w:rPr>
        <w:t>Moody’s</w:t>
      </w:r>
      <w:proofErr w:type="spellEnd"/>
      <w:r w:rsidR="003E2629" w:rsidRPr="00391671">
        <w:rPr>
          <w:lang w:val="es-ES"/>
        </w:rPr>
        <w:t xml:space="preserve"> </w:t>
      </w:r>
      <w:r w:rsidR="003E2629">
        <w:rPr>
          <w:lang w:val="es-ES"/>
        </w:rPr>
        <w:t xml:space="preserve">es </w:t>
      </w:r>
      <w:r w:rsidR="003E2629" w:rsidRPr="00391671">
        <w:rPr>
          <w:lang w:val="es-ES"/>
        </w:rPr>
        <w:t>Baa3</w:t>
      </w:r>
      <w:r w:rsidR="003E2629" w:rsidRPr="00B833E0">
        <w:rPr>
          <w:lang w:val="es-ES"/>
        </w:rPr>
        <w:t xml:space="preserve">. De momento </w:t>
      </w:r>
      <w:r w:rsidR="003E2629">
        <w:rPr>
          <w:lang w:val="es-ES"/>
        </w:rPr>
        <w:t>l</w:t>
      </w:r>
      <w:r w:rsidR="003E2629" w:rsidRPr="00B833E0">
        <w:rPr>
          <w:lang w:val="es-ES"/>
        </w:rPr>
        <w:t xml:space="preserve">as </w:t>
      </w:r>
      <w:r w:rsidR="003E2629">
        <w:rPr>
          <w:lang w:val="es-ES"/>
        </w:rPr>
        <w:t>mencionadas agencias</w:t>
      </w:r>
      <w:r w:rsidR="003E2629" w:rsidRPr="00B833E0">
        <w:rPr>
          <w:lang w:val="es-ES"/>
        </w:rPr>
        <w:t xml:space="preserve"> calificadoras de riesgo no prevén cambios en la calificación de la deuda de </w:t>
      </w:r>
      <w:r w:rsidR="003E2629">
        <w:rPr>
          <w:lang w:val="es-ES"/>
        </w:rPr>
        <w:t>Costa Rica</w:t>
      </w:r>
      <w:r w:rsidR="003E2629" w:rsidRPr="00B833E0">
        <w:rPr>
          <w:lang w:val="es-ES"/>
        </w:rPr>
        <w:t xml:space="preserve"> en </w:t>
      </w:r>
      <w:r w:rsidR="003E2629">
        <w:rPr>
          <w:lang w:val="es-ES"/>
        </w:rPr>
        <w:t>el</w:t>
      </w:r>
      <w:r w:rsidR="003E2629" w:rsidRPr="00B833E0">
        <w:rPr>
          <w:lang w:val="es-ES"/>
        </w:rPr>
        <w:t xml:space="preserve"> corto plazo.</w:t>
      </w:r>
    </w:p>
    <w:p w:rsidR="00391671" w:rsidRDefault="00391671" w:rsidP="003642A0">
      <w:pPr>
        <w:pStyle w:val="Paragraph"/>
        <w:rPr>
          <w:lang w:val="es-ES"/>
        </w:rPr>
      </w:pPr>
      <w:r w:rsidRPr="00B833E0">
        <w:rPr>
          <w:lang w:val="es-ES"/>
        </w:rPr>
        <w:t>El indicador EMBI+ hace un seguimiento del diferencial de los retornos financieros de la deuda pública de países emergentes sobre las letras del Tesoro de Estados Unidos.</w:t>
      </w:r>
      <w:r w:rsidRPr="00B833E0">
        <w:rPr>
          <w:vertAlign w:val="superscript"/>
          <w:lang w:val="es-ES"/>
        </w:rPr>
        <w:footnoteReference w:id="4"/>
      </w:r>
      <w:r w:rsidRPr="00B833E0">
        <w:rPr>
          <w:vertAlign w:val="superscript"/>
          <w:lang w:val="es-ES"/>
        </w:rPr>
        <w:t xml:space="preserve"> </w:t>
      </w:r>
      <w:r w:rsidRPr="00B833E0">
        <w:rPr>
          <w:lang w:val="es-ES"/>
        </w:rPr>
        <w:t xml:space="preserve">El EMBI+ incluye varios tipos de instrumentos de inversión disponibles, lo cual permite que se ajuste a la variedad de oportunidades de inversión que ofrecen los mercados emergentes. Actualmente, el EMBI+ spread de </w:t>
      </w:r>
      <w:r w:rsidR="00294392">
        <w:rPr>
          <w:lang w:val="es-ES"/>
        </w:rPr>
        <w:t>Costa Rica</w:t>
      </w:r>
      <w:r w:rsidRPr="00B833E0">
        <w:rPr>
          <w:lang w:val="es-ES"/>
        </w:rPr>
        <w:t xml:space="preserve"> es </w:t>
      </w:r>
      <w:r w:rsidR="00C75DB9">
        <w:rPr>
          <w:lang w:val="es-ES"/>
        </w:rPr>
        <w:t>200</w:t>
      </w:r>
      <w:r w:rsidRPr="00B833E0">
        <w:rPr>
          <w:lang w:val="es-ES"/>
        </w:rPr>
        <w:t xml:space="preserve"> puntos básicos (valor al </w:t>
      </w:r>
      <w:r w:rsidR="00C75DB9">
        <w:rPr>
          <w:lang w:val="es-ES"/>
        </w:rPr>
        <w:t xml:space="preserve">11 de abril </w:t>
      </w:r>
      <w:r w:rsidRPr="00B833E0">
        <w:rPr>
          <w:lang w:val="es-ES"/>
        </w:rPr>
        <w:t>de</w:t>
      </w:r>
      <w:r w:rsidR="00A95438" w:rsidRPr="00B833E0">
        <w:rPr>
          <w:lang w:val="es-ES"/>
        </w:rPr>
        <w:t xml:space="preserve"> 201</w:t>
      </w:r>
      <w:r w:rsidR="00C75DB9">
        <w:rPr>
          <w:lang w:val="es-ES"/>
        </w:rPr>
        <w:t>2</w:t>
      </w:r>
      <w:r w:rsidR="00A95438" w:rsidRPr="00B833E0">
        <w:rPr>
          <w:lang w:val="es-ES"/>
        </w:rPr>
        <w:t xml:space="preserve">) que sumado al rendimiento de los </w:t>
      </w:r>
      <w:r w:rsidR="00B833E0">
        <w:rPr>
          <w:lang w:val="es-ES"/>
        </w:rPr>
        <w:t xml:space="preserve">bonos del Tesoro de Estados Unidos </w:t>
      </w:r>
      <w:r w:rsidR="00A95438" w:rsidRPr="00B833E0">
        <w:rPr>
          <w:lang w:val="es-ES"/>
        </w:rPr>
        <w:t>a 10 años (1</w:t>
      </w:r>
      <w:r w:rsidR="00C75DB9">
        <w:rPr>
          <w:lang w:val="es-ES"/>
        </w:rPr>
        <w:t>9</w:t>
      </w:r>
      <w:r w:rsidR="00A95438" w:rsidRPr="00B833E0">
        <w:rPr>
          <w:lang w:val="es-ES"/>
        </w:rPr>
        <w:t xml:space="preserve">8 </w:t>
      </w:r>
      <w:proofErr w:type="spellStart"/>
      <w:r w:rsidR="00A95438" w:rsidRPr="00B833E0">
        <w:rPr>
          <w:lang w:val="es-ES"/>
        </w:rPr>
        <w:t>pb</w:t>
      </w:r>
      <w:proofErr w:type="spellEnd"/>
      <w:r w:rsidR="00A95438" w:rsidRPr="00B833E0">
        <w:rPr>
          <w:lang w:val="es-ES"/>
        </w:rPr>
        <w:t xml:space="preserve"> a la misma fecha) resulta</w:t>
      </w:r>
      <w:r w:rsidR="009B29D6" w:rsidRPr="00B833E0">
        <w:rPr>
          <w:lang w:val="es-ES"/>
        </w:rPr>
        <w:t>ría</w:t>
      </w:r>
      <w:r w:rsidR="00A95438" w:rsidRPr="00B833E0">
        <w:rPr>
          <w:lang w:val="es-ES"/>
        </w:rPr>
        <w:t xml:space="preserve"> en una tasa de interés </w:t>
      </w:r>
      <w:r w:rsidR="00A95438" w:rsidRPr="00C75DB9">
        <w:rPr>
          <w:lang w:val="es-ES"/>
        </w:rPr>
        <w:t xml:space="preserve">de </w:t>
      </w:r>
      <w:r w:rsidR="00C75DB9" w:rsidRPr="00C75DB9">
        <w:rPr>
          <w:lang w:val="es-ES"/>
        </w:rPr>
        <w:t>398</w:t>
      </w:r>
      <w:r w:rsidR="00A95438" w:rsidRPr="00C75DB9">
        <w:rPr>
          <w:lang w:val="es-ES"/>
        </w:rPr>
        <w:t xml:space="preserve"> </w:t>
      </w:r>
      <w:proofErr w:type="spellStart"/>
      <w:r w:rsidR="00A95438" w:rsidRPr="00C75DB9">
        <w:rPr>
          <w:lang w:val="es-ES"/>
        </w:rPr>
        <w:t>pb</w:t>
      </w:r>
      <w:proofErr w:type="spellEnd"/>
      <w:r w:rsidR="00A95438" w:rsidRPr="00C75DB9">
        <w:rPr>
          <w:lang w:val="es-ES"/>
        </w:rPr>
        <w:t>.</w:t>
      </w:r>
      <w:r w:rsidR="00A95438" w:rsidRPr="00B833E0">
        <w:rPr>
          <w:lang w:val="es-ES"/>
        </w:rPr>
        <w:t xml:space="preserve"> </w:t>
      </w:r>
      <w:r w:rsidR="00B833E0">
        <w:rPr>
          <w:lang w:val="es-ES"/>
        </w:rPr>
        <w:t xml:space="preserve">Esta estimación es compatible con los precios de mercado de las emisiones </w:t>
      </w:r>
      <w:r w:rsidR="00B833E0">
        <w:rPr>
          <w:lang w:val="es-ES"/>
        </w:rPr>
        <w:lastRenderedPageBreak/>
        <w:t xml:space="preserve">internacionales realizadas por el Gobierno de </w:t>
      </w:r>
      <w:r w:rsidR="00294392">
        <w:rPr>
          <w:lang w:val="es-ES"/>
        </w:rPr>
        <w:t>Costa Rica</w:t>
      </w:r>
      <w:r w:rsidR="00B833E0">
        <w:rPr>
          <w:lang w:val="es-ES"/>
        </w:rPr>
        <w:t>.</w:t>
      </w:r>
      <w:r w:rsidR="008D6894">
        <w:rPr>
          <w:lang w:val="es-ES"/>
        </w:rPr>
        <w:t xml:space="preserve"> </w:t>
      </w:r>
      <w:r w:rsidR="00C517B0">
        <w:rPr>
          <w:lang w:val="es-ES"/>
        </w:rPr>
        <w:t xml:space="preserve">En efecto, el rendimiento de las emisiones vigentes a largo plazo </w:t>
      </w:r>
      <w:r w:rsidR="00C75DB9">
        <w:rPr>
          <w:lang w:val="es-ES"/>
        </w:rPr>
        <w:t xml:space="preserve">(10 años) </w:t>
      </w:r>
      <w:r w:rsidR="00C517B0">
        <w:rPr>
          <w:lang w:val="es-ES"/>
        </w:rPr>
        <w:t xml:space="preserve">de </w:t>
      </w:r>
      <w:r w:rsidR="00294392">
        <w:rPr>
          <w:lang w:val="es-ES"/>
        </w:rPr>
        <w:t>Costa Rica</w:t>
      </w:r>
      <w:r w:rsidR="00B833E0">
        <w:rPr>
          <w:lang w:val="es-ES"/>
        </w:rPr>
        <w:t xml:space="preserve"> </w:t>
      </w:r>
      <w:r w:rsidR="00C517B0">
        <w:rPr>
          <w:lang w:val="es-ES"/>
        </w:rPr>
        <w:t xml:space="preserve">es de </w:t>
      </w:r>
      <w:r w:rsidR="00C517B0" w:rsidRPr="00C517B0">
        <w:rPr>
          <w:b/>
          <w:lang w:val="es-ES"/>
        </w:rPr>
        <w:t>4</w:t>
      </w:r>
      <w:r w:rsidR="00C75DB9">
        <w:rPr>
          <w:b/>
          <w:lang w:val="es-ES"/>
        </w:rPr>
        <w:t>80</w:t>
      </w:r>
      <w:r w:rsidR="00C517B0">
        <w:rPr>
          <w:b/>
          <w:lang w:val="es-ES"/>
        </w:rPr>
        <w:t xml:space="preserve"> </w:t>
      </w:r>
      <w:proofErr w:type="spellStart"/>
      <w:r w:rsidR="00C517B0" w:rsidRPr="00C517B0">
        <w:rPr>
          <w:b/>
          <w:lang w:val="es-ES"/>
        </w:rPr>
        <w:t>pb</w:t>
      </w:r>
      <w:proofErr w:type="spellEnd"/>
      <w:r w:rsidR="00C517B0">
        <w:rPr>
          <w:lang w:val="es-ES"/>
        </w:rPr>
        <w:t xml:space="preserve"> al 1</w:t>
      </w:r>
      <w:r w:rsidR="00C75DB9">
        <w:rPr>
          <w:lang w:val="es-ES"/>
        </w:rPr>
        <w:t>3</w:t>
      </w:r>
      <w:r w:rsidR="00C517B0">
        <w:rPr>
          <w:lang w:val="es-ES"/>
        </w:rPr>
        <w:t xml:space="preserve"> de </w:t>
      </w:r>
      <w:r w:rsidR="00C75DB9">
        <w:rPr>
          <w:lang w:val="es-ES"/>
        </w:rPr>
        <w:t>abril de 2012</w:t>
      </w:r>
      <w:r w:rsidR="00C517B0">
        <w:rPr>
          <w:lang w:val="es-ES"/>
        </w:rPr>
        <w:t>.</w:t>
      </w:r>
      <w:r w:rsidR="00C517B0">
        <w:rPr>
          <w:rStyle w:val="FootnoteReference"/>
          <w:lang w:val="es-ES"/>
        </w:rPr>
        <w:footnoteReference w:id="5"/>
      </w:r>
      <w:r w:rsidR="00C517B0">
        <w:rPr>
          <w:lang w:val="es-ES"/>
        </w:rPr>
        <w:t xml:space="preserve"> Este último será el costo considerado para el análisis de costo-eficacia de la presente operación, pues refleja el rendimiento esperado del mercado para una emisión de largo plazo</w:t>
      </w:r>
      <w:r w:rsidR="00C75DB9">
        <w:rPr>
          <w:lang w:val="es-ES"/>
        </w:rPr>
        <w:t xml:space="preserve"> del país</w:t>
      </w:r>
      <w:r w:rsidR="00C517B0">
        <w:rPr>
          <w:lang w:val="es-ES"/>
        </w:rPr>
        <w:t>.</w:t>
      </w:r>
    </w:p>
    <w:p w:rsidR="00952EE0" w:rsidRPr="003E2629" w:rsidRDefault="00C75DB9" w:rsidP="003642A0">
      <w:pPr>
        <w:pStyle w:val="Paragraph"/>
        <w:rPr>
          <w:lang w:val="es-ES"/>
        </w:rPr>
      </w:pPr>
      <w:r>
        <w:rPr>
          <w:lang w:val="es-ES"/>
        </w:rPr>
        <w:t>A pesar de las perspectivas de estabilidad de Costa Rica en los mercados, e</w:t>
      </w:r>
      <w:r w:rsidR="006C2AA9" w:rsidRPr="003E2629">
        <w:rPr>
          <w:lang w:val="es-ES"/>
        </w:rPr>
        <w:t>l equipo de proyecto estima que el financiamiento contingente del BID continuará siendo la alternativa más eficiente</w:t>
      </w:r>
      <w:r w:rsidR="009830E7" w:rsidRPr="003E2629">
        <w:rPr>
          <w:lang w:val="es-ES"/>
        </w:rPr>
        <w:t>, al menos durante el periodo de cobertura del préstamo propuesto</w:t>
      </w:r>
      <w:r w:rsidR="006C2AA9" w:rsidRPr="003E2629">
        <w:rPr>
          <w:lang w:val="es-ES"/>
        </w:rPr>
        <w:t>.</w:t>
      </w:r>
      <w:r w:rsidR="003E2629" w:rsidRPr="003E2629">
        <w:rPr>
          <w:lang w:val="es-ES"/>
        </w:rPr>
        <w:t xml:space="preserve"> </w:t>
      </w:r>
      <w:r w:rsidR="00DD1622" w:rsidRPr="003E2629">
        <w:rPr>
          <w:lang w:val="es-ES"/>
        </w:rPr>
        <w:t xml:space="preserve">Además, </w:t>
      </w:r>
      <w:r w:rsidR="0060746C" w:rsidRPr="003E2629">
        <w:rPr>
          <w:lang w:val="es-ES"/>
        </w:rPr>
        <w:t xml:space="preserve">en el </w:t>
      </w:r>
      <w:r w:rsidR="00952EE0" w:rsidRPr="003E2629">
        <w:rPr>
          <w:lang w:val="es-ES"/>
        </w:rPr>
        <w:t>caso de ocurrencia de un evento elegible</w:t>
      </w:r>
      <w:r w:rsidR="0060746C" w:rsidRPr="003E2629">
        <w:rPr>
          <w:lang w:val="es-ES"/>
        </w:rPr>
        <w:t xml:space="preserve">, lo </w:t>
      </w:r>
      <w:r w:rsidR="00876CF7" w:rsidRPr="003E2629">
        <w:rPr>
          <w:lang w:val="es-ES"/>
        </w:rPr>
        <w:t>lógico</w:t>
      </w:r>
      <w:r w:rsidR="0060746C" w:rsidRPr="003E2629">
        <w:rPr>
          <w:lang w:val="es-ES"/>
        </w:rPr>
        <w:t xml:space="preserve"> </w:t>
      </w:r>
      <w:r w:rsidR="00E444B6" w:rsidRPr="003E2629">
        <w:rPr>
          <w:lang w:val="es-ES"/>
        </w:rPr>
        <w:t>sería</w:t>
      </w:r>
      <w:r w:rsidR="0060746C" w:rsidRPr="003E2629">
        <w:rPr>
          <w:lang w:val="es-ES"/>
        </w:rPr>
        <w:t xml:space="preserve"> que </w:t>
      </w:r>
      <w:r w:rsidR="00E444B6" w:rsidRPr="003E2629">
        <w:rPr>
          <w:lang w:val="es-ES"/>
        </w:rPr>
        <w:t>dicho diferencial</w:t>
      </w:r>
      <w:r w:rsidR="0060746C" w:rsidRPr="003E2629">
        <w:rPr>
          <w:lang w:val="es-ES"/>
        </w:rPr>
        <w:t xml:space="preserve"> </w:t>
      </w:r>
      <w:r w:rsidR="009323ED" w:rsidRPr="003E2629">
        <w:rPr>
          <w:lang w:val="es-ES"/>
        </w:rPr>
        <w:t>t</w:t>
      </w:r>
      <w:r w:rsidR="00E444B6" w:rsidRPr="003E2629">
        <w:rPr>
          <w:lang w:val="es-ES"/>
        </w:rPr>
        <w:t xml:space="preserve">ienda </w:t>
      </w:r>
      <w:r w:rsidR="009323ED" w:rsidRPr="003E2629">
        <w:rPr>
          <w:lang w:val="es-ES"/>
        </w:rPr>
        <w:t xml:space="preserve">a </w:t>
      </w:r>
      <w:r w:rsidR="0060746C" w:rsidRPr="003E2629">
        <w:rPr>
          <w:lang w:val="es-ES"/>
        </w:rPr>
        <w:t>ampliar</w:t>
      </w:r>
      <w:r w:rsidR="009323ED" w:rsidRPr="003E2629">
        <w:rPr>
          <w:lang w:val="es-ES"/>
        </w:rPr>
        <w:t>se</w:t>
      </w:r>
      <w:r w:rsidR="0060746C" w:rsidRPr="003E2629">
        <w:rPr>
          <w:lang w:val="es-ES"/>
        </w:rPr>
        <w:t>.</w:t>
      </w:r>
      <w:r w:rsidR="009323ED" w:rsidRPr="003E2629">
        <w:rPr>
          <w:lang w:val="es-ES"/>
        </w:rPr>
        <w:t xml:space="preserve"> </w:t>
      </w:r>
      <w:r w:rsidR="00952EE0" w:rsidRPr="003E2629">
        <w:rPr>
          <w:lang w:val="es-ES"/>
        </w:rPr>
        <w:t xml:space="preserve">La lógica indica que en situaciones de desastre, el costo financiero de las alternativas de mercado en materia de financiamiento </w:t>
      </w:r>
      <w:r w:rsidR="00956921" w:rsidRPr="003E2629">
        <w:rPr>
          <w:lang w:val="es-ES"/>
        </w:rPr>
        <w:t>aumentan sustancialmente</w:t>
      </w:r>
      <w:r w:rsidR="00952EE0" w:rsidRPr="003E2629">
        <w:rPr>
          <w:lang w:val="es-ES"/>
        </w:rPr>
        <w:t xml:space="preserve">. Sin embargo, y con el fin de mantener un enfoque conservador en el análisis de costo eficiencia, </w:t>
      </w:r>
      <w:r w:rsidR="00DA2FFD" w:rsidRPr="003E2629">
        <w:rPr>
          <w:lang w:val="es-ES"/>
        </w:rPr>
        <w:t xml:space="preserve">el análisis </w:t>
      </w:r>
      <w:r w:rsidR="00952EE0" w:rsidRPr="003E2629">
        <w:rPr>
          <w:lang w:val="es-ES"/>
        </w:rPr>
        <w:t xml:space="preserve">asume que </w:t>
      </w:r>
      <w:r w:rsidR="00D46CB3" w:rsidRPr="003E2629">
        <w:rPr>
          <w:lang w:val="es-ES"/>
        </w:rPr>
        <w:t xml:space="preserve">las </w:t>
      </w:r>
      <w:r w:rsidR="00952EE0" w:rsidRPr="003E2629">
        <w:rPr>
          <w:lang w:val="es-ES"/>
        </w:rPr>
        <w:t xml:space="preserve">tasas </w:t>
      </w:r>
      <w:r w:rsidR="00D46CB3" w:rsidRPr="003E2629">
        <w:rPr>
          <w:lang w:val="es-ES"/>
        </w:rPr>
        <w:t>(“</w:t>
      </w:r>
      <w:proofErr w:type="spellStart"/>
      <w:r w:rsidR="001B5F39" w:rsidRPr="003E2629">
        <w:rPr>
          <w:lang w:val="es-ES"/>
        </w:rPr>
        <w:t>yield</w:t>
      </w:r>
      <w:proofErr w:type="spellEnd"/>
      <w:r w:rsidR="001B5F39" w:rsidRPr="003E2629">
        <w:rPr>
          <w:lang w:val="es-ES"/>
        </w:rPr>
        <w:t xml:space="preserve"> </w:t>
      </w:r>
      <w:proofErr w:type="spellStart"/>
      <w:r w:rsidR="001B5F39" w:rsidRPr="003E2629">
        <w:rPr>
          <w:lang w:val="es-ES"/>
        </w:rPr>
        <w:t>to</w:t>
      </w:r>
      <w:proofErr w:type="spellEnd"/>
      <w:r w:rsidR="001B5F39" w:rsidRPr="003E2629">
        <w:rPr>
          <w:lang w:val="es-ES"/>
        </w:rPr>
        <w:t xml:space="preserve"> </w:t>
      </w:r>
      <w:proofErr w:type="spellStart"/>
      <w:r w:rsidR="001B5F39" w:rsidRPr="003E2629">
        <w:rPr>
          <w:lang w:val="es-ES"/>
        </w:rPr>
        <w:t>maturity</w:t>
      </w:r>
      <w:proofErr w:type="spellEnd"/>
      <w:r w:rsidR="00D46CB3" w:rsidRPr="003E2629">
        <w:rPr>
          <w:lang w:val="es-ES"/>
        </w:rPr>
        <w:t xml:space="preserve">”) de las emisiones internacionales de bonos del país </w:t>
      </w:r>
      <w:r w:rsidR="00952EE0" w:rsidRPr="003E2629">
        <w:rPr>
          <w:lang w:val="es-ES"/>
        </w:rPr>
        <w:t>se mantendrán dentro de la tendencia regular que lleva experimentando el país.</w:t>
      </w:r>
    </w:p>
    <w:p w:rsidR="00BA456D" w:rsidRPr="00B833E0" w:rsidRDefault="00BA456D" w:rsidP="00CD3245">
      <w:pPr>
        <w:pStyle w:val="Chapter"/>
        <w:rPr>
          <w:lang w:val="es-ES"/>
        </w:rPr>
      </w:pPr>
      <w:r w:rsidRPr="00B833E0">
        <w:rPr>
          <w:lang w:val="es-ES"/>
        </w:rPr>
        <w:t>Indicadores</w:t>
      </w:r>
    </w:p>
    <w:p w:rsidR="00952EE0" w:rsidRPr="00B833E0" w:rsidRDefault="00952EE0" w:rsidP="003642A0">
      <w:pPr>
        <w:pStyle w:val="Paragraph"/>
        <w:rPr>
          <w:lang w:val="es-ES"/>
        </w:rPr>
      </w:pPr>
      <w:r w:rsidRPr="00B833E0">
        <w:rPr>
          <w:lang w:val="es-ES"/>
        </w:rPr>
        <w:t>El resumen de las variables medidas para determinar la eficacia de ambas alternativas se presenta a continuación:</w:t>
      </w:r>
    </w:p>
    <w:tbl>
      <w:tblPr>
        <w:tblStyle w:val="TableGrid"/>
        <w:tblW w:w="7920" w:type="dxa"/>
        <w:jc w:val="center"/>
        <w:tblInd w:w="198" w:type="dxa"/>
        <w:tblLayout w:type="fixed"/>
        <w:tblLook w:val="04A0" w:firstRow="1" w:lastRow="0" w:firstColumn="1" w:lastColumn="0" w:noHBand="0" w:noVBand="1"/>
      </w:tblPr>
      <w:tblGrid>
        <w:gridCol w:w="540"/>
        <w:gridCol w:w="3376"/>
        <w:gridCol w:w="1733"/>
        <w:gridCol w:w="2271"/>
      </w:tblGrid>
      <w:tr w:rsidR="00E812F4" w:rsidRPr="008D5D84" w:rsidTr="008D5D84">
        <w:trPr>
          <w:trHeight w:val="485"/>
          <w:jc w:val="center"/>
        </w:trPr>
        <w:tc>
          <w:tcPr>
            <w:tcW w:w="540" w:type="dxa"/>
            <w:shd w:val="clear" w:color="auto" w:fill="DBE5F1" w:themeFill="accent1" w:themeFillTint="33"/>
          </w:tcPr>
          <w:p w:rsidR="00E24EA4" w:rsidRPr="008D5D84" w:rsidRDefault="00E24EA4" w:rsidP="008D5D84">
            <w:pPr>
              <w:pStyle w:val="Paragraph"/>
              <w:numPr>
                <w:ilvl w:val="0"/>
                <w:numId w:val="0"/>
              </w:numPr>
              <w:autoSpaceDE w:val="0"/>
              <w:autoSpaceDN w:val="0"/>
              <w:adjustRightInd w:val="0"/>
              <w:spacing w:before="0" w:after="0"/>
              <w:ind w:right="720" w:hanging="720"/>
              <w:jc w:val="center"/>
              <w:rPr>
                <w:b/>
                <w:sz w:val="18"/>
                <w:szCs w:val="18"/>
                <w:lang w:val="es-ES"/>
              </w:rPr>
            </w:pPr>
          </w:p>
        </w:tc>
        <w:tc>
          <w:tcPr>
            <w:tcW w:w="3376" w:type="dxa"/>
            <w:shd w:val="clear" w:color="auto" w:fill="DBE5F1" w:themeFill="accent1" w:themeFillTint="33"/>
            <w:vAlign w:val="center"/>
          </w:tcPr>
          <w:p w:rsidR="00E24EA4" w:rsidRPr="008D5D84" w:rsidRDefault="00E24EA4" w:rsidP="008D5D84">
            <w:pPr>
              <w:pStyle w:val="Paragraph"/>
              <w:numPr>
                <w:ilvl w:val="0"/>
                <w:numId w:val="0"/>
              </w:numPr>
              <w:autoSpaceDE w:val="0"/>
              <w:autoSpaceDN w:val="0"/>
              <w:adjustRightInd w:val="0"/>
              <w:spacing w:before="0" w:after="0"/>
              <w:ind w:right="-62"/>
              <w:jc w:val="center"/>
              <w:rPr>
                <w:b/>
                <w:sz w:val="18"/>
                <w:szCs w:val="18"/>
                <w:lang w:val="es-ES"/>
              </w:rPr>
            </w:pPr>
            <w:r w:rsidRPr="008D5D84">
              <w:rPr>
                <w:b/>
                <w:sz w:val="18"/>
                <w:szCs w:val="18"/>
                <w:lang w:val="es-ES"/>
              </w:rPr>
              <w:t>Indicador</w:t>
            </w:r>
          </w:p>
        </w:tc>
        <w:tc>
          <w:tcPr>
            <w:tcW w:w="1733" w:type="dxa"/>
            <w:shd w:val="clear" w:color="auto" w:fill="DBE5F1" w:themeFill="accent1" w:themeFillTint="33"/>
            <w:vAlign w:val="center"/>
          </w:tcPr>
          <w:p w:rsidR="00E24EA4" w:rsidRPr="008D5D84" w:rsidRDefault="00E24EA4" w:rsidP="008D5D84">
            <w:pPr>
              <w:pStyle w:val="Paragraph"/>
              <w:numPr>
                <w:ilvl w:val="0"/>
                <w:numId w:val="0"/>
              </w:numPr>
              <w:autoSpaceDE w:val="0"/>
              <w:autoSpaceDN w:val="0"/>
              <w:adjustRightInd w:val="0"/>
              <w:spacing w:before="0" w:after="0"/>
              <w:ind w:left="-64" w:right="-62"/>
              <w:jc w:val="center"/>
              <w:rPr>
                <w:b/>
                <w:sz w:val="18"/>
                <w:szCs w:val="18"/>
                <w:lang w:val="es-ES"/>
              </w:rPr>
            </w:pPr>
            <w:r w:rsidRPr="008D5D84">
              <w:rPr>
                <w:b/>
                <w:sz w:val="18"/>
                <w:szCs w:val="18"/>
                <w:lang w:val="es-ES"/>
              </w:rPr>
              <w:t>Préstamo BID</w:t>
            </w:r>
          </w:p>
        </w:tc>
        <w:tc>
          <w:tcPr>
            <w:tcW w:w="2271" w:type="dxa"/>
            <w:shd w:val="clear" w:color="auto" w:fill="DBE5F1" w:themeFill="accent1" w:themeFillTint="33"/>
          </w:tcPr>
          <w:p w:rsidR="00E24EA4" w:rsidRPr="008D5D84" w:rsidRDefault="00A02BA7" w:rsidP="008D5D84">
            <w:pPr>
              <w:pStyle w:val="Paragraph"/>
              <w:numPr>
                <w:ilvl w:val="0"/>
                <w:numId w:val="0"/>
              </w:numPr>
              <w:autoSpaceDE w:val="0"/>
              <w:autoSpaceDN w:val="0"/>
              <w:adjustRightInd w:val="0"/>
              <w:spacing w:before="0" w:after="0"/>
              <w:ind w:left="-64" w:right="-18"/>
              <w:jc w:val="center"/>
              <w:rPr>
                <w:b/>
                <w:sz w:val="18"/>
                <w:szCs w:val="18"/>
                <w:lang w:val="es-ES"/>
              </w:rPr>
            </w:pPr>
            <w:r w:rsidRPr="008D5D84">
              <w:rPr>
                <w:b/>
                <w:sz w:val="18"/>
                <w:szCs w:val="18"/>
                <w:lang w:val="es-ES"/>
              </w:rPr>
              <w:t>A</w:t>
            </w:r>
            <w:r w:rsidR="00E24EA4" w:rsidRPr="008D5D84">
              <w:rPr>
                <w:b/>
                <w:sz w:val="18"/>
                <w:szCs w:val="18"/>
                <w:lang w:val="es-ES"/>
              </w:rPr>
              <w:t>lternativa de financiamiento</w:t>
            </w:r>
          </w:p>
        </w:tc>
      </w:tr>
      <w:tr w:rsidR="00CE3692" w:rsidRPr="008D5D84" w:rsidTr="008D5D84">
        <w:trPr>
          <w:trHeight w:val="638"/>
          <w:jc w:val="center"/>
        </w:trPr>
        <w:tc>
          <w:tcPr>
            <w:tcW w:w="540" w:type="dxa"/>
          </w:tcPr>
          <w:p w:rsidR="00E24EA4" w:rsidRPr="008D5D84" w:rsidRDefault="00E24EA4" w:rsidP="008D5D84">
            <w:pPr>
              <w:pStyle w:val="Paragraph"/>
              <w:numPr>
                <w:ilvl w:val="0"/>
                <w:numId w:val="0"/>
              </w:numPr>
              <w:autoSpaceDE w:val="0"/>
              <w:autoSpaceDN w:val="0"/>
              <w:adjustRightInd w:val="0"/>
              <w:spacing w:before="0" w:after="0"/>
              <w:ind w:right="720"/>
              <w:rPr>
                <w:sz w:val="18"/>
                <w:szCs w:val="18"/>
                <w:lang w:val="es-ES"/>
              </w:rPr>
            </w:pPr>
            <w:r w:rsidRPr="008D5D84">
              <w:rPr>
                <w:sz w:val="18"/>
                <w:szCs w:val="18"/>
                <w:lang w:val="es-ES"/>
              </w:rPr>
              <w:t>1</w:t>
            </w:r>
          </w:p>
        </w:tc>
        <w:tc>
          <w:tcPr>
            <w:tcW w:w="3376" w:type="dxa"/>
          </w:tcPr>
          <w:p w:rsidR="00E24EA4" w:rsidRPr="008D5D84" w:rsidRDefault="00E24EA4" w:rsidP="008D5D84">
            <w:pPr>
              <w:pStyle w:val="Paragraph"/>
              <w:numPr>
                <w:ilvl w:val="0"/>
                <w:numId w:val="0"/>
              </w:numPr>
              <w:autoSpaceDE w:val="0"/>
              <w:autoSpaceDN w:val="0"/>
              <w:adjustRightInd w:val="0"/>
              <w:spacing w:before="0" w:after="0"/>
              <w:ind w:right="-152"/>
              <w:jc w:val="left"/>
              <w:rPr>
                <w:sz w:val="18"/>
                <w:szCs w:val="18"/>
                <w:lang w:val="es-ES"/>
              </w:rPr>
            </w:pPr>
            <w:r w:rsidRPr="008D5D84">
              <w:rPr>
                <w:sz w:val="18"/>
                <w:szCs w:val="18"/>
                <w:lang w:val="es-ES"/>
              </w:rPr>
              <w:t xml:space="preserve">Número de </w:t>
            </w:r>
            <w:r w:rsidRPr="008D5D84">
              <w:rPr>
                <w:b/>
                <w:sz w:val="18"/>
                <w:szCs w:val="18"/>
                <w:lang w:val="es-ES"/>
              </w:rPr>
              <w:t xml:space="preserve">días </w:t>
            </w:r>
            <w:r w:rsidRPr="008D5D84">
              <w:rPr>
                <w:sz w:val="18"/>
                <w:szCs w:val="18"/>
                <w:lang w:val="es-ES"/>
              </w:rPr>
              <w:t>trascurridos desde la solicitud de desembolso hasta la disponibilidad de los recursos.</w:t>
            </w:r>
          </w:p>
        </w:tc>
        <w:tc>
          <w:tcPr>
            <w:tcW w:w="1733" w:type="dxa"/>
            <w:vAlign w:val="center"/>
          </w:tcPr>
          <w:p w:rsidR="00E24EA4" w:rsidRPr="008D5D84" w:rsidRDefault="001B5F39" w:rsidP="008D5D84">
            <w:pPr>
              <w:pStyle w:val="Paragraph"/>
              <w:numPr>
                <w:ilvl w:val="0"/>
                <w:numId w:val="0"/>
              </w:numPr>
              <w:autoSpaceDE w:val="0"/>
              <w:autoSpaceDN w:val="0"/>
              <w:adjustRightInd w:val="0"/>
              <w:spacing w:before="0" w:after="0"/>
              <w:ind w:right="-39"/>
              <w:jc w:val="center"/>
              <w:rPr>
                <w:sz w:val="18"/>
                <w:szCs w:val="18"/>
                <w:lang w:val="es-ES"/>
              </w:rPr>
            </w:pPr>
            <w:r w:rsidRPr="008D5D84">
              <w:rPr>
                <w:sz w:val="18"/>
                <w:szCs w:val="18"/>
                <w:lang w:val="es-ES"/>
              </w:rPr>
              <w:t>20</w:t>
            </w:r>
          </w:p>
        </w:tc>
        <w:tc>
          <w:tcPr>
            <w:tcW w:w="2271" w:type="dxa"/>
            <w:vAlign w:val="center"/>
          </w:tcPr>
          <w:p w:rsidR="00E24EA4" w:rsidRPr="008D5D84" w:rsidRDefault="00C05FD2" w:rsidP="008D5D84">
            <w:pPr>
              <w:pStyle w:val="Paragraph"/>
              <w:numPr>
                <w:ilvl w:val="0"/>
                <w:numId w:val="0"/>
              </w:numPr>
              <w:autoSpaceDE w:val="0"/>
              <w:autoSpaceDN w:val="0"/>
              <w:adjustRightInd w:val="0"/>
              <w:spacing w:before="0" w:after="0"/>
              <w:ind w:right="-129"/>
              <w:jc w:val="center"/>
              <w:rPr>
                <w:sz w:val="18"/>
                <w:szCs w:val="18"/>
                <w:lang w:val="es-ES"/>
              </w:rPr>
            </w:pPr>
            <w:r w:rsidRPr="008D5D84">
              <w:rPr>
                <w:sz w:val="18"/>
                <w:szCs w:val="18"/>
                <w:lang w:val="es-ES"/>
              </w:rPr>
              <w:t>45</w:t>
            </w:r>
          </w:p>
        </w:tc>
      </w:tr>
      <w:tr w:rsidR="00CE3692" w:rsidRPr="008D5D84" w:rsidTr="00CE3692">
        <w:trPr>
          <w:jc w:val="center"/>
        </w:trPr>
        <w:tc>
          <w:tcPr>
            <w:tcW w:w="540" w:type="dxa"/>
          </w:tcPr>
          <w:p w:rsidR="00E24EA4" w:rsidRPr="008D5D84" w:rsidRDefault="00CE3692" w:rsidP="008D5D84">
            <w:pPr>
              <w:pStyle w:val="Paragraph"/>
              <w:numPr>
                <w:ilvl w:val="0"/>
                <w:numId w:val="0"/>
              </w:numPr>
              <w:autoSpaceDE w:val="0"/>
              <w:autoSpaceDN w:val="0"/>
              <w:adjustRightInd w:val="0"/>
              <w:spacing w:before="0" w:after="0"/>
              <w:ind w:right="720"/>
              <w:rPr>
                <w:sz w:val="18"/>
                <w:szCs w:val="18"/>
                <w:lang w:val="es-ES"/>
              </w:rPr>
            </w:pPr>
            <w:r w:rsidRPr="008D5D84">
              <w:rPr>
                <w:sz w:val="18"/>
                <w:szCs w:val="18"/>
                <w:lang w:val="es-ES"/>
              </w:rPr>
              <w:t>2</w:t>
            </w:r>
          </w:p>
        </w:tc>
        <w:tc>
          <w:tcPr>
            <w:tcW w:w="3376" w:type="dxa"/>
          </w:tcPr>
          <w:p w:rsidR="00E24EA4" w:rsidRPr="008D5D84" w:rsidRDefault="00DD1622" w:rsidP="008D5D84">
            <w:pPr>
              <w:pStyle w:val="Paragraph"/>
              <w:numPr>
                <w:ilvl w:val="0"/>
                <w:numId w:val="0"/>
              </w:numPr>
              <w:autoSpaceDE w:val="0"/>
              <w:autoSpaceDN w:val="0"/>
              <w:adjustRightInd w:val="0"/>
              <w:spacing w:before="0" w:after="0"/>
              <w:ind w:right="-152"/>
              <w:jc w:val="left"/>
              <w:rPr>
                <w:sz w:val="18"/>
                <w:szCs w:val="18"/>
                <w:lang w:val="es-ES"/>
              </w:rPr>
            </w:pPr>
            <w:r w:rsidRPr="008D5D84">
              <w:rPr>
                <w:sz w:val="18"/>
                <w:szCs w:val="18"/>
                <w:lang w:val="es-ES"/>
              </w:rPr>
              <w:t>Costo financiero (</w:t>
            </w:r>
            <w:r w:rsidRPr="008D5D84">
              <w:rPr>
                <w:b/>
                <w:sz w:val="18"/>
                <w:szCs w:val="18"/>
                <w:lang w:val="es-ES"/>
              </w:rPr>
              <w:t>t</w:t>
            </w:r>
            <w:r w:rsidR="00E24EA4" w:rsidRPr="008D5D84">
              <w:rPr>
                <w:b/>
                <w:sz w:val="18"/>
                <w:szCs w:val="18"/>
                <w:lang w:val="es-ES"/>
              </w:rPr>
              <w:t>asa de interés</w:t>
            </w:r>
            <w:r w:rsidRPr="008D5D84">
              <w:rPr>
                <w:sz w:val="18"/>
                <w:szCs w:val="18"/>
                <w:lang w:val="es-ES"/>
              </w:rPr>
              <w:t>)</w:t>
            </w:r>
            <w:r w:rsidR="00E24EA4" w:rsidRPr="008D5D84">
              <w:rPr>
                <w:sz w:val="18"/>
                <w:szCs w:val="18"/>
                <w:lang w:val="es-ES"/>
              </w:rPr>
              <w:t>.</w:t>
            </w:r>
          </w:p>
        </w:tc>
        <w:tc>
          <w:tcPr>
            <w:tcW w:w="1733" w:type="dxa"/>
            <w:vAlign w:val="center"/>
          </w:tcPr>
          <w:p w:rsidR="00855DE8" w:rsidRPr="008D5D84" w:rsidRDefault="004F77B4" w:rsidP="008D5D84">
            <w:pPr>
              <w:pStyle w:val="Paragraph"/>
              <w:numPr>
                <w:ilvl w:val="0"/>
                <w:numId w:val="0"/>
              </w:numPr>
              <w:autoSpaceDE w:val="0"/>
              <w:autoSpaceDN w:val="0"/>
              <w:adjustRightInd w:val="0"/>
              <w:spacing w:before="0" w:after="0"/>
              <w:ind w:right="-39"/>
              <w:jc w:val="center"/>
              <w:rPr>
                <w:sz w:val="18"/>
                <w:szCs w:val="18"/>
                <w:lang w:val="es-ES"/>
              </w:rPr>
            </w:pPr>
            <w:r w:rsidRPr="008D5D84">
              <w:rPr>
                <w:sz w:val="18"/>
                <w:szCs w:val="18"/>
                <w:lang w:val="es-ES"/>
              </w:rPr>
              <w:t>1</w:t>
            </w:r>
            <w:r w:rsidR="00C75DB9">
              <w:rPr>
                <w:sz w:val="18"/>
                <w:szCs w:val="18"/>
                <w:lang w:val="es-ES"/>
              </w:rPr>
              <w:t>22</w:t>
            </w:r>
            <w:r w:rsidR="00C05FD2" w:rsidRPr="008D5D84">
              <w:rPr>
                <w:sz w:val="18"/>
                <w:szCs w:val="18"/>
                <w:lang w:val="es-ES"/>
              </w:rPr>
              <w:t xml:space="preserve"> </w:t>
            </w:r>
            <w:proofErr w:type="spellStart"/>
            <w:r w:rsidR="000851E7" w:rsidRPr="008D5D84">
              <w:rPr>
                <w:sz w:val="18"/>
                <w:szCs w:val="18"/>
                <w:lang w:val="es-ES"/>
              </w:rPr>
              <w:t>pb</w:t>
            </w:r>
            <w:proofErr w:type="spellEnd"/>
            <w:r w:rsidRPr="008D5D84">
              <w:rPr>
                <w:sz w:val="18"/>
                <w:szCs w:val="18"/>
                <w:lang w:val="es-ES"/>
              </w:rPr>
              <w:t xml:space="preserve"> (</w:t>
            </w:r>
            <w:r w:rsidR="00186013" w:rsidRPr="008D5D84">
              <w:rPr>
                <w:sz w:val="18"/>
                <w:szCs w:val="18"/>
                <w:lang w:val="es-ES"/>
              </w:rPr>
              <w:t>variable</w:t>
            </w:r>
            <w:r w:rsidRPr="008D5D84">
              <w:rPr>
                <w:sz w:val="18"/>
                <w:szCs w:val="18"/>
                <w:lang w:val="es-ES"/>
              </w:rPr>
              <w:t>)</w:t>
            </w:r>
          </w:p>
          <w:p w:rsidR="00530E11" w:rsidRPr="008D5D84" w:rsidRDefault="00C75DB9" w:rsidP="008D5D84">
            <w:pPr>
              <w:pStyle w:val="Paragraph"/>
              <w:numPr>
                <w:ilvl w:val="0"/>
                <w:numId w:val="0"/>
              </w:numPr>
              <w:autoSpaceDE w:val="0"/>
              <w:autoSpaceDN w:val="0"/>
              <w:adjustRightInd w:val="0"/>
              <w:spacing w:before="0" w:after="0"/>
              <w:ind w:right="-39"/>
              <w:jc w:val="center"/>
              <w:rPr>
                <w:sz w:val="18"/>
                <w:szCs w:val="18"/>
                <w:lang w:val="es-ES"/>
              </w:rPr>
            </w:pPr>
            <w:r>
              <w:rPr>
                <w:sz w:val="18"/>
                <w:szCs w:val="18"/>
                <w:lang w:val="es-ES"/>
              </w:rPr>
              <w:t>347</w:t>
            </w:r>
            <w:r w:rsidR="004F77B4" w:rsidRPr="008D5D84">
              <w:rPr>
                <w:sz w:val="18"/>
                <w:szCs w:val="18"/>
                <w:lang w:val="es-ES"/>
              </w:rPr>
              <w:t xml:space="preserve"> </w:t>
            </w:r>
            <w:proofErr w:type="spellStart"/>
            <w:r w:rsidR="004F77B4" w:rsidRPr="008D5D84">
              <w:rPr>
                <w:sz w:val="18"/>
                <w:szCs w:val="18"/>
                <w:lang w:val="es-ES"/>
              </w:rPr>
              <w:t>pb</w:t>
            </w:r>
            <w:proofErr w:type="spellEnd"/>
            <w:r w:rsidR="004F77B4" w:rsidRPr="008D5D84">
              <w:rPr>
                <w:sz w:val="18"/>
                <w:szCs w:val="18"/>
                <w:lang w:val="es-ES"/>
              </w:rPr>
              <w:t xml:space="preserve"> (</w:t>
            </w:r>
            <w:r w:rsidR="00186013" w:rsidRPr="008D5D84">
              <w:rPr>
                <w:sz w:val="18"/>
                <w:szCs w:val="18"/>
                <w:lang w:val="es-ES"/>
              </w:rPr>
              <w:t>fija</w:t>
            </w:r>
            <w:r w:rsidR="004F77B4" w:rsidRPr="008D5D84">
              <w:rPr>
                <w:sz w:val="18"/>
                <w:szCs w:val="18"/>
                <w:lang w:val="es-ES"/>
              </w:rPr>
              <w:t>)</w:t>
            </w:r>
          </w:p>
        </w:tc>
        <w:tc>
          <w:tcPr>
            <w:tcW w:w="2271" w:type="dxa"/>
            <w:vAlign w:val="center"/>
          </w:tcPr>
          <w:p w:rsidR="0098684F" w:rsidRPr="008D5D84" w:rsidRDefault="00530E11" w:rsidP="00C75DB9">
            <w:pPr>
              <w:pStyle w:val="Paragraph"/>
              <w:numPr>
                <w:ilvl w:val="0"/>
                <w:numId w:val="0"/>
              </w:numPr>
              <w:autoSpaceDE w:val="0"/>
              <w:autoSpaceDN w:val="0"/>
              <w:adjustRightInd w:val="0"/>
              <w:spacing w:before="0" w:after="0"/>
              <w:ind w:right="-129"/>
              <w:jc w:val="center"/>
              <w:rPr>
                <w:sz w:val="18"/>
                <w:szCs w:val="18"/>
                <w:lang w:val="es-ES"/>
              </w:rPr>
            </w:pPr>
            <w:r w:rsidRPr="008D5D84">
              <w:rPr>
                <w:sz w:val="18"/>
                <w:szCs w:val="18"/>
                <w:lang w:val="es-ES"/>
              </w:rPr>
              <w:t>4</w:t>
            </w:r>
            <w:r w:rsidR="00C75DB9">
              <w:rPr>
                <w:sz w:val="18"/>
                <w:szCs w:val="18"/>
                <w:lang w:val="es-ES"/>
              </w:rPr>
              <w:t>80</w:t>
            </w:r>
            <w:r w:rsidR="004F1171" w:rsidRPr="008D5D84">
              <w:rPr>
                <w:sz w:val="18"/>
                <w:szCs w:val="18"/>
                <w:lang w:val="es-ES"/>
              </w:rPr>
              <w:t xml:space="preserve"> </w:t>
            </w:r>
            <w:proofErr w:type="spellStart"/>
            <w:r w:rsidR="000851E7" w:rsidRPr="008D5D84">
              <w:rPr>
                <w:sz w:val="18"/>
                <w:szCs w:val="18"/>
                <w:lang w:val="es-ES"/>
              </w:rPr>
              <w:t>pb</w:t>
            </w:r>
            <w:proofErr w:type="spellEnd"/>
          </w:p>
        </w:tc>
      </w:tr>
      <w:bookmarkEnd w:id="3"/>
      <w:bookmarkEnd w:id="4"/>
    </w:tbl>
    <w:p w:rsidR="006B3ECD" w:rsidRPr="00B833E0" w:rsidRDefault="006B3ECD" w:rsidP="006B3ECD">
      <w:pPr>
        <w:ind w:left="720" w:firstLine="720"/>
        <w:rPr>
          <w:sz w:val="16"/>
          <w:szCs w:val="16"/>
          <w:lang w:val="es-ES"/>
        </w:rPr>
      </w:pPr>
    </w:p>
    <w:p w:rsidR="004844BD" w:rsidRPr="00B833E0" w:rsidRDefault="004844BD" w:rsidP="006B3ECD">
      <w:pPr>
        <w:ind w:left="720" w:firstLine="720"/>
        <w:rPr>
          <w:sz w:val="16"/>
          <w:szCs w:val="16"/>
          <w:lang w:val="es-ES"/>
        </w:rPr>
      </w:pPr>
    </w:p>
    <w:p w:rsidR="005F7A7D" w:rsidRPr="00B833E0" w:rsidRDefault="005F7A7D" w:rsidP="00CD3245">
      <w:pPr>
        <w:pStyle w:val="Chapter"/>
        <w:rPr>
          <w:lang w:val="es-ES"/>
        </w:rPr>
      </w:pPr>
      <w:r w:rsidRPr="00B833E0">
        <w:rPr>
          <w:lang w:val="es-ES"/>
        </w:rPr>
        <w:t>Val</w:t>
      </w:r>
      <w:r w:rsidR="0043256E" w:rsidRPr="00B833E0">
        <w:rPr>
          <w:lang w:val="es-ES"/>
        </w:rPr>
        <w:t>oración de la Eficacia en Funció</w:t>
      </w:r>
      <w:r w:rsidRPr="00B833E0">
        <w:rPr>
          <w:lang w:val="es-ES"/>
        </w:rPr>
        <w:t>n del Costo</w:t>
      </w:r>
    </w:p>
    <w:p w:rsidR="0060167A" w:rsidRPr="00B833E0" w:rsidRDefault="00E24EA4" w:rsidP="003642A0">
      <w:pPr>
        <w:pStyle w:val="Paragraph"/>
        <w:rPr>
          <w:lang w:val="es-ES"/>
        </w:rPr>
      </w:pPr>
      <w:r w:rsidRPr="00B833E0">
        <w:rPr>
          <w:lang w:val="es-ES"/>
        </w:rPr>
        <w:t xml:space="preserve">En base </w:t>
      </w:r>
      <w:r w:rsidR="00B44186" w:rsidRPr="00B833E0">
        <w:rPr>
          <w:lang w:val="es-ES"/>
        </w:rPr>
        <w:t>a la información presentada</w:t>
      </w:r>
      <w:r w:rsidRPr="00B833E0">
        <w:rPr>
          <w:lang w:val="es-ES"/>
        </w:rPr>
        <w:t xml:space="preserve"> en la sección III, </w:t>
      </w:r>
      <w:r w:rsidR="00B44186" w:rsidRPr="00B833E0">
        <w:rPr>
          <w:lang w:val="es-ES"/>
        </w:rPr>
        <w:t>se puede</w:t>
      </w:r>
      <w:r w:rsidRPr="00B833E0">
        <w:rPr>
          <w:lang w:val="es-ES"/>
        </w:rPr>
        <w:t xml:space="preserve"> concluir que</w:t>
      </w:r>
      <w:r w:rsidR="0075218F" w:rsidRPr="00B833E0">
        <w:rPr>
          <w:lang w:val="es-ES"/>
        </w:rPr>
        <w:t xml:space="preserve"> la alternativa más eficiente para el país es el préstamo BID. </w:t>
      </w:r>
      <w:r w:rsidR="00470DEE" w:rsidRPr="00B833E0">
        <w:rPr>
          <w:lang w:val="es-ES"/>
        </w:rPr>
        <w:t xml:space="preserve">Si ocurriera un desastre natural </w:t>
      </w:r>
      <w:r w:rsidR="001014FA" w:rsidRPr="00B833E0">
        <w:rPr>
          <w:lang w:val="es-ES"/>
        </w:rPr>
        <w:t xml:space="preserve">elegible y </w:t>
      </w:r>
      <w:r w:rsidR="0075218F" w:rsidRPr="00B833E0">
        <w:rPr>
          <w:lang w:val="es-ES"/>
        </w:rPr>
        <w:t xml:space="preserve">el préstamo fuera desembolsado, el préstamo BID es más eficiente que otras alternativas de financiamiento mediante deuda, </w:t>
      </w:r>
      <w:r w:rsidR="00AC6882" w:rsidRPr="00B833E0">
        <w:rPr>
          <w:lang w:val="es-ES"/>
        </w:rPr>
        <w:t>tanto en</w:t>
      </w:r>
      <w:r w:rsidRPr="00B833E0">
        <w:rPr>
          <w:lang w:val="es-ES"/>
        </w:rPr>
        <w:t xml:space="preserve"> el costo financiero para cubrir los gastos que se generen a raíz de dicho evento, </w:t>
      </w:r>
      <w:r w:rsidR="00AC6882" w:rsidRPr="00B833E0">
        <w:rPr>
          <w:lang w:val="es-ES"/>
        </w:rPr>
        <w:t xml:space="preserve">como </w:t>
      </w:r>
      <w:r w:rsidRPr="00B833E0">
        <w:rPr>
          <w:lang w:val="es-ES"/>
        </w:rPr>
        <w:t>en la rapidez con la que el país podría disponer de los recursos.</w:t>
      </w:r>
    </w:p>
    <w:p w:rsidR="00E24EA4" w:rsidRPr="00B833E0" w:rsidRDefault="0088551C" w:rsidP="003642A0">
      <w:pPr>
        <w:pStyle w:val="Paragraph"/>
        <w:rPr>
          <w:lang w:val="es-ES"/>
        </w:rPr>
      </w:pPr>
      <w:r w:rsidRPr="00B833E0">
        <w:rPr>
          <w:lang w:val="es-ES"/>
        </w:rPr>
        <w:t xml:space="preserve">El ahorro en costes financieros en la cobertura de gastos contribuirá </w:t>
      </w:r>
      <w:r w:rsidR="00E02E71" w:rsidRPr="00B833E0">
        <w:rPr>
          <w:lang w:val="es-ES"/>
        </w:rPr>
        <w:t xml:space="preserve">potencialmente </w:t>
      </w:r>
      <w:r w:rsidRPr="00B833E0">
        <w:rPr>
          <w:lang w:val="es-ES"/>
        </w:rPr>
        <w:t xml:space="preserve">a que el gobierno pueda enfrentar </w:t>
      </w:r>
      <w:r w:rsidR="001014FA" w:rsidRPr="00B833E0">
        <w:rPr>
          <w:lang w:val="es-ES"/>
        </w:rPr>
        <w:t xml:space="preserve">de mejor manera </w:t>
      </w:r>
      <w:r w:rsidRPr="00B833E0">
        <w:rPr>
          <w:lang w:val="es-ES"/>
        </w:rPr>
        <w:t xml:space="preserve">los gastos extraordinarios a causa del desastre. </w:t>
      </w:r>
      <w:r w:rsidR="00C7280D" w:rsidRPr="00B833E0">
        <w:rPr>
          <w:lang w:val="es-ES"/>
        </w:rPr>
        <w:t>La diferencia en la velocidad de disponibilidad de los recursos</w:t>
      </w:r>
      <w:r w:rsidR="00E24EA4" w:rsidRPr="00B833E0">
        <w:rPr>
          <w:lang w:val="es-ES"/>
        </w:rPr>
        <w:t xml:space="preserve"> implica</w:t>
      </w:r>
      <w:r w:rsidRPr="00B833E0">
        <w:rPr>
          <w:lang w:val="es-ES"/>
        </w:rPr>
        <w:t>rá</w:t>
      </w:r>
      <w:r w:rsidR="00E24EA4" w:rsidRPr="00B833E0">
        <w:rPr>
          <w:lang w:val="es-ES"/>
        </w:rPr>
        <w:t xml:space="preserve"> </w:t>
      </w:r>
      <w:r w:rsidRPr="00B833E0">
        <w:rPr>
          <w:lang w:val="es-ES"/>
        </w:rPr>
        <w:t xml:space="preserve">además </w:t>
      </w:r>
      <w:r w:rsidR="00E24EA4" w:rsidRPr="00B833E0">
        <w:rPr>
          <w:lang w:val="es-ES"/>
        </w:rPr>
        <w:t xml:space="preserve">una serie de beneficios no cuantificables, </w:t>
      </w:r>
      <w:r w:rsidRPr="00B833E0">
        <w:rPr>
          <w:lang w:val="es-ES"/>
        </w:rPr>
        <w:t>relacionados con</w:t>
      </w:r>
      <w:r w:rsidR="00E24EA4" w:rsidRPr="00B833E0">
        <w:rPr>
          <w:lang w:val="es-ES"/>
        </w:rPr>
        <w:t xml:space="preserve"> factores sociales y económicos, </w:t>
      </w:r>
      <w:r w:rsidR="00D45A82" w:rsidRPr="00B833E0">
        <w:rPr>
          <w:lang w:val="es-ES"/>
        </w:rPr>
        <w:t>ya que la oportuna atención de la emergencia redunda en una mejor atención de la población afectada y una más rápida recuperación de la actividad económica.</w:t>
      </w:r>
      <w:r w:rsidR="00AC6882" w:rsidRPr="00B833E0">
        <w:rPr>
          <w:lang w:val="es-ES"/>
        </w:rPr>
        <w:t xml:space="preserve"> </w:t>
      </w:r>
      <w:r w:rsidR="001B5F39" w:rsidRPr="00B833E0">
        <w:rPr>
          <w:lang w:val="es-ES"/>
        </w:rPr>
        <w:t xml:space="preserve"> </w:t>
      </w:r>
    </w:p>
    <w:p w:rsidR="000B32BC" w:rsidRPr="00B833E0" w:rsidRDefault="00C7280D" w:rsidP="008D5D84">
      <w:pPr>
        <w:pStyle w:val="Paragraph"/>
        <w:rPr>
          <w:lang w:val="es-ES"/>
        </w:rPr>
      </w:pPr>
      <w:r w:rsidRPr="00B833E0">
        <w:rPr>
          <w:lang w:val="es-ES"/>
        </w:rPr>
        <w:lastRenderedPageBreak/>
        <w:t xml:space="preserve">Es importante </w:t>
      </w:r>
      <w:r w:rsidR="00E02E71" w:rsidRPr="00B833E0">
        <w:rPr>
          <w:lang w:val="es-ES"/>
        </w:rPr>
        <w:t>reiterar</w:t>
      </w:r>
      <w:r w:rsidRPr="00B833E0">
        <w:rPr>
          <w:lang w:val="es-ES"/>
        </w:rPr>
        <w:t xml:space="preserve"> que los supuestos utilizados en el análisis son conservadores </w:t>
      </w:r>
      <w:r w:rsidR="008C0F6E" w:rsidRPr="00B833E0">
        <w:rPr>
          <w:lang w:val="es-ES"/>
        </w:rPr>
        <w:t>ya que se asume que las condiciones de financiamient</w:t>
      </w:r>
      <w:r w:rsidR="0088551C" w:rsidRPr="00B833E0">
        <w:rPr>
          <w:lang w:val="es-ES"/>
        </w:rPr>
        <w:t>o alternativas van a mantener la</w:t>
      </w:r>
      <w:r w:rsidR="008C0F6E" w:rsidRPr="00B833E0">
        <w:rPr>
          <w:lang w:val="es-ES"/>
        </w:rPr>
        <w:t xml:space="preserve"> tendencia</w:t>
      </w:r>
      <w:r w:rsidR="0088551C" w:rsidRPr="00B833E0">
        <w:rPr>
          <w:lang w:val="es-ES"/>
        </w:rPr>
        <w:t xml:space="preserve"> que ostentan en circunstancias ordinarias</w:t>
      </w:r>
      <w:r w:rsidR="00E02E71" w:rsidRPr="00B833E0">
        <w:rPr>
          <w:lang w:val="es-ES"/>
        </w:rPr>
        <w:t>, tanto en lo relacionado a</w:t>
      </w:r>
      <w:r w:rsidR="002C5F61" w:rsidRPr="00B833E0">
        <w:rPr>
          <w:lang w:val="es-ES"/>
        </w:rPr>
        <w:t>l</w:t>
      </w:r>
      <w:r w:rsidR="00E02E71" w:rsidRPr="00B833E0">
        <w:rPr>
          <w:lang w:val="es-ES"/>
        </w:rPr>
        <w:t xml:space="preserve"> costo como </w:t>
      </w:r>
      <w:r w:rsidR="002C5F61" w:rsidRPr="00B833E0">
        <w:rPr>
          <w:lang w:val="es-ES"/>
        </w:rPr>
        <w:t>a</w:t>
      </w:r>
      <w:r w:rsidR="00E02E71" w:rsidRPr="00B833E0">
        <w:rPr>
          <w:lang w:val="es-ES"/>
        </w:rPr>
        <w:t xml:space="preserve"> los plazos de </w:t>
      </w:r>
      <w:r w:rsidR="00156AB7" w:rsidRPr="00B833E0">
        <w:rPr>
          <w:lang w:val="es-ES"/>
        </w:rPr>
        <w:t>acceso a financiación</w:t>
      </w:r>
      <w:r w:rsidR="0088551C" w:rsidRPr="00B833E0">
        <w:rPr>
          <w:lang w:val="es-ES"/>
        </w:rPr>
        <w:t xml:space="preserve">. </w:t>
      </w:r>
      <w:r w:rsidR="002C5F61" w:rsidRPr="00B833E0">
        <w:rPr>
          <w:lang w:val="es-ES"/>
        </w:rPr>
        <w:t>En la realidad</w:t>
      </w:r>
      <w:r w:rsidR="0088551C" w:rsidRPr="00B833E0">
        <w:rPr>
          <w:lang w:val="es-ES"/>
        </w:rPr>
        <w:t>, es altamente probable que dichas condiciones se v</w:t>
      </w:r>
      <w:r w:rsidR="00B34F47" w:rsidRPr="00B833E0">
        <w:rPr>
          <w:lang w:val="es-ES"/>
        </w:rPr>
        <w:t>e</w:t>
      </w:r>
      <w:r w:rsidR="0088551C" w:rsidRPr="00B833E0">
        <w:rPr>
          <w:lang w:val="es-ES"/>
        </w:rPr>
        <w:t xml:space="preserve">an </w:t>
      </w:r>
      <w:r w:rsidR="00060466" w:rsidRPr="00B833E0">
        <w:rPr>
          <w:lang w:val="es-ES"/>
        </w:rPr>
        <w:t>deterioradas</w:t>
      </w:r>
      <w:r w:rsidR="0088551C" w:rsidRPr="00B833E0">
        <w:rPr>
          <w:lang w:val="es-ES"/>
        </w:rPr>
        <w:t xml:space="preserve"> por el desastre y, por ello, el beneficio comparativo </w:t>
      </w:r>
      <w:r w:rsidR="00B34F47" w:rsidRPr="00B833E0">
        <w:rPr>
          <w:lang w:val="es-ES"/>
        </w:rPr>
        <w:t>real del préstamo BID sea aun mayor</w:t>
      </w:r>
      <w:r w:rsidRPr="00B833E0">
        <w:rPr>
          <w:lang w:val="es-ES"/>
        </w:rPr>
        <w:t>.</w:t>
      </w:r>
      <w:r w:rsidR="001014FA" w:rsidRPr="00B833E0">
        <w:rPr>
          <w:lang w:val="es-ES"/>
        </w:rPr>
        <w:t xml:space="preserve"> E</w:t>
      </w:r>
      <w:r w:rsidR="00156AB7" w:rsidRPr="00B833E0">
        <w:rPr>
          <w:lang w:val="es-ES"/>
        </w:rPr>
        <w:t xml:space="preserve">ste </w:t>
      </w:r>
      <w:r w:rsidR="001014FA" w:rsidRPr="00B833E0">
        <w:rPr>
          <w:lang w:val="es-ES"/>
        </w:rPr>
        <w:t>beneficio real será medido oportunamente</w:t>
      </w:r>
      <w:r w:rsidR="00156AB7" w:rsidRPr="00B833E0">
        <w:rPr>
          <w:lang w:val="es-ES"/>
        </w:rPr>
        <w:t xml:space="preserve"> de forma ex post</w:t>
      </w:r>
      <w:r w:rsidR="001014FA" w:rsidRPr="00B833E0">
        <w:rPr>
          <w:lang w:val="es-ES"/>
        </w:rPr>
        <w:t xml:space="preserve">, </w:t>
      </w:r>
      <w:r w:rsidR="00156AB7" w:rsidRPr="00B833E0">
        <w:rPr>
          <w:lang w:val="es-ES"/>
        </w:rPr>
        <w:t xml:space="preserve">ya que </w:t>
      </w:r>
      <w:r w:rsidR="001014FA" w:rsidRPr="00B833E0">
        <w:rPr>
          <w:lang w:val="es-ES"/>
        </w:rPr>
        <w:t>no se podrá comprobar hasta que</w:t>
      </w:r>
      <w:r w:rsidR="00EB7C71" w:rsidRPr="00B833E0">
        <w:rPr>
          <w:lang w:val="es-ES"/>
        </w:rPr>
        <w:t xml:space="preserve"> no ocurra un desastre natural elegible.</w:t>
      </w:r>
    </w:p>
    <w:p w:rsidR="009F5F28" w:rsidRPr="00D75D92" w:rsidRDefault="009F5F28" w:rsidP="009F5F28">
      <w:pPr>
        <w:pStyle w:val="Paragraph"/>
        <w:rPr>
          <w:lang w:val="es-ES"/>
        </w:rPr>
      </w:pPr>
      <w:r>
        <w:rPr>
          <w:lang w:val="es-ES"/>
        </w:rPr>
        <w:t>Teniendo en cuenta estas consideraciones, el presente análisis económico consiste en un a</w:t>
      </w:r>
      <w:r w:rsidRPr="00B833E0">
        <w:rPr>
          <w:lang w:val="es-ES"/>
        </w:rPr>
        <w:t>n</w:t>
      </w:r>
      <w:r>
        <w:rPr>
          <w:lang w:val="es-ES"/>
        </w:rPr>
        <w:t>á</w:t>
      </w:r>
      <w:r w:rsidRPr="00B833E0">
        <w:rPr>
          <w:lang w:val="es-ES"/>
        </w:rPr>
        <w:t>li</w:t>
      </w:r>
      <w:r>
        <w:rPr>
          <w:lang w:val="es-ES"/>
        </w:rPr>
        <w:t xml:space="preserve">sis </w:t>
      </w:r>
      <w:r w:rsidRPr="00B833E0">
        <w:rPr>
          <w:lang w:val="es-ES"/>
        </w:rPr>
        <w:t>compara</w:t>
      </w:r>
      <w:r>
        <w:rPr>
          <w:lang w:val="es-ES"/>
        </w:rPr>
        <w:t>tivo de</w:t>
      </w:r>
      <w:r w:rsidRPr="00B833E0">
        <w:rPr>
          <w:lang w:val="es-ES"/>
        </w:rPr>
        <w:t>l valor presente neto del costo de financiamiento de las alternativas propuestas con que cuenta el país para financiar emergencias por desastres naturales mediante instrumentos de deuda</w:t>
      </w:r>
      <w:r>
        <w:rPr>
          <w:lang w:val="es-ES"/>
        </w:rPr>
        <w:t>; es decir, el Préstamo Contingente del BID frente a una emisión de deuda soberana en el mercado internacional</w:t>
      </w:r>
      <w:r w:rsidRPr="00B833E0">
        <w:rPr>
          <w:lang w:val="es-ES"/>
        </w:rPr>
        <w:t xml:space="preserve">. </w:t>
      </w:r>
      <w:r>
        <w:rPr>
          <w:lang w:val="es-ES"/>
        </w:rPr>
        <w:t>El escenario que se toma como base para este análisis es el resultante de una simulación Montecarlo realizada para estimar la probabilidad de ocurrencia de un evento de tipo severo o catastrófico en el periodo de cobertura del Préstamo Contingente.</w:t>
      </w:r>
      <w:r>
        <w:rPr>
          <w:rStyle w:val="FootnoteReference"/>
          <w:lang w:val="es-ES"/>
        </w:rPr>
        <w:footnoteReference w:id="6"/>
      </w:r>
      <w:r>
        <w:rPr>
          <w:lang w:val="es-ES"/>
        </w:rPr>
        <w:t xml:space="preserve"> En este escenario </w:t>
      </w:r>
      <w:r w:rsidRPr="00B833E0">
        <w:rPr>
          <w:lang w:val="es-ES"/>
        </w:rPr>
        <w:t xml:space="preserve">se utilizarían US$ </w:t>
      </w:r>
      <w:r>
        <w:rPr>
          <w:lang w:val="es-ES"/>
        </w:rPr>
        <w:t>50</w:t>
      </w:r>
      <w:r w:rsidRPr="00B833E0">
        <w:rPr>
          <w:lang w:val="es-ES"/>
        </w:rPr>
        <w:t xml:space="preserve"> millones del préstamo contingente en el </w:t>
      </w:r>
      <w:r>
        <w:rPr>
          <w:lang w:val="es-ES"/>
        </w:rPr>
        <w:t>segundo</w:t>
      </w:r>
      <w:r w:rsidRPr="00B833E0">
        <w:rPr>
          <w:lang w:val="es-ES"/>
        </w:rPr>
        <w:t xml:space="preserve"> año de cobertura</w:t>
      </w:r>
      <w:r>
        <w:rPr>
          <w:lang w:val="es-ES"/>
        </w:rPr>
        <w:t xml:space="preserve"> como consecuencia de la ocurrencia de un evento severo que afecta al 4,25% de la población del país</w:t>
      </w:r>
      <w:r w:rsidRPr="00B833E0">
        <w:rPr>
          <w:lang w:val="es-ES"/>
        </w:rPr>
        <w:t xml:space="preserve">. En base a este supuesto, se ha comparado el valor presente neto del coste de financiación del préstamo BID con el valor presente neto del costo de emisión de bonos, bajo los siguientes supuestos: i) fijación de la tasa libor para el Préstamo del BID (por lo tanto, incluyendo en el costo el swap de tipos de interés); ii) los bonos emitidos tendrían un </w:t>
      </w:r>
      <w:proofErr w:type="spellStart"/>
      <w:r w:rsidRPr="00B833E0">
        <w:rPr>
          <w:i/>
          <w:lang w:val="es-ES"/>
        </w:rPr>
        <w:t>maturity</w:t>
      </w:r>
      <w:proofErr w:type="spellEnd"/>
      <w:r w:rsidRPr="00B833E0">
        <w:rPr>
          <w:lang w:val="es-ES"/>
        </w:rPr>
        <w:t xml:space="preserve"> de 10 años (bajo un esquema de amortización tipo </w:t>
      </w:r>
      <w:proofErr w:type="spellStart"/>
      <w:r w:rsidRPr="00B833E0">
        <w:rPr>
          <w:i/>
          <w:lang w:val="es-ES"/>
        </w:rPr>
        <w:t>bullet</w:t>
      </w:r>
      <w:proofErr w:type="spellEnd"/>
      <w:r w:rsidRPr="00B833E0">
        <w:rPr>
          <w:i/>
          <w:lang w:val="es-ES"/>
        </w:rPr>
        <w:t>)</w:t>
      </w:r>
      <w:r w:rsidRPr="00B833E0">
        <w:rPr>
          <w:lang w:val="es-ES"/>
        </w:rPr>
        <w:t xml:space="preserve">, y su tasa tomaría como base la prima de riesgo actual de </w:t>
      </w:r>
      <w:r w:rsidRPr="00D75D92">
        <w:rPr>
          <w:lang w:val="es-ES"/>
        </w:rPr>
        <w:t xml:space="preserve">Costa Rica en el mercado internacional de deuda soberana. </w:t>
      </w:r>
    </w:p>
    <w:p w:rsidR="009F5F28" w:rsidRDefault="009F5F28" w:rsidP="009F5F28">
      <w:pPr>
        <w:pStyle w:val="Paragraph"/>
        <w:rPr>
          <w:lang w:val="es-ES"/>
        </w:rPr>
      </w:pPr>
      <w:r w:rsidRPr="00D75D92">
        <w:rPr>
          <w:lang w:val="es-ES"/>
        </w:rPr>
        <w:t xml:space="preserve">El valor presente neto del coste total de desembolsar US$ 50 millones del préstamo contingente en el segundo año de cobertura (2014), descontado al 12%, sería de US$ 23,6 millones. Mientras que el valor presente neto del coste de emitir deuda soberana por esta misma cantidad y descontado a la misma tasa, sería de US$ 30,3 millones. Por lo tanto, el préstamo BID supone un 77% del coste de emitir deuda. En términos de costo eficacia, el préstamo BID es un 23% más barato que la alternativa de emisión de bonos soberanos. Para más información del cálculo realizado, ver </w:t>
      </w:r>
      <w:hyperlink r:id="rId17" w:history="1">
        <w:r w:rsidRPr="00D75D92">
          <w:rPr>
            <w:rStyle w:val="Hyperlink"/>
            <w:lang w:val="es-ES"/>
          </w:rPr>
          <w:t>hoja de cálculo</w:t>
        </w:r>
      </w:hyperlink>
      <w:r w:rsidRPr="00D75D92">
        <w:rPr>
          <w:lang w:val="es-ES"/>
        </w:rPr>
        <w:t xml:space="preserve">.  </w:t>
      </w:r>
    </w:p>
    <w:p w:rsidR="009F5F28" w:rsidRPr="00B833E0" w:rsidRDefault="009F5F28" w:rsidP="000709C5">
      <w:pPr>
        <w:pStyle w:val="Paragraph"/>
        <w:numPr>
          <w:ilvl w:val="0"/>
          <w:numId w:val="0"/>
        </w:numPr>
        <w:ind w:left="720" w:right="720" w:hanging="720"/>
        <w:rPr>
          <w:lang w:val="es-ES"/>
        </w:rPr>
        <w:sectPr w:rsidR="009F5F28" w:rsidRPr="00B833E0" w:rsidSect="003642A0">
          <w:type w:val="continuous"/>
          <w:pgSz w:w="12240" w:h="15840" w:code="1"/>
          <w:pgMar w:top="1440" w:right="1440" w:bottom="1440" w:left="1440" w:header="706" w:footer="436" w:gutter="0"/>
          <w:cols w:space="720"/>
          <w:formProt w:val="0"/>
          <w:titlePg/>
          <w:docGrid w:linePitch="326"/>
        </w:sectPr>
      </w:pPr>
    </w:p>
    <w:p w:rsidR="005B4D32" w:rsidRPr="00B833E0" w:rsidRDefault="0043256E" w:rsidP="00CD3245">
      <w:pPr>
        <w:pStyle w:val="Chapter"/>
        <w:rPr>
          <w:lang w:val="es-ES"/>
        </w:rPr>
      </w:pPr>
      <w:r w:rsidRPr="00B833E0">
        <w:rPr>
          <w:lang w:val="es-ES"/>
        </w:rPr>
        <w:lastRenderedPageBreak/>
        <w:t>Aná</w:t>
      </w:r>
      <w:r w:rsidR="005F7A7D" w:rsidRPr="00B833E0">
        <w:rPr>
          <w:lang w:val="es-ES"/>
        </w:rPr>
        <w:t>lisis de Sensibilidad</w:t>
      </w:r>
    </w:p>
    <w:p w:rsidR="002C5F61" w:rsidRPr="00D12E69" w:rsidRDefault="00D12E69" w:rsidP="008D5D84">
      <w:pPr>
        <w:pStyle w:val="Paragraph"/>
        <w:tabs>
          <w:tab w:val="clear" w:pos="720"/>
          <w:tab w:val="num" w:pos="630"/>
          <w:tab w:val="left" w:pos="9000"/>
        </w:tabs>
        <w:ind w:left="360" w:right="360"/>
        <w:rPr>
          <w:lang w:val="es-ES"/>
        </w:rPr>
      </w:pPr>
      <w:r w:rsidRPr="00D12E69">
        <w:rPr>
          <w:lang w:val="es-ES"/>
        </w:rPr>
        <w:t xml:space="preserve">En esta sección, más que sensibilizar, se busca mostrar que aun en el caso de variaciones mínimamente probables </w:t>
      </w:r>
      <w:r w:rsidR="0043256E" w:rsidRPr="00D12E69">
        <w:rPr>
          <w:lang w:val="es-ES"/>
        </w:rPr>
        <w:t xml:space="preserve">en </w:t>
      </w:r>
      <w:r>
        <w:rPr>
          <w:lang w:val="es-ES"/>
        </w:rPr>
        <w:t xml:space="preserve">los </w:t>
      </w:r>
      <w:r w:rsidR="00E35D96" w:rsidRPr="00D12E69">
        <w:rPr>
          <w:lang w:val="es-ES"/>
        </w:rPr>
        <w:t>parámetros</w:t>
      </w:r>
      <w:r w:rsidR="0043256E" w:rsidRPr="00D12E69">
        <w:rPr>
          <w:lang w:val="es-ES"/>
        </w:rPr>
        <w:t xml:space="preserve"> </w:t>
      </w:r>
      <w:r w:rsidR="002C5F61" w:rsidRPr="00D12E69">
        <w:rPr>
          <w:lang w:val="es-ES"/>
        </w:rPr>
        <w:t xml:space="preserve">establecidos en </w:t>
      </w:r>
      <w:r w:rsidR="004844BD" w:rsidRPr="00D12E69">
        <w:rPr>
          <w:lang w:val="es-ES"/>
        </w:rPr>
        <w:t>¶</w:t>
      </w:r>
      <w:r w:rsidR="002C5F61" w:rsidRPr="00D12E69">
        <w:rPr>
          <w:lang w:val="es-ES"/>
        </w:rPr>
        <w:t>3.1</w:t>
      </w:r>
      <w:r w:rsidR="0043256E" w:rsidRPr="00D12E69">
        <w:rPr>
          <w:lang w:val="es-ES"/>
        </w:rPr>
        <w:t>, existe una holgura considerable</w:t>
      </w:r>
      <w:r w:rsidR="002C5F61" w:rsidRPr="00D12E69">
        <w:rPr>
          <w:lang w:val="es-ES"/>
        </w:rPr>
        <w:t xml:space="preserve"> </w:t>
      </w:r>
      <w:r w:rsidR="0043256E" w:rsidRPr="00D12E69">
        <w:rPr>
          <w:lang w:val="es-ES"/>
        </w:rPr>
        <w:t xml:space="preserve">de valores dentro de los cuales </w:t>
      </w:r>
      <w:r w:rsidR="002C5F61" w:rsidRPr="00D12E69">
        <w:rPr>
          <w:lang w:val="es-ES"/>
        </w:rPr>
        <w:t xml:space="preserve">la alternativa de préstamo BID </w:t>
      </w:r>
      <w:r w:rsidR="0043256E" w:rsidRPr="00D12E69">
        <w:rPr>
          <w:lang w:val="es-ES"/>
        </w:rPr>
        <w:t>se mantiene como</w:t>
      </w:r>
      <w:r w:rsidR="002C5F61" w:rsidRPr="00D12E69">
        <w:rPr>
          <w:lang w:val="es-ES"/>
        </w:rPr>
        <w:t xml:space="preserve"> la más eficiente</w:t>
      </w:r>
      <w:r w:rsidR="00954076" w:rsidRPr="00D12E69">
        <w:rPr>
          <w:lang w:val="es-ES"/>
        </w:rPr>
        <w:t xml:space="preserve"> ya que</w:t>
      </w:r>
      <w:r w:rsidR="00156AB7" w:rsidRPr="00D12E69">
        <w:rPr>
          <w:lang w:val="es-ES"/>
        </w:rPr>
        <w:t>: i)</w:t>
      </w:r>
      <w:r w:rsidR="00954076" w:rsidRPr="00D12E69">
        <w:rPr>
          <w:lang w:val="es-ES"/>
        </w:rPr>
        <w:t xml:space="preserve"> mientras no se use, no cuesta nada al país</w:t>
      </w:r>
      <w:r w:rsidR="00156AB7" w:rsidRPr="00D12E69">
        <w:rPr>
          <w:lang w:val="es-ES"/>
        </w:rPr>
        <w:t xml:space="preserve">; y ii) </w:t>
      </w:r>
      <w:r w:rsidR="00954076" w:rsidRPr="00D12E69">
        <w:rPr>
          <w:lang w:val="es-ES"/>
        </w:rPr>
        <w:t>en caso de ser utilizada</w:t>
      </w:r>
      <w:r w:rsidR="004844BD" w:rsidRPr="00D12E69">
        <w:rPr>
          <w:lang w:val="es-ES"/>
        </w:rPr>
        <w:t xml:space="preserve">, </w:t>
      </w:r>
      <w:r w:rsidR="00954076" w:rsidRPr="00D12E69">
        <w:rPr>
          <w:lang w:val="es-ES"/>
        </w:rPr>
        <w:t>est</w:t>
      </w:r>
      <w:r w:rsidR="004844BD" w:rsidRPr="00D12E69">
        <w:rPr>
          <w:lang w:val="es-ES"/>
        </w:rPr>
        <w:t>á</w:t>
      </w:r>
      <w:r w:rsidR="00954076" w:rsidRPr="00D12E69">
        <w:rPr>
          <w:lang w:val="es-ES"/>
        </w:rPr>
        <w:t xml:space="preserve"> rápidamente disponible y es m</w:t>
      </w:r>
      <w:r w:rsidR="00CA6184" w:rsidRPr="00D12E69">
        <w:rPr>
          <w:lang w:val="es-ES"/>
        </w:rPr>
        <w:t>enos costosa</w:t>
      </w:r>
      <w:r w:rsidR="00954076" w:rsidRPr="00D12E69">
        <w:rPr>
          <w:lang w:val="es-ES"/>
        </w:rPr>
        <w:t xml:space="preserve"> que cualquier otra opción de financiamiento mediante deuda.</w:t>
      </w:r>
      <w:r w:rsidR="00E35D96" w:rsidRPr="00D12E69">
        <w:rPr>
          <w:lang w:val="es-ES"/>
        </w:rPr>
        <w:t xml:space="preserve"> El segundo análisis muestra un análisis de sensibilidad frente a la severidad del evento ocurrido.</w:t>
      </w:r>
    </w:p>
    <w:p w:rsidR="002B7458" w:rsidRPr="00B833E0" w:rsidRDefault="009B198B" w:rsidP="008D5D84">
      <w:pPr>
        <w:pStyle w:val="Paragraph"/>
        <w:tabs>
          <w:tab w:val="clear" w:pos="720"/>
          <w:tab w:val="num" w:pos="630"/>
        </w:tabs>
        <w:ind w:left="360" w:right="360"/>
        <w:rPr>
          <w:lang w:val="es-ES"/>
        </w:rPr>
      </w:pPr>
      <w:r w:rsidRPr="00B833E0">
        <w:rPr>
          <w:szCs w:val="24"/>
          <w:lang w:val="es-ES"/>
        </w:rPr>
        <w:t>S</w:t>
      </w:r>
      <w:r w:rsidR="00790A32" w:rsidRPr="00B833E0">
        <w:rPr>
          <w:lang w:val="es-ES"/>
        </w:rPr>
        <w:t xml:space="preserve">i bien </w:t>
      </w:r>
      <w:r w:rsidR="00314116" w:rsidRPr="00B833E0">
        <w:rPr>
          <w:lang w:val="es-ES"/>
        </w:rPr>
        <w:t xml:space="preserve">una disminución significativa en las condiciones de </w:t>
      </w:r>
      <w:r w:rsidR="0024524D" w:rsidRPr="00B833E0">
        <w:rPr>
          <w:lang w:val="es-ES"/>
        </w:rPr>
        <w:t xml:space="preserve">la calificación de la deuda pública de </w:t>
      </w:r>
      <w:r w:rsidR="00294392">
        <w:rPr>
          <w:lang w:val="es-ES"/>
        </w:rPr>
        <w:t>Costa Rica</w:t>
      </w:r>
      <w:r w:rsidR="00CA6184" w:rsidRPr="00B833E0">
        <w:rPr>
          <w:lang w:val="es-ES"/>
        </w:rPr>
        <w:t xml:space="preserve"> no es improbable (en cuyo caso el préstamo BID sería aún más atractivo)</w:t>
      </w:r>
      <w:r w:rsidR="00790A32" w:rsidRPr="00B833E0">
        <w:rPr>
          <w:lang w:val="es-ES"/>
        </w:rPr>
        <w:t xml:space="preserve">, </w:t>
      </w:r>
      <w:r w:rsidR="003D779E" w:rsidRPr="00B833E0">
        <w:rPr>
          <w:lang w:val="es-ES"/>
        </w:rPr>
        <w:t xml:space="preserve">consideremos </w:t>
      </w:r>
      <w:r w:rsidR="00CA6184" w:rsidRPr="00B833E0">
        <w:rPr>
          <w:lang w:val="es-ES"/>
        </w:rPr>
        <w:t xml:space="preserve">el caso hipotético de que </w:t>
      </w:r>
      <w:r w:rsidR="00294392">
        <w:rPr>
          <w:lang w:val="es-ES"/>
        </w:rPr>
        <w:t>Costa Rica</w:t>
      </w:r>
      <w:r w:rsidR="00CA6184" w:rsidRPr="00B833E0">
        <w:rPr>
          <w:lang w:val="es-ES"/>
        </w:rPr>
        <w:t xml:space="preserve"> alcance niveles macroeconómicos y macro financieros comparables a los países con mejores calificaciones de deuda en la región. L</w:t>
      </w:r>
      <w:r w:rsidR="00790A32" w:rsidRPr="00B833E0">
        <w:rPr>
          <w:lang w:val="es-ES"/>
        </w:rPr>
        <w:t xml:space="preserve">os </w:t>
      </w:r>
      <w:r w:rsidR="006F3EEA" w:rsidRPr="00B833E0">
        <w:rPr>
          <w:lang w:val="es-ES"/>
        </w:rPr>
        <w:t xml:space="preserve">costes </w:t>
      </w:r>
      <w:r w:rsidR="00B44186" w:rsidRPr="00B833E0">
        <w:rPr>
          <w:lang w:val="es-ES"/>
        </w:rPr>
        <w:t>para la</w:t>
      </w:r>
      <w:r w:rsidR="003D779E" w:rsidRPr="00B833E0">
        <w:rPr>
          <w:lang w:val="es-ES"/>
        </w:rPr>
        <w:t xml:space="preserve"> emisión de bonos </w:t>
      </w:r>
      <w:r w:rsidR="00CA6184" w:rsidRPr="00B833E0">
        <w:rPr>
          <w:lang w:val="es-ES"/>
        </w:rPr>
        <w:t xml:space="preserve">para dichos </w:t>
      </w:r>
      <w:r w:rsidR="00790A32" w:rsidRPr="00B833E0">
        <w:rPr>
          <w:lang w:val="es-ES"/>
        </w:rPr>
        <w:t xml:space="preserve">países </w:t>
      </w:r>
      <w:r w:rsidR="003D779E" w:rsidRPr="00B833E0">
        <w:rPr>
          <w:lang w:val="es-ES"/>
        </w:rPr>
        <w:t>(ver cuadro a continuación)</w:t>
      </w:r>
      <w:r w:rsidR="00CA6184" w:rsidRPr="00B833E0">
        <w:rPr>
          <w:lang w:val="es-ES"/>
        </w:rPr>
        <w:t xml:space="preserve"> constituirían</w:t>
      </w:r>
      <w:r w:rsidR="00790A32" w:rsidRPr="00B833E0">
        <w:rPr>
          <w:lang w:val="es-ES"/>
        </w:rPr>
        <w:t xml:space="preserve"> </w:t>
      </w:r>
      <w:r w:rsidR="003D779E" w:rsidRPr="00B833E0">
        <w:rPr>
          <w:lang w:val="es-ES"/>
        </w:rPr>
        <w:t xml:space="preserve">un </w:t>
      </w:r>
      <w:r w:rsidR="0043256E" w:rsidRPr="00B833E0">
        <w:rPr>
          <w:lang w:val="es-ES"/>
        </w:rPr>
        <w:t>límite</w:t>
      </w:r>
      <w:r w:rsidR="003D779E" w:rsidRPr="00B833E0">
        <w:rPr>
          <w:lang w:val="es-ES"/>
        </w:rPr>
        <w:t xml:space="preserve"> inferior </w:t>
      </w:r>
      <w:r w:rsidR="003C75CF" w:rsidRPr="00B833E0">
        <w:rPr>
          <w:lang w:val="es-ES"/>
        </w:rPr>
        <w:t>referencial</w:t>
      </w:r>
      <w:r w:rsidR="00CA6184" w:rsidRPr="00B833E0">
        <w:rPr>
          <w:lang w:val="es-ES"/>
        </w:rPr>
        <w:t xml:space="preserve"> de lo que sucedería si </w:t>
      </w:r>
      <w:r w:rsidR="00294392">
        <w:rPr>
          <w:lang w:val="es-ES"/>
        </w:rPr>
        <w:t>Costa Rica</w:t>
      </w:r>
      <w:r w:rsidR="00CA6184" w:rsidRPr="00B833E0">
        <w:rPr>
          <w:lang w:val="es-ES"/>
        </w:rPr>
        <w:t xml:space="preserve"> mejorará su calificación de deuda</w:t>
      </w:r>
      <w:r w:rsidR="00790A32" w:rsidRPr="00B833E0">
        <w:rPr>
          <w:lang w:val="es-ES"/>
        </w:rPr>
        <w:t>.</w:t>
      </w:r>
      <w:r w:rsidR="003D779E" w:rsidRPr="00B833E0">
        <w:rPr>
          <w:lang w:val="es-ES"/>
        </w:rPr>
        <w:t xml:space="preserve"> A</w:t>
      </w:r>
      <w:r w:rsidR="00B44186" w:rsidRPr="00B833E0">
        <w:rPr>
          <w:lang w:val="es-ES"/>
        </w:rPr>
        <w:t>un toma</w:t>
      </w:r>
      <w:r w:rsidR="00CA6184" w:rsidRPr="00B833E0">
        <w:rPr>
          <w:lang w:val="es-ES"/>
        </w:rPr>
        <w:t>ndo</w:t>
      </w:r>
      <w:r w:rsidR="00B44186" w:rsidRPr="00B833E0">
        <w:rPr>
          <w:lang w:val="es-ES"/>
        </w:rPr>
        <w:t xml:space="preserve"> como referente </w:t>
      </w:r>
      <w:r w:rsidR="00CA6184" w:rsidRPr="00B833E0">
        <w:rPr>
          <w:lang w:val="es-ES"/>
        </w:rPr>
        <w:t>esto</w:t>
      </w:r>
      <w:r w:rsidR="00B44186" w:rsidRPr="00B833E0">
        <w:rPr>
          <w:lang w:val="es-ES"/>
        </w:rPr>
        <w:t xml:space="preserve">s valores, los </w:t>
      </w:r>
      <w:r w:rsidR="006F3EEA" w:rsidRPr="00B833E0">
        <w:rPr>
          <w:lang w:val="es-ES"/>
        </w:rPr>
        <w:t>costes</w:t>
      </w:r>
      <w:r w:rsidR="00B44186" w:rsidRPr="00B833E0">
        <w:rPr>
          <w:lang w:val="es-ES"/>
        </w:rPr>
        <w:t xml:space="preserve"> </w:t>
      </w:r>
      <w:r w:rsidR="003D779E" w:rsidRPr="00B833E0">
        <w:rPr>
          <w:lang w:val="es-ES"/>
        </w:rPr>
        <w:t>no alcanza</w:t>
      </w:r>
      <w:r w:rsidR="00CA6184" w:rsidRPr="00B833E0">
        <w:rPr>
          <w:lang w:val="es-ES"/>
        </w:rPr>
        <w:t>n</w:t>
      </w:r>
      <w:r w:rsidR="003D779E" w:rsidRPr="00B833E0">
        <w:rPr>
          <w:lang w:val="es-ES"/>
        </w:rPr>
        <w:t xml:space="preserve"> el nivel de</w:t>
      </w:r>
      <w:r w:rsidR="00CA6184" w:rsidRPr="00B833E0">
        <w:rPr>
          <w:lang w:val="es-ES"/>
        </w:rPr>
        <w:t xml:space="preserve"> </w:t>
      </w:r>
      <w:r w:rsidR="003D779E" w:rsidRPr="00B833E0">
        <w:rPr>
          <w:lang w:val="es-ES"/>
        </w:rPr>
        <w:t>l</w:t>
      </w:r>
      <w:r w:rsidR="00CA6184" w:rsidRPr="00B833E0">
        <w:rPr>
          <w:lang w:val="es-ES"/>
        </w:rPr>
        <w:t>os del</w:t>
      </w:r>
      <w:r w:rsidR="003D779E" w:rsidRPr="00B833E0">
        <w:rPr>
          <w:lang w:val="es-ES"/>
        </w:rPr>
        <w:t xml:space="preserve"> préstamo BID, el cual se </w:t>
      </w:r>
      <w:r w:rsidR="003C75CF" w:rsidRPr="00B833E0">
        <w:rPr>
          <w:lang w:val="es-ES"/>
        </w:rPr>
        <w:t>mantendría</w:t>
      </w:r>
      <w:r w:rsidR="003D779E" w:rsidRPr="00B833E0">
        <w:rPr>
          <w:lang w:val="es-ES"/>
        </w:rPr>
        <w:t xml:space="preserve"> como la alternativa </w:t>
      </w:r>
      <w:r w:rsidR="0043256E" w:rsidRPr="00B833E0">
        <w:rPr>
          <w:lang w:val="es-ES"/>
        </w:rPr>
        <w:t>más</w:t>
      </w:r>
      <w:r w:rsidR="003D779E" w:rsidRPr="00B833E0">
        <w:rPr>
          <w:lang w:val="es-ES"/>
        </w:rPr>
        <w:t xml:space="preserve"> eficiente.</w:t>
      </w:r>
      <w:r w:rsidR="000B32BC" w:rsidRPr="00B833E0">
        <w:rPr>
          <w:lang w:val="es-ES"/>
        </w:rPr>
        <w:t xml:space="preserve"> </w:t>
      </w:r>
    </w:p>
    <w:p w:rsidR="00CA6184" w:rsidRPr="00B833E0" w:rsidRDefault="00CA6184" w:rsidP="00CA6184">
      <w:pPr>
        <w:pStyle w:val="Paragraph"/>
        <w:numPr>
          <w:ilvl w:val="0"/>
          <w:numId w:val="0"/>
        </w:numPr>
        <w:spacing w:before="0" w:after="0" w:line="200" w:lineRule="exact"/>
        <w:ind w:left="720" w:right="720"/>
        <w:rPr>
          <w:lang w:val="es-ES"/>
        </w:rPr>
      </w:pPr>
    </w:p>
    <w:tbl>
      <w:tblPr>
        <w:tblStyle w:val="TableGrid"/>
        <w:tblW w:w="0" w:type="auto"/>
        <w:jc w:val="center"/>
        <w:tblInd w:w="1278" w:type="dxa"/>
        <w:tblLook w:val="04A0" w:firstRow="1" w:lastRow="0" w:firstColumn="1" w:lastColumn="0" w:noHBand="0" w:noVBand="1"/>
      </w:tblPr>
      <w:tblGrid>
        <w:gridCol w:w="2520"/>
        <w:gridCol w:w="1620"/>
        <w:gridCol w:w="2610"/>
      </w:tblGrid>
      <w:tr w:rsidR="006F3EEA" w:rsidRPr="00B833E0" w:rsidTr="0033437E">
        <w:trPr>
          <w:jc w:val="center"/>
        </w:trPr>
        <w:tc>
          <w:tcPr>
            <w:tcW w:w="2520" w:type="dxa"/>
            <w:shd w:val="clear" w:color="auto" w:fill="D9D9D9" w:themeFill="background1" w:themeFillShade="D9"/>
          </w:tcPr>
          <w:p w:rsidR="002B489E" w:rsidRPr="00B833E0" w:rsidRDefault="001B5F39" w:rsidP="004844BD">
            <w:pPr>
              <w:pStyle w:val="Paragraph"/>
              <w:numPr>
                <w:ilvl w:val="0"/>
                <w:numId w:val="0"/>
              </w:numPr>
              <w:spacing w:before="0" w:after="0"/>
              <w:ind w:right="720"/>
              <w:rPr>
                <w:b/>
                <w:lang w:val="es-ES"/>
              </w:rPr>
            </w:pPr>
            <w:r w:rsidRPr="00B833E0">
              <w:rPr>
                <w:b/>
                <w:lang w:val="es-ES"/>
              </w:rPr>
              <w:t>País</w:t>
            </w:r>
          </w:p>
        </w:tc>
        <w:tc>
          <w:tcPr>
            <w:tcW w:w="1620" w:type="dxa"/>
            <w:shd w:val="clear" w:color="auto" w:fill="D9D9D9" w:themeFill="background1" w:themeFillShade="D9"/>
          </w:tcPr>
          <w:p w:rsidR="002B489E" w:rsidRPr="00B833E0" w:rsidRDefault="001B5F39" w:rsidP="004844BD">
            <w:pPr>
              <w:pStyle w:val="Paragraph"/>
              <w:numPr>
                <w:ilvl w:val="0"/>
                <w:numId w:val="0"/>
              </w:numPr>
              <w:tabs>
                <w:tab w:val="left" w:pos="1854"/>
              </w:tabs>
              <w:spacing w:before="0" w:after="0"/>
              <w:rPr>
                <w:b/>
                <w:lang w:val="es-ES"/>
              </w:rPr>
            </w:pPr>
            <w:r w:rsidRPr="00B833E0">
              <w:rPr>
                <w:b/>
                <w:lang w:val="es-ES"/>
              </w:rPr>
              <w:t>Rating</w:t>
            </w:r>
          </w:p>
        </w:tc>
        <w:tc>
          <w:tcPr>
            <w:tcW w:w="2610" w:type="dxa"/>
            <w:shd w:val="clear" w:color="auto" w:fill="D9D9D9" w:themeFill="background1" w:themeFillShade="D9"/>
          </w:tcPr>
          <w:p w:rsidR="002B489E" w:rsidRPr="00B833E0" w:rsidRDefault="001B5F39" w:rsidP="004844BD">
            <w:pPr>
              <w:pStyle w:val="Paragraph"/>
              <w:numPr>
                <w:ilvl w:val="0"/>
                <w:numId w:val="0"/>
              </w:numPr>
              <w:spacing w:before="0" w:after="0"/>
              <w:ind w:right="-18"/>
              <w:rPr>
                <w:b/>
                <w:lang w:val="es-ES"/>
              </w:rPr>
            </w:pPr>
            <w:proofErr w:type="spellStart"/>
            <w:r w:rsidRPr="00B833E0">
              <w:rPr>
                <w:b/>
                <w:i/>
                <w:lang w:val="es-ES"/>
              </w:rPr>
              <w:t>Yield</w:t>
            </w:r>
            <w:proofErr w:type="spellEnd"/>
            <w:r w:rsidRPr="00B833E0">
              <w:rPr>
                <w:b/>
                <w:i/>
                <w:lang w:val="es-ES"/>
              </w:rPr>
              <w:t xml:space="preserve"> </w:t>
            </w:r>
            <w:r w:rsidRPr="00B833E0">
              <w:rPr>
                <w:b/>
                <w:lang w:val="es-ES"/>
              </w:rPr>
              <w:t>(Puntos Básicos)</w:t>
            </w:r>
          </w:p>
        </w:tc>
      </w:tr>
      <w:tr w:rsidR="00246FB4" w:rsidRPr="00B833E0" w:rsidTr="0033437E">
        <w:trPr>
          <w:jc w:val="center"/>
        </w:trPr>
        <w:tc>
          <w:tcPr>
            <w:tcW w:w="2520" w:type="dxa"/>
          </w:tcPr>
          <w:p w:rsidR="002B489E" w:rsidRPr="00B833E0" w:rsidRDefault="00246FB4" w:rsidP="004844BD">
            <w:pPr>
              <w:pStyle w:val="Paragraph"/>
              <w:numPr>
                <w:ilvl w:val="0"/>
                <w:numId w:val="0"/>
              </w:numPr>
              <w:spacing w:before="0" w:after="0"/>
              <w:ind w:right="720"/>
              <w:rPr>
                <w:lang w:val="es-ES"/>
              </w:rPr>
            </w:pPr>
            <w:r w:rsidRPr="00B833E0">
              <w:rPr>
                <w:lang w:val="es-ES"/>
              </w:rPr>
              <w:t>Chile</w:t>
            </w:r>
          </w:p>
        </w:tc>
        <w:tc>
          <w:tcPr>
            <w:tcW w:w="1620" w:type="dxa"/>
          </w:tcPr>
          <w:p w:rsidR="002B489E" w:rsidRPr="00B833E0" w:rsidRDefault="00246FB4" w:rsidP="004844BD">
            <w:pPr>
              <w:pStyle w:val="Paragraph"/>
              <w:numPr>
                <w:ilvl w:val="0"/>
                <w:numId w:val="0"/>
              </w:numPr>
              <w:spacing w:before="0" w:after="0"/>
              <w:ind w:right="-108"/>
              <w:jc w:val="center"/>
              <w:rPr>
                <w:lang w:val="es-ES"/>
              </w:rPr>
            </w:pPr>
            <w:r w:rsidRPr="00B833E0">
              <w:rPr>
                <w:lang w:val="es-ES"/>
              </w:rPr>
              <w:t>A+</w:t>
            </w:r>
          </w:p>
        </w:tc>
        <w:tc>
          <w:tcPr>
            <w:tcW w:w="2610" w:type="dxa"/>
          </w:tcPr>
          <w:p w:rsidR="002B489E" w:rsidRPr="00B833E0" w:rsidRDefault="00246FB4" w:rsidP="004844BD">
            <w:pPr>
              <w:pStyle w:val="Paragraph"/>
              <w:numPr>
                <w:ilvl w:val="0"/>
                <w:numId w:val="0"/>
              </w:numPr>
              <w:spacing w:before="0" w:after="0"/>
              <w:ind w:right="-18"/>
              <w:jc w:val="center"/>
              <w:rPr>
                <w:lang w:val="es-ES"/>
              </w:rPr>
            </w:pPr>
            <w:r w:rsidRPr="00B833E0">
              <w:rPr>
                <w:lang w:val="es-ES"/>
              </w:rPr>
              <w:t>270</w:t>
            </w:r>
          </w:p>
        </w:tc>
      </w:tr>
      <w:tr w:rsidR="00246FB4" w:rsidRPr="00B833E0" w:rsidTr="0033437E">
        <w:trPr>
          <w:jc w:val="center"/>
        </w:trPr>
        <w:tc>
          <w:tcPr>
            <w:tcW w:w="2520" w:type="dxa"/>
          </w:tcPr>
          <w:p w:rsidR="002B489E" w:rsidRPr="00B833E0" w:rsidRDefault="00246FB4" w:rsidP="004844BD">
            <w:pPr>
              <w:pStyle w:val="Paragraph"/>
              <w:numPr>
                <w:ilvl w:val="0"/>
                <w:numId w:val="0"/>
              </w:numPr>
              <w:spacing w:before="0" w:after="0"/>
              <w:ind w:right="720"/>
              <w:rPr>
                <w:lang w:val="es-ES"/>
              </w:rPr>
            </w:pPr>
            <w:r w:rsidRPr="00B833E0">
              <w:rPr>
                <w:lang w:val="es-ES"/>
              </w:rPr>
              <w:t>México</w:t>
            </w:r>
          </w:p>
        </w:tc>
        <w:tc>
          <w:tcPr>
            <w:tcW w:w="1620" w:type="dxa"/>
          </w:tcPr>
          <w:p w:rsidR="002B489E" w:rsidRPr="00B833E0" w:rsidRDefault="00246FB4" w:rsidP="004844BD">
            <w:pPr>
              <w:pStyle w:val="Paragraph"/>
              <w:numPr>
                <w:ilvl w:val="0"/>
                <w:numId w:val="0"/>
              </w:numPr>
              <w:tabs>
                <w:tab w:val="left" w:pos="1854"/>
              </w:tabs>
              <w:spacing w:before="0" w:after="0"/>
              <w:jc w:val="center"/>
              <w:rPr>
                <w:lang w:val="es-ES"/>
              </w:rPr>
            </w:pPr>
            <w:r w:rsidRPr="00B833E0">
              <w:rPr>
                <w:lang w:val="es-ES"/>
              </w:rPr>
              <w:t>BBB</w:t>
            </w:r>
          </w:p>
        </w:tc>
        <w:tc>
          <w:tcPr>
            <w:tcW w:w="2610" w:type="dxa"/>
          </w:tcPr>
          <w:p w:rsidR="002B489E" w:rsidRPr="00B833E0" w:rsidRDefault="00246FB4" w:rsidP="004844BD">
            <w:pPr>
              <w:pStyle w:val="Paragraph"/>
              <w:numPr>
                <w:ilvl w:val="0"/>
                <w:numId w:val="0"/>
              </w:numPr>
              <w:spacing w:before="0" w:after="0"/>
              <w:ind w:right="-18"/>
              <w:jc w:val="center"/>
              <w:rPr>
                <w:lang w:val="es-ES"/>
              </w:rPr>
            </w:pPr>
            <w:r w:rsidRPr="00B833E0">
              <w:rPr>
                <w:lang w:val="es-ES"/>
              </w:rPr>
              <w:t>315</w:t>
            </w:r>
          </w:p>
        </w:tc>
      </w:tr>
      <w:tr w:rsidR="00540C5D" w:rsidRPr="00B833E0" w:rsidTr="0033437E">
        <w:trPr>
          <w:jc w:val="center"/>
        </w:trPr>
        <w:tc>
          <w:tcPr>
            <w:tcW w:w="2520" w:type="dxa"/>
            <w:tcBorders>
              <w:bottom w:val="single" w:sz="4" w:space="0" w:color="auto"/>
            </w:tcBorders>
          </w:tcPr>
          <w:p w:rsidR="00540C5D" w:rsidRPr="00B833E0" w:rsidRDefault="00304DCF" w:rsidP="004844BD">
            <w:pPr>
              <w:pStyle w:val="Paragraph"/>
              <w:numPr>
                <w:ilvl w:val="0"/>
                <w:numId w:val="0"/>
              </w:numPr>
              <w:spacing w:before="0" w:after="0"/>
              <w:ind w:right="720"/>
              <w:rPr>
                <w:lang w:val="es-ES"/>
              </w:rPr>
            </w:pPr>
            <w:r>
              <w:rPr>
                <w:lang w:val="es-ES"/>
              </w:rPr>
              <w:t>Costa Rica</w:t>
            </w:r>
          </w:p>
        </w:tc>
        <w:tc>
          <w:tcPr>
            <w:tcW w:w="1620" w:type="dxa"/>
            <w:tcBorders>
              <w:bottom w:val="single" w:sz="4" w:space="0" w:color="auto"/>
            </w:tcBorders>
          </w:tcPr>
          <w:p w:rsidR="00540C5D" w:rsidRPr="00B833E0" w:rsidRDefault="00540C5D" w:rsidP="00304DCF">
            <w:pPr>
              <w:pStyle w:val="Paragraph"/>
              <w:numPr>
                <w:ilvl w:val="0"/>
                <w:numId w:val="0"/>
              </w:numPr>
              <w:tabs>
                <w:tab w:val="left" w:pos="1854"/>
              </w:tabs>
              <w:spacing w:before="0" w:after="0"/>
              <w:jc w:val="center"/>
              <w:rPr>
                <w:lang w:val="es-ES"/>
              </w:rPr>
            </w:pPr>
            <w:r w:rsidRPr="00B833E0">
              <w:rPr>
                <w:lang w:val="es-ES"/>
              </w:rPr>
              <w:t>B</w:t>
            </w:r>
            <w:r w:rsidR="00186013" w:rsidRPr="00B833E0">
              <w:rPr>
                <w:lang w:val="es-ES"/>
              </w:rPr>
              <w:t>B</w:t>
            </w:r>
          </w:p>
        </w:tc>
        <w:tc>
          <w:tcPr>
            <w:tcW w:w="2610" w:type="dxa"/>
            <w:tcBorders>
              <w:bottom w:val="single" w:sz="4" w:space="0" w:color="auto"/>
            </w:tcBorders>
          </w:tcPr>
          <w:p w:rsidR="00540C5D" w:rsidRPr="00B833E0" w:rsidRDefault="00391671" w:rsidP="00304DCF">
            <w:pPr>
              <w:pStyle w:val="Paragraph"/>
              <w:numPr>
                <w:ilvl w:val="0"/>
                <w:numId w:val="0"/>
              </w:numPr>
              <w:spacing w:before="0" w:after="0"/>
              <w:ind w:right="-18"/>
              <w:jc w:val="center"/>
              <w:rPr>
                <w:lang w:val="es-ES"/>
              </w:rPr>
            </w:pPr>
            <w:r w:rsidRPr="00B833E0">
              <w:rPr>
                <w:lang w:val="es-ES"/>
              </w:rPr>
              <w:t>4</w:t>
            </w:r>
            <w:r w:rsidR="00304DCF">
              <w:rPr>
                <w:lang w:val="es-ES"/>
              </w:rPr>
              <w:t>80</w:t>
            </w:r>
          </w:p>
        </w:tc>
      </w:tr>
      <w:tr w:rsidR="00246FB4" w:rsidRPr="00B833E0" w:rsidTr="0033437E">
        <w:trPr>
          <w:jc w:val="center"/>
        </w:trPr>
        <w:tc>
          <w:tcPr>
            <w:tcW w:w="2520" w:type="dxa"/>
            <w:shd w:val="clear" w:color="auto" w:fill="DBE5F1" w:themeFill="accent1" w:themeFillTint="33"/>
          </w:tcPr>
          <w:p w:rsidR="002B489E" w:rsidRPr="00B833E0" w:rsidRDefault="00246FB4" w:rsidP="007A2F74">
            <w:pPr>
              <w:pStyle w:val="Paragraph"/>
              <w:numPr>
                <w:ilvl w:val="0"/>
                <w:numId w:val="0"/>
              </w:numPr>
              <w:tabs>
                <w:tab w:val="left" w:pos="2304"/>
              </w:tabs>
              <w:spacing w:before="0" w:after="0"/>
              <w:ind w:right="-108"/>
              <w:rPr>
                <w:lang w:val="es-ES"/>
              </w:rPr>
            </w:pPr>
            <w:r w:rsidRPr="00B833E0">
              <w:rPr>
                <w:lang w:val="es-ES"/>
              </w:rPr>
              <w:t xml:space="preserve">Préstamo </w:t>
            </w:r>
            <w:r w:rsidR="007A2F74" w:rsidRPr="00B833E0">
              <w:rPr>
                <w:lang w:val="es-ES"/>
              </w:rPr>
              <w:t>del BID</w:t>
            </w:r>
          </w:p>
        </w:tc>
        <w:tc>
          <w:tcPr>
            <w:tcW w:w="1620" w:type="dxa"/>
            <w:shd w:val="clear" w:color="auto" w:fill="DBE5F1" w:themeFill="accent1" w:themeFillTint="33"/>
          </w:tcPr>
          <w:p w:rsidR="002B489E" w:rsidRPr="00B833E0" w:rsidRDefault="00246FB4" w:rsidP="004844BD">
            <w:pPr>
              <w:pStyle w:val="Paragraph"/>
              <w:numPr>
                <w:ilvl w:val="0"/>
                <w:numId w:val="0"/>
              </w:numPr>
              <w:tabs>
                <w:tab w:val="left" w:pos="1854"/>
              </w:tabs>
              <w:spacing w:before="0" w:after="0"/>
              <w:jc w:val="center"/>
              <w:rPr>
                <w:lang w:val="es-ES"/>
              </w:rPr>
            </w:pPr>
            <w:r w:rsidRPr="00B833E0">
              <w:rPr>
                <w:lang w:val="es-ES"/>
              </w:rPr>
              <w:t>AA+*</w:t>
            </w:r>
          </w:p>
        </w:tc>
        <w:tc>
          <w:tcPr>
            <w:tcW w:w="2610" w:type="dxa"/>
            <w:shd w:val="clear" w:color="auto" w:fill="DBE5F1" w:themeFill="accent1" w:themeFillTint="33"/>
          </w:tcPr>
          <w:p w:rsidR="002B489E" w:rsidRPr="00B833E0" w:rsidRDefault="00160679" w:rsidP="00304DCF">
            <w:pPr>
              <w:pStyle w:val="Paragraph"/>
              <w:numPr>
                <w:ilvl w:val="0"/>
                <w:numId w:val="0"/>
              </w:numPr>
              <w:spacing w:before="0" w:after="0"/>
              <w:ind w:right="-18"/>
              <w:jc w:val="center"/>
              <w:rPr>
                <w:lang w:val="es-ES"/>
              </w:rPr>
            </w:pPr>
            <w:r>
              <w:rPr>
                <w:lang w:val="es-ES"/>
              </w:rPr>
              <w:t>1</w:t>
            </w:r>
            <w:r w:rsidR="00304DCF">
              <w:rPr>
                <w:lang w:val="es-ES"/>
              </w:rPr>
              <w:t>22</w:t>
            </w:r>
            <w:r>
              <w:rPr>
                <w:lang w:val="es-ES"/>
              </w:rPr>
              <w:t xml:space="preserve"> – </w:t>
            </w:r>
            <w:r w:rsidR="00C05FD2" w:rsidRPr="00B833E0">
              <w:rPr>
                <w:lang w:val="es-ES"/>
              </w:rPr>
              <w:t>3</w:t>
            </w:r>
            <w:r w:rsidR="00304DCF">
              <w:rPr>
                <w:lang w:val="es-ES"/>
              </w:rPr>
              <w:t>47</w:t>
            </w:r>
            <w:r>
              <w:rPr>
                <w:lang w:val="es-ES"/>
              </w:rPr>
              <w:t>**</w:t>
            </w:r>
          </w:p>
        </w:tc>
      </w:tr>
    </w:tbl>
    <w:p w:rsidR="002B489E" w:rsidRDefault="00C332EF" w:rsidP="007A2F74">
      <w:pPr>
        <w:pStyle w:val="Paragraph"/>
        <w:numPr>
          <w:ilvl w:val="0"/>
          <w:numId w:val="0"/>
        </w:numPr>
        <w:spacing w:before="0" w:after="0"/>
        <w:ind w:left="720" w:right="720" w:firstLine="720"/>
        <w:jc w:val="left"/>
        <w:rPr>
          <w:sz w:val="20"/>
          <w:lang w:val="es-ES"/>
        </w:rPr>
      </w:pPr>
      <w:r w:rsidRPr="00B833E0">
        <w:rPr>
          <w:sz w:val="20"/>
          <w:lang w:val="es-ES"/>
        </w:rPr>
        <w:t xml:space="preserve">*Rating aproximado que tendría el BID como emisor en base a </w:t>
      </w:r>
      <w:r w:rsidR="007A2F74" w:rsidRPr="00B833E0">
        <w:rPr>
          <w:sz w:val="20"/>
          <w:lang w:val="es-ES"/>
        </w:rPr>
        <w:t xml:space="preserve">su </w:t>
      </w:r>
      <w:r w:rsidRPr="00B833E0">
        <w:rPr>
          <w:sz w:val="20"/>
          <w:lang w:val="es-ES"/>
        </w:rPr>
        <w:t>coste financiero.</w:t>
      </w:r>
    </w:p>
    <w:p w:rsidR="00160679" w:rsidRPr="00B833E0" w:rsidRDefault="00160679" w:rsidP="007A2F74">
      <w:pPr>
        <w:pStyle w:val="Paragraph"/>
        <w:numPr>
          <w:ilvl w:val="0"/>
          <w:numId w:val="0"/>
        </w:numPr>
        <w:spacing w:before="0" w:after="0"/>
        <w:ind w:left="720" w:right="720" w:firstLine="720"/>
        <w:jc w:val="left"/>
        <w:rPr>
          <w:sz w:val="20"/>
          <w:lang w:val="es-ES"/>
        </w:rPr>
      </w:pPr>
      <w:r>
        <w:rPr>
          <w:sz w:val="20"/>
          <w:lang w:val="es-ES"/>
        </w:rPr>
        <w:t>** Tasa variable – Tasa fija.</w:t>
      </w:r>
    </w:p>
    <w:p w:rsidR="00DE0125" w:rsidRPr="00B833E0" w:rsidRDefault="00DE0125" w:rsidP="004D4A53">
      <w:pPr>
        <w:pStyle w:val="Paragraph"/>
        <w:numPr>
          <w:ilvl w:val="0"/>
          <w:numId w:val="0"/>
        </w:numPr>
        <w:spacing w:before="0" w:after="0"/>
        <w:ind w:left="720"/>
        <w:rPr>
          <w:lang w:val="es-ES"/>
        </w:rPr>
      </w:pPr>
    </w:p>
    <w:p w:rsidR="00C517B0" w:rsidRPr="000D611F" w:rsidRDefault="00DE0125" w:rsidP="00C517B0">
      <w:pPr>
        <w:pStyle w:val="Paragraph"/>
        <w:tabs>
          <w:tab w:val="clear" w:pos="720"/>
          <w:tab w:val="num" w:pos="360"/>
        </w:tabs>
        <w:spacing w:before="0"/>
        <w:ind w:left="360" w:right="360"/>
        <w:rPr>
          <w:lang w:val="es-ES"/>
        </w:rPr>
      </w:pPr>
      <w:r w:rsidRPr="00B833E0">
        <w:rPr>
          <w:lang w:val="es-ES"/>
        </w:rPr>
        <w:t xml:space="preserve">La única variable exógena </w:t>
      </w:r>
      <w:r w:rsidR="00F3166E" w:rsidRPr="00B833E0">
        <w:rPr>
          <w:lang w:val="es-ES"/>
        </w:rPr>
        <w:t>(</w:t>
      </w:r>
      <w:r w:rsidRPr="00B833E0">
        <w:rPr>
          <w:lang w:val="es-ES"/>
        </w:rPr>
        <w:t>al Banco y al país</w:t>
      </w:r>
      <w:r w:rsidR="00F3166E" w:rsidRPr="00B833E0">
        <w:rPr>
          <w:lang w:val="es-ES"/>
        </w:rPr>
        <w:t>)</w:t>
      </w:r>
      <w:r w:rsidRPr="00B833E0">
        <w:rPr>
          <w:lang w:val="es-ES"/>
        </w:rPr>
        <w:t xml:space="preserve"> que podría hacer que se redujera el diferencial entre el financiamiento BID y la deuda </w:t>
      </w:r>
      <w:r w:rsidR="00F3166E" w:rsidRPr="00B833E0">
        <w:rPr>
          <w:lang w:val="es-ES"/>
        </w:rPr>
        <w:t xml:space="preserve">soberana </w:t>
      </w:r>
      <w:r w:rsidR="009F5F28">
        <w:rPr>
          <w:lang w:val="es-ES"/>
        </w:rPr>
        <w:t>costarricense</w:t>
      </w:r>
      <w:r w:rsidRPr="00B833E0">
        <w:rPr>
          <w:lang w:val="es-ES"/>
        </w:rPr>
        <w:t xml:space="preserve">, es la tasa LIBOR. </w:t>
      </w:r>
      <w:r w:rsidR="00FC0037" w:rsidRPr="00B833E0">
        <w:rPr>
          <w:lang w:val="es-ES"/>
        </w:rPr>
        <w:t xml:space="preserve">Como se comentó anteriormente, </w:t>
      </w:r>
      <w:r w:rsidRPr="00B833E0">
        <w:rPr>
          <w:lang w:val="es-ES"/>
        </w:rPr>
        <w:t xml:space="preserve"> al momento de la negociación del préstamo, el país puede elegir entre fijar la tasa LIBOR</w:t>
      </w:r>
      <w:r w:rsidR="00F3166E" w:rsidRPr="00B833E0">
        <w:rPr>
          <w:lang w:val="es-ES"/>
        </w:rPr>
        <w:t>,</w:t>
      </w:r>
      <w:r w:rsidRPr="00B833E0">
        <w:rPr>
          <w:lang w:val="es-ES"/>
        </w:rPr>
        <w:t xml:space="preserve"> o dejarla flotante. Ante la actual coyuntura económica, donde la tasa </w:t>
      </w:r>
      <w:r w:rsidR="00F3166E" w:rsidRPr="00B833E0">
        <w:rPr>
          <w:lang w:val="es-ES"/>
        </w:rPr>
        <w:t>LIBOR</w:t>
      </w:r>
      <w:r w:rsidRPr="00B833E0">
        <w:rPr>
          <w:lang w:val="es-ES"/>
        </w:rPr>
        <w:t xml:space="preserve"> se encuentra en mínimos </w:t>
      </w:r>
      <w:r w:rsidRPr="000D611F">
        <w:rPr>
          <w:lang w:val="es-ES"/>
        </w:rPr>
        <w:t xml:space="preserve">históricos, es de esperar que los países tomen la opción de fijar la tasa. En ese caso el coste total del financiamiento del Banco consistiría en a tasa </w:t>
      </w:r>
      <w:r w:rsidR="00F3166E" w:rsidRPr="000D611F">
        <w:rPr>
          <w:lang w:val="es-ES"/>
        </w:rPr>
        <w:t xml:space="preserve">LIBOR </w:t>
      </w:r>
      <w:r w:rsidRPr="000D611F">
        <w:rPr>
          <w:lang w:val="es-ES"/>
        </w:rPr>
        <w:t xml:space="preserve">actual mas el spread, y se le agregaría el coste del </w:t>
      </w:r>
      <w:r w:rsidRPr="000D611F">
        <w:rPr>
          <w:i/>
          <w:lang w:val="es-ES"/>
        </w:rPr>
        <w:t>swap</w:t>
      </w:r>
      <w:r w:rsidRPr="000D611F">
        <w:rPr>
          <w:lang w:val="es-ES"/>
        </w:rPr>
        <w:t xml:space="preserve"> de tipos de interés que el Banco tendría que comprar para cubrir su riesgo ante la volatilidad de</w:t>
      </w:r>
      <w:r w:rsidR="00BC2DCD" w:rsidRPr="000D611F">
        <w:rPr>
          <w:lang w:val="es-ES"/>
        </w:rPr>
        <w:t xml:space="preserve"> </w:t>
      </w:r>
      <w:r w:rsidRPr="000D611F">
        <w:rPr>
          <w:lang w:val="es-ES"/>
        </w:rPr>
        <w:t>l</w:t>
      </w:r>
      <w:r w:rsidR="00BC2DCD" w:rsidRPr="000D611F">
        <w:rPr>
          <w:lang w:val="es-ES"/>
        </w:rPr>
        <w:t>as tasas de interés</w:t>
      </w:r>
      <w:r w:rsidRPr="000D611F">
        <w:rPr>
          <w:lang w:val="es-ES"/>
        </w:rPr>
        <w:t xml:space="preserve"> (</w:t>
      </w:r>
      <w:r w:rsidR="002E6750" w:rsidRPr="000D611F">
        <w:rPr>
          <w:lang w:val="es-ES"/>
        </w:rPr>
        <w:t>coste estimado del</w:t>
      </w:r>
      <w:r w:rsidR="00BC2DCD" w:rsidRPr="000D611F">
        <w:rPr>
          <w:lang w:val="es-ES"/>
        </w:rPr>
        <w:t xml:space="preserve"> </w:t>
      </w:r>
      <w:r w:rsidR="002F564A" w:rsidRPr="000D611F">
        <w:rPr>
          <w:lang w:val="es-ES"/>
        </w:rPr>
        <w:t xml:space="preserve">swap </w:t>
      </w:r>
      <w:r w:rsidR="00BC2DCD" w:rsidRPr="000D611F">
        <w:rPr>
          <w:lang w:val="es-ES"/>
        </w:rPr>
        <w:t xml:space="preserve">es </w:t>
      </w:r>
      <w:r w:rsidRPr="000D611F">
        <w:rPr>
          <w:lang w:val="es-ES"/>
        </w:rPr>
        <w:t>2</w:t>
      </w:r>
      <w:r w:rsidR="00406939" w:rsidRPr="000D611F">
        <w:rPr>
          <w:lang w:val="es-ES"/>
        </w:rPr>
        <w:t>2</w:t>
      </w:r>
      <w:r w:rsidRPr="000D611F">
        <w:rPr>
          <w:lang w:val="es-ES"/>
        </w:rPr>
        <w:t xml:space="preserve">5 </w:t>
      </w:r>
      <w:proofErr w:type="spellStart"/>
      <w:r w:rsidRPr="000D611F">
        <w:rPr>
          <w:lang w:val="es-ES"/>
        </w:rPr>
        <w:t>pb</w:t>
      </w:r>
      <w:proofErr w:type="spellEnd"/>
      <w:r w:rsidRPr="000D611F">
        <w:rPr>
          <w:lang w:val="es-ES"/>
        </w:rPr>
        <w:t>). En este caso</w:t>
      </w:r>
      <w:r w:rsidR="00922CC7" w:rsidRPr="000D611F">
        <w:rPr>
          <w:lang w:val="es-ES"/>
        </w:rPr>
        <w:t>,</w:t>
      </w:r>
      <w:r w:rsidRPr="000D611F">
        <w:rPr>
          <w:lang w:val="es-ES"/>
        </w:rPr>
        <w:t xml:space="preserve"> el </w:t>
      </w:r>
      <w:r w:rsidR="00922CC7" w:rsidRPr="000D611F">
        <w:rPr>
          <w:lang w:val="es-ES"/>
        </w:rPr>
        <w:t xml:space="preserve">costo de financiación del préstamo </w:t>
      </w:r>
      <w:r w:rsidRPr="000D611F">
        <w:rPr>
          <w:lang w:val="es-ES"/>
        </w:rPr>
        <w:t>pasaría a 3</w:t>
      </w:r>
      <w:r w:rsidR="0054514A" w:rsidRPr="000D611F">
        <w:rPr>
          <w:lang w:val="es-ES"/>
        </w:rPr>
        <w:t>47</w:t>
      </w:r>
      <w:r w:rsidRPr="000D611F">
        <w:rPr>
          <w:lang w:val="es-ES"/>
        </w:rPr>
        <w:t xml:space="preserve"> </w:t>
      </w:r>
      <w:proofErr w:type="spellStart"/>
      <w:r w:rsidRPr="000D611F">
        <w:rPr>
          <w:lang w:val="es-ES"/>
        </w:rPr>
        <w:t>pb</w:t>
      </w:r>
      <w:proofErr w:type="spellEnd"/>
      <w:r w:rsidRPr="000D611F">
        <w:rPr>
          <w:lang w:val="es-ES"/>
        </w:rPr>
        <w:t xml:space="preserve"> para </w:t>
      </w:r>
      <w:r w:rsidR="00922CC7" w:rsidRPr="000D611F">
        <w:rPr>
          <w:lang w:val="es-ES"/>
        </w:rPr>
        <w:t>todo el periodo de cobertura</w:t>
      </w:r>
      <w:r w:rsidRPr="000D611F">
        <w:rPr>
          <w:lang w:val="es-ES"/>
        </w:rPr>
        <w:t>.</w:t>
      </w:r>
    </w:p>
    <w:p w:rsidR="00F3166E" w:rsidRPr="00C517B0" w:rsidRDefault="00DE0125" w:rsidP="00C517B0">
      <w:pPr>
        <w:pStyle w:val="Paragraph"/>
        <w:tabs>
          <w:tab w:val="clear" w:pos="720"/>
          <w:tab w:val="num" w:pos="360"/>
        </w:tabs>
        <w:spacing w:before="0"/>
        <w:ind w:left="360" w:right="360"/>
        <w:rPr>
          <w:lang w:val="es-ES"/>
        </w:rPr>
      </w:pPr>
      <w:r w:rsidRPr="000D611F">
        <w:rPr>
          <w:lang w:val="es-ES"/>
        </w:rPr>
        <w:t xml:space="preserve">En el caso </w:t>
      </w:r>
      <w:r w:rsidR="00CA46DB" w:rsidRPr="000D611F">
        <w:rPr>
          <w:lang w:val="es-ES"/>
        </w:rPr>
        <w:t xml:space="preserve">contrario </w:t>
      </w:r>
      <w:r w:rsidRPr="000D611F">
        <w:rPr>
          <w:lang w:val="es-ES"/>
        </w:rPr>
        <w:t xml:space="preserve">de que el país dejara </w:t>
      </w:r>
      <w:r w:rsidR="00810A51" w:rsidRPr="000D611F">
        <w:rPr>
          <w:lang w:val="es-ES"/>
        </w:rPr>
        <w:t xml:space="preserve">flotante </w:t>
      </w:r>
      <w:r w:rsidRPr="000D611F">
        <w:rPr>
          <w:lang w:val="es-ES"/>
        </w:rPr>
        <w:t xml:space="preserve">la tasa </w:t>
      </w:r>
      <w:r w:rsidR="00CA46DB" w:rsidRPr="000D611F">
        <w:rPr>
          <w:lang w:val="es-ES"/>
        </w:rPr>
        <w:t xml:space="preserve">LIBOR, </w:t>
      </w:r>
      <w:r w:rsidR="000A4829" w:rsidRPr="000D611F">
        <w:rPr>
          <w:lang w:val="es-ES"/>
        </w:rPr>
        <w:t xml:space="preserve">el costo </w:t>
      </w:r>
      <w:r w:rsidR="00CA46DB" w:rsidRPr="000D611F">
        <w:rPr>
          <w:lang w:val="es-ES"/>
        </w:rPr>
        <w:t>actual</w:t>
      </w:r>
      <w:bookmarkStart w:id="5" w:name="_GoBack"/>
      <w:bookmarkEnd w:id="5"/>
      <w:r w:rsidR="00CA46DB" w:rsidRPr="00C517B0">
        <w:rPr>
          <w:lang w:val="es-ES"/>
        </w:rPr>
        <w:t xml:space="preserve"> </w:t>
      </w:r>
      <w:r w:rsidR="00810A51" w:rsidRPr="00C517B0">
        <w:rPr>
          <w:lang w:val="es-ES"/>
        </w:rPr>
        <w:t>sería</w:t>
      </w:r>
      <w:r w:rsidR="000A4829" w:rsidRPr="00C517B0">
        <w:rPr>
          <w:lang w:val="es-ES"/>
        </w:rPr>
        <w:t xml:space="preserve"> de 1</w:t>
      </w:r>
      <w:r w:rsidR="0054514A">
        <w:rPr>
          <w:lang w:val="es-ES"/>
        </w:rPr>
        <w:t>22</w:t>
      </w:r>
      <w:r w:rsidR="000A4829" w:rsidRPr="00C517B0">
        <w:rPr>
          <w:lang w:val="es-ES"/>
        </w:rPr>
        <w:t xml:space="preserve"> </w:t>
      </w:r>
      <w:proofErr w:type="spellStart"/>
      <w:r w:rsidR="000A4829" w:rsidRPr="00C517B0">
        <w:rPr>
          <w:lang w:val="es-ES"/>
        </w:rPr>
        <w:t>pb</w:t>
      </w:r>
      <w:proofErr w:type="spellEnd"/>
      <w:r w:rsidR="000A4829" w:rsidRPr="00C517B0">
        <w:rPr>
          <w:lang w:val="es-ES"/>
        </w:rPr>
        <w:t xml:space="preserve">, pero el país </w:t>
      </w:r>
      <w:r w:rsidR="0096493E" w:rsidRPr="00C517B0">
        <w:rPr>
          <w:lang w:val="es-ES"/>
        </w:rPr>
        <w:t xml:space="preserve">tendría que asumir el riesgo de la volatilidad de </w:t>
      </w:r>
      <w:r w:rsidR="00BC2DCD" w:rsidRPr="00C517B0">
        <w:rPr>
          <w:lang w:val="es-ES"/>
        </w:rPr>
        <w:t xml:space="preserve">LIBOR </w:t>
      </w:r>
      <w:r w:rsidR="0096493E" w:rsidRPr="00C517B0">
        <w:rPr>
          <w:lang w:val="es-ES"/>
        </w:rPr>
        <w:t>para el periodo de cobertura del préstamo (5</w:t>
      </w:r>
      <w:r w:rsidR="00CA46DB" w:rsidRPr="00C517B0">
        <w:rPr>
          <w:lang w:val="es-ES"/>
        </w:rPr>
        <w:t xml:space="preserve"> pr</w:t>
      </w:r>
      <w:r w:rsidR="00FC0037" w:rsidRPr="00C517B0">
        <w:rPr>
          <w:lang w:val="es-ES"/>
        </w:rPr>
        <w:t>ó</w:t>
      </w:r>
      <w:r w:rsidR="00CA46DB" w:rsidRPr="00C517B0">
        <w:rPr>
          <w:lang w:val="es-ES"/>
        </w:rPr>
        <w:t>ximos</w:t>
      </w:r>
      <w:r w:rsidR="0096493E" w:rsidRPr="00C517B0">
        <w:rPr>
          <w:lang w:val="es-ES"/>
        </w:rPr>
        <w:t xml:space="preserve"> años). </w:t>
      </w:r>
      <w:r w:rsidR="00CA46DB" w:rsidRPr="00C517B0">
        <w:rPr>
          <w:lang w:val="es-ES"/>
        </w:rPr>
        <w:t xml:space="preserve">Para </w:t>
      </w:r>
      <w:r w:rsidR="0096493E" w:rsidRPr="00C517B0">
        <w:rPr>
          <w:lang w:val="es-ES"/>
        </w:rPr>
        <w:t xml:space="preserve">este caso, se </w:t>
      </w:r>
      <w:r w:rsidR="00BC2DCD" w:rsidRPr="00C517B0">
        <w:rPr>
          <w:lang w:val="es-ES"/>
        </w:rPr>
        <w:t xml:space="preserve">ha </w:t>
      </w:r>
      <w:r w:rsidR="0096493E" w:rsidRPr="00C517B0">
        <w:rPr>
          <w:lang w:val="es-ES"/>
        </w:rPr>
        <w:t>analiza</w:t>
      </w:r>
      <w:r w:rsidR="00BC2DCD" w:rsidRPr="00C517B0">
        <w:rPr>
          <w:lang w:val="es-ES"/>
        </w:rPr>
        <w:t>do</w:t>
      </w:r>
      <w:r w:rsidR="0096493E" w:rsidRPr="00C517B0">
        <w:rPr>
          <w:lang w:val="es-ES"/>
        </w:rPr>
        <w:t xml:space="preserve"> el comportamiento histórico de </w:t>
      </w:r>
      <w:r w:rsidR="00BC2DCD" w:rsidRPr="00C517B0">
        <w:rPr>
          <w:lang w:val="es-ES"/>
        </w:rPr>
        <w:t xml:space="preserve">LIBOR </w:t>
      </w:r>
      <w:r w:rsidR="0096493E" w:rsidRPr="00C517B0">
        <w:rPr>
          <w:lang w:val="es-ES"/>
        </w:rPr>
        <w:t xml:space="preserve">como se </w:t>
      </w:r>
      <w:r w:rsidR="00810A51" w:rsidRPr="00C517B0">
        <w:rPr>
          <w:lang w:val="es-ES"/>
        </w:rPr>
        <w:t xml:space="preserve">representa en el grafico y tabla  siguientes: </w:t>
      </w:r>
    </w:p>
    <w:p w:rsidR="00810A51" w:rsidRPr="00B833E0" w:rsidRDefault="00FC756C" w:rsidP="00FC756C">
      <w:pPr>
        <w:pStyle w:val="Paragraph"/>
        <w:numPr>
          <w:ilvl w:val="0"/>
          <w:numId w:val="0"/>
        </w:numPr>
        <w:ind w:left="180" w:right="720"/>
        <w:jc w:val="center"/>
        <w:rPr>
          <w:lang w:val="es-ES"/>
        </w:rPr>
      </w:pPr>
      <w:r>
        <w:rPr>
          <w:noProof/>
        </w:rPr>
        <w:lastRenderedPageBreak/>
        <w:drawing>
          <wp:inline distT="0" distB="0" distL="0" distR="0" wp14:anchorId="74BB3D4E" wp14:editId="4E2BDD7D">
            <wp:extent cx="5943600" cy="369760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W w:w="4785" w:type="dxa"/>
        <w:jc w:val="center"/>
        <w:tblInd w:w="-522" w:type="dxa"/>
        <w:tblLook w:val="04A0" w:firstRow="1" w:lastRow="0" w:firstColumn="1" w:lastColumn="0" w:noHBand="0" w:noVBand="1"/>
      </w:tblPr>
      <w:tblGrid>
        <w:gridCol w:w="3573"/>
        <w:gridCol w:w="1212"/>
      </w:tblGrid>
      <w:tr w:rsidR="00810A51" w:rsidRPr="00B833E0" w:rsidTr="009612C8">
        <w:trPr>
          <w:trHeight w:val="390"/>
          <w:jc w:val="center"/>
        </w:trPr>
        <w:tc>
          <w:tcPr>
            <w:tcW w:w="4785"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hideMark/>
          </w:tcPr>
          <w:p w:rsidR="00810A51" w:rsidRPr="00B833E0" w:rsidRDefault="009612C8" w:rsidP="00FC756C">
            <w:pPr>
              <w:jc w:val="center"/>
              <w:rPr>
                <w:rFonts w:ascii="Calibri" w:hAnsi="Calibri"/>
                <w:b/>
                <w:bCs/>
                <w:color w:val="000000"/>
                <w:szCs w:val="24"/>
                <w:lang w:val="es-ES"/>
              </w:rPr>
            </w:pPr>
            <w:r w:rsidRPr="00B833E0">
              <w:rPr>
                <w:rFonts w:ascii="Calibri" w:hAnsi="Calibri"/>
                <w:b/>
                <w:bCs/>
                <w:color w:val="000000"/>
                <w:szCs w:val="24"/>
                <w:lang w:val="es-ES"/>
              </w:rPr>
              <w:t>Análisis</w:t>
            </w:r>
            <w:r w:rsidR="00810A51" w:rsidRPr="00B833E0">
              <w:rPr>
                <w:rFonts w:ascii="Calibri" w:hAnsi="Calibri"/>
                <w:b/>
                <w:bCs/>
                <w:color w:val="000000"/>
                <w:szCs w:val="24"/>
                <w:lang w:val="es-ES"/>
              </w:rPr>
              <w:t xml:space="preserve"> de LIBOR</w:t>
            </w:r>
          </w:p>
        </w:tc>
      </w:tr>
      <w:tr w:rsidR="005E2F1A" w:rsidRPr="00B833E0" w:rsidTr="00D63A59">
        <w:trPr>
          <w:trHeight w:val="300"/>
          <w:jc w:val="center"/>
        </w:trPr>
        <w:tc>
          <w:tcPr>
            <w:tcW w:w="3573" w:type="dxa"/>
            <w:tcBorders>
              <w:top w:val="nil"/>
              <w:left w:val="single" w:sz="4" w:space="0" w:color="auto"/>
              <w:bottom w:val="nil"/>
              <w:right w:val="nil"/>
            </w:tcBorders>
            <w:shd w:val="clear" w:color="auto" w:fill="auto"/>
            <w:noWrap/>
            <w:vAlign w:val="bottom"/>
            <w:hideMark/>
          </w:tcPr>
          <w:p w:rsidR="005E2F1A" w:rsidRPr="00B833E0" w:rsidRDefault="005E2F1A" w:rsidP="00810A51">
            <w:pPr>
              <w:rPr>
                <w:rFonts w:ascii="Calibri" w:hAnsi="Calibri"/>
                <w:b/>
                <w:bCs/>
                <w:color w:val="000000"/>
                <w:sz w:val="22"/>
                <w:szCs w:val="22"/>
                <w:lang w:val="es-ES"/>
              </w:rPr>
            </w:pPr>
            <w:r w:rsidRPr="00B833E0">
              <w:rPr>
                <w:rFonts w:ascii="Calibri" w:hAnsi="Calibri"/>
                <w:b/>
                <w:bCs/>
                <w:color w:val="000000"/>
                <w:sz w:val="22"/>
                <w:szCs w:val="22"/>
                <w:lang w:val="es-ES"/>
              </w:rPr>
              <w:t>Valor mínimo</w:t>
            </w:r>
          </w:p>
        </w:tc>
        <w:tc>
          <w:tcPr>
            <w:tcW w:w="1212" w:type="dxa"/>
            <w:tcBorders>
              <w:top w:val="nil"/>
              <w:left w:val="nil"/>
              <w:bottom w:val="nil"/>
              <w:right w:val="single" w:sz="4" w:space="0" w:color="auto"/>
            </w:tcBorders>
            <w:shd w:val="clear" w:color="auto" w:fill="auto"/>
            <w:noWrap/>
            <w:vAlign w:val="center"/>
            <w:hideMark/>
          </w:tcPr>
          <w:p w:rsidR="005E2F1A" w:rsidRDefault="005E2F1A">
            <w:pPr>
              <w:jc w:val="right"/>
              <w:rPr>
                <w:rFonts w:ascii="Calibri" w:hAnsi="Calibri" w:cs="Calibri"/>
                <w:b/>
                <w:bCs/>
                <w:color w:val="FF0000"/>
                <w:sz w:val="22"/>
                <w:szCs w:val="22"/>
              </w:rPr>
            </w:pPr>
            <w:r>
              <w:rPr>
                <w:rFonts w:ascii="Calibri" w:hAnsi="Calibri" w:cs="Calibri"/>
                <w:b/>
                <w:bCs/>
                <w:color w:val="FF0000"/>
                <w:sz w:val="22"/>
                <w:szCs w:val="22"/>
                <w:lang w:val="es-ES"/>
              </w:rPr>
              <w:t>0.25</w:t>
            </w:r>
          </w:p>
        </w:tc>
      </w:tr>
      <w:tr w:rsidR="005E2F1A" w:rsidRPr="00B833E0" w:rsidTr="00D63A59">
        <w:trPr>
          <w:trHeight w:val="300"/>
          <w:jc w:val="center"/>
        </w:trPr>
        <w:tc>
          <w:tcPr>
            <w:tcW w:w="3573" w:type="dxa"/>
            <w:tcBorders>
              <w:top w:val="nil"/>
              <w:left w:val="single" w:sz="4" w:space="0" w:color="auto"/>
              <w:bottom w:val="nil"/>
              <w:right w:val="nil"/>
            </w:tcBorders>
            <w:shd w:val="clear" w:color="auto" w:fill="auto"/>
            <w:noWrap/>
            <w:vAlign w:val="bottom"/>
            <w:hideMark/>
          </w:tcPr>
          <w:p w:rsidR="005E2F1A" w:rsidRPr="00B833E0" w:rsidRDefault="005E2F1A" w:rsidP="00810A51">
            <w:pPr>
              <w:rPr>
                <w:rFonts w:ascii="Calibri" w:hAnsi="Calibri"/>
                <w:b/>
                <w:bCs/>
                <w:color w:val="000000"/>
                <w:sz w:val="22"/>
                <w:szCs w:val="22"/>
                <w:lang w:val="es-ES"/>
              </w:rPr>
            </w:pPr>
            <w:r w:rsidRPr="00B833E0">
              <w:rPr>
                <w:rFonts w:ascii="Calibri" w:hAnsi="Calibri"/>
                <w:b/>
                <w:bCs/>
                <w:color w:val="000000"/>
                <w:sz w:val="22"/>
                <w:szCs w:val="22"/>
                <w:lang w:val="es-ES"/>
              </w:rPr>
              <w:t>Valor máximo</w:t>
            </w:r>
          </w:p>
        </w:tc>
        <w:tc>
          <w:tcPr>
            <w:tcW w:w="1212" w:type="dxa"/>
            <w:tcBorders>
              <w:top w:val="nil"/>
              <w:left w:val="nil"/>
              <w:bottom w:val="nil"/>
              <w:right w:val="single" w:sz="4" w:space="0" w:color="auto"/>
            </w:tcBorders>
            <w:shd w:val="clear" w:color="auto" w:fill="auto"/>
            <w:noWrap/>
            <w:vAlign w:val="center"/>
            <w:hideMark/>
          </w:tcPr>
          <w:p w:rsidR="005E2F1A" w:rsidRDefault="005E2F1A">
            <w:pPr>
              <w:jc w:val="right"/>
              <w:rPr>
                <w:rFonts w:ascii="Calibri" w:hAnsi="Calibri" w:cs="Calibri"/>
                <w:b/>
                <w:bCs/>
                <w:color w:val="FF0000"/>
                <w:sz w:val="22"/>
                <w:szCs w:val="22"/>
              </w:rPr>
            </w:pPr>
            <w:r>
              <w:rPr>
                <w:rFonts w:ascii="Calibri" w:hAnsi="Calibri" w:cs="Calibri"/>
                <w:b/>
                <w:bCs/>
                <w:color w:val="FF0000"/>
                <w:sz w:val="22"/>
                <w:szCs w:val="22"/>
                <w:lang w:val="es-ES"/>
              </w:rPr>
              <w:t>9.13</w:t>
            </w:r>
          </w:p>
        </w:tc>
      </w:tr>
      <w:tr w:rsidR="005E2F1A" w:rsidRPr="00B833E0" w:rsidTr="00D63A59">
        <w:trPr>
          <w:trHeight w:val="300"/>
          <w:jc w:val="center"/>
        </w:trPr>
        <w:tc>
          <w:tcPr>
            <w:tcW w:w="3573" w:type="dxa"/>
            <w:tcBorders>
              <w:top w:val="nil"/>
              <w:left w:val="single" w:sz="4" w:space="0" w:color="auto"/>
              <w:bottom w:val="nil"/>
              <w:right w:val="nil"/>
            </w:tcBorders>
            <w:shd w:val="clear" w:color="auto" w:fill="auto"/>
            <w:noWrap/>
            <w:vAlign w:val="bottom"/>
            <w:hideMark/>
          </w:tcPr>
          <w:p w:rsidR="005E2F1A" w:rsidRPr="00B833E0" w:rsidRDefault="005E2F1A" w:rsidP="00810A51">
            <w:pPr>
              <w:rPr>
                <w:rFonts w:ascii="Calibri" w:hAnsi="Calibri"/>
                <w:b/>
                <w:bCs/>
                <w:color w:val="000000"/>
                <w:sz w:val="22"/>
                <w:szCs w:val="22"/>
                <w:lang w:val="es-ES"/>
              </w:rPr>
            </w:pPr>
            <w:r w:rsidRPr="00B833E0">
              <w:rPr>
                <w:rFonts w:ascii="Calibri" w:hAnsi="Calibri"/>
                <w:b/>
                <w:bCs/>
                <w:color w:val="000000"/>
                <w:sz w:val="22"/>
                <w:szCs w:val="22"/>
                <w:lang w:val="es-ES"/>
              </w:rPr>
              <w:t>Valor  medio</w:t>
            </w:r>
          </w:p>
        </w:tc>
        <w:tc>
          <w:tcPr>
            <w:tcW w:w="1212" w:type="dxa"/>
            <w:tcBorders>
              <w:top w:val="nil"/>
              <w:left w:val="nil"/>
              <w:bottom w:val="nil"/>
              <w:right w:val="single" w:sz="4" w:space="0" w:color="auto"/>
            </w:tcBorders>
            <w:shd w:val="clear" w:color="auto" w:fill="auto"/>
            <w:noWrap/>
            <w:vAlign w:val="center"/>
            <w:hideMark/>
          </w:tcPr>
          <w:p w:rsidR="005E2F1A" w:rsidRDefault="005E2F1A">
            <w:pPr>
              <w:jc w:val="right"/>
              <w:rPr>
                <w:rFonts w:ascii="Calibri" w:hAnsi="Calibri" w:cs="Calibri"/>
                <w:b/>
                <w:bCs/>
                <w:color w:val="FF0000"/>
                <w:sz w:val="22"/>
                <w:szCs w:val="22"/>
              </w:rPr>
            </w:pPr>
            <w:r>
              <w:rPr>
                <w:rFonts w:ascii="Calibri" w:hAnsi="Calibri" w:cs="Calibri"/>
                <w:b/>
                <w:bCs/>
                <w:color w:val="FF0000"/>
                <w:sz w:val="22"/>
                <w:szCs w:val="22"/>
                <w:lang w:val="es-ES"/>
              </w:rPr>
              <w:t>3.99</w:t>
            </w:r>
          </w:p>
        </w:tc>
      </w:tr>
      <w:tr w:rsidR="005E2F1A" w:rsidRPr="00B833E0" w:rsidTr="00D12E69">
        <w:trPr>
          <w:trHeight w:val="300"/>
          <w:jc w:val="center"/>
        </w:trPr>
        <w:tc>
          <w:tcPr>
            <w:tcW w:w="3573" w:type="dxa"/>
            <w:tcBorders>
              <w:top w:val="nil"/>
              <w:left w:val="single" w:sz="4" w:space="0" w:color="auto"/>
              <w:bottom w:val="single" w:sz="4" w:space="0" w:color="auto"/>
              <w:right w:val="nil"/>
            </w:tcBorders>
            <w:shd w:val="clear" w:color="auto" w:fill="auto"/>
            <w:noWrap/>
            <w:vAlign w:val="bottom"/>
            <w:hideMark/>
          </w:tcPr>
          <w:p w:rsidR="005E2F1A" w:rsidRPr="00B833E0" w:rsidRDefault="005E2F1A" w:rsidP="00810A51">
            <w:pPr>
              <w:rPr>
                <w:rFonts w:ascii="Calibri" w:hAnsi="Calibri"/>
                <w:b/>
                <w:bCs/>
                <w:color w:val="000000"/>
                <w:sz w:val="22"/>
                <w:szCs w:val="22"/>
                <w:lang w:val="es-ES"/>
              </w:rPr>
            </w:pPr>
            <w:r w:rsidRPr="00B833E0">
              <w:rPr>
                <w:rFonts w:ascii="Calibri" w:hAnsi="Calibri"/>
                <w:b/>
                <w:bCs/>
                <w:color w:val="000000"/>
                <w:sz w:val="22"/>
                <w:szCs w:val="22"/>
                <w:lang w:val="es-ES"/>
              </w:rPr>
              <w:t>Valor mediano</w:t>
            </w:r>
          </w:p>
        </w:tc>
        <w:tc>
          <w:tcPr>
            <w:tcW w:w="1212" w:type="dxa"/>
            <w:tcBorders>
              <w:top w:val="nil"/>
              <w:left w:val="nil"/>
              <w:bottom w:val="single" w:sz="4" w:space="0" w:color="auto"/>
              <w:right w:val="single" w:sz="4" w:space="0" w:color="auto"/>
            </w:tcBorders>
            <w:shd w:val="clear" w:color="auto" w:fill="auto"/>
            <w:noWrap/>
            <w:vAlign w:val="center"/>
            <w:hideMark/>
          </w:tcPr>
          <w:p w:rsidR="005E2F1A" w:rsidRDefault="005E2F1A">
            <w:pPr>
              <w:jc w:val="right"/>
              <w:rPr>
                <w:rFonts w:ascii="Calibri" w:hAnsi="Calibri" w:cs="Calibri"/>
                <w:b/>
                <w:bCs/>
                <w:color w:val="FF0000"/>
                <w:sz w:val="22"/>
                <w:szCs w:val="22"/>
              </w:rPr>
            </w:pPr>
            <w:r>
              <w:rPr>
                <w:rFonts w:ascii="Calibri" w:hAnsi="Calibri" w:cs="Calibri"/>
                <w:b/>
                <w:bCs/>
                <w:color w:val="FF0000"/>
                <w:sz w:val="22"/>
                <w:szCs w:val="22"/>
                <w:lang w:val="es-ES"/>
              </w:rPr>
              <w:t>4.34</w:t>
            </w:r>
          </w:p>
        </w:tc>
      </w:tr>
      <w:tr w:rsidR="00D12E69" w:rsidRPr="00B833E0" w:rsidTr="00D12E69">
        <w:trPr>
          <w:trHeight w:val="300"/>
          <w:jc w:val="center"/>
        </w:trPr>
        <w:tc>
          <w:tcPr>
            <w:tcW w:w="3573" w:type="dxa"/>
            <w:tcBorders>
              <w:top w:val="single" w:sz="4" w:space="0" w:color="auto"/>
              <w:left w:val="single" w:sz="4" w:space="0" w:color="auto"/>
              <w:right w:val="nil"/>
            </w:tcBorders>
            <w:shd w:val="clear" w:color="auto" w:fill="auto"/>
            <w:noWrap/>
            <w:vAlign w:val="bottom"/>
            <w:hideMark/>
          </w:tcPr>
          <w:p w:rsidR="00D12E69" w:rsidRPr="00D12E69" w:rsidRDefault="00D12E69" w:rsidP="002506B0">
            <w:pPr>
              <w:rPr>
                <w:rFonts w:ascii="Calibri" w:hAnsi="Calibri"/>
                <w:b/>
                <w:bCs/>
                <w:color w:val="000000"/>
                <w:sz w:val="22"/>
                <w:szCs w:val="22"/>
                <w:lang w:val="es-ES"/>
              </w:rPr>
            </w:pPr>
            <w:r w:rsidRPr="00D12E69">
              <w:rPr>
                <w:rFonts w:ascii="Calibri" w:hAnsi="Calibri"/>
                <w:b/>
                <w:bCs/>
                <w:color w:val="000000"/>
                <w:sz w:val="22"/>
                <w:szCs w:val="22"/>
                <w:lang w:val="es-ES"/>
              </w:rPr>
              <w:t>VOLATILIDAD:</w:t>
            </w:r>
          </w:p>
        </w:tc>
        <w:tc>
          <w:tcPr>
            <w:tcW w:w="1212" w:type="dxa"/>
            <w:tcBorders>
              <w:top w:val="single" w:sz="4" w:space="0" w:color="auto"/>
              <w:left w:val="nil"/>
              <w:right w:val="single" w:sz="4" w:space="0" w:color="auto"/>
            </w:tcBorders>
            <w:shd w:val="clear" w:color="auto" w:fill="auto"/>
            <w:noWrap/>
            <w:vAlign w:val="center"/>
            <w:hideMark/>
          </w:tcPr>
          <w:p w:rsidR="00D12E69" w:rsidRPr="00D12E69" w:rsidRDefault="00D12E69" w:rsidP="00D12E69">
            <w:pPr>
              <w:jc w:val="right"/>
              <w:rPr>
                <w:rFonts w:ascii="Calibri" w:hAnsi="Calibri" w:cs="Calibri"/>
                <w:b/>
                <w:bCs/>
                <w:color w:val="FF0000"/>
                <w:sz w:val="22"/>
                <w:szCs w:val="22"/>
                <w:lang w:val="es-ES"/>
              </w:rPr>
            </w:pPr>
            <w:r w:rsidRPr="00D12E69">
              <w:rPr>
                <w:rFonts w:ascii="Calibri" w:hAnsi="Calibri" w:cs="Calibri"/>
                <w:b/>
                <w:bCs/>
                <w:color w:val="FF0000"/>
                <w:sz w:val="22"/>
                <w:szCs w:val="22"/>
                <w:lang w:val="es-ES"/>
              </w:rPr>
              <w:t> </w:t>
            </w:r>
          </w:p>
        </w:tc>
      </w:tr>
      <w:tr w:rsidR="00D12E69" w:rsidRPr="00B833E0" w:rsidTr="00D12E69">
        <w:trPr>
          <w:trHeight w:val="300"/>
          <w:jc w:val="center"/>
        </w:trPr>
        <w:tc>
          <w:tcPr>
            <w:tcW w:w="3573" w:type="dxa"/>
            <w:tcBorders>
              <w:left w:val="single" w:sz="4" w:space="0" w:color="auto"/>
              <w:right w:val="nil"/>
            </w:tcBorders>
            <w:shd w:val="clear" w:color="auto" w:fill="auto"/>
            <w:noWrap/>
            <w:vAlign w:val="bottom"/>
            <w:hideMark/>
          </w:tcPr>
          <w:p w:rsidR="00D12E69" w:rsidRPr="00B833E0" w:rsidRDefault="00D12E69" w:rsidP="002506B0">
            <w:pPr>
              <w:rPr>
                <w:rFonts w:ascii="Calibri" w:hAnsi="Calibri"/>
                <w:b/>
                <w:bCs/>
                <w:color w:val="000000"/>
                <w:sz w:val="22"/>
                <w:szCs w:val="22"/>
                <w:lang w:val="es-ES"/>
              </w:rPr>
            </w:pPr>
            <w:r w:rsidRPr="00B833E0">
              <w:rPr>
                <w:rFonts w:ascii="Calibri" w:hAnsi="Calibri"/>
                <w:b/>
                <w:bCs/>
                <w:color w:val="000000"/>
                <w:sz w:val="22"/>
                <w:szCs w:val="22"/>
                <w:lang w:val="es-ES"/>
              </w:rPr>
              <w:t>Media  anualizada</w:t>
            </w:r>
          </w:p>
        </w:tc>
        <w:tc>
          <w:tcPr>
            <w:tcW w:w="1212" w:type="dxa"/>
            <w:tcBorders>
              <w:left w:val="nil"/>
              <w:right w:val="single" w:sz="4" w:space="0" w:color="auto"/>
            </w:tcBorders>
            <w:shd w:val="clear" w:color="auto" w:fill="auto"/>
            <w:noWrap/>
            <w:vAlign w:val="center"/>
            <w:hideMark/>
          </w:tcPr>
          <w:p w:rsidR="00D12E69" w:rsidRPr="00D12E69" w:rsidRDefault="00D12E69" w:rsidP="002506B0">
            <w:pPr>
              <w:jc w:val="right"/>
              <w:rPr>
                <w:rFonts w:ascii="Calibri" w:hAnsi="Calibri" w:cs="Calibri"/>
                <w:b/>
                <w:bCs/>
                <w:color w:val="FF0000"/>
                <w:sz w:val="22"/>
                <w:szCs w:val="22"/>
                <w:lang w:val="es-ES"/>
              </w:rPr>
            </w:pPr>
            <w:r w:rsidRPr="00D12E69">
              <w:rPr>
                <w:rFonts w:ascii="Calibri" w:hAnsi="Calibri" w:cs="Calibri"/>
                <w:b/>
                <w:bCs/>
                <w:color w:val="FF0000"/>
                <w:sz w:val="22"/>
                <w:szCs w:val="22"/>
                <w:lang w:val="es-ES"/>
              </w:rPr>
              <w:t>-14%</w:t>
            </w:r>
          </w:p>
        </w:tc>
      </w:tr>
      <w:tr w:rsidR="00D12E69" w:rsidRPr="00B833E0" w:rsidTr="00D12E69">
        <w:trPr>
          <w:trHeight w:val="300"/>
          <w:jc w:val="center"/>
        </w:trPr>
        <w:tc>
          <w:tcPr>
            <w:tcW w:w="3573" w:type="dxa"/>
            <w:tcBorders>
              <w:left w:val="single" w:sz="4" w:space="0" w:color="auto"/>
              <w:bottom w:val="single" w:sz="4" w:space="0" w:color="auto"/>
              <w:right w:val="nil"/>
            </w:tcBorders>
            <w:shd w:val="clear" w:color="auto" w:fill="auto"/>
            <w:noWrap/>
            <w:vAlign w:val="bottom"/>
            <w:hideMark/>
          </w:tcPr>
          <w:p w:rsidR="00D12E69" w:rsidRPr="00B833E0" w:rsidRDefault="00D12E69" w:rsidP="002506B0">
            <w:pPr>
              <w:rPr>
                <w:rFonts w:ascii="Calibri" w:hAnsi="Calibri"/>
                <w:b/>
                <w:bCs/>
                <w:color w:val="000000"/>
                <w:sz w:val="22"/>
                <w:szCs w:val="22"/>
                <w:lang w:val="es-ES"/>
              </w:rPr>
            </w:pPr>
            <w:r w:rsidRPr="00B833E0">
              <w:rPr>
                <w:rFonts w:ascii="Calibri" w:hAnsi="Calibri"/>
                <w:b/>
                <w:bCs/>
                <w:color w:val="000000"/>
                <w:sz w:val="22"/>
                <w:szCs w:val="22"/>
                <w:lang w:val="es-ES"/>
              </w:rPr>
              <w:t>Desviación Típica anualizada</w:t>
            </w:r>
          </w:p>
        </w:tc>
        <w:tc>
          <w:tcPr>
            <w:tcW w:w="1212" w:type="dxa"/>
            <w:tcBorders>
              <w:left w:val="nil"/>
              <w:bottom w:val="single" w:sz="4" w:space="0" w:color="auto"/>
              <w:right w:val="single" w:sz="4" w:space="0" w:color="auto"/>
            </w:tcBorders>
            <w:shd w:val="clear" w:color="auto" w:fill="auto"/>
            <w:noWrap/>
            <w:vAlign w:val="center"/>
            <w:hideMark/>
          </w:tcPr>
          <w:p w:rsidR="00D12E69" w:rsidRPr="00D12E69" w:rsidRDefault="00D12E69" w:rsidP="002506B0">
            <w:pPr>
              <w:jc w:val="right"/>
              <w:rPr>
                <w:rFonts w:ascii="Calibri" w:hAnsi="Calibri" w:cs="Calibri"/>
                <w:b/>
                <w:bCs/>
                <w:color w:val="FF0000"/>
                <w:sz w:val="22"/>
                <w:szCs w:val="22"/>
                <w:lang w:val="es-ES"/>
              </w:rPr>
            </w:pPr>
            <w:r w:rsidRPr="00D12E69">
              <w:rPr>
                <w:rFonts w:ascii="Calibri" w:hAnsi="Calibri" w:cs="Calibri"/>
                <w:b/>
                <w:bCs/>
                <w:color w:val="FF0000"/>
                <w:sz w:val="22"/>
                <w:szCs w:val="22"/>
                <w:lang w:val="es-ES"/>
              </w:rPr>
              <w:t>27.13%</w:t>
            </w:r>
          </w:p>
        </w:tc>
      </w:tr>
    </w:tbl>
    <w:p w:rsidR="00810A51" w:rsidRDefault="00810A51" w:rsidP="00810A51">
      <w:pPr>
        <w:pStyle w:val="Paragraph"/>
        <w:numPr>
          <w:ilvl w:val="0"/>
          <w:numId w:val="0"/>
        </w:numPr>
        <w:ind w:left="720" w:right="720"/>
        <w:rPr>
          <w:lang w:val="es-ES"/>
        </w:rPr>
      </w:pPr>
    </w:p>
    <w:p w:rsidR="00810A51" w:rsidRPr="00B833E0" w:rsidRDefault="00136E56" w:rsidP="00C517B0">
      <w:pPr>
        <w:pStyle w:val="Paragraph"/>
        <w:rPr>
          <w:lang w:val="es-ES"/>
        </w:rPr>
      </w:pPr>
      <w:r>
        <w:rPr>
          <w:lang w:val="es-ES"/>
        </w:rPr>
        <w:t>En base a</w:t>
      </w:r>
      <w:r w:rsidR="00BC2DCD" w:rsidRPr="00B833E0">
        <w:rPr>
          <w:lang w:val="es-ES"/>
        </w:rPr>
        <w:t xml:space="preserve"> este </w:t>
      </w:r>
      <w:r w:rsidR="00810A51" w:rsidRPr="00B833E0">
        <w:rPr>
          <w:lang w:val="es-ES"/>
        </w:rPr>
        <w:t>análisis</w:t>
      </w:r>
      <w:r>
        <w:rPr>
          <w:lang w:val="es-ES"/>
        </w:rPr>
        <w:t>,</w:t>
      </w:r>
      <w:r w:rsidR="00BC2DCD" w:rsidRPr="00B833E0">
        <w:rPr>
          <w:lang w:val="es-ES"/>
        </w:rPr>
        <w:t xml:space="preserve"> </w:t>
      </w:r>
      <w:r w:rsidR="00CA46DB" w:rsidRPr="00B833E0">
        <w:rPr>
          <w:lang w:val="es-ES"/>
        </w:rPr>
        <w:t xml:space="preserve">si al momento de negociar el préstamo </w:t>
      </w:r>
      <w:r>
        <w:rPr>
          <w:lang w:val="es-ES"/>
        </w:rPr>
        <w:t xml:space="preserve">del Banco </w:t>
      </w:r>
      <w:r w:rsidR="00CA46DB" w:rsidRPr="00B833E0">
        <w:rPr>
          <w:lang w:val="es-ES"/>
        </w:rPr>
        <w:t>el país selecciona</w:t>
      </w:r>
      <w:r>
        <w:rPr>
          <w:lang w:val="es-ES"/>
        </w:rPr>
        <w:t>ría</w:t>
      </w:r>
      <w:r w:rsidR="00CA46DB" w:rsidRPr="00B833E0">
        <w:rPr>
          <w:lang w:val="es-ES"/>
        </w:rPr>
        <w:t xml:space="preserve"> </w:t>
      </w:r>
      <w:r>
        <w:rPr>
          <w:lang w:val="es-ES"/>
        </w:rPr>
        <w:t>l</w:t>
      </w:r>
      <w:r w:rsidR="00CA46DB" w:rsidRPr="00B833E0">
        <w:rPr>
          <w:lang w:val="es-ES"/>
        </w:rPr>
        <w:t>a opción</w:t>
      </w:r>
      <w:r>
        <w:rPr>
          <w:lang w:val="es-ES"/>
        </w:rPr>
        <w:t xml:space="preserve"> de mantener la tasa de interés variable</w:t>
      </w:r>
      <w:r w:rsidR="00CA46DB" w:rsidRPr="00B833E0">
        <w:rPr>
          <w:lang w:val="es-ES"/>
        </w:rPr>
        <w:t xml:space="preserve">, </w:t>
      </w:r>
      <w:r w:rsidR="00810A51" w:rsidRPr="00B833E0">
        <w:rPr>
          <w:lang w:val="es-ES"/>
        </w:rPr>
        <w:t>se realizaría una simulación de la volatilidad futura</w:t>
      </w:r>
      <w:r w:rsidR="00BC2DCD" w:rsidRPr="00B833E0">
        <w:rPr>
          <w:lang w:val="es-ES"/>
        </w:rPr>
        <w:t xml:space="preserve"> esperada </w:t>
      </w:r>
      <w:r w:rsidR="00810A51" w:rsidRPr="00B833E0">
        <w:rPr>
          <w:lang w:val="es-ES"/>
        </w:rPr>
        <w:t xml:space="preserve">del </w:t>
      </w:r>
      <w:r w:rsidR="00BC2DCD" w:rsidRPr="00B833E0">
        <w:rPr>
          <w:lang w:val="es-ES"/>
        </w:rPr>
        <w:t>LIBOR</w:t>
      </w:r>
      <w:r w:rsidR="00CA46DB" w:rsidRPr="00B833E0">
        <w:rPr>
          <w:lang w:val="es-ES"/>
        </w:rPr>
        <w:t xml:space="preserve"> (por medio del método Montecarlo)</w:t>
      </w:r>
      <w:r w:rsidR="00810A51" w:rsidRPr="00B833E0">
        <w:rPr>
          <w:lang w:val="es-ES"/>
        </w:rPr>
        <w:t xml:space="preserve">, estableciendo escenarios probabilísticos de rangos de valores del </w:t>
      </w:r>
      <w:r w:rsidR="00BC2DCD" w:rsidRPr="00B833E0">
        <w:rPr>
          <w:lang w:val="es-ES"/>
        </w:rPr>
        <w:t xml:space="preserve">LIBOR </w:t>
      </w:r>
      <w:r w:rsidR="00810A51" w:rsidRPr="00B833E0">
        <w:rPr>
          <w:lang w:val="es-ES"/>
        </w:rPr>
        <w:t xml:space="preserve">para los próximos 5 años. </w:t>
      </w:r>
      <w:r w:rsidR="00BC2DCD" w:rsidRPr="00B833E0">
        <w:rPr>
          <w:lang w:val="es-ES"/>
        </w:rPr>
        <w:t xml:space="preserve">La simulación </w:t>
      </w:r>
      <w:r w:rsidR="00CA46DB" w:rsidRPr="00B833E0">
        <w:rPr>
          <w:lang w:val="es-ES"/>
        </w:rPr>
        <w:t xml:space="preserve">permitiría </w:t>
      </w:r>
      <w:r w:rsidR="00810A51" w:rsidRPr="00B833E0">
        <w:rPr>
          <w:lang w:val="es-ES"/>
        </w:rPr>
        <w:t xml:space="preserve">hacer una estimación de la probabilidad de que el coste del préstamo BID pueda aumentar </w:t>
      </w:r>
      <w:r w:rsidR="00BC2DCD" w:rsidRPr="00B833E0">
        <w:rPr>
          <w:lang w:val="es-ES"/>
        </w:rPr>
        <w:t xml:space="preserve">sustancialmente </w:t>
      </w:r>
      <w:r w:rsidR="00810A51" w:rsidRPr="00B833E0">
        <w:rPr>
          <w:lang w:val="es-ES"/>
        </w:rPr>
        <w:t>a causa de incremento</w:t>
      </w:r>
      <w:r w:rsidR="00BC2DCD" w:rsidRPr="00B833E0">
        <w:rPr>
          <w:lang w:val="es-ES"/>
        </w:rPr>
        <w:t>s</w:t>
      </w:r>
      <w:r w:rsidR="00810A51" w:rsidRPr="00B833E0">
        <w:rPr>
          <w:lang w:val="es-ES"/>
        </w:rPr>
        <w:t xml:space="preserve"> del </w:t>
      </w:r>
      <w:r w:rsidR="00BC2DCD" w:rsidRPr="00B833E0">
        <w:rPr>
          <w:lang w:val="es-ES"/>
        </w:rPr>
        <w:t>LIBOR</w:t>
      </w:r>
      <w:r w:rsidR="00810A51" w:rsidRPr="00B833E0">
        <w:rPr>
          <w:lang w:val="es-ES"/>
        </w:rPr>
        <w:t>.</w:t>
      </w:r>
    </w:p>
    <w:p w:rsidR="000709C5" w:rsidRDefault="000709C5" w:rsidP="00C173AE">
      <w:pPr>
        <w:ind w:right="720" w:hanging="720"/>
        <w:rPr>
          <w:lang w:val="es-ES"/>
        </w:rPr>
      </w:pPr>
    </w:p>
    <w:p w:rsidR="00D042C6" w:rsidRDefault="00D042C6" w:rsidP="00C173AE">
      <w:pPr>
        <w:ind w:right="720" w:hanging="720"/>
        <w:rPr>
          <w:lang w:val="es-ES"/>
        </w:rPr>
      </w:pPr>
    </w:p>
    <w:p w:rsidR="00D042C6" w:rsidRPr="00B833E0" w:rsidRDefault="00D042C6" w:rsidP="00C173AE">
      <w:pPr>
        <w:ind w:right="720" w:hanging="720"/>
        <w:rPr>
          <w:lang w:val="es-ES"/>
        </w:rPr>
        <w:sectPr w:rsidR="00D042C6" w:rsidRPr="00B833E0" w:rsidSect="009612C8">
          <w:type w:val="continuous"/>
          <w:pgSz w:w="12240" w:h="15840" w:code="1"/>
          <w:pgMar w:top="1350" w:right="1080" w:bottom="1530" w:left="1800" w:header="706" w:footer="706" w:gutter="0"/>
          <w:cols w:space="720"/>
          <w:formProt w:val="0"/>
          <w:titlePg/>
        </w:sectPr>
      </w:pPr>
    </w:p>
    <w:p w:rsidR="00375CC7" w:rsidRPr="00B833E0" w:rsidRDefault="005B4D32" w:rsidP="00CD3245">
      <w:pPr>
        <w:pStyle w:val="Chapter"/>
        <w:rPr>
          <w:lang w:val="es-ES"/>
        </w:rPr>
      </w:pPr>
      <w:r w:rsidRPr="00B833E0">
        <w:rPr>
          <w:lang w:val="es-ES"/>
        </w:rPr>
        <w:lastRenderedPageBreak/>
        <w:t>Conclusion</w:t>
      </w:r>
      <w:r w:rsidR="005F7A7D" w:rsidRPr="00B833E0">
        <w:rPr>
          <w:lang w:val="es-ES"/>
        </w:rPr>
        <w:t>e</w:t>
      </w:r>
      <w:r w:rsidRPr="00B833E0">
        <w:rPr>
          <w:lang w:val="es-ES"/>
        </w:rPr>
        <w:t>s</w:t>
      </w:r>
    </w:p>
    <w:p w:rsidR="00AA3B41" w:rsidRPr="00B833E0" w:rsidRDefault="00AA3B41" w:rsidP="00C517B0">
      <w:pPr>
        <w:pStyle w:val="Paragraph"/>
        <w:rPr>
          <w:lang w:val="es-ES"/>
        </w:rPr>
      </w:pPr>
      <w:r w:rsidRPr="00B833E0">
        <w:rPr>
          <w:lang w:val="es-ES"/>
        </w:rPr>
        <w:t>C</w:t>
      </w:r>
      <w:r w:rsidR="00010AF0" w:rsidRPr="00B833E0">
        <w:rPr>
          <w:lang w:val="es-ES"/>
        </w:rPr>
        <w:t>ontar con cobertura financiera ex ante</w:t>
      </w:r>
      <w:r w:rsidRPr="00B833E0">
        <w:rPr>
          <w:lang w:val="es-ES"/>
        </w:rPr>
        <w:t xml:space="preserve"> representa</w:t>
      </w:r>
      <w:r w:rsidR="00790A32" w:rsidRPr="00B833E0">
        <w:rPr>
          <w:lang w:val="es-ES"/>
        </w:rPr>
        <w:t>,</w:t>
      </w:r>
      <w:r w:rsidRPr="00B833E0">
        <w:rPr>
          <w:lang w:val="es-ES"/>
        </w:rPr>
        <w:t xml:space="preserve"> </w:t>
      </w:r>
      <w:r w:rsidR="00F25F8F" w:rsidRPr="00B833E0">
        <w:rPr>
          <w:lang w:val="es-ES"/>
        </w:rPr>
        <w:t>más</w:t>
      </w:r>
      <w:r w:rsidRPr="00B833E0">
        <w:rPr>
          <w:lang w:val="es-ES"/>
        </w:rPr>
        <w:t xml:space="preserve"> que una alternativa, </w:t>
      </w:r>
      <w:r w:rsidR="007F1BCB" w:rsidRPr="00B833E0">
        <w:rPr>
          <w:lang w:val="es-ES"/>
        </w:rPr>
        <w:t xml:space="preserve">es </w:t>
      </w:r>
      <w:r w:rsidR="00790A32" w:rsidRPr="00B833E0">
        <w:rPr>
          <w:lang w:val="es-ES"/>
        </w:rPr>
        <w:t xml:space="preserve">una necesidad </w:t>
      </w:r>
      <w:r w:rsidRPr="00B833E0">
        <w:rPr>
          <w:lang w:val="es-ES"/>
        </w:rPr>
        <w:t xml:space="preserve">en países como </w:t>
      </w:r>
      <w:r w:rsidR="00294392">
        <w:rPr>
          <w:lang w:val="es-ES"/>
        </w:rPr>
        <w:t>Costa Rica</w:t>
      </w:r>
      <w:r w:rsidRPr="00B833E0">
        <w:rPr>
          <w:lang w:val="es-ES"/>
        </w:rPr>
        <w:t xml:space="preserve">, donde el riesgo de enfrentar un desastre natural catastrófico </w:t>
      </w:r>
      <w:r w:rsidR="002B7458" w:rsidRPr="00B833E0">
        <w:rPr>
          <w:lang w:val="es-ES"/>
        </w:rPr>
        <w:t xml:space="preserve">es alto. </w:t>
      </w:r>
      <w:r w:rsidR="00010AF0" w:rsidRPr="00B833E0">
        <w:rPr>
          <w:lang w:val="es-ES"/>
        </w:rPr>
        <w:t xml:space="preserve">El no contar con </w:t>
      </w:r>
      <w:r w:rsidR="003C75CF" w:rsidRPr="00B833E0">
        <w:rPr>
          <w:lang w:val="es-ES"/>
        </w:rPr>
        <w:t>dicha</w:t>
      </w:r>
      <w:r w:rsidR="00010AF0" w:rsidRPr="00B833E0">
        <w:rPr>
          <w:lang w:val="es-ES"/>
        </w:rPr>
        <w:t xml:space="preserve"> cobert</w:t>
      </w:r>
      <w:r w:rsidRPr="00B833E0">
        <w:rPr>
          <w:lang w:val="es-ES"/>
        </w:rPr>
        <w:t xml:space="preserve">ura </w:t>
      </w:r>
      <w:r w:rsidR="00790A32" w:rsidRPr="00B833E0">
        <w:rPr>
          <w:lang w:val="es-ES"/>
        </w:rPr>
        <w:t xml:space="preserve">representa </w:t>
      </w:r>
      <w:r w:rsidR="003C75CF" w:rsidRPr="00B833E0">
        <w:rPr>
          <w:lang w:val="es-ES"/>
        </w:rPr>
        <w:t xml:space="preserve">una </w:t>
      </w:r>
      <w:r w:rsidR="002B7458" w:rsidRPr="00B833E0">
        <w:rPr>
          <w:lang w:val="es-ES"/>
        </w:rPr>
        <w:t xml:space="preserve">mayor </w:t>
      </w:r>
      <w:r w:rsidR="00790A32" w:rsidRPr="00B833E0">
        <w:rPr>
          <w:lang w:val="es-ES"/>
        </w:rPr>
        <w:t xml:space="preserve">vulnerabilidad </w:t>
      </w:r>
      <w:r w:rsidR="002B7458" w:rsidRPr="00B833E0">
        <w:rPr>
          <w:lang w:val="es-ES"/>
        </w:rPr>
        <w:t xml:space="preserve">de las finanzas públicas </w:t>
      </w:r>
      <w:r w:rsidR="00790A32" w:rsidRPr="00B833E0">
        <w:rPr>
          <w:lang w:val="es-ES"/>
        </w:rPr>
        <w:t>y pone</w:t>
      </w:r>
      <w:r w:rsidRPr="00B833E0">
        <w:rPr>
          <w:lang w:val="es-ES"/>
        </w:rPr>
        <w:t xml:space="preserve"> en</w:t>
      </w:r>
      <w:r w:rsidR="002B7458" w:rsidRPr="00B833E0">
        <w:rPr>
          <w:lang w:val="es-ES"/>
        </w:rPr>
        <w:t xml:space="preserve"> riesgo </w:t>
      </w:r>
      <w:r w:rsidRPr="00B833E0">
        <w:rPr>
          <w:lang w:val="es-ES"/>
        </w:rPr>
        <w:t>la estabilidad macroeconómica alcanzada y potencialmente sostenible en el mediano plazo.</w:t>
      </w:r>
    </w:p>
    <w:p w:rsidR="00010AF0" w:rsidRPr="00B833E0" w:rsidRDefault="00314116" w:rsidP="00C517B0">
      <w:pPr>
        <w:pStyle w:val="Paragraph"/>
        <w:rPr>
          <w:lang w:val="es-ES"/>
        </w:rPr>
      </w:pPr>
      <w:r w:rsidRPr="00B833E0">
        <w:rPr>
          <w:lang w:val="es-ES"/>
        </w:rPr>
        <w:t xml:space="preserve">Tomando lo anterior como base, </w:t>
      </w:r>
      <w:r w:rsidR="00010AF0" w:rsidRPr="00B833E0">
        <w:rPr>
          <w:lang w:val="es-ES"/>
        </w:rPr>
        <w:t>el presente análisis</w:t>
      </w:r>
      <w:r w:rsidRPr="00B833E0">
        <w:rPr>
          <w:lang w:val="es-ES"/>
        </w:rPr>
        <w:t xml:space="preserve"> muestra cómo</w:t>
      </w:r>
      <w:r w:rsidR="003C75CF" w:rsidRPr="00B833E0">
        <w:rPr>
          <w:lang w:val="es-ES"/>
        </w:rPr>
        <w:t>,</w:t>
      </w:r>
      <w:r w:rsidRPr="00B833E0">
        <w:rPr>
          <w:lang w:val="es-ES"/>
        </w:rPr>
        <w:t xml:space="preserve"> dentro de las alternativas de financiamiento para eventos de este tipo, el préstamo contingente BID representa una opción ampliamente más eficiente. Cubrir los gastos extraordinarios de un desastre severo </w:t>
      </w:r>
      <w:r w:rsidR="00CA4AC9" w:rsidRPr="00B833E0">
        <w:rPr>
          <w:lang w:val="es-ES"/>
        </w:rPr>
        <w:t xml:space="preserve">o catastrófico </w:t>
      </w:r>
      <w:r w:rsidRPr="00B833E0">
        <w:rPr>
          <w:lang w:val="es-ES"/>
        </w:rPr>
        <w:t>utilizando otras fuentes de financiamiento</w:t>
      </w:r>
      <w:r w:rsidR="00B92FDC" w:rsidRPr="00B833E0">
        <w:rPr>
          <w:lang w:val="es-ES"/>
        </w:rPr>
        <w:t xml:space="preserve"> mediante deuda</w:t>
      </w:r>
      <w:r w:rsidRPr="00B833E0">
        <w:rPr>
          <w:lang w:val="es-ES"/>
        </w:rPr>
        <w:t xml:space="preserve"> una vez ocurrido el evento, sería menos positivo,</w:t>
      </w:r>
      <w:r w:rsidR="00010AF0" w:rsidRPr="00B833E0">
        <w:rPr>
          <w:lang w:val="es-ES"/>
        </w:rPr>
        <w:t xml:space="preserve"> no solo en términos de costo financiero sino también en cuanto a disponibilidad de los recursos</w:t>
      </w:r>
      <w:r w:rsidR="002B7458" w:rsidRPr="00B833E0">
        <w:rPr>
          <w:lang w:val="es-ES"/>
        </w:rPr>
        <w:t>. A su vez, la disposición ex ante de líneas de crédito provistas comercialmente también resulta más costosa.</w:t>
      </w:r>
    </w:p>
    <w:p w:rsidR="00375CC7" w:rsidRPr="00B833E0" w:rsidRDefault="00010AF0" w:rsidP="00C517B0">
      <w:pPr>
        <w:pStyle w:val="Paragraph"/>
        <w:tabs>
          <w:tab w:val="clear" w:pos="720"/>
        </w:tabs>
        <w:rPr>
          <w:lang w:val="es-ES"/>
        </w:rPr>
      </w:pPr>
      <w:r w:rsidRPr="00B833E0">
        <w:rPr>
          <w:lang w:val="es-ES"/>
        </w:rPr>
        <w:t>Por ello, el equipo de proyecto recomienda que el Banco apruebe el financiamiento</w:t>
      </w:r>
      <w:r w:rsidR="00325BD6">
        <w:rPr>
          <w:lang w:val="es-ES"/>
        </w:rPr>
        <w:t xml:space="preserve"> contingente</w:t>
      </w:r>
      <w:r w:rsidRPr="00B833E0">
        <w:rPr>
          <w:lang w:val="es-ES"/>
        </w:rPr>
        <w:t xml:space="preserve"> de</w:t>
      </w:r>
      <w:r w:rsidR="003C75CF" w:rsidRPr="00B833E0">
        <w:rPr>
          <w:lang w:val="es-ES"/>
        </w:rPr>
        <w:t xml:space="preserve"> </w:t>
      </w:r>
      <w:r w:rsidRPr="00B833E0">
        <w:rPr>
          <w:lang w:val="es-ES"/>
        </w:rPr>
        <w:t>l</w:t>
      </w:r>
      <w:r w:rsidR="003C75CF" w:rsidRPr="00B833E0">
        <w:rPr>
          <w:lang w:val="es-ES"/>
        </w:rPr>
        <w:t>a</w:t>
      </w:r>
      <w:r w:rsidRPr="00B833E0">
        <w:rPr>
          <w:lang w:val="es-ES"/>
        </w:rPr>
        <w:t xml:space="preserve"> presente </w:t>
      </w:r>
      <w:r w:rsidR="003C75CF" w:rsidRPr="00B833E0">
        <w:rPr>
          <w:lang w:val="es-ES"/>
        </w:rPr>
        <w:t>operación</w:t>
      </w:r>
      <w:r w:rsidRPr="00B833E0">
        <w:rPr>
          <w:lang w:val="es-ES"/>
        </w:rPr>
        <w:t>.</w:t>
      </w:r>
    </w:p>
    <w:sectPr w:rsidR="00375CC7" w:rsidRPr="00B833E0" w:rsidSect="009612C8">
      <w:type w:val="continuous"/>
      <w:pgSz w:w="12240" w:h="15840" w:code="1"/>
      <w:pgMar w:top="1350" w:right="1080" w:bottom="1530" w:left="1800" w:header="706" w:footer="70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894" w:rsidRDefault="008D6894">
      <w:r>
        <w:separator/>
      </w:r>
    </w:p>
  </w:endnote>
  <w:endnote w:type="continuationSeparator" w:id="0">
    <w:p w:rsidR="008D6894" w:rsidRDefault="008D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3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94" w:rsidRDefault="008D6894">
    <w:pPr>
      <w:pStyle w:val="Footer"/>
      <w:framePr w:wrap="around" w:vAnchor="text" w:hAnchor="margin" w:xAlign="right" w:y="1"/>
      <w:rPr>
        <w:rStyle w:val="PageNumber"/>
      </w:rPr>
    </w:pPr>
  </w:p>
  <w:p w:rsidR="008D6894" w:rsidRDefault="008D68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73239"/>
      <w:docPartObj>
        <w:docPartGallery w:val="Page Numbers (Bottom of Page)"/>
        <w:docPartUnique/>
      </w:docPartObj>
    </w:sdtPr>
    <w:sdtEndPr/>
    <w:sdtContent>
      <w:p w:rsidR="008D6894" w:rsidRDefault="00325BD6">
        <w:pPr>
          <w:pStyle w:val="Footer"/>
          <w:jc w:val="center"/>
        </w:pPr>
        <w:r>
          <w:fldChar w:fldCharType="begin"/>
        </w:r>
        <w:r>
          <w:instrText xml:space="preserve"> PAGE   \* MERGEFORMAT </w:instrText>
        </w:r>
        <w:r>
          <w:fldChar w:fldCharType="separate"/>
        </w:r>
        <w:r w:rsidR="000D611F">
          <w:rPr>
            <w:noProof/>
          </w:rPr>
          <w:t>9</w:t>
        </w:r>
        <w:r>
          <w:rPr>
            <w:noProof/>
          </w:rPr>
          <w:fldChar w:fldCharType="end"/>
        </w:r>
      </w:p>
    </w:sdtContent>
  </w:sdt>
  <w:p w:rsidR="008D6894" w:rsidRDefault="008D6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894" w:rsidRDefault="008D6894">
      <w:r>
        <w:separator/>
      </w:r>
    </w:p>
  </w:footnote>
  <w:footnote w:type="continuationSeparator" w:id="0">
    <w:p w:rsidR="008D6894" w:rsidRDefault="008D6894">
      <w:r>
        <w:continuationSeparator/>
      </w:r>
    </w:p>
  </w:footnote>
  <w:footnote w:id="1">
    <w:p w:rsidR="0034110A" w:rsidRPr="0098000B" w:rsidRDefault="0034110A" w:rsidP="0034110A">
      <w:pPr>
        <w:pStyle w:val="FootnoteText"/>
        <w:spacing w:after="0"/>
        <w:ind w:left="180" w:hanging="180"/>
        <w:rPr>
          <w:lang w:val="es-ES"/>
        </w:rPr>
      </w:pPr>
      <w:r>
        <w:rPr>
          <w:rStyle w:val="FootnoteReference"/>
        </w:rPr>
        <w:footnoteRef/>
      </w:r>
      <w:r w:rsidRPr="0098000B">
        <w:rPr>
          <w:lang w:val="es-ES"/>
        </w:rPr>
        <w:t xml:space="preserve"> </w:t>
      </w:r>
      <w:r w:rsidRPr="0098000B">
        <w:rPr>
          <w:lang w:val="es-ES"/>
        </w:rPr>
        <w:tab/>
      </w:r>
      <w:hyperlink r:id="rId1" w:history="1">
        <w:r w:rsidRPr="0098000B">
          <w:rPr>
            <w:rStyle w:val="Hyperlink"/>
            <w:lang w:val="es-ES"/>
          </w:rPr>
          <w:t>Consulta del Artículo IV con Costa Rica</w:t>
        </w:r>
      </w:hyperlink>
      <w:r w:rsidRPr="0098000B">
        <w:rPr>
          <w:lang w:val="es-ES"/>
        </w:rPr>
        <w:t>. Fondo Monetario Internacional, 2011.</w:t>
      </w:r>
    </w:p>
  </w:footnote>
  <w:footnote w:id="2">
    <w:p w:rsidR="0034110A" w:rsidRPr="0098000B" w:rsidRDefault="0034110A" w:rsidP="0034110A">
      <w:pPr>
        <w:pStyle w:val="FootnoteText"/>
        <w:spacing w:after="0"/>
        <w:ind w:left="180" w:hanging="180"/>
        <w:rPr>
          <w:lang w:val="es-ES"/>
        </w:rPr>
      </w:pPr>
      <w:r>
        <w:rPr>
          <w:rStyle w:val="FootnoteReference"/>
        </w:rPr>
        <w:footnoteRef/>
      </w:r>
      <w:r w:rsidRPr="0098000B">
        <w:rPr>
          <w:lang w:val="es-ES"/>
        </w:rPr>
        <w:t xml:space="preserve"> </w:t>
      </w:r>
      <w:r w:rsidRPr="0098000B">
        <w:rPr>
          <w:lang w:val="es-ES"/>
        </w:rPr>
        <w:tab/>
      </w:r>
      <w:hyperlink r:id="rId2" w:history="1">
        <w:r w:rsidRPr="0098000B">
          <w:rPr>
            <w:rStyle w:val="Hyperlink"/>
            <w:lang w:val="es-ES"/>
          </w:rPr>
          <w:t>Costa Rica: Indicadores de Riesgo de Desastres y de Gestión de Riesgos</w:t>
        </w:r>
      </w:hyperlink>
      <w:r w:rsidRPr="0098000B">
        <w:rPr>
          <w:lang w:val="es-ES"/>
        </w:rPr>
        <w:t xml:space="preserve"> (BID, 2010).</w:t>
      </w:r>
    </w:p>
  </w:footnote>
  <w:footnote w:id="3">
    <w:p w:rsidR="0034110A" w:rsidRPr="00120FF4" w:rsidRDefault="0034110A" w:rsidP="0034110A">
      <w:pPr>
        <w:pStyle w:val="FootnoteText"/>
        <w:spacing w:after="0"/>
        <w:rPr>
          <w:lang w:val="es-ES"/>
        </w:rPr>
      </w:pPr>
      <w:r>
        <w:rPr>
          <w:rStyle w:val="FootnoteReference"/>
        </w:rPr>
        <w:footnoteRef/>
      </w:r>
      <w:r w:rsidRPr="00120FF4">
        <w:rPr>
          <w:lang w:val="es-ES"/>
        </w:rPr>
        <w:t xml:space="preserve">  Estimación realizada tomando como base el PIB del país en el año 2008.</w:t>
      </w:r>
    </w:p>
  </w:footnote>
  <w:footnote w:id="4">
    <w:p w:rsidR="008D6894" w:rsidRPr="00945909" w:rsidRDefault="008D6894" w:rsidP="00391671">
      <w:pPr>
        <w:pStyle w:val="FootnoteText"/>
        <w:spacing w:after="0"/>
        <w:ind w:left="90" w:right="270" w:hanging="90"/>
        <w:rPr>
          <w:lang w:val="es-ES"/>
        </w:rPr>
      </w:pPr>
      <w:r>
        <w:rPr>
          <w:rStyle w:val="FootnoteReference"/>
        </w:rPr>
        <w:footnoteRef/>
      </w:r>
      <w:r w:rsidRPr="0098000B">
        <w:rPr>
          <w:lang w:val="es-ES"/>
        </w:rPr>
        <w:t xml:space="preserve"> </w:t>
      </w:r>
      <w:r>
        <w:rPr>
          <w:rStyle w:val="apple-style-span"/>
          <w:lang w:val="es-ES_tradnl"/>
        </w:rPr>
        <w:t>Este índice, introducido en el año 1995, fue creado para cubrir la necesidad de los inversores de contar con un índice de referencia más amplio. Está compuesto de 109 instrumentos financieros de 19 países (Brasil, Bulgaria, Colombia, Ecuador, Egipto, Malasia, México, Marruecos, Nigeria, Panamá, Perú, Filipinas, Polonia, Rusia, Sudáfrica, Turquía, Ucrania y Venezuela), e incluye distintos tipos de activos: Bonos Brady, préstamos y Eurobonos. Argentina.</w:t>
      </w:r>
    </w:p>
  </w:footnote>
  <w:footnote w:id="5">
    <w:p w:rsidR="00C517B0" w:rsidRPr="00945909" w:rsidRDefault="00C517B0" w:rsidP="00C517B0">
      <w:pPr>
        <w:pStyle w:val="FootnoteText"/>
        <w:spacing w:after="0"/>
        <w:rPr>
          <w:lang w:val="es-ES"/>
        </w:rPr>
      </w:pPr>
      <w:r>
        <w:rPr>
          <w:rStyle w:val="FootnoteReference"/>
        </w:rPr>
        <w:footnoteRef/>
      </w:r>
      <w:r w:rsidR="002C0130" w:rsidRPr="00945909">
        <w:rPr>
          <w:lang w:val="es-ES"/>
        </w:rPr>
        <w:t xml:space="preserve"> Fuente: Bloomberg</w:t>
      </w:r>
      <w:r w:rsidRPr="00945909">
        <w:rPr>
          <w:lang w:val="es-ES"/>
        </w:rPr>
        <w:t>.</w:t>
      </w:r>
    </w:p>
  </w:footnote>
  <w:footnote w:id="6">
    <w:p w:rsidR="009F5F28" w:rsidRPr="005E2F1A" w:rsidRDefault="009F5F28" w:rsidP="009F5F28">
      <w:pPr>
        <w:pStyle w:val="FootnoteText"/>
        <w:ind w:left="0" w:firstLine="0"/>
        <w:rPr>
          <w:lang w:val="es-ES"/>
        </w:rPr>
      </w:pPr>
      <w:r>
        <w:rPr>
          <w:rStyle w:val="FootnoteReference"/>
        </w:rPr>
        <w:footnoteRef/>
      </w:r>
      <w:r w:rsidRPr="005E2F1A">
        <w:rPr>
          <w:lang w:val="es-ES"/>
        </w:rPr>
        <w:t xml:space="preserve"> Ver</w:t>
      </w:r>
      <w:r>
        <w:rPr>
          <w:lang w:val="es-ES"/>
        </w:rPr>
        <w:t xml:space="preserve"> el</w:t>
      </w:r>
      <w:r w:rsidRPr="005E2F1A">
        <w:rPr>
          <w:lang w:val="es-ES"/>
        </w:rPr>
        <w:t xml:space="preserve"> </w:t>
      </w:r>
      <w:r>
        <w:rPr>
          <w:lang w:val="es-ES"/>
        </w:rPr>
        <w:t>l</w:t>
      </w:r>
      <w:r w:rsidRPr="005E2F1A">
        <w:rPr>
          <w:lang w:val="es-ES"/>
        </w:rPr>
        <w:t>ink</w:t>
      </w:r>
      <w:r>
        <w:rPr>
          <w:lang w:val="es-ES"/>
        </w:rPr>
        <w:t>:</w:t>
      </w:r>
      <w:r w:rsidRPr="005E2F1A">
        <w:rPr>
          <w:lang w:val="es-ES"/>
        </w:rPr>
        <w:t xml:space="preserve"> “</w:t>
      </w:r>
      <w:r>
        <w:rPr>
          <w:lang w:val="es-ES"/>
        </w:rPr>
        <w:t>E</w:t>
      </w:r>
      <w:r w:rsidRPr="005E2F1A">
        <w:rPr>
          <w:lang w:val="es-ES"/>
        </w:rPr>
        <w:t xml:space="preserve">lementos para el dimensionamiento de una Estrategia de Gestión </w:t>
      </w:r>
      <w:r>
        <w:rPr>
          <w:lang w:val="es-ES"/>
        </w:rPr>
        <w:t>F</w:t>
      </w:r>
      <w:r w:rsidRPr="005E2F1A">
        <w:rPr>
          <w:lang w:val="es-ES"/>
        </w:rPr>
        <w:t>inancier</w:t>
      </w:r>
      <w:r>
        <w:rPr>
          <w:lang w:val="es-ES"/>
        </w:rPr>
        <w:t>a</w:t>
      </w:r>
      <w:r w:rsidRPr="005E2F1A">
        <w:rPr>
          <w:lang w:val="es-ES"/>
        </w:rPr>
        <w:t xml:space="preserve"> de </w:t>
      </w:r>
      <w:r>
        <w:rPr>
          <w:lang w:val="es-ES"/>
        </w:rPr>
        <w:t>R</w:t>
      </w:r>
      <w:r w:rsidRPr="005E2F1A">
        <w:rPr>
          <w:lang w:val="es-ES"/>
        </w:rPr>
        <w:t xml:space="preserve">iesgos por </w:t>
      </w:r>
      <w:r>
        <w:rPr>
          <w:lang w:val="es-ES"/>
        </w:rPr>
        <w:t>D</w:t>
      </w:r>
      <w:r w:rsidRPr="005E2F1A">
        <w:rPr>
          <w:lang w:val="es-ES"/>
        </w:rPr>
        <w:t xml:space="preserve">esastres </w:t>
      </w:r>
      <w:r>
        <w:rPr>
          <w:lang w:val="es-ES"/>
        </w:rPr>
        <w:t>N</w:t>
      </w:r>
      <w:r w:rsidRPr="005E2F1A">
        <w:rPr>
          <w:lang w:val="es-ES"/>
        </w:rPr>
        <w:t xml:space="preserve">aturales en </w:t>
      </w:r>
      <w:r>
        <w:rPr>
          <w:lang w:val="es-ES"/>
        </w:rPr>
        <w:t>C</w:t>
      </w:r>
      <w:r w:rsidRPr="005E2F1A">
        <w:rPr>
          <w:lang w:val="es-ES"/>
        </w:rPr>
        <w:t>osta Rica”.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94" w:rsidRDefault="008D6894">
    <w:pPr>
      <w:pStyle w:val="Header"/>
      <w:ind w:right="360"/>
      <w:jc w:val="center"/>
      <w:rPr>
        <w:rStyle w:val="PageNumber"/>
        <w:snapToGrid w:val="0"/>
      </w:rPr>
    </w:pPr>
    <w:r>
      <w:rPr>
        <w:rStyle w:val="PageNumber"/>
        <w:snapToGrid w:val="0"/>
      </w:rPr>
      <w:t xml:space="preserve">- </w:t>
    </w:r>
    <w:r w:rsidR="00F96D5F">
      <w:rPr>
        <w:rStyle w:val="PageNumber"/>
        <w:snapToGrid w:val="0"/>
      </w:rPr>
      <w:fldChar w:fldCharType="begin"/>
    </w:r>
    <w:r>
      <w:rPr>
        <w:rStyle w:val="PageNumber"/>
        <w:snapToGrid w:val="0"/>
      </w:rPr>
      <w:instrText xml:space="preserve"> PAGE </w:instrText>
    </w:r>
    <w:r w:rsidR="00F96D5F">
      <w:rPr>
        <w:rStyle w:val="PageNumber"/>
        <w:snapToGrid w:val="0"/>
      </w:rPr>
      <w:fldChar w:fldCharType="separate"/>
    </w:r>
    <w:r>
      <w:rPr>
        <w:rStyle w:val="PageNumber"/>
        <w:noProof/>
        <w:snapToGrid w:val="0"/>
      </w:rPr>
      <w:t>iii</w:t>
    </w:r>
    <w:r w:rsidR="00F96D5F">
      <w:rPr>
        <w:rStyle w:val="PageNumber"/>
        <w:snapToGrid w:val="0"/>
      </w:rPr>
      <w:fldChar w:fldCharType="end"/>
    </w:r>
    <w:r>
      <w:rPr>
        <w:rStyle w:val="PageNumber"/>
        <w:snapToGrid w:val="0"/>
      </w:rPr>
      <w:t xml:space="preserve"> -</w:t>
    </w:r>
  </w:p>
  <w:p w:rsidR="008D6894" w:rsidRDefault="008D6894">
    <w:pPr>
      <w:pStyle w:val="Header"/>
      <w:ind w:right="360"/>
      <w:jc w:val="center"/>
    </w:pPr>
  </w:p>
  <w:p w:rsidR="008D6894" w:rsidRDefault="008D6894">
    <w:pPr>
      <w:pStyle w:val="Header"/>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94" w:rsidRDefault="008D6894">
    <w:pPr>
      <w:pStyle w:val="Header"/>
      <w:jc w:val="center"/>
      <w:rPr>
        <w:snapToGrid w:val="0"/>
      </w:rPr>
    </w:pPr>
    <w:r>
      <w:rPr>
        <w:snapToGrid w:val="0"/>
      </w:rPr>
      <w:t xml:space="preserve">- </w:t>
    </w:r>
    <w:r w:rsidR="00F96D5F">
      <w:rPr>
        <w:snapToGrid w:val="0"/>
      </w:rPr>
      <w:fldChar w:fldCharType="begin"/>
    </w:r>
    <w:r>
      <w:rPr>
        <w:snapToGrid w:val="0"/>
      </w:rPr>
      <w:instrText xml:space="preserve"> PAGE </w:instrText>
    </w:r>
    <w:r w:rsidR="00F96D5F">
      <w:rPr>
        <w:snapToGrid w:val="0"/>
      </w:rPr>
      <w:fldChar w:fldCharType="separate"/>
    </w:r>
    <w:r>
      <w:rPr>
        <w:noProof/>
        <w:snapToGrid w:val="0"/>
      </w:rPr>
      <w:t>2</w:t>
    </w:r>
    <w:r w:rsidR="00F96D5F">
      <w:rPr>
        <w:snapToGrid w:val="0"/>
      </w:rPr>
      <w:fldChar w:fldCharType="end"/>
    </w:r>
    <w:r>
      <w:rPr>
        <w:snapToGrid w:val="0"/>
      </w:rPr>
      <w:t xml:space="preserve"> - </w:t>
    </w:r>
  </w:p>
  <w:p w:rsidR="008D6894" w:rsidRDefault="008D6894">
    <w:pPr>
      <w:pStyle w:val="Header"/>
      <w:jc w:val="center"/>
      <w:rPr>
        <w:snapToGrid w:val="0"/>
      </w:rPr>
    </w:pPr>
  </w:p>
  <w:p w:rsidR="008D6894" w:rsidRDefault="008D6894">
    <w:pPr>
      <w:pStyle w:val="Header"/>
      <w:jc w:val="center"/>
      <w:rPr>
        <w:snapToGrid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94" w:rsidRDefault="008D6894">
    <w:pPr>
      <w:pStyle w:val="Header"/>
      <w:jc w:val="center"/>
      <w:rPr>
        <w:snapToGrid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94" w:rsidRDefault="008D6894">
    <w:pPr>
      <w:pStyle w:val="Header"/>
      <w:ind w:right="360"/>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94" w:rsidRDefault="008D6894">
    <w:pPr>
      <w:pStyle w:val="Header"/>
      <w:ind w:right="360"/>
    </w:pPr>
    <w:r>
      <w:rPr>
        <w:snapToGrid w:val="0"/>
      </w:rPr>
      <w:tab/>
    </w:r>
    <w:r>
      <w:rPr>
        <w:snapToGrid w:val="0"/>
      </w:rPr>
      <w:tab/>
    </w:r>
  </w:p>
  <w:p w:rsidR="008D6894" w:rsidRDefault="008D6894">
    <w:pPr>
      <w:pStyle w:val="Header"/>
      <w:ind w:right="36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94" w:rsidRDefault="008D6894" w:rsidP="009932E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168"/>
    <w:multiLevelType w:val="hybridMultilevel"/>
    <w:tmpl w:val="10A61C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534F7"/>
    <w:multiLevelType w:val="hybridMultilevel"/>
    <w:tmpl w:val="3B86EF1C"/>
    <w:lvl w:ilvl="0" w:tplc="C9DA493C">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AB7FC9"/>
    <w:multiLevelType w:val="multilevel"/>
    <w:tmpl w:val="8DEC35A0"/>
    <w:lvl w:ilvl="0">
      <w:start w:val="1"/>
      <w:numFmt w:val="upperRoman"/>
      <w:lvlText w:val="%1."/>
      <w:lvlJc w:val="center"/>
      <w:pPr>
        <w:tabs>
          <w:tab w:val="num" w:pos="3780"/>
        </w:tabs>
        <w:ind w:left="3132" w:firstLine="288"/>
      </w:pPr>
      <w:rPr>
        <w:rFonts w:hint="default"/>
        <w:b/>
        <w:i w:val="0"/>
      </w:rPr>
    </w:lvl>
    <w:lvl w:ilvl="1">
      <w:start w:val="1"/>
      <w:numFmt w:val="decimal"/>
      <w:isLgl/>
      <w:lvlText w:val="%1.%2"/>
      <w:lvlJc w:val="left"/>
      <w:pPr>
        <w:tabs>
          <w:tab w:val="num" w:pos="720"/>
        </w:tabs>
        <w:ind w:left="720" w:hanging="720"/>
      </w:pPr>
      <w:rPr>
        <w:rFonts w:hint="default"/>
        <w:b w:val="0"/>
      </w:rPr>
    </w:lvl>
    <w:lvl w:ilvl="2">
      <w:start w:val="1"/>
      <w:numFmt w:val="lowerLetter"/>
      <w:lvlText w:val="%3)"/>
      <w:lvlJc w:val="left"/>
      <w:pPr>
        <w:tabs>
          <w:tab w:val="num" w:pos="1152"/>
        </w:tabs>
        <w:ind w:left="1152" w:hanging="432"/>
      </w:pPr>
      <w:rPr>
        <w:rFonts w:hint="default"/>
        <w:b/>
        <w:i w:val="0"/>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
    <w:nsid w:val="1007087A"/>
    <w:multiLevelType w:val="multilevel"/>
    <w:tmpl w:val="9B0EFD46"/>
    <w:lvl w:ilvl="0">
      <w:start w:val="1"/>
      <w:numFmt w:val="none"/>
      <w:lvlRestart w:val="0"/>
      <w:suff w:val="nothing"/>
      <w:lvlText w:val=""/>
      <w:lvlJc w:val="left"/>
      <w:pPr>
        <w:ind w:left="720" w:hanging="72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148A24D6"/>
    <w:multiLevelType w:val="multilevel"/>
    <w:tmpl w:val="A622EF18"/>
    <w:lvl w:ilvl="0">
      <w:start w:val="1"/>
      <w:numFmt w:val="upperRoman"/>
      <w:lvlRestart w:val="0"/>
      <w:lvlText w:val="%1."/>
      <w:lvlJc w:val="center"/>
      <w:pPr>
        <w:tabs>
          <w:tab w:val="num" w:pos="648"/>
        </w:tabs>
        <w:ind w:left="0" w:firstLine="288"/>
      </w:pPr>
      <w:rPr>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6AF5CCA"/>
    <w:multiLevelType w:val="multilevel"/>
    <w:tmpl w:val="E0944734"/>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6">
    <w:nsid w:val="1BAB2F22"/>
    <w:multiLevelType w:val="multilevel"/>
    <w:tmpl w:val="9480830E"/>
    <w:lvl w:ilvl="0">
      <w:start w:val="1"/>
      <w:numFmt w:val="none"/>
      <w:lvlRestart w:val="0"/>
      <w:suff w:val="nothing"/>
      <w:lvlText w:val=""/>
      <w:lvlJc w:val="left"/>
      <w:pPr>
        <w:ind w:left="2592" w:hanging="720"/>
      </w:pPr>
    </w:lvl>
    <w:lvl w:ilvl="1">
      <w:start w:val="1"/>
      <w:numFmt w:val="decimal"/>
      <w:lvlText w:val="%2."/>
      <w:lvlJc w:val="left"/>
      <w:pPr>
        <w:tabs>
          <w:tab w:val="num" w:pos="3168"/>
        </w:tabs>
        <w:ind w:left="3168" w:hanging="576"/>
      </w:pPr>
      <w:rPr>
        <w:b/>
      </w:rPr>
    </w:lvl>
    <w:lvl w:ilvl="2">
      <w:start w:val="1"/>
      <w:numFmt w:val="lowerLetter"/>
      <w:lvlText w:val="(%3)"/>
      <w:lvlJc w:val="left"/>
      <w:pPr>
        <w:ind w:left="2592" w:hanging="432"/>
      </w:pPr>
    </w:lvl>
    <w:lvl w:ilvl="3">
      <w:start w:val="1"/>
      <w:numFmt w:val="lowerRoman"/>
      <w:lvlText w:val="(%4)"/>
      <w:lvlJc w:val="right"/>
      <w:pPr>
        <w:ind w:left="2736" w:hanging="144"/>
      </w:pPr>
    </w:lvl>
    <w:lvl w:ilvl="4">
      <w:start w:val="1"/>
      <w:numFmt w:val="decimal"/>
      <w:lvlText w:val="%5)"/>
      <w:lvlJc w:val="left"/>
      <w:pPr>
        <w:ind w:left="2880" w:hanging="432"/>
      </w:pPr>
    </w:lvl>
    <w:lvl w:ilvl="5">
      <w:start w:val="1"/>
      <w:numFmt w:val="lowerLetter"/>
      <w:lvlText w:val="%6)"/>
      <w:lvlJc w:val="left"/>
      <w:pPr>
        <w:ind w:left="3024" w:hanging="432"/>
      </w:pPr>
    </w:lvl>
    <w:lvl w:ilvl="6">
      <w:start w:val="1"/>
      <w:numFmt w:val="lowerRoman"/>
      <w:lvlText w:val="%7)"/>
      <w:lvlJc w:val="right"/>
      <w:pPr>
        <w:ind w:left="3168" w:hanging="288"/>
      </w:pPr>
    </w:lvl>
    <w:lvl w:ilvl="7">
      <w:start w:val="1"/>
      <w:numFmt w:val="lowerLetter"/>
      <w:lvlText w:val="%8."/>
      <w:lvlJc w:val="left"/>
      <w:pPr>
        <w:ind w:left="3312" w:hanging="432"/>
      </w:pPr>
    </w:lvl>
    <w:lvl w:ilvl="8">
      <w:start w:val="1"/>
      <w:numFmt w:val="lowerRoman"/>
      <w:lvlText w:val="%9."/>
      <w:lvlJc w:val="right"/>
      <w:pPr>
        <w:ind w:left="3456" w:hanging="144"/>
      </w:pPr>
    </w:lvl>
  </w:abstractNum>
  <w:abstractNum w:abstractNumId="7">
    <w:nsid w:val="1D79533A"/>
    <w:multiLevelType w:val="multilevel"/>
    <w:tmpl w:val="C742B8E6"/>
    <w:lvl w:ilvl="0">
      <w:start w:val="1"/>
      <w:numFmt w:val="upperRoman"/>
      <w:lvlText w:val="Article %1."/>
      <w:lvlJc w:val="left"/>
      <w:pPr>
        <w:ind w:left="0" w:firstLine="0"/>
      </w:pPr>
    </w:lvl>
    <w:lvl w:ilvl="1">
      <w:start w:val="1"/>
      <w:numFmt w:val="decimalZero"/>
      <w:isLgl/>
      <w:lvlText w:val="Section %1.%2"/>
      <w:lvlJc w:val="left"/>
      <w:pPr>
        <w:ind w:left="0" w:firstLine="0"/>
      </w:pPr>
      <w:rPr>
        <w:b/>
      </w:rPr>
    </w:lvl>
    <w:lvl w:ilvl="2">
      <w:start w:val="1"/>
      <w:numFmt w:val="lowerLetter"/>
      <w:lvlText w:val="(%3)"/>
      <w:lvlJc w:val="left"/>
      <w:pPr>
        <w:ind w:left="720" w:hanging="432"/>
      </w:pPr>
      <w:rPr>
        <w:b/>
      </w:rPr>
    </w:lvl>
    <w:lvl w:ilvl="3">
      <w:start w:val="1"/>
      <w:numFmt w:val="lowerRoman"/>
      <w:lvlText w:val="(%4)"/>
      <w:lvlJc w:val="right"/>
      <w:pPr>
        <w:ind w:left="864" w:hanging="144"/>
      </w:pPr>
      <w:rPr>
        <w:b/>
      </w:r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2F4527B6"/>
    <w:multiLevelType w:val="hybridMultilevel"/>
    <w:tmpl w:val="62F4A560"/>
    <w:lvl w:ilvl="0" w:tplc="03C602F0">
      <w:start w:val="1"/>
      <w:numFmt w:val="bullet"/>
      <w:lvlText w:val="•"/>
      <w:lvlJc w:val="left"/>
      <w:pPr>
        <w:tabs>
          <w:tab w:val="num" w:pos="720"/>
        </w:tabs>
        <w:ind w:left="720" w:hanging="360"/>
      </w:pPr>
      <w:rPr>
        <w:rFonts w:ascii="Arial" w:hAnsi="Arial" w:hint="default"/>
      </w:rPr>
    </w:lvl>
    <w:lvl w:ilvl="1" w:tplc="03E82704" w:tentative="1">
      <w:start w:val="1"/>
      <w:numFmt w:val="bullet"/>
      <w:lvlText w:val="•"/>
      <w:lvlJc w:val="left"/>
      <w:pPr>
        <w:tabs>
          <w:tab w:val="num" w:pos="1440"/>
        </w:tabs>
        <w:ind w:left="1440" w:hanging="360"/>
      </w:pPr>
      <w:rPr>
        <w:rFonts w:ascii="Arial" w:hAnsi="Arial" w:hint="default"/>
      </w:rPr>
    </w:lvl>
    <w:lvl w:ilvl="2" w:tplc="3F3A087E" w:tentative="1">
      <w:start w:val="1"/>
      <w:numFmt w:val="bullet"/>
      <w:lvlText w:val="•"/>
      <w:lvlJc w:val="left"/>
      <w:pPr>
        <w:tabs>
          <w:tab w:val="num" w:pos="2160"/>
        </w:tabs>
        <w:ind w:left="2160" w:hanging="360"/>
      </w:pPr>
      <w:rPr>
        <w:rFonts w:ascii="Arial" w:hAnsi="Arial" w:hint="default"/>
      </w:rPr>
    </w:lvl>
    <w:lvl w:ilvl="3" w:tplc="3FCAB050" w:tentative="1">
      <w:start w:val="1"/>
      <w:numFmt w:val="bullet"/>
      <w:lvlText w:val="•"/>
      <w:lvlJc w:val="left"/>
      <w:pPr>
        <w:tabs>
          <w:tab w:val="num" w:pos="2880"/>
        </w:tabs>
        <w:ind w:left="2880" w:hanging="360"/>
      </w:pPr>
      <w:rPr>
        <w:rFonts w:ascii="Arial" w:hAnsi="Arial" w:hint="default"/>
      </w:rPr>
    </w:lvl>
    <w:lvl w:ilvl="4" w:tplc="854E9D7A" w:tentative="1">
      <w:start w:val="1"/>
      <w:numFmt w:val="bullet"/>
      <w:lvlText w:val="•"/>
      <w:lvlJc w:val="left"/>
      <w:pPr>
        <w:tabs>
          <w:tab w:val="num" w:pos="3600"/>
        </w:tabs>
        <w:ind w:left="3600" w:hanging="360"/>
      </w:pPr>
      <w:rPr>
        <w:rFonts w:ascii="Arial" w:hAnsi="Arial" w:hint="default"/>
      </w:rPr>
    </w:lvl>
    <w:lvl w:ilvl="5" w:tplc="D34EFB34" w:tentative="1">
      <w:start w:val="1"/>
      <w:numFmt w:val="bullet"/>
      <w:lvlText w:val="•"/>
      <w:lvlJc w:val="left"/>
      <w:pPr>
        <w:tabs>
          <w:tab w:val="num" w:pos="4320"/>
        </w:tabs>
        <w:ind w:left="4320" w:hanging="360"/>
      </w:pPr>
      <w:rPr>
        <w:rFonts w:ascii="Arial" w:hAnsi="Arial" w:hint="default"/>
      </w:rPr>
    </w:lvl>
    <w:lvl w:ilvl="6" w:tplc="C3BEFD68" w:tentative="1">
      <w:start w:val="1"/>
      <w:numFmt w:val="bullet"/>
      <w:lvlText w:val="•"/>
      <w:lvlJc w:val="left"/>
      <w:pPr>
        <w:tabs>
          <w:tab w:val="num" w:pos="5040"/>
        </w:tabs>
        <w:ind w:left="5040" w:hanging="360"/>
      </w:pPr>
      <w:rPr>
        <w:rFonts w:ascii="Arial" w:hAnsi="Arial" w:hint="default"/>
      </w:rPr>
    </w:lvl>
    <w:lvl w:ilvl="7" w:tplc="0408F6C4" w:tentative="1">
      <w:start w:val="1"/>
      <w:numFmt w:val="bullet"/>
      <w:lvlText w:val="•"/>
      <w:lvlJc w:val="left"/>
      <w:pPr>
        <w:tabs>
          <w:tab w:val="num" w:pos="5760"/>
        </w:tabs>
        <w:ind w:left="5760" w:hanging="360"/>
      </w:pPr>
      <w:rPr>
        <w:rFonts w:ascii="Arial" w:hAnsi="Arial" w:hint="default"/>
      </w:rPr>
    </w:lvl>
    <w:lvl w:ilvl="8" w:tplc="6E14647A" w:tentative="1">
      <w:start w:val="1"/>
      <w:numFmt w:val="bullet"/>
      <w:lvlText w:val="•"/>
      <w:lvlJc w:val="left"/>
      <w:pPr>
        <w:tabs>
          <w:tab w:val="num" w:pos="6480"/>
        </w:tabs>
        <w:ind w:left="6480" w:hanging="360"/>
      </w:pPr>
      <w:rPr>
        <w:rFonts w:ascii="Arial" w:hAnsi="Arial" w:hint="default"/>
      </w:rPr>
    </w:lvl>
  </w:abstractNum>
  <w:abstractNum w:abstractNumId="9">
    <w:nsid w:val="47BF2A4F"/>
    <w:multiLevelType w:val="hybridMultilevel"/>
    <w:tmpl w:val="3190CA4E"/>
    <w:lvl w:ilvl="0" w:tplc="301AE56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8EF3B72"/>
    <w:multiLevelType w:val="hybridMultilevel"/>
    <w:tmpl w:val="90DE38FE"/>
    <w:lvl w:ilvl="0" w:tplc="C9DA493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B9131A"/>
    <w:multiLevelType w:val="multilevel"/>
    <w:tmpl w:val="164A7192"/>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12">
    <w:nsid w:val="53517EF9"/>
    <w:multiLevelType w:val="multilevel"/>
    <w:tmpl w:val="0E287EF2"/>
    <w:lvl w:ilvl="0">
      <w:start w:val="1"/>
      <w:numFmt w:val="none"/>
      <w:lvlRestart w:val="0"/>
      <w:suff w:val="nothing"/>
      <w:lvlText w:val=""/>
      <w:lvlJc w:val="left"/>
      <w:pPr>
        <w:ind w:left="3096" w:hanging="720"/>
      </w:pPr>
    </w:lvl>
    <w:lvl w:ilvl="1">
      <w:start w:val="1"/>
      <w:numFmt w:val="decimal"/>
      <w:lvlText w:val="%2."/>
      <w:lvlJc w:val="left"/>
      <w:pPr>
        <w:tabs>
          <w:tab w:val="num" w:pos="3672"/>
        </w:tabs>
        <w:ind w:left="3672" w:hanging="576"/>
      </w:pPr>
      <w:rPr>
        <w:b/>
      </w:rPr>
    </w:lvl>
    <w:lvl w:ilvl="2">
      <w:start w:val="1"/>
      <w:numFmt w:val="lowerLetter"/>
      <w:lvlText w:val="%3)"/>
      <w:lvlJc w:val="left"/>
      <w:pPr>
        <w:tabs>
          <w:tab w:val="num" w:pos="4248"/>
        </w:tabs>
        <w:ind w:left="4248" w:hanging="576"/>
      </w:pPr>
      <w:rPr>
        <w:b/>
      </w:rPr>
    </w:lvl>
    <w:lvl w:ilvl="3">
      <w:start w:val="1"/>
      <w:numFmt w:val="lowerRoman"/>
      <w:lvlText w:val="(%4)"/>
      <w:lvlJc w:val="right"/>
      <w:pPr>
        <w:ind w:left="3240" w:hanging="144"/>
      </w:pPr>
    </w:lvl>
    <w:lvl w:ilvl="4">
      <w:start w:val="1"/>
      <w:numFmt w:val="decimal"/>
      <w:lvlText w:val="%5)"/>
      <w:lvlJc w:val="left"/>
      <w:pPr>
        <w:ind w:left="3384" w:hanging="432"/>
      </w:pPr>
    </w:lvl>
    <w:lvl w:ilvl="5">
      <w:start w:val="1"/>
      <w:numFmt w:val="lowerLetter"/>
      <w:lvlText w:val="%6)"/>
      <w:lvlJc w:val="left"/>
      <w:pPr>
        <w:ind w:left="3528" w:hanging="432"/>
      </w:pPr>
    </w:lvl>
    <w:lvl w:ilvl="6">
      <w:start w:val="1"/>
      <w:numFmt w:val="lowerRoman"/>
      <w:lvlText w:val="%7)"/>
      <w:lvlJc w:val="right"/>
      <w:pPr>
        <w:ind w:left="3672" w:hanging="288"/>
      </w:pPr>
    </w:lvl>
    <w:lvl w:ilvl="7">
      <w:start w:val="1"/>
      <w:numFmt w:val="lowerLetter"/>
      <w:lvlText w:val="%8."/>
      <w:lvlJc w:val="left"/>
      <w:pPr>
        <w:ind w:left="3816" w:hanging="432"/>
      </w:pPr>
    </w:lvl>
    <w:lvl w:ilvl="8">
      <w:start w:val="1"/>
      <w:numFmt w:val="lowerRoman"/>
      <w:lvlText w:val="%9."/>
      <w:lvlJc w:val="right"/>
      <w:pPr>
        <w:ind w:left="3960" w:hanging="144"/>
      </w:pPr>
    </w:lvl>
  </w:abstractNum>
  <w:abstractNum w:abstractNumId="13">
    <w:nsid w:val="54CB3FC2"/>
    <w:multiLevelType w:val="hybridMultilevel"/>
    <w:tmpl w:val="82E4D4CA"/>
    <w:lvl w:ilvl="0" w:tplc="C456CA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608460A"/>
    <w:multiLevelType w:val="hybridMultilevel"/>
    <w:tmpl w:val="AC56E03A"/>
    <w:lvl w:ilvl="0" w:tplc="655627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9851C2"/>
    <w:multiLevelType w:val="multilevel"/>
    <w:tmpl w:val="F5C40ACC"/>
    <w:lvl w:ilvl="0">
      <w:start w:val="1"/>
      <w:numFmt w:val="upperRoman"/>
      <w:lvlRestart w:val="0"/>
      <w:lvlText w:val="%1."/>
      <w:lvlJc w:val="center"/>
      <w:pPr>
        <w:tabs>
          <w:tab w:val="num" w:pos="1944"/>
        </w:tabs>
        <w:ind w:left="1296" w:firstLine="288"/>
      </w:pPr>
      <w:rPr>
        <w:b/>
        <w:i w:val="0"/>
      </w:rPr>
    </w:lvl>
    <w:lvl w:ilvl="1">
      <w:start w:val="1"/>
      <w:numFmt w:val="decimal"/>
      <w:isLgl/>
      <w:lvlText w:val="%1.%2"/>
      <w:lvlJc w:val="left"/>
      <w:pPr>
        <w:tabs>
          <w:tab w:val="num" w:pos="2592"/>
        </w:tabs>
        <w:ind w:left="2592" w:hanging="1296"/>
      </w:pPr>
    </w:lvl>
    <w:lvl w:ilvl="2">
      <w:start w:val="1"/>
      <w:numFmt w:val="lowerLetter"/>
      <w:lvlText w:val="%3."/>
      <w:lvlJc w:val="left"/>
      <w:pPr>
        <w:tabs>
          <w:tab w:val="num" w:pos="2448"/>
        </w:tabs>
        <w:ind w:left="2448" w:hanging="432"/>
      </w:pPr>
    </w:lvl>
    <w:lvl w:ilvl="3">
      <w:start w:val="1"/>
      <w:numFmt w:val="decimal"/>
      <w:lvlText w:val="%1.%2.%3.%4"/>
      <w:lvlJc w:val="left"/>
      <w:pPr>
        <w:ind w:left="2160" w:hanging="864"/>
      </w:pPr>
    </w:lvl>
    <w:lvl w:ilvl="4">
      <w:start w:val="1"/>
      <w:numFmt w:val="decimal"/>
      <w:lvlText w:val="%1.%2.%3.%4.%5"/>
      <w:lvlJc w:val="left"/>
      <w:pPr>
        <w:ind w:left="2304" w:hanging="1008"/>
      </w:pPr>
    </w:lvl>
    <w:lvl w:ilvl="5">
      <w:start w:val="1"/>
      <w:numFmt w:val="decimal"/>
      <w:lvlText w:val="%1.%2.%3.%4.%5.%6"/>
      <w:lvlJc w:val="left"/>
      <w:pPr>
        <w:ind w:left="2448" w:hanging="1152"/>
      </w:pPr>
    </w:lvl>
    <w:lvl w:ilvl="6">
      <w:start w:val="1"/>
      <w:numFmt w:val="decimal"/>
      <w:lvlText w:val="%1.%2.%3.%4.%5.%6.%7"/>
      <w:lvlJc w:val="left"/>
      <w:pPr>
        <w:ind w:left="2592" w:hanging="1296"/>
      </w:pPr>
    </w:lvl>
    <w:lvl w:ilvl="7">
      <w:start w:val="1"/>
      <w:numFmt w:val="decimal"/>
      <w:lvlText w:val="%1.%2.%3.%4.%5.%6.%7.%8"/>
      <w:lvlJc w:val="left"/>
      <w:pPr>
        <w:ind w:left="2736" w:hanging="1440"/>
      </w:pPr>
    </w:lvl>
    <w:lvl w:ilvl="8">
      <w:start w:val="1"/>
      <w:numFmt w:val="decimal"/>
      <w:lvlText w:val="%1.%2.%3.%4.%5.%6.%7.%8.%9"/>
      <w:lvlJc w:val="left"/>
      <w:pPr>
        <w:ind w:left="2880" w:hanging="1584"/>
      </w:pPr>
    </w:lvl>
  </w:abstractNum>
  <w:abstractNum w:abstractNumId="16">
    <w:nsid w:val="57D13CA5"/>
    <w:multiLevelType w:val="multilevel"/>
    <w:tmpl w:val="CF4AD4DE"/>
    <w:lvl w:ilvl="0">
      <w:start w:val="1"/>
      <w:numFmt w:val="upperRoman"/>
      <w:lvlText w:val="%1."/>
      <w:lvlJc w:val="left"/>
      <w:pPr>
        <w:ind w:left="1800" w:hanging="72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AE37978"/>
    <w:multiLevelType w:val="multilevel"/>
    <w:tmpl w:val="544C5940"/>
    <w:lvl w:ilvl="0">
      <w:start w:val="1"/>
      <w:numFmt w:val="decimal"/>
      <w:lvlText w:val="%1"/>
      <w:lvlJc w:val="left"/>
      <w:pPr>
        <w:ind w:left="720" w:hanging="432"/>
      </w:pPr>
      <w:rPr>
        <w:b/>
        <w:i w:val="0"/>
      </w:rPr>
    </w:lvl>
    <w:lvl w:ilvl="1">
      <w:start w:val="1"/>
      <w:numFmt w:val="decimal"/>
      <w:lvlText w:val="%1.%2"/>
      <w:lvlJc w:val="left"/>
      <w:pPr>
        <w:ind w:left="864" w:hanging="576"/>
      </w:pPr>
    </w:lvl>
    <w:lvl w:ilvl="2">
      <w:start w:val="1"/>
      <w:numFmt w:val="decimal"/>
      <w:lvlText w:val="%1.%2.%3"/>
      <w:lvlJc w:val="left"/>
      <w:pPr>
        <w:ind w:left="1008" w:hanging="720"/>
      </w:pPr>
    </w:lvl>
    <w:lvl w:ilvl="3">
      <w:start w:val="1"/>
      <w:numFmt w:val="decimal"/>
      <w:lvlText w:val="%1.%2.%3.%4"/>
      <w:lvlJc w:val="left"/>
      <w:pPr>
        <w:ind w:left="1152" w:hanging="864"/>
      </w:pPr>
    </w:lvl>
    <w:lvl w:ilvl="4">
      <w:start w:val="1"/>
      <w:numFmt w:val="decimal"/>
      <w:lvlText w:val="%1.%2.%3.%4.%5"/>
      <w:lvlJc w:val="left"/>
      <w:pPr>
        <w:ind w:left="1296" w:hanging="1008"/>
      </w:pPr>
    </w:lvl>
    <w:lvl w:ilvl="5">
      <w:start w:val="1"/>
      <w:numFmt w:val="decimal"/>
      <w:lvlText w:val="%1.%2.%3.%4.%5.%6"/>
      <w:lvlJc w:val="left"/>
      <w:pPr>
        <w:ind w:left="1440" w:hanging="1152"/>
      </w:pPr>
    </w:lvl>
    <w:lvl w:ilvl="6">
      <w:start w:val="1"/>
      <w:numFmt w:val="decimal"/>
      <w:lvlText w:val="%1.%2.%3.%4.%5.%6.%7"/>
      <w:lvlJc w:val="left"/>
      <w:pPr>
        <w:ind w:left="1584" w:hanging="1296"/>
      </w:pPr>
    </w:lvl>
    <w:lvl w:ilvl="7">
      <w:start w:val="1"/>
      <w:numFmt w:val="decimal"/>
      <w:lvlText w:val="%1.%2.%3.%4.%5.%6.%7.%8"/>
      <w:lvlJc w:val="left"/>
      <w:pPr>
        <w:ind w:left="1728" w:hanging="1440"/>
      </w:pPr>
    </w:lvl>
    <w:lvl w:ilvl="8">
      <w:start w:val="1"/>
      <w:numFmt w:val="decimal"/>
      <w:lvlText w:val="%1.%2.%3.%4.%5.%6.%7.%8.%9"/>
      <w:lvlJc w:val="left"/>
      <w:pPr>
        <w:ind w:left="1872" w:hanging="1584"/>
      </w:pPr>
    </w:lvl>
  </w:abstractNum>
  <w:abstractNum w:abstractNumId="18">
    <w:nsid w:val="5D9D20AD"/>
    <w:multiLevelType w:val="hybridMultilevel"/>
    <w:tmpl w:val="11264058"/>
    <w:lvl w:ilvl="0" w:tplc="2196FBC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1F6A7C"/>
    <w:multiLevelType w:val="hybridMultilevel"/>
    <w:tmpl w:val="F3405FA0"/>
    <w:lvl w:ilvl="0" w:tplc="D4740D7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31F4A76"/>
    <w:multiLevelType w:val="hybridMultilevel"/>
    <w:tmpl w:val="91F28E2A"/>
    <w:lvl w:ilvl="0" w:tplc="C5F4D032">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739031CB"/>
    <w:multiLevelType w:val="hybridMultilevel"/>
    <w:tmpl w:val="09D68FD4"/>
    <w:lvl w:ilvl="0" w:tplc="F3CA3E4E">
      <w:start w:val="1"/>
      <w:numFmt w:val="upperRoman"/>
      <w:lvlText w:val="%1."/>
      <w:lvlJc w:val="left"/>
      <w:pPr>
        <w:ind w:left="1080" w:hanging="720"/>
      </w:pPr>
      <w:rPr>
        <w:rFonts w:hint="default"/>
      </w:rPr>
    </w:lvl>
    <w:lvl w:ilvl="1" w:tplc="935EE7FE" w:tentative="1">
      <w:start w:val="1"/>
      <w:numFmt w:val="lowerLetter"/>
      <w:lvlText w:val="%2."/>
      <w:lvlJc w:val="left"/>
      <w:pPr>
        <w:ind w:left="1440" w:hanging="360"/>
      </w:pPr>
    </w:lvl>
    <w:lvl w:ilvl="2" w:tplc="A7A4CB98" w:tentative="1">
      <w:start w:val="1"/>
      <w:numFmt w:val="lowerRoman"/>
      <w:lvlText w:val="%3."/>
      <w:lvlJc w:val="right"/>
      <w:pPr>
        <w:ind w:left="2160" w:hanging="180"/>
      </w:pPr>
    </w:lvl>
    <w:lvl w:ilvl="3" w:tplc="0C2C3330" w:tentative="1">
      <w:start w:val="1"/>
      <w:numFmt w:val="decimal"/>
      <w:lvlText w:val="%4."/>
      <w:lvlJc w:val="left"/>
      <w:pPr>
        <w:ind w:left="2880" w:hanging="360"/>
      </w:pPr>
    </w:lvl>
    <w:lvl w:ilvl="4" w:tplc="1F40355E" w:tentative="1">
      <w:start w:val="1"/>
      <w:numFmt w:val="lowerLetter"/>
      <w:lvlText w:val="%5."/>
      <w:lvlJc w:val="left"/>
      <w:pPr>
        <w:ind w:left="3600" w:hanging="360"/>
      </w:pPr>
    </w:lvl>
    <w:lvl w:ilvl="5" w:tplc="B94E8374" w:tentative="1">
      <w:start w:val="1"/>
      <w:numFmt w:val="lowerRoman"/>
      <w:lvlText w:val="%6."/>
      <w:lvlJc w:val="right"/>
      <w:pPr>
        <w:ind w:left="4320" w:hanging="180"/>
      </w:pPr>
    </w:lvl>
    <w:lvl w:ilvl="6" w:tplc="A31ABA7A" w:tentative="1">
      <w:start w:val="1"/>
      <w:numFmt w:val="decimal"/>
      <w:lvlText w:val="%7."/>
      <w:lvlJc w:val="left"/>
      <w:pPr>
        <w:ind w:left="5040" w:hanging="360"/>
      </w:pPr>
    </w:lvl>
    <w:lvl w:ilvl="7" w:tplc="8E2EF368" w:tentative="1">
      <w:start w:val="1"/>
      <w:numFmt w:val="lowerLetter"/>
      <w:lvlText w:val="%8."/>
      <w:lvlJc w:val="left"/>
      <w:pPr>
        <w:ind w:left="5760" w:hanging="360"/>
      </w:pPr>
    </w:lvl>
    <w:lvl w:ilvl="8" w:tplc="7DC2DDA6" w:tentative="1">
      <w:start w:val="1"/>
      <w:numFmt w:val="lowerRoman"/>
      <w:lvlText w:val="%9."/>
      <w:lvlJc w:val="right"/>
      <w:pPr>
        <w:ind w:left="6480" w:hanging="180"/>
      </w:pPr>
    </w:lvl>
  </w:abstractNum>
  <w:abstractNum w:abstractNumId="22">
    <w:nsid w:val="74C74592"/>
    <w:multiLevelType w:val="multilevel"/>
    <w:tmpl w:val="9908391E"/>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77B3500D"/>
    <w:multiLevelType w:val="hybridMultilevel"/>
    <w:tmpl w:val="D3E6A352"/>
    <w:lvl w:ilvl="0" w:tplc="04090001">
      <w:start w:val="1"/>
      <w:numFmt w:val="lowerRoman"/>
      <w:lvlText w:val="(%1)"/>
      <w:lvlJc w:val="left"/>
      <w:pPr>
        <w:ind w:left="1080" w:hanging="72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77BD68AD"/>
    <w:multiLevelType w:val="multilevel"/>
    <w:tmpl w:val="9330317C"/>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7C232F42"/>
    <w:multiLevelType w:val="hybridMultilevel"/>
    <w:tmpl w:val="8AA0998E"/>
    <w:lvl w:ilvl="0" w:tplc="CB36559A">
      <w:start w:val="1"/>
      <w:numFmt w:val="decimal"/>
      <w:lvlText w:val="%1."/>
      <w:lvlJc w:val="left"/>
      <w:pPr>
        <w:tabs>
          <w:tab w:val="num" w:pos="720"/>
        </w:tabs>
        <w:ind w:left="720" w:hanging="360"/>
      </w:pPr>
      <w:rPr>
        <w:rFonts w:hint="default"/>
      </w:rPr>
    </w:lvl>
    <w:lvl w:ilvl="1" w:tplc="8B56DC58" w:tentative="1">
      <w:start w:val="1"/>
      <w:numFmt w:val="lowerLetter"/>
      <w:lvlText w:val="%2."/>
      <w:lvlJc w:val="left"/>
      <w:pPr>
        <w:tabs>
          <w:tab w:val="num" w:pos="1440"/>
        </w:tabs>
        <w:ind w:left="1440" w:hanging="360"/>
      </w:pPr>
    </w:lvl>
    <w:lvl w:ilvl="2" w:tplc="A3D6B554" w:tentative="1">
      <w:start w:val="1"/>
      <w:numFmt w:val="lowerRoman"/>
      <w:lvlText w:val="%3."/>
      <w:lvlJc w:val="right"/>
      <w:pPr>
        <w:tabs>
          <w:tab w:val="num" w:pos="2160"/>
        </w:tabs>
        <w:ind w:left="2160" w:hanging="180"/>
      </w:pPr>
    </w:lvl>
    <w:lvl w:ilvl="3" w:tplc="C6D22176" w:tentative="1">
      <w:start w:val="1"/>
      <w:numFmt w:val="decimal"/>
      <w:lvlText w:val="%4."/>
      <w:lvlJc w:val="left"/>
      <w:pPr>
        <w:tabs>
          <w:tab w:val="num" w:pos="2880"/>
        </w:tabs>
        <w:ind w:left="2880" w:hanging="360"/>
      </w:pPr>
    </w:lvl>
    <w:lvl w:ilvl="4" w:tplc="2F32DA3C" w:tentative="1">
      <w:start w:val="1"/>
      <w:numFmt w:val="lowerLetter"/>
      <w:lvlText w:val="%5."/>
      <w:lvlJc w:val="left"/>
      <w:pPr>
        <w:tabs>
          <w:tab w:val="num" w:pos="3600"/>
        </w:tabs>
        <w:ind w:left="3600" w:hanging="360"/>
      </w:pPr>
    </w:lvl>
    <w:lvl w:ilvl="5" w:tplc="E070B636" w:tentative="1">
      <w:start w:val="1"/>
      <w:numFmt w:val="lowerRoman"/>
      <w:lvlText w:val="%6."/>
      <w:lvlJc w:val="right"/>
      <w:pPr>
        <w:tabs>
          <w:tab w:val="num" w:pos="4320"/>
        </w:tabs>
        <w:ind w:left="4320" w:hanging="180"/>
      </w:pPr>
    </w:lvl>
    <w:lvl w:ilvl="6" w:tplc="BB22ABD8" w:tentative="1">
      <w:start w:val="1"/>
      <w:numFmt w:val="decimal"/>
      <w:lvlText w:val="%7."/>
      <w:lvlJc w:val="left"/>
      <w:pPr>
        <w:tabs>
          <w:tab w:val="num" w:pos="5040"/>
        </w:tabs>
        <w:ind w:left="5040" w:hanging="360"/>
      </w:pPr>
    </w:lvl>
    <w:lvl w:ilvl="7" w:tplc="1DFCAB50" w:tentative="1">
      <w:start w:val="1"/>
      <w:numFmt w:val="lowerLetter"/>
      <w:lvlText w:val="%8."/>
      <w:lvlJc w:val="left"/>
      <w:pPr>
        <w:tabs>
          <w:tab w:val="num" w:pos="5760"/>
        </w:tabs>
        <w:ind w:left="5760" w:hanging="360"/>
      </w:pPr>
    </w:lvl>
    <w:lvl w:ilvl="8" w:tplc="D1F4180C" w:tentative="1">
      <w:start w:val="1"/>
      <w:numFmt w:val="lowerRoman"/>
      <w:lvlText w:val="%9."/>
      <w:lvlJc w:val="right"/>
      <w:pPr>
        <w:tabs>
          <w:tab w:val="num" w:pos="6480"/>
        </w:tabs>
        <w:ind w:left="6480" w:hanging="180"/>
      </w:p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
  </w:num>
  <w:num w:numId="11">
    <w:abstractNumId w:val="7"/>
  </w:num>
  <w:num w:numId="12">
    <w:abstractNumId w:val="2"/>
  </w:num>
  <w:num w:numId="13">
    <w:abstractNumId w:val="21"/>
  </w:num>
  <w:num w:numId="14">
    <w:abstractNumId w:val="13"/>
  </w:num>
  <w:num w:numId="15">
    <w:abstractNumId w:val="1"/>
  </w:num>
  <w:num w:numId="16">
    <w:abstractNumId w:val="16"/>
  </w:num>
  <w:num w:numId="17">
    <w:abstractNumId w:val="23"/>
  </w:num>
  <w:num w:numId="18">
    <w:abstractNumId w:val="10"/>
  </w:num>
  <w:num w:numId="19">
    <w:abstractNumId w:val="8"/>
  </w:num>
  <w:num w:numId="20">
    <w:abstractNumId w:val="14"/>
  </w:num>
  <w:num w:numId="21">
    <w:abstractNumId w:val="25"/>
  </w:num>
  <w:num w:numId="22">
    <w:abstractNumId w:val="2"/>
  </w:num>
  <w:num w:numId="23">
    <w:abstractNumId w:val="9"/>
  </w:num>
  <w:num w:numId="24">
    <w:abstractNumId w:val="18"/>
  </w:num>
  <w:num w:numId="25">
    <w:abstractNumId w:val="19"/>
  </w:num>
  <w:num w:numId="26">
    <w:abstractNumId w:val="20"/>
  </w:num>
  <w:num w:numId="27">
    <w:abstractNumId w:val="2"/>
  </w:num>
  <w:num w:numId="28">
    <w:abstractNumId w:val="2"/>
  </w:num>
  <w:num w:numId="29">
    <w:abstractNumId w:val="2"/>
  </w:num>
  <w:num w:numId="30">
    <w:abstractNumId w:val="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7"/>
  </w:num>
  <w:num w:numId="36">
    <w:abstractNumId w:val="17"/>
  </w:num>
  <w:num w:numId="37">
    <w:abstractNumId w:val="17"/>
  </w:num>
  <w:num w:numId="38">
    <w:abstractNumId w:val="17"/>
  </w:num>
  <w:num w:numId="39">
    <w:abstractNumId w:val="4"/>
  </w:num>
  <w:num w:numId="40">
    <w:abstractNumId w:val="24"/>
  </w:num>
  <w:num w:numId="41">
    <w:abstractNumId w:val="15"/>
  </w:num>
  <w:num w:numId="42">
    <w:abstractNumId w:val="3"/>
  </w:num>
  <w:num w:numId="43">
    <w:abstractNumId w:val="6"/>
  </w:num>
  <w:num w:numId="44">
    <w:abstractNumId w:val="12"/>
  </w:num>
  <w:num w:numId="45">
    <w:abstractNumId w:val="5"/>
  </w:num>
  <w:num w:numId="46">
    <w:abstractNumId w:val="11"/>
  </w:num>
  <w:num w:numId="47">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doNotUseHTMLParagraphAutoSpacing/>
    <w:compatSetting w:name="compatibilityMode" w:uri="http://schemas.microsoft.com/office/word" w:val="12"/>
  </w:compat>
  <w:docVars>
    <w:docVar w:name="DOCTYPE" w:val="PR"/>
    <w:docVar w:name="TotalAbbr" w:val="0"/>
  </w:docVars>
  <w:rsids>
    <w:rsidRoot w:val="00E12118"/>
    <w:rsid w:val="0001084E"/>
    <w:rsid w:val="00010AF0"/>
    <w:rsid w:val="00013EC8"/>
    <w:rsid w:val="00020283"/>
    <w:rsid w:val="00021104"/>
    <w:rsid w:val="000250F5"/>
    <w:rsid w:val="00026720"/>
    <w:rsid w:val="0003767E"/>
    <w:rsid w:val="00037B83"/>
    <w:rsid w:val="00040111"/>
    <w:rsid w:val="00040830"/>
    <w:rsid w:val="0004143C"/>
    <w:rsid w:val="00042256"/>
    <w:rsid w:val="000433CD"/>
    <w:rsid w:val="00060466"/>
    <w:rsid w:val="00060572"/>
    <w:rsid w:val="000624A8"/>
    <w:rsid w:val="00065D35"/>
    <w:rsid w:val="00066E41"/>
    <w:rsid w:val="00067038"/>
    <w:rsid w:val="0007069C"/>
    <w:rsid w:val="000709C5"/>
    <w:rsid w:val="00072020"/>
    <w:rsid w:val="00073BA0"/>
    <w:rsid w:val="000747F6"/>
    <w:rsid w:val="00081371"/>
    <w:rsid w:val="00082C75"/>
    <w:rsid w:val="000851E7"/>
    <w:rsid w:val="0008533A"/>
    <w:rsid w:val="00087242"/>
    <w:rsid w:val="000930A4"/>
    <w:rsid w:val="000938DB"/>
    <w:rsid w:val="00094902"/>
    <w:rsid w:val="00094D52"/>
    <w:rsid w:val="000955A2"/>
    <w:rsid w:val="00097B8F"/>
    <w:rsid w:val="000A1AA0"/>
    <w:rsid w:val="000A4829"/>
    <w:rsid w:val="000B1FB1"/>
    <w:rsid w:val="000B24A9"/>
    <w:rsid w:val="000B2F6F"/>
    <w:rsid w:val="000B32BC"/>
    <w:rsid w:val="000B3BD5"/>
    <w:rsid w:val="000B7B90"/>
    <w:rsid w:val="000C010B"/>
    <w:rsid w:val="000C3762"/>
    <w:rsid w:val="000C41CC"/>
    <w:rsid w:val="000C42BA"/>
    <w:rsid w:val="000D0B75"/>
    <w:rsid w:val="000D611F"/>
    <w:rsid w:val="000E0506"/>
    <w:rsid w:val="000E2BFF"/>
    <w:rsid w:val="000E4BB5"/>
    <w:rsid w:val="000E5DFC"/>
    <w:rsid w:val="000F30BE"/>
    <w:rsid w:val="000F5399"/>
    <w:rsid w:val="000F63BE"/>
    <w:rsid w:val="001014FA"/>
    <w:rsid w:val="001019B2"/>
    <w:rsid w:val="00102FDE"/>
    <w:rsid w:val="0010316C"/>
    <w:rsid w:val="00103744"/>
    <w:rsid w:val="0011224C"/>
    <w:rsid w:val="00114F7D"/>
    <w:rsid w:val="001164F0"/>
    <w:rsid w:val="00117DDA"/>
    <w:rsid w:val="00120FF4"/>
    <w:rsid w:val="00121C06"/>
    <w:rsid w:val="00123D65"/>
    <w:rsid w:val="00127BFC"/>
    <w:rsid w:val="001303CC"/>
    <w:rsid w:val="00136B7D"/>
    <w:rsid w:val="00136E56"/>
    <w:rsid w:val="00137BA8"/>
    <w:rsid w:val="00140F80"/>
    <w:rsid w:val="00141606"/>
    <w:rsid w:val="00142ABD"/>
    <w:rsid w:val="00144B10"/>
    <w:rsid w:val="00144C00"/>
    <w:rsid w:val="00146F2A"/>
    <w:rsid w:val="00153822"/>
    <w:rsid w:val="001552AA"/>
    <w:rsid w:val="00155F40"/>
    <w:rsid w:val="00156AB7"/>
    <w:rsid w:val="00156B23"/>
    <w:rsid w:val="00160679"/>
    <w:rsid w:val="0016244A"/>
    <w:rsid w:val="00162F28"/>
    <w:rsid w:val="00163C20"/>
    <w:rsid w:val="001642A9"/>
    <w:rsid w:val="0016712A"/>
    <w:rsid w:val="00170976"/>
    <w:rsid w:val="001716A9"/>
    <w:rsid w:val="00177FDE"/>
    <w:rsid w:val="0018315D"/>
    <w:rsid w:val="00186013"/>
    <w:rsid w:val="00191FDB"/>
    <w:rsid w:val="00192576"/>
    <w:rsid w:val="00192E9E"/>
    <w:rsid w:val="001942E3"/>
    <w:rsid w:val="001942FB"/>
    <w:rsid w:val="001A0256"/>
    <w:rsid w:val="001A0E2B"/>
    <w:rsid w:val="001A1A9C"/>
    <w:rsid w:val="001A236A"/>
    <w:rsid w:val="001A33A5"/>
    <w:rsid w:val="001A42BD"/>
    <w:rsid w:val="001B16BB"/>
    <w:rsid w:val="001B5E18"/>
    <w:rsid w:val="001B5F39"/>
    <w:rsid w:val="001C357E"/>
    <w:rsid w:val="001C4655"/>
    <w:rsid w:val="001D1C2F"/>
    <w:rsid w:val="001D22E0"/>
    <w:rsid w:val="001D3190"/>
    <w:rsid w:val="001E040E"/>
    <w:rsid w:val="001E6498"/>
    <w:rsid w:val="001E7997"/>
    <w:rsid w:val="001F154B"/>
    <w:rsid w:val="001F284D"/>
    <w:rsid w:val="001F48A4"/>
    <w:rsid w:val="001F739F"/>
    <w:rsid w:val="002014C3"/>
    <w:rsid w:val="0020184F"/>
    <w:rsid w:val="00203185"/>
    <w:rsid w:val="00203CA7"/>
    <w:rsid w:val="00205B6A"/>
    <w:rsid w:val="00210D0D"/>
    <w:rsid w:val="00210F56"/>
    <w:rsid w:val="00213B01"/>
    <w:rsid w:val="0021514D"/>
    <w:rsid w:val="00215CF1"/>
    <w:rsid w:val="00215E24"/>
    <w:rsid w:val="002164BE"/>
    <w:rsid w:val="00217E41"/>
    <w:rsid w:val="00221613"/>
    <w:rsid w:val="002223A1"/>
    <w:rsid w:val="00223ADC"/>
    <w:rsid w:val="00225316"/>
    <w:rsid w:val="00225796"/>
    <w:rsid w:val="00225BB7"/>
    <w:rsid w:val="0022691B"/>
    <w:rsid w:val="00231525"/>
    <w:rsid w:val="00235003"/>
    <w:rsid w:val="0023703C"/>
    <w:rsid w:val="002414F1"/>
    <w:rsid w:val="00242565"/>
    <w:rsid w:val="0024524D"/>
    <w:rsid w:val="00246340"/>
    <w:rsid w:val="00246FB4"/>
    <w:rsid w:val="00252036"/>
    <w:rsid w:val="002520DF"/>
    <w:rsid w:val="00253F74"/>
    <w:rsid w:val="0025763D"/>
    <w:rsid w:val="00261A5F"/>
    <w:rsid w:val="00265B8A"/>
    <w:rsid w:val="00266180"/>
    <w:rsid w:val="0027102F"/>
    <w:rsid w:val="00275E77"/>
    <w:rsid w:val="00280096"/>
    <w:rsid w:val="00281A51"/>
    <w:rsid w:val="00281B95"/>
    <w:rsid w:val="002821BF"/>
    <w:rsid w:val="00284C7C"/>
    <w:rsid w:val="002910BB"/>
    <w:rsid w:val="0029377A"/>
    <w:rsid w:val="00294392"/>
    <w:rsid w:val="00296727"/>
    <w:rsid w:val="00297757"/>
    <w:rsid w:val="002A314E"/>
    <w:rsid w:val="002A5172"/>
    <w:rsid w:val="002B2592"/>
    <w:rsid w:val="002B489E"/>
    <w:rsid w:val="002B5F6A"/>
    <w:rsid w:val="002B7458"/>
    <w:rsid w:val="002C0130"/>
    <w:rsid w:val="002C1A1B"/>
    <w:rsid w:val="002C3694"/>
    <w:rsid w:val="002C3902"/>
    <w:rsid w:val="002C5F61"/>
    <w:rsid w:val="002C7F8B"/>
    <w:rsid w:val="002D23EF"/>
    <w:rsid w:val="002D7574"/>
    <w:rsid w:val="002D7E32"/>
    <w:rsid w:val="002E1643"/>
    <w:rsid w:val="002E18C2"/>
    <w:rsid w:val="002E409B"/>
    <w:rsid w:val="002E4605"/>
    <w:rsid w:val="002E6750"/>
    <w:rsid w:val="002F3035"/>
    <w:rsid w:val="002F564A"/>
    <w:rsid w:val="002F6476"/>
    <w:rsid w:val="002F72F5"/>
    <w:rsid w:val="00303592"/>
    <w:rsid w:val="003037B4"/>
    <w:rsid w:val="00304DCF"/>
    <w:rsid w:val="00314116"/>
    <w:rsid w:val="0031495D"/>
    <w:rsid w:val="003207F1"/>
    <w:rsid w:val="003219DB"/>
    <w:rsid w:val="00325BD6"/>
    <w:rsid w:val="003337B0"/>
    <w:rsid w:val="0033437E"/>
    <w:rsid w:val="00335240"/>
    <w:rsid w:val="003367CC"/>
    <w:rsid w:val="0034110A"/>
    <w:rsid w:val="003435D4"/>
    <w:rsid w:val="00345652"/>
    <w:rsid w:val="00345A36"/>
    <w:rsid w:val="00345EF0"/>
    <w:rsid w:val="00346ABD"/>
    <w:rsid w:val="00357E37"/>
    <w:rsid w:val="0036257A"/>
    <w:rsid w:val="0036361E"/>
    <w:rsid w:val="003642A0"/>
    <w:rsid w:val="00370BC6"/>
    <w:rsid w:val="00372EA7"/>
    <w:rsid w:val="00374ED9"/>
    <w:rsid w:val="00375CC7"/>
    <w:rsid w:val="00375F9E"/>
    <w:rsid w:val="00380288"/>
    <w:rsid w:val="003809EA"/>
    <w:rsid w:val="00380F0B"/>
    <w:rsid w:val="00382FCF"/>
    <w:rsid w:val="0038326B"/>
    <w:rsid w:val="00385DF9"/>
    <w:rsid w:val="0038742A"/>
    <w:rsid w:val="00391671"/>
    <w:rsid w:val="00391856"/>
    <w:rsid w:val="00395F3F"/>
    <w:rsid w:val="003976D4"/>
    <w:rsid w:val="003A0563"/>
    <w:rsid w:val="003A0DFF"/>
    <w:rsid w:val="003A2D06"/>
    <w:rsid w:val="003A3585"/>
    <w:rsid w:val="003A3A20"/>
    <w:rsid w:val="003A6422"/>
    <w:rsid w:val="003B0602"/>
    <w:rsid w:val="003B2235"/>
    <w:rsid w:val="003B2663"/>
    <w:rsid w:val="003B2DE1"/>
    <w:rsid w:val="003B60E5"/>
    <w:rsid w:val="003B71D7"/>
    <w:rsid w:val="003C17D7"/>
    <w:rsid w:val="003C3C6A"/>
    <w:rsid w:val="003C75CF"/>
    <w:rsid w:val="003D7581"/>
    <w:rsid w:val="003D779E"/>
    <w:rsid w:val="003E2629"/>
    <w:rsid w:val="003E3109"/>
    <w:rsid w:val="003E6BEC"/>
    <w:rsid w:val="003F06C8"/>
    <w:rsid w:val="003F27D7"/>
    <w:rsid w:val="003F3016"/>
    <w:rsid w:val="003F5774"/>
    <w:rsid w:val="003F7F42"/>
    <w:rsid w:val="00401062"/>
    <w:rsid w:val="004022F3"/>
    <w:rsid w:val="0040241E"/>
    <w:rsid w:val="004038A7"/>
    <w:rsid w:val="00404898"/>
    <w:rsid w:val="00406939"/>
    <w:rsid w:val="00415549"/>
    <w:rsid w:val="0041610E"/>
    <w:rsid w:val="004269DB"/>
    <w:rsid w:val="00427A9E"/>
    <w:rsid w:val="004301F8"/>
    <w:rsid w:val="0043256E"/>
    <w:rsid w:val="00433290"/>
    <w:rsid w:val="00433791"/>
    <w:rsid w:val="00443165"/>
    <w:rsid w:val="0044599E"/>
    <w:rsid w:val="00446AA8"/>
    <w:rsid w:val="00447F8E"/>
    <w:rsid w:val="00451BD4"/>
    <w:rsid w:val="00453E76"/>
    <w:rsid w:val="00466286"/>
    <w:rsid w:val="004707BC"/>
    <w:rsid w:val="00470DEE"/>
    <w:rsid w:val="00476B1E"/>
    <w:rsid w:val="0048189D"/>
    <w:rsid w:val="004842D6"/>
    <w:rsid w:val="004844BD"/>
    <w:rsid w:val="004846FF"/>
    <w:rsid w:val="004946D9"/>
    <w:rsid w:val="004971D5"/>
    <w:rsid w:val="004A061B"/>
    <w:rsid w:val="004A0CF5"/>
    <w:rsid w:val="004A41FC"/>
    <w:rsid w:val="004A584E"/>
    <w:rsid w:val="004A6921"/>
    <w:rsid w:val="004A748A"/>
    <w:rsid w:val="004A7529"/>
    <w:rsid w:val="004A7A73"/>
    <w:rsid w:val="004B0C95"/>
    <w:rsid w:val="004B2470"/>
    <w:rsid w:val="004C5D27"/>
    <w:rsid w:val="004C613F"/>
    <w:rsid w:val="004D4A53"/>
    <w:rsid w:val="004D5B1E"/>
    <w:rsid w:val="004E1B7A"/>
    <w:rsid w:val="004E3816"/>
    <w:rsid w:val="004E3927"/>
    <w:rsid w:val="004E6AC2"/>
    <w:rsid w:val="004F1171"/>
    <w:rsid w:val="004F139A"/>
    <w:rsid w:val="004F4198"/>
    <w:rsid w:val="004F748F"/>
    <w:rsid w:val="004F7695"/>
    <w:rsid w:val="004F77B4"/>
    <w:rsid w:val="00505E4B"/>
    <w:rsid w:val="00507A2E"/>
    <w:rsid w:val="00513C16"/>
    <w:rsid w:val="00513CF4"/>
    <w:rsid w:val="0051513D"/>
    <w:rsid w:val="0051708C"/>
    <w:rsid w:val="005244FD"/>
    <w:rsid w:val="0052506E"/>
    <w:rsid w:val="00525D16"/>
    <w:rsid w:val="00525D9D"/>
    <w:rsid w:val="00526B41"/>
    <w:rsid w:val="00530312"/>
    <w:rsid w:val="0053071B"/>
    <w:rsid w:val="00530E11"/>
    <w:rsid w:val="0053402E"/>
    <w:rsid w:val="00540511"/>
    <w:rsid w:val="00540C5D"/>
    <w:rsid w:val="00542144"/>
    <w:rsid w:val="00542A9D"/>
    <w:rsid w:val="0054514A"/>
    <w:rsid w:val="00545485"/>
    <w:rsid w:val="005512BB"/>
    <w:rsid w:val="00557A52"/>
    <w:rsid w:val="005606FB"/>
    <w:rsid w:val="0056205A"/>
    <w:rsid w:val="005673D0"/>
    <w:rsid w:val="005743CD"/>
    <w:rsid w:val="005749C8"/>
    <w:rsid w:val="0057531D"/>
    <w:rsid w:val="005777AE"/>
    <w:rsid w:val="005849CF"/>
    <w:rsid w:val="0058525C"/>
    <w:rsid w:val="00590220"/>
    <w:rsid w:val="005912FA"/>
    <w:rsid w:val="0059521B"/>
    <w:rsid w:val="00597811"/>
    <w:rsid w:val="005A0734"/>
    <w:rsid w:val="005A127A"/>
    <w:rsid w:val="005A24BB"/>
    <w:rsid w:val="005A4EED"/>
    <w:rsid w:val="005A5523"/>
    <w:rsid w:val="005A65F1"/>
    <w:rsid w:val="005A6D07"/>
    <w:rsid w:val="005B1260"/>
    <w:rsid w:val="005B2C97"/>
    <w:rsid w:val="005B4D32"/>
    <w:rsid w:val="005B5DC1"/>
    <w:rsid w:val="005C115B"/>
    <w:rsid w:val="005C35CB"/>
    <w:rsid w:val="005C3EE5"/>
    <w:rsid w:val="005C5796"/>
    <w:rsid w:val="005C5FC3"/>
    <w:rsid w:val="005D3133"/>
    <w:rsid w:val="005D53E8"/>
    <w:rsid w:val="005D559A"/>
    <w:rsid w:val="005D6C53"/>
    <w:rsid w:val="005E1DCA"/>
    <w:rsid w:val="005E2F1A"/>
    <w:rsid w:val="005E4372"/>
    <w:rsid w:val="005E5067"/>
    <w:rsid w:val="005E5A7B"/>
    <w:rsid w:val="005E7DFD"/>
    <w:rsid w:val="005F05C8"/>
    <w:rsid w:val="005F1A4C"/>
    <w:rsid w:val="005F7A7D"/>
    <w:rsid w:val="005F7D3D"/>
    <w:rsid w:val="0060167A"/>
    <w:rsid w:val="006033EC"/>
    <w:rsid w:val="0060746C"/>
    <w:rsid w:val="00607575"/>
    <w:rsid w:val="006111D8"/>
    <w:rsid w:val="00614F29"/>
    <w:rsid w:val="00616D67"/>
    <w:rsid w:val="00626AD1"/>
    <w:rsid w:val="00631B4F"/>
    <w:rsid w:val="00632A5E"/>
    <w:rsid w:val="00633836"/>
    <w:rsid w:val="00634339"/>
    <w:rsid w:val="00635812"/>
    <w:rsid w:val="006360A7"/>
    <w:rsid w:val="0064307D"/>
    <w:rsid w:val="0064542B"/>
    <w:rsid w:val="00647A42"/>
    <w:rsid w:val="006514A5"/>
    <w:rsid w:val="00653572"/>
    <w:rsid w:val="00655B95"/>
    <w:rsid w:val="00655D47"/>
    <w:rsid w:val="00661AA6"/>
    <w:rsid w:val="00662E28"/>
    <w:rsid w:val="00662EF5"/>
    <w:rsid w:val="00664484"/>
    <w:rsid w:val="00665DD8"/>
    <w:rsid w:val="00666A6B"/>
    <w:rsid w:val="00667BD6"/>
    <w:rsid w:val="00671528"/>
    <w:rsid w:val="00671B41"/>
    <w:rsid w:val="0067674A"/>
    <w:rsid w:val="00680D6D"/>
    <w:rsid w:val="00681369"/>
    <w:rsid w:val="00682036"/>
    <w:rsid w:val="00682460"/>
    <w:rsid w:val="00683491"/>
    <w:rsid w:val="006861CB"/>
    <w:rsid w:val="00686F97"/>
    <w:rsid w:val="0068765F"/>
    <w:rsid w:val="00691DCC"/>
    <w:rsid w:val="00692B36"/>
    <w:rsid w:val="00693EAF"/>
    <w:rsid w:val="00696BCD"/>
    <w:rsid w:val="00697A63"/>
    <w:rsid w:val="006A0954"/>
    <w:rsid w:val="006A1933"/>
    <w:rsid w:val="006A2958"/>
    <w:rsid w:val="006A4F1A"/>
    <w:rsid w:val="006A6915"/>
    <w:rsid w:val="006A6DE4"/>
    <w:rsid w:val="006B1297"/>
    <w:rsid w:val="006B1399"/>
    <w:rsid w:val="006B3ECD"/>
    <w:rsid w:val="006C2AA9"/>
    <w:rsid w:val="006C354A"/>
    <w:rsid w:val="006C54B3"/>
    <w:rsid w:val="006C6FF7"/>
    <w:rsid w:val="006D24C3"/>
    <w:rsid w:val="006D722F"/>
    <w:rsid w:val="006E0170"/>
    <w:rsid w:val="006E5876"/>
    <w:rsid w:val="006F25D2"/>
    <w:rsid w:val="006F3EEA"/>
    <w:rsid w:val="006F6339"/>
    <w:rsid w:val="006F649B"/>
    <w:rsid w:val="006F7CD0"/>
    <w:rsid w:val="007011A2"/>
    <w:rsid w:val="00701C8D"/>
    <w:rsid w:val="00701E8E"/>
    <w:rsid w:val="00703D4B"/>
    <w:rsid w:val="00711518"/>
    <w:rsid w:val="0072095F"/>
    <w:rsid w:val="007246A2"/>
    <w:rsid w:val="00725CF7"/>
    <w:rsid w:val="00726BAC"/>
    <w:rsid w:val="00732AF6"/>
    <w:rsid w:val="00737F3B"/>
    <w:rsid w:val="00740F9D"/>
    <w:rsid w:val="007426B5"/>
    <w:rsid w:val="007426E6"/>
    <w:rsid w:val="0074637A"/>
    <w:rsid w:val="00750930"/>
    <w:rsid w:val="0075218F"/>
    <w:rsid w:val="00753B47"/>
    <w:rsid w:val="00754CFD"/>
    <w:rsid w:val="00762229"/>
    <w:rsid w:val="0076498C"/>
    <w:rsid w:val="007676AE"/>
    <w:rsid w:val="00776CA7"/>
    <w:rsid w:val="00777354"/>
    <w:rsid w:val="00782C6A"/>
    <w:rsid w:val="00784123"/>
    <w:rsid w:val="00785EE9"/>
    <w:rsid w:val="00790A32"/>
    <w:rsid w:val="0079302C"/>
    <w:rsid w:val="0079409D"/>
    <w:rsid w:val="00795511"/>
    <w:rsid w:val="007A2F74"/>
    <w:rsid w:val="007A559C"/>
    <w:rsid w:val="007B0472"/>
    <w:rsid w:val="007B3F68"/>
    <w:rsid w:val="007B4C57"/>
    <w:rsid w:val="007B5DF9"/>
    <w:rsid w:val="007C01FE"/>
    <w:rsid w:val="007C3F86"/>
    <w:rsid w:val="007C67AE"/>
    <w:rsid w:val="007D2803"/>
    <w:rsid w:val="007D3834"/>
    <w:rsid w:val="007D72E5"/>
    <w:rsid w:val="007E06FC"/>
    <w:rsid w:val="007E3B7F"/>
    <w:rsid w:val="007F1BCB"/>
    <w:rsid w:val="007F3EE0"/>
    <w:rsid w:val="007F5EB8"/>
    <w:rsid w:val="007F6B67"/>
    <w:rsid w:val="00800A45"/>
    <w:rsid w:val="00802C9A"/>
    <w:rsid w:val="00810A51"/>
    <w:rsid w:val="00810A75"/>
    <w:rsid w:val="00810B27"/>
    <w:rsid w:val="0082015B"/>
    <w:rsid w:val="00820858"/>
    <w:rsid w:val="00822068"/>
    <w:rsid w:val="00825E6E"/>
    <w:rsid w:val="00827A69"/>
    <w:rsid w:val="00835250"/>
    <w:rsid w:val="00836B0D"/>
    <w:rsid w:val="0084075D"/>
    <w:rsid w:val="0084433A"/>
    <w:rsid w:val="00845A68"/>
    <w:rsid w:val="00852B03"/>
    <w:rsid w:val="00855869"/>
    <w:rsid w:val="00855DE8"/>
    <w:rsid w:val="00857C46"/>
    <w:rsid w:val="008601F0"/>
    <w:rsid w:val="00865A87"/>
    <w:rsid w:val="008700E1"/>
    <w:rsid w:val="00873FD9"/>
    <w:rsid w:val="00874A76"/>
    <w:rsid w:val="00875201"/>
    <w:rsid w:val="00876B58"/>
    <w:rsid w:val="00876CF7"/>
    <w:rsid w:val="008779B7"/>
    <w:rsid w:val="00883DAD"/>
    <w:rsid w:val="00884A69"/>
    <w:rsid w:val="0088533C"/>
    <w:rsid w:val="0088551C"/>
    <w:rsid w:val="00890BEA"/>
    <w:rsid w:val="00891C9D"/>
    <w:rsid w:val="0089350D"/>
    <w:rsid w:val="00893E57"/>
    <w:rsid w:val="0089663E"/>
    <w:rsid w:val="008967EF"/>
    <w:rsid w:val="008A0D1C"/>
    <w:rsid w:val="008A0D26"/>
    <w:rsid w:val="008A1145"/>
    <w:rsid w:val="008A2C7C"/>
    <w:rsid w:val="008A3F08"/>
    <w:rsid w:val="008A438D"/>
    <w:rsid w:val="008A44A4"/>
    <w:rsid w:val="008A731B"/>
    <w:rsid w:val="008B11E0"/>
    <w:rsid w:val="008B44B6"/>
    <w:rsid w:val="008B52A4"/>
    <w:rsid w:val="008B69AA"/>
    <w:rsid w:val="008B74AA"/>
    <w:rsid w:val="008C0F6E"/>
    <w:rsid w:val="008C3747"/>
    <w:rsid w:val="008C3A81"/>
    <w:rsid w:val="008C3BA1"/>
    <w:rsid w:val="008C3E9C"/>
    <w:rsid w:val="008C5F35"/>
    <w:rsid w:val="008D3F40"/>
    <w:rsid w:val="008D5670"/>
    <w:rsid w:val="008D5D84"/>
    <w:rsid w:val="008D6894"/>
    <w:rsid w:val="008D7927"/>
    <w:rsid w:val="008E0577"/>
    <w:rsid w:val="008E4027"/>
    <w:rsid w:val="008E629C"/>
    <w:rsid w:val="008F3A77"/>
    <w:rsid w:val="008F4C33"/>
    <w:rsid w:val="00900605"/>
    <w:rsid w:val="00902540"/>
    <w:rsid w:val="00906DB3"/>
    <w:rsid w:val="00914C4D"/>
    <w:rsid w:val="0092028F"/>
    <w:rsid w:val="00920FE2"/>
    <w:rsid w:val="00922CC7"/>
    <w:rsid w:val="0092418A"/>
    <w:rsid w:val="009323A8"/>
    <w:rsid w:val="009323ED"/>
    <w:rsid w:val="009331CF"/>
    <w:rsid w:val="0093369D"/>
    <w:rsid w:val="009379B8"/>
    <w:rsid w:val="00945909"/>
    <w:rsid w:val="00945C10"/>
    <w:rsid w:val="0094653E"/>
    <w:rsid w:val="00947E1B"/>
    <w:rsid w:val="009523F8"/>
    <w:rsid w:val="00952400"/>
    <w:rsid w:val="00952EE0"/>
    <w:rsid w:val="00953740"/>
    <w:rsid w:val="00954076"/>
    <w:rsid w:val="00954909"/>
    <w:rsid w:val="00955C11"/>
    <w:rsid w:val="00956921"/>
    <w:rsid w:val="00957720"/>
    <w:rsid w:val="00957E4E"/>
    <w:rsid w:val="009612C8"/>
    <w:rsid w:val="00961DD3"/>
    <w:rsid w:val="0096493E"/>
    <w:rsid w:val="0096496B"/>
    <w:rsid w:val="009663F7"/>
    <w:rsid w:val="00966D43"/>
    <w:rsid w:val="00967A0D"/>
    <w:rsid w:val="00973118"/>
    <w:rsid w:val="0097444D"/>
    <w:rsid w:val="00974D84"/>
    <w:rsid w:val="00974DA9"/>
    <w:rsid w:val="00974E2A"/>
    <w:rsid w:val="00975A4F"/>
    <w:rsid w:val="0097609D"/>
    <w:rsid w:val="009762E4"/>
    <w:rsid w:val="0098000B"/>
    <w:rsid w:val="009805CB"/>
    <w:rsid w:val="0098064E"/>
    <w:rsid w:val="009823C3"/>
    <w:rsid w:val="009829BF"/>
    <w:rsid w:val="00982FAA"/>
    <w:rsid w:val="009830E7"/>
    <w:rsid w:val="0098684F"/>
    <w:rsid w:val="00987E76"/>
    <w:rsid w:val="009932EC"/>
    <w:rsid w:val="00996055"/>
    <w:rsid w:val="00996D33"/>
    <w:rsid w:val="009A02C8"/>
    <w:rsid w:val="009A2B82"/>
    <w:rsid w:val="009A31F3"/>
    <w:rsid w:val="009A5A62"/>
    <w:rsid w:val="009A5BBA"/>
    <w:rsid w:val="009B198B"/>
    <w:rsid w:val="009B2501"/>
    <w:rsid w:val="009B29D6"/>
    <w:rsid w:val="009B2F28"/>
    <w:rsid w:val="009B714E"/>
    <w:rsid w:val="009C10B2"/>
    <w:rsid w:val="009C2946"/>
    <w:rsid w:val="009D3D2F"/>
    <w:rsid w:val="009D68B9"/>
    <w:rsid w:val="009E5CB7"/>
    <w:rsid w:val="009F325C"/>
    <w:rsid w:val="009F3C08"/>
    <w:rsid w:val="009F4231"/>
    <w:rsid w:val="009F5F28"/>
    <w:rsid w:val="00A02550"/>
    <w:rsid w:val="00A02BA7"/>
    <w:rsid w:val="00A0621B"/>
    <w:rsid w:val="00A07396"/>
    <w:rsid w:val="00A14DB0"/>
    <w:rsid w:val="00A150FC"/>
    <w:rsid w:val="00A22676"/>
    <w:rsid w:val="00A22D82"/>
    <w:rsid w:val="00A25305"/>
    <w:rsid w:val="00A254F0"/>
    <w:rsid w:val="00A27776"/>
    <w:rsid w:val="00A301C4"/>
    <w:rsid w:val="00A30271"/>
    <w:rsid w:val="00A30623"/>
    <w:rsid w:val="00A30AD1"/>
    <w:rsid w:val="00A344A9"/>
    <w:rsid w:val="00A36085"/>
    <w:rsid w:val="00A409E0"/>
    <w:rsid w:val="00A40F96"/>
    <w:rsid w:val="00A430B2"/>
    <w:rsid w:val="00A4526E"/>
    <w:rsid w:val="00A4609A"/>
    <w:rsid w:val="00A50A05"/>
    <w:rsid w:val="00A526FB"/>
    <w:rsid w:val="00A542E5"/>
    <w:rsid w:val="00A546E3"/>
    <w:rsid w:val="00A572C0"/>
    <w:rsid w:val="00A6061A"/>
    <w:rsid w:val="00A60CE6"/>
    <w:rsid w:val="00A65F64"/>
    <w:rsid w:val="00A66400"/>
    <w:rsid w:val="00A670B5"/>
    <w:rsid w:val="00A670DC"/>
    <w:rsid w:val="00A67368"/>
    <w:rsid w:val="00A70923"/>
    <w:rsid w:val="00A74125"/>
    <w:rsid w:val="00A75EF4"/>
    <w:rsid w:val="00A7626E"/>
    <w:rsid w:val="00A825AA"/>
    <w:rsid w:val="00A826D3"/>
    <w:rsid w:val="00A949FF"/>
    <w:rsid w:val="00A95438"/>
    <w:rsid w:val="00A958A7"/>
    <w:rsid w:val="00A95CC1"/>
    <w:rsid w:val="00AA2BE0"/>
    <w:rsid w:val="00AA36C3"/>
    <w:rsid w:val="00AA3B41"/>
    <w:rsid w:val="00AA54BB"/>
    <w:rsid w:val="00AB5BB7"/>
    <w:rsid w:val="00AC0E33"/>
    <w:rsid w:val="00AC12FC"/>
    <w:rsid w:val="00AC1388"/>
    <w:rsid w:val="00AC2AF7"/>
    <w:rsid w:val="00AC527A"/>
    <w:rsid w:val="00AC6077"/>
    <w:rsid w:val="00AC6882"/>
    <w:rsid w:val="00AC7368"/>
    <w:rsid w:val="00AD25EA"/>
    <w:rsid w:val="00AD2722"/>
    <w:rsid w:val="00AD34ED"/>
    <w:rsid w:val="00AD4E50"/>
    <w:rsid w:val="00AE1037"/>
    <w:rsid w:val="00AE5329"/>
    <w:rsid w:val="00AE697A"/>
    <w:rsid w:val="00AE71F7"/>
    <w:rsid w:val="00AF396C"/>
    <w:rsid w:val="00AF5838"/>
    <w:rsid w:val="00AF65F3"/>
    <w:rsid w:val="00B00559"/>
    <w:rsid w:val="00B1137D"/>
    <w:rsid w:val="00B1386D"/>
    <w:rsid w:val="00B141BF"/>
    <w:rsid w:val="00B16E81"/>
    <w:rsid w:val="00B178E2"/>
    <w:rsid w:val="00B2072E"/>
    <w:rsid w:val="00B20FF0"/>
    <w:rsid w:val="00B25DC4"/>
    <w:rsid w:val="00B304A2"/>
    <w:rsid w:val="00B309E7"/>
    <w:rsid w:val="00B34F47"/>
    <w:rsid w:val="00B36F1F"/>
    <w:rsid w:val="00B37BD3"/>
    <w:rsid w:val="00B44186"/>
    <w:rsid w:val="00B4506A"/>
    <w:rsid w:val="00B462AB"/>
    <w:rsid w:val="00B46AD6"/>
    <w:rsid w:val="00B5122A"/>
    <w:rsid w:val="00B52DEE"/>
    <w:rsid w:val="00B531CF"/>
    <w:rsid w:val="00B5620C"/>
    <w:rsid w:val="00B56688"/>
    <w:rsid w:val="00B62915"/>
    <w:rsid w:val="00B64747"/>
    <w:rsid w:val="00B65D0A"/>
    <w:rsid w:val="00B661F4"/>
    <w:rsid w:val="00B66528"/>
    <w:rsid w:val="00B706EB"/>
    <w:rsid w:val="00B7072D"/>
    <w:rsid w:val="00B70B9A"/>
    <w:rsid w:val="00B720A7"/>
    <w:rsid w:val="00B73218"/>
    <w:rsid w:val="00B73DE0"/>
    <w:rsid w:val="00B74503"/>
    <w:rsid w:val="00B749CB"/>
    <w:rsid w:val="00B82978"/>
    <w:rsid w:val="00B833E0"/>
    <w:rsid w:val="00B843D4"/>
    <w:rsid w:val="00B859D8"/>
    <w:rsid w:val="00B86547"/>
    <w:rsid w:val="00B92C59"/>
    <w:rsid w:val="00B92FDC"/>
    <w:rsid w:val="00B933F4"/>
    <w:rsid w:val="00B93567"/>
    <w:rsid w:val="00B94001"/>
    <w:rsid w:val="00B94A76"/>
    <w:rsid w:val="00B97F00"/>
    <w:rsid w:val="00BA0A74"/>
    <w:rsid w:val="00BA2EF9"/>
    <w:rsid w:val="00BA456D"/>
    <w:rsid w:val="00BA5109"/>
    <w:rsid w:val="00BA5D96"/>
    <w:rsid w:val="00BB17A8"/>
    <w:rsid w:val="00BC1BE1"/>
    <w:rsid w:val="00BC2DCD"/>
    <w:rsid w:val="00BC346C"/>
    <w:rsid w:val="00BC47F5"/>
    <w:rsid w:val="00BC692F"/>
    <w:rsid w:val="00BC69C0"/>
    <w:rsid w:val="00BD1BE7"/>
    <w:rsid w:val="00BD3298"/>
    <w:rsid w:val="00BD656B"/>
    <w:rsid w:val="00BD7362"/>
    <w:rsid w:val="00BE2E6E"/>
    <w:rsid w:val="00BE37B5"/>
    <w:rsid w:val="00BE724B"/>
    <w:rsid w:val="00BE742F"/>
    <w:rsid w:val="00BF5F1C"/>
    <w:rsid w:val="00C026B2"/>
    <w:rsid w:val="00C0371B"/>
    <w:rsid w:val="00C05FD2"/>
    <w:rsid w:val="00C06D8A"/>
    <w:rsid w:val="00C10C75"/>
    <w:rsid w:val="00C11CB5"/>
    <w:rsid w:val="00C14C92"/>
    <w:rsid w:val="00C173AE"/>
    <w:rsid w:val="00C21A8D"/>
    <w:rsid w:val="00C23756"/>
    <w:rsid w:val="00C24F47"/>
    <w:rsid w:val="00C30BEF"/>
    <w:rsid w:val="00C317DC"/>
    <w:rsid w:val="00C32767"/>
    <w:rsid w:val="00C332EF"/>
    <w:rsid w:val="00C34142"/>
    <w:rsid w:val="00C34A2B"/>
    <w:rsid w:val="00C351FB"/>
    <w:rsid w:val="00C35782"/>
    <w:rsid w:val="00C35E35"/>
    <w:rsid w:val="00C40A1B"/>
    <w:rsid w:val="00C40EE9"/>
    <w:rsid w:val="00C43F11"/>
    <w:rsid w:val="00C44B9C"/>
    <w:rsid w:val="00C4535E"/>
    <w:rsid w:val="00C460D3"/>
    <w:rsid w:val="00C46FCB"/>
    <w:rsid w:val="00C4759E"/>
    <w:rsid w:val="00C476AA"/>
    <w:rsid w:val="00C50E95"/>
    <w:rsid w:val="00C50F55"/>
    <w:rsid w:val="00C51179"/>
    <w:rsid w:val="00C517B0"/>
    <w:rsid w:val="00C547DC"/>
    <w:rsid w:val="00C63408"/>
    <w:rsid w:val="00C658B5"/>
    <w:rsid w:val="00C666CB"/>
    <w:rsid w:val="00C66F70"/>
    <w:rsid w:val="00C7280D"/>
    <w:rsid w:val="00C73032"/>
    <w:rsid w:val="00C756A6"/>
    <w:rsid w:val="00C75DB9"/>
    <w:rsid w:val="00C765E7"/>
    <w:rsid w:val="00C77ED7"/>
    <w:rsid w:val="00C82FD7"/>
    <w:rsid w:val="00C8305A"/>
    <w:rsid w:val="00C847E6"/>
    <w:rsid w:val="00C84C90"/>
    <w:rsid w:val="00C854ED"/>
    <w:rsid w:val="00C86996"/>
    <w:rsid w:val="00C86DCC"/>
    <w:rsid w:val="00C87DC4"/>
    <w:rsid w:val="00C920B3"/>
    <w:rsid w:val="00C924E0"/>
    <w:rsid w:val="00C92E91"/>
    <w:rsid w:val="00C942EE"/>
    <w:rsid w:val="00C946CF"/>
    <w:rsid w:val="00C958D0"/>
    <w:rsid w:val="00C9613B"/>
    <w:rsid w:val="00C97C4B"/>
    <w:rsid w:val="00CA11FD"/>
    <w:rsid w:val="00CA46DB"/>
    <w:rsid w:val="00CA4AC9"/>
    <w:rsid w:val="00CA6184"/>
    <w:rsid w:val="00CA62CE"/>
    <w:rsid w:val="00CA644A"/>
    <w:rsid w:val="00CA73D3"/>
    <w:rsid w:val="00CB7368"/>
    <w:rsid w:val="00CB7EFB"/>
    <w:rsid w:val="00CC1682"/>
    <w:rsid w:val="00CC7DB7"/>
    <w:rsid w:val="00CD0AF5"/>
    <w:rsid w:val="00CD3245"/>
    <w:rsid w:val="00CE29A5"/>
    <w:rsid w:val="00CE3692"/>
    <w:rsid w:val="00CE3E19"/>
    <w:rsid w:val="00CE5BA9"/>
    <w:rsid w:val="00CF0773"/>
    <w:rsid w:val="00CF17A3"/>
    <w:rsid w:val="00CF6D4B"/>
    <w:rsid w:val="00CF7927"/>
    <w:rsid w:val="00D01210"/>
    <w:rsid w:val="00D012F8"/>
    <w:rsid w:val="00D02E84"/>
    <w:rsid w:val="00D042C6"/>
    <w:rsid w:val="00D05522"/>
    <w:rsid w:val="00D12D00"/>
    <w:rsid w:val="00D12E69"/>
    <w:rsid w:val="00D13130"/>
    <w:rsid w:val="00D131C3"/>
    <w:rsid w:val="00D13779"/>
    <w:rsid w:val="00D13C5A"/>
    <w:rsid w:val="00D1436C"/>
    <w:rsid w:val="00D16954"/>
    <w:rsid w:val="00D21325"/>
    <w:rsid w:val="00D21C57"/>
    <w:rsid w:val="00D22C86"/>
    <w:rsid w:val="00D24163"/>
    <w:rsid w:val="00D25FBA"/>
    <w:rsid w:val="00D271AD"/>
    <w:rsid w:val="00D3375D"/>
    <w:rsid w:val="00D34A60"/>
    <w:rsid w:val="00D37846"/>
    <w:rsid w:val="00D4083C"/>
    <w:rsid w:val="00D41431"/>
    <w:rsid w:val="00D4145C"/>
    <w:rsid w:val="00D41B69"/>
    <w:rsid w:val="00D459DE"/>
    <w:rsid w:val="00D45A82"/>
    <w:rsid w:val="00D46BB1"/>
    <w:rsid w:val="00D46CB3"/>
    <w:rsid w:val="00D5011E"/>
    <w:rsid w:val="00D51922"/>
    <w:rsid w:val="00D51C77"/>
    <w:rsid w:val="00D55998"/>
    <w:rsid w:val="00D571C9"/>
    <w:rsid w:val="00D61127"/>
    <w:rsid w:val="00D6549A"/>
    <w:rsid w:val="00D71909"/>
    <w:rsid w:val="00D75703"/>
    <w:rsid w:val="00D75D92"/>
    <w:rsid w:val="00D75F33"/>
    <w:rsid w:val="00D76BCD"/>
    <w:rsid w:val="00D77494"/>
    <w:rsid w:val="00D80C41"/>
    <w:rsid w:val="00D8772A"/>
    <w:rsid w:val="00D91AC9"/>
    <w:rsid w:val="00D93089"/>
    <w:rsid w:val="00D93CB0"/>
    <w:rsid w:val="00DA20A6"/>
    <w:rsid w:val="00DA2FFD"/>
    <w:rsid w:val="00DB0973"/>
    <w:rsid w:val="00DB12CB"/>
    <w:rsid w:val="00DB362D"/>
    <w:rsid w:val="00DB372E"/>
    <w:rsid w:val="00DB3EB8"/>
    <w:rsid w:val="00DB3F7A"/>
    <w:rsid w:val="00DB76D6"/>
    <w:rsid w:val="00DC4AFC"/>
    <w:rsid w:val="00DC59DA"/>
    <w:rsid w:val="00DD1622"/>
    <w:rsid w:val="00DD3F4B"/>
    <w:rsid w:val="00DD41CD"/>
    <w:rsid w:val="00DD4975"/>
    <w:rsid w:val="00DE0125"/>
    <w:rsid w:val="00DE2244"/>
    <w:rsid w:val="00DF2563"/>
    <w:rsid w:val="00DF42DA"/>
    <w:rsid w:val="00DF503E"/>
    <w:rsid w:val="00DF510F"/>
    <w:rsid w:val="00DF5210"/>
    <w:rsid w:val="00DF7395"/>
    <w:rsid w:val="00DF7719"/>
    <w:rsid w:val="00E01C8D"/>
    <w:rsid w:val="00E02409"/>
    <w:rsid w:val="00E02E71"/>
    <w:rsid w:val="00E02F07"/>
    <w:rsid w:val="00E03DF1"/>
    <w:rsid w:val="00E05BFC"/>
    <w:rsid w:val="00E05F84"/>
    <w:rsid w:val="00E067A8"/>
    <w:rsid w:val="00E1142C"/>
    <w:rsid w:val="00E12118"/>
    <w:rsid w:val="00E129C4"/>
    <w:rsid w:val="00E12BCA"/>
    <w:rsid w:val="00E1587B"/>
    <w:rsid w:val="00E23CA7"/>
    <w:rsid w:val="00E24EA4"/>
    <w:rsid w:val="00E252D9"/>
    <w:rsid w:val="00E26D09"/>
    <w:rsid w:val="00E302CE"/>
    <w:rsid w:val="00E308C8"/>
    <w:rsid w:val="00E322F8"/>
    <w:rsid w:val="00E33397"/>
    <w:rsid w:val="00E35D96"/>
    <w:rsid w:val="00E37954"/>
    <w:rsid w:val="00E433A3"/>
    <w:rsid w:val="00E444B6"/>
    <w:rsid w:val="00E5045D"/>
    <w:rsid w:val="00E50E66"/>
    <w:rsid w:val="00E56418"/>
    <w:rsid w:val="00E60F40"/>
    <w:rsid w:val="00E61703"/>
    <w:rsid w:val="00E62DC6"/>
    <w:rsid w:val="00E65C46"/>
    <w:rsid w:val="00E73296"/>
    <w:rsid w:val="00E75D3D"/>
    <w:rsid w:val="00E75E60"/>
    <w:rsid w:val="00E8037A"/>
    <w:rsid w:val="00E80675"/>
    <w:rsid w:val="00E812F4"/>
    <w:rsid w:val="00E828C3"/>
    <w:rsid w:val="00E83E4A"/>
    <w:rsid w:val="00E8427D"/>
    <w:rsid w:val="00E86811"/>
    <w:rsid w:val="00E86CEA"/>
    <w:rsid w:val="00E95511"/>
    <w:rsid w:val="00E9618F"/>
    <w:rsid w:val="00E9725B"/>
    <w:rsid w:val="00EA0D9A"/>
    <w:rsid w:val="00EA1943"/>
    <w:rsid w:val="00EA1F93"/>
    <w:rsid w:val="00EA3FA8"/>
    <w:rsid w:val="00EA44FA"/>
    <w:rsid w:val="00EA5799"/>
    <w:rsid w:val="00EB045E"/>
    <w:rsid w:val="00EB4019"/>
    <w:rsid w:val="00EB5FC5"/>
    <w:rsid w:val="00EB67CF"/>
    <w:rsid w:val="00EB7C71"/>
    <w:rsid w:val="00EC02DE"/>
    <w:rsid w:val="00EC15D5"/>
    <w:rsid w:val="00EC4354"/>
    <w:rsid w:val="00EC4900"/>
    <w:rsid w:val="00ED1461"/>
    <w:rsid w:val="00ED205A"/>
    <w:rsid w:val="00ED4B41"/>
    <w:rsid w:val="00ED748E"/>
    <w:rsid w:val="00EE0F0F"/>
    <w:rsid w:val="00EE22E2"/>
    <w:rsid w:val="00EE4B34"/>
    <w:rsid w:val="00EE65FD"/>
    <w:rsid w:val="00EE6E1B"/>
    <w:rsid w:val="00EF0985"/>
    <w:rsid w:val="00EF0A25"/>
    <w:rsid w:val="00EF1ACA"/>
    <w:rsid w:val="00EF4EB5"/>
    <w:rsid w:val="00EF4F54"/>
    <w:rsid w:val="00EF671F"/>
    <w:rsid w:val="00EF6EC8"/>
    <w:rsid w:val="00EF7381"/>
    <w:rsid w:val="00F03EC9"/>
    <w:rsid w:val="00F052E5"/>
    <w:rsid w:val="00F05518"/>
    <w:rsid w:val="00F07119"/>
    <w:rsid w:val="00F111DF"/>
    <w:rsid w:val="00F12EC3"/>
    <w:rsid w:val="00F132B4"/>
    <w:rsid w:val="00F1491C"/>
    <w:rsid w:val="00F14BE8"/>
    <w:rsid w:val="00F15E90"/>
    <w:rsid w:val="00F2013C"/>
    <w:rsid w:val="00F23490"/>
    <w:rsid w:val="00F248BC"/>
    <w:rsid w:val="00F25182"/>
    <w:rsid w:val="00F25C12"/>
    <w:rsid w:val="00F25F8F"/>
    <w:rsid w:val="00F3166E"/>
    <w:rsid w:val="00F31745"/>
    <w:rsid w:val="00F326B9"/>
    <w:rsid w:val="00F420D1"/>
    <w:rsid w:val="00F52D13"/>
    <w:rsid w:val="00F56070"/>
    <w:rsid w:val="00F6004D"/>
    <w:rsid w:val="00F614B7"/>
    <w:rsid w:val="00F649CB"/>
    <w:rsid w:val="00F64B54"/>
    <w:rsid w:val="00F66336"/>
    <w:rsid w:val="00F67441"/>
    <w:rsid w:val="00F70BFE"/>
    <w:rsid w:val="00F77693"/>
    <w:rsid w:val="00F7780E"/>
    <w:rsid w:val="00F77E69"/>
    <w:rsid w:val="00F81AEC"/>
    <w:rsid w:val="00F83678"/>
    <w:rsid w:val="00F8415E"/>
    <w:rsid w:val="00F96010"/>
    <w:rsid w:val="00F96D5F"/>
    <w:rsid w:val="00F974D8"/>
    <w:rsid w:val="00FA0929"/>
    <w:rsid w:val="00FA1773"/>
    <w:rsid w:val="00FA59A0"/>
    <w:rsid w:val="00FA7254"/>
    <w:rsid w:val="00FA7796"/>
    <w:rsid w:val="00FB1407"/>
    <w:rsid w:val="00FB68CC"/>
    <w:rsid w:val="00FC0037"/>
    <w:rsid w:val="00FC186F"/>
    <w:rsid w:val="00FC4839"/>
    <w:rsid w:val="00FC4A09"/>
    <w:rsid w:val="00FC756C"/>
    <w:rsid w:val="00FC787E"/>
    <w:rsid w:val="00FC7B83"/>
    <w:rsid w:val="00FD1160"/>
    <w:rsid w:val="00FD4785"/>
    <w:rsid w:val="00FD4A1A"/>
    <w:rsid w:val="00FE234D"/>
    <w:rsid w:val="00FE27E0"/>
    <w:rsid w:val="00FE575E"/>
    <w:rsid w:val="00FE5971"/>
    <w:rsid w:val="00FE6BC7"/>
    <w:rsid w:val="00FF424F"/>
    <w:rsid w:val="00FF452A"/>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5D5"/>
    <w:rPr>
      <w:sz w:val="24"/>
    </w:rPr>
  </w:style>
  <w:style w:type="paragraph" w:styleId="Heading1">
    <w:name w:val="heading 1"/>
    <w:basedOn w:val="Normal"/>
    <w:next w:val="Normal"/>
    <w:qFormat/>
    <w:rsid w:val="00EC15D5"/>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EC15D5"/>
    <w:pPr>
      <w:keepNext/>
      <w:numPr>
        <w:ilvl w:val="1"/>
        <w:numId w:val="2"/>
      </w:numPr>
      <w:spacing w:before="240" w:after="60"/>
      <w:outlineLvl w:val="1"/>
    </w:pPr>
    <w:rPr>
      <w:rFonts w:ascii="Arial" w:hAnsi="Arial"/>
      <w:b/>
      <w:i/>
    </w:rPr>
  </w:style>
  <w:style w:type="paragraph" w:styleId="Heading3">
    <w:name w:val="heading 3"/>
    <w:basedOn w:val="Normal"/>
    <w:next w:val="Normal"/>
    <w:qFormat/>
    <w:rsid w:val="00EC15D5"/>
    <w:pPr>
      <w:keepNext/>
      <w:numPr>
        <w:ilvl w:val="2"/>
        <w:numId w:val="3"/>
      </w:numPr>
      <w:spacing w:before="240" w:after="60"/>
      <w:outlineLvl w:val="2"/>
    </w:pPr>
    <w:rPr>
      <w:rFonts w:ascii="Arial" w:hAnsi="Arial"/>
    </w:rPr>
  </w:style>
  <w:style w:type="paragraph" w:styleId="Heading4">
    <w:name w:val="heading 4"/>
    <w:basedOn w:val="Normal"/>
    <w:next w:val="Normal"/>
    <w:qFormat/>
    <w:rsid w:val="00EC15D5"/>
    <w:pPr>
      <w:keepNext/>
      <w:numPr>
        <w:ilvl w:val="3"/>
        <w:numId w:val="4"/>
      </w:numPr>
      <w:spacing w:before="240" w:after="60"/>
      <w:outlineLvl w:val="3"/>
    </w:pPr>
    <w:rPr>
      <w:rFonts w:ascii="Arial" w:hAnsi="Arial"/>
      <w:b/>
    </w:rPr>
  </w:style>
  <w:style w:type="paragraph" w:styleId="Heading5">
    <w:name w:val="heading 5"/>
    <w:basedOn w:val="Normal"/>
    <w:next w:val="Normal"/>
    <w:qFormat/>
    <w:rsid w:val="008D5D84"/>
    <w:pPr>
      <w:numPr>
        <w:ilvl w:val="4"/>
        <w:numId w:val="46"/>
      </w:numPr>
      <w:spacing w:before="240" w:after="60"/>
      <w:outlineLvl w:val="4"/>
    </w:pPr>
    <w:rPr>
      <w:sz w:val="22"/>
    </w:rPr>
  </w:style>
  <w:style w:type="paragraph" w:styleId="Heading6">
    <w:name w:val="heading 6"/>
    <w:basedOn w:val="Normal"/>
    <w:next w:val="Normal"/>
    <w:qFormat/>
    <w:rsid w:val="008D5D84"/>
    <w:pPr>
      <w:numPr>
        <w:ilvl w:val="5"/>
        <w:numId w:val="46"/>
      </w:numPr>
      <w:spacing w:before="240" w:after="60"/>
      <w:outlineLvl w:val="5"/>
    </w:pPr>
    <w:rPr>
      <w:i/>
      <w:sz w:val="22"/>
    </w:rPr>
  </w:style>
  <w:style w:type="paragraph" w:styleId="Heading7">
    <w:name w:val="heading 7"/>
    <w:basedOn w:val="Normal"/>
    <w:next w:val="Normal"/>
    <w:qFormat/>
    <w:rsid w:val="008D5D84"/>
    <w:pPr>
      <w:numPr>
        <w:ilvl w:val="6"/>
        <w:numId w:val="46"/>
      </w:numPr>
      <w:spacing w:before="240" w:after="60"/>
      <w:outlineLvl w:val="6"/>
    </w:pPr>
    <w:rPr>
      <w:rFonts w:ascii="Arial" w:hAnsi="Arial"/>
    </w:rPr>
  </w:style>
  <w:style w:type="paragraph" w:styleId="Heading8">
    <w:name w:val="heading 8"/>
    <w:basedOn w:val="Normal"/>
    <w:next w:val="Normal"/>
    <w:qFormat/>
    <w:rsid w:val="008D5D84"/>
    <w:pPr>
      <w:numPr>
        <w:ilvl w:val="7"/>
        <w:numId w:val="46"/>
      </w:numPr>
      <w:spacing w:before="240" w:after="60"/>
      <w:outlineLvl w:val="7"/>
    </w:pPr>
    <w:rPr>
      <w:rFonts w:ascii="Arial" w:hAnsi="Arial"/>
      <w:i/>
    </w:rPr>
  </w:style>
  <w:style w:type="paragraph" w:styleId="Heading9">
    <w:name w:val="heading 9"/>
    <w:basedOn w:val="Normal"/>
    <w:next w:val="Normal"/>
    <w:qFormat/>
    <w:rsid w:val="008D5D84"/>
    <w:pPr>
      <w:numPr>
        <w:ilvl w:val="8"/>
        <w:numId w:val="4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Normal"/>
    <w:rsid w:val="00EC15D5"/>
    <w:rPr>
      <w:caps/>
    </w:rPr>
  </w:style>
  <w:style w:type="paragraph" w:customStyle="1" w:styleId="ABBR">
    <w:name w:val="ABBR"/>
    <w:basedOn w:val="Annex"/>
    <w:rsid w:val="00EC15D5"/>
  </w:style>
  <w:style w:type="paragraph" w:customStyle="1" w:styleId="AbbrDesc">
    <w:name w:val="AbbrDesc"/>
    <w:basedOn w:val="Normal"/>
    <w:rsid w:val="00EC15D5"/>
    <w:pPr>
      <w:tabs>
        <w:tab w:val="left" w:pos="3060"/>
      </w:tabs>
      <w:jc w:val="both"/>
    </w:pPr>
  </w:style>
  <w:style w:type="paragraph" w:styleId="BodyText">
    <w:name w:val="Body Text"/>
    <w:basedOn w:val="Normal"/>
    <w:rsid w:val="00EC15D5"/>
    <w:pPr>
      <w:tabs>
        <w:tab w:val="left" w:pos="3060"/>
      </w:tabs>
      <w:jc w:val="center"/>
    </w:pPr>
  </w:style>
  <w:style w:type="paragraph" w:styleId="BodyTextIndent">
    <w:name w:val="Body Text Indent"/>
    <w:basedOn w:val="Normal"/>
    <w:rsid w:val="00EC15D5"/>
    <w:pPr>
      <w:spacing w:after="120"/>
      <w:ind w:left="360"/>
    </w:pPr>
  </w:style>
  <w:style w:type="paragraph" w:styleId="BodyTextIndent3">
    <w:name w:val="Body Text Indent 3"/>
    <w:basedOn w:val="Normal"/>
    <w:rsid w:val="00EC15D5"/>
    <w:pPr>
      <w:spacing w:after="120"/>
      <w:ind w:left="360"/>
    </w:pPr>
  </w:style>
  <w:style w:type="paragraph" w:customStyle="1" w:styleId="Chapter">
    <w:name w:val="Chapter"/>
    <w:basedOn w:val="Normal"/>
    <w:next w:val="Normal"/>
    <w:rsid w:val="008D5D84"/>
    <w:pPr>
      <w:keepNext/>
      <w:numPr>
        <w:numId w:val="45"/>
      </w:numPr>
      <w:tabs>
        <w:tab w:val="clear" w:pos="1800"/>
        <w:tab w:val="num" w:pos="648"/>
        <w:tab w:val="left" w:pos="1440"/>
      </w:tabs>
      <w:spacing w:before="240" w:after="240"/>
      <w:ind w:left="0"/>
      <w:jc w:val="center"/>
    </w:pPr>
    <w:rPr>
      <w:b/>
      <w:smallCaps/>
    </w:rPr>
  </w:style>
  <w:style w:type="paragraph" w:styleId="DocumentMap">
    <w:name w:val="Document Map"/>
    <w:basedOn w:val="Normal"/>
    <w:semiHidden/>
    <w:rsid w:val="00EC15D5"/>
    <w:pPr>
      <w:shd w:val="clear" w:color="auto" w:fill="000080"/>
    </w:pPr>
    <w:rPr>
      <w:rFonts w:ascii="Tahoma" w:hAnsi="Tahoma"/>
    </w:rPr>
  </w:style>
  <w:style w:type="paragraph" w:customStyle="1" w:styleId="FirstHeading">
    <w:name w:val="FirstHeading"/>
    <w:basedOn w:val="Normal"/>
    <w:next w:val="Normal"/>
    <w:rsid w:val="008D5D84"/>
    <w:pPr>
      <w:keepNext/>
      <w:numPr>
        <w:numId w:val="46"/>
      </w:numPr>
      <w:tabs>
        <w:tab w:val="left" w:pos="0"/>
        <w:tab w:val="left" w:pos="86"/>
      </w:tabs>
      <w:spacing w:before="120" w:after="120"/>
      <w:ind w:left="720"/>
    </w:pPr>
    <w:rPr>
      <w:b/>
    </w:rPr>
  </w:style>
  <w:style w:type="paragraph" w:styleId="Footer">
    <w:name w:val="footer"/>
    <w:basedOn w:val="Normal"/>
    <w:link w:val="FooterChar"/>
    <w:uiPriority w:val="99"/>
    <w:rsid w:val="00EC15D5"/>
    <w:pPr>
      <w:tabs>
        <w:tab w:val="center" w:pos="4320"/>
        <w:tab w:val="right" w:pos="8640"/>
      </w:tabs>
    </w:pPr>
  </w:style>
  <w:style w:type="paragraph" w:styleId="FootnoteText">
    <w:name w:val="footnote text"/>
    <w:aliases w:val="fn,Texto nota pie IIRSA,foottextfra,footnote,F,single space,Footnote Text Char Char Char Char Char Char,Footnote Text Char Char,Footnote Text1 Char,Footnote Text Char Char Char Char,footnote text,FOOTNOTES,Fußnotentextr,Char,ft,fn Car Car"/>
    <w:basedOn w:val="Normal"/>
    <w:link w:val="FootnoteTextChar"/>
    <w:rsid w:val="00EC15D5"/>
    <w:pPr>
      <w:keepNext/>
      <w:keepLines/>
      <w:spacing w:after="120"/>
      <w:ind w:left="288" w:hanging="288"/>
      <w:jc w:val="both"/>
    </w:pPr>
    <w:rPr>
      <w:spacing w:val="-3"/>
      <w:sz w:val="20"/>
    </w:rPr>
  </w:style>
  <w:style w:type="paragraph" w:styleId="Header">
    <w:name w:val="header"/>
    <w:basedOn w:val="Normal"/>
    <w:rsid w:val="00EC15D5"/>
    <w:pPr>
      <w:tabs>
        <w:tab w:val="center" w:pos="4320"/>
        <w:tab w:val="right" w:pos="8640"/>
      </w:tabs>
    </w:pPr>
  </w:style>
  <w:style w:type="character" w:styleId="LineNumber">
    <w:name w:val="line number"/>
    <w:basedOn w:val="DefaultParagraphFont"/>
    <w:rsid w:val="00EC15D5"/>
  </w:style>
  <w:style w:type="paragraph" w:customStyle="1" w:styleId="MasterSourceText">
    <w:name w:val="Master_SourceText"/>
    <w:basedOn w:val="Normal"/>
    <w:rsid w:val="00EC15D5"/>
    <w:pPr>
      <w:tabs>
        <w:tab w:val="left" w:pos="1440"/>
      </w:tabs>
      <w:ind w:left="1440" w:hanging="720"/>
      <w:jc w:val="both"/>
    </w:pPr>
    <w:rPr>
      <w:sz w:val="20"/>
    </w:rPr>
  </w:style>
  <w:style w:type="paragraph" w:customStyle="1" w:styleId="Newpage">
    <w:name w:val="Newpage"/>
    <w:basedOn w:val="Chapter"/>
    <w:rsid w:val="00EC15D5"/>
    <w:pPr>
      <w:numPr>
        <w:numId w:val="0"/>
      </w:numPr>
      <w:tabs>
        <w:tab w:val="left" w:pos="3060"/>
      </w:tabs>
      <w:spacing w:after="0"/>
    </w:pPr>
  </w:style>
  <w:style w:type="character" w:styleId="PageNumber">
    <w:name w:val="page number"/>
    <w:basedOn w:val="DefaultParagraphFont"/>
    <w:rsid w:val="00EC15D5"/>
  </w:style>
  <w:style w:type="paragraph" w:customStyle="1" w:styleId="Paragraph">
    <w:name w:val="Paragraph"/>
    <w:aliases w:val="paragraph,p,PARAGRAPH,PG,pa,at"/>
    <w:basedOn w:val="BodyTextIndent"/>
    <w:link w:val="ParagraphChar"/>
    <w:rsid w:val="008D5D84"/>
    <w:pPr>
      <w:numPr>
        <w:ilvl w:val="1"/>
        <w:numId w:val="45"/>
      </w:numPr>
      <w:tabs>
        <w:tab w:val="clear" w:pos="2448"/>
        <w:tab w:val="num" w:pos="720"/>
      </w:tabs>
      <w:spacing w:before="120"/>
      <w:ind w:left="720" w:hanging="720"/>
      <w:jc w:val="both"/>
      <w:outlineLvl w:val="1"/>
    </w:pPr>
  </w:style>
  <w:style w:type="paragraph" w:customStyle="1" w:styleId="RegheadTab">
    <w:name w:val="RegheadTab"/>
    <w:basedOn w:val="FirstHeading"/>
    <w:rsid w:val="00EC15D5"/>
    <w:pPr>
      <w:numPr>
        <w:numId w:val="0"/>
      </w:numPr>
      <w:tabs>
        <w:tab w:val="num" w:pos="504"/>
      </w:tabs>
      <w:spacing w:after="0"/>
      <w:ind w:left="504" w:hanging="504"/>
      <w:jc w:val="center"/>
    </w:pPr>
  </w:style>
  <w:style w:type="paragraph" w:customStyle="1" w:styleId="SecHeading">
    <w:name w:val="SecHeading"/>
    <w:basedOn w:val="Normal"/>
    <w:next w:val="Paragraph"/>
    <w:rsid w:val="008D5D84"/>
    <w:pPr>
      <w:keepNext/>
      <w:numPr>
        <w:ilvl w:val="1"/>
        <w:numId w:val="46"/>
      </w:numPr>
      <w:tabs>
        <w:tab w:val="clear" w:pos="5400"/>
        <w:tab w:val="num" w:pos="1296"/>
      </w:tabs>
      <w:spacing w:before="120" w:after="120"/>
      <w:ind w:left="1296"/>
    </w:pPr>
    <w:rPr>
      <w:b/>
    </w:rPr>
  </w:style>
  <w:style w:type="paragraph" w:customStyle="1" w:styleId="SubHeading1">
    <w:name w:val="SubHeading1"/>
    <w:basedOn w:val="SecHeading"/>
    <w:rsid w:val="008D5D84"/>
    <w:pPr>
      <w:numPr>
        <w:ilvl w:val="2"/>
      </w:numPr>
      <w:tabs>
        <w:tab w:val="clear" w:pos="5976"/>
        <w:tab w:val="num" w:pos="1872"/>
      </w:tabs>
      <w:ind w:left="1872"/>
    </w:pPr>
  </w:style>
  <w:style w:type="paragraph" w:customStyle="1" w:styleId="Subheading2">
    <w:name w:val="Subheading2"/>
    <w:basedOn w:val="SecHeading"/>
    <w:rsid w:val="008D5D84"/>
    <w:pPr>
      <w:numPr>
        <w:ilvl w:val="3"/>
      </w:numPr>
      <w:tabs>
        <w:tab w:val="clear" w:pos="6480"/>
        <w:tab w:val="num" w:pos="2376"/>
      </w:tabs>
      <w:ind w:left="2376"/>
    </w:pPr>
  </w:style>
  <w:style w:type="paragraph" w:customStyle="1" w:styleId="subpar">
    <w:name w:val="subpar"/>
    <w:basedOn w:val="BodyTextIndent3"/>
    <w:rsid w:val="008D5D84"/>
    <w:pPr>
      <w:numPr>
        <w:ilvl w:val="2"/>
        <w:numId w:val="45"/>
      </w:numPr>
      <w:tabs>
        <w:tab w:val="clear" w:pos="2304"/>
        <w:tab w:val="num" w:pos="1152"/>
      </w:tabs>
      <w:spacing w:before="120"/>
      <w:ind w:left="1152"/>
      <w:jc w:val="both"/>
      <w:outlineLvl w:val="2"/>
    </w:pPr>
  </w:style>
  <w:style w:type="paragraph" w:customStyle="1" w:styleId="SubSubPar">
    <w:name w:val="SubSubPar"/>
    <w:basedOn w:val="subpar"/>
    <w:rsid w:val="008D5D84"/>
    <w:pPr>
      <w:numPr>
        <w:ilvl w:val="3"/>
      </w:numPr>
      <w:tabs>
        <w:tab w:val="clear" w:pos="2736"/>
        <w:tab w:val="left" w:pos="0"/>
        <w:tab w:val="num" w:pos="1296"/>
      </w:tabs>
      <w:ind w:left="1296"/>
    </w:pPr>
  </w:style>
  <w:style w:type="paragraph" w:styleId="Title">
    <w:name w:val="Title"/>
    <w:basedOn w:val="Normal"/>
    <w:qFormat/>
    <w:rsid w:val="00EC15D5"/>
    <w:pPr>
      <w:tabs>
        <w:tab w:val="left" w:pos="1440"/>
        <w:tab w:val="left" w:pos="3060"/>
      </w:tabs>
      <w:jc w:val="center"/>
      <w:outlineLvl w:val="0"/>
    </w:pPr>
  </w:style>
  <w:style w:type="paragraph" w:styleId="TOC1">
    <w:name w:val="toc 1"/>
    <w:basedOn w:val="Normal"/>
    <w:next w:val="Normal"/>
    <w:autoRedefine/>
    <w:semiHidden/>
    <w:rsid w:val="00EC15D5"/>
    <w:pPr>
      <w:tabs>
        <w:tab w:val="left" w:pos="540"/>
        <w:tab w:val="right" w:leader="dot" w:pos="8741"/>
      </w:tabs>
      <w:spacing w:before="240" w:after="240"/>
      <w:ind w:left="547" w:hanging="547"/>
    </w:pPr>
    <w:rPr>
      <w:smallCaps/>
      <w:noProof/>
    </w:rPr>
  </w:style>
  <w:style w:type="paragraph" w:styleId="TOC2">
    <w:name w:val="toc 2"/>
    <w:basedOn w:val="Normal"/>
    <w:next w:val="Normal"/>
    <w:autoRedefine/>
    <w:semiHidden/>
    <w:rsid w:val="00EC15D5"/>
    <w:pPr>
      <w:tabs>
        <w:tab w:val="left" w:pos="540"/>
        <w:tab w:val="left" w:pos="600"/>
        <w:tab w:val="left" w:pos="1166"/>
        <w:tab w:val="right" w:leader="dot" w:pos="8741"/>
      </w:tabs>
      <w:ind w:left="1166" w:hanging="605"/>
    </w:pPr>
    <w:rPr>
      <w:noProof/>
      <w:szCs w:val="24"/>
    </w:rPr>
  </w:style>
  <w:style w:type="paragraph" w:styleId="TOC3">
    <w:name w:val="toc 3"/>
    <w:basedOn w:val="Normal"/>
    <w:next w:val="Normal"/>
    <w:autoRedefine/>
    <w:semiHidden/>
    <w:rsid w:val="00EC15D5"/>
    <w:pPr>
      <w:tabs>
        <w:tab w:val="left" w:pos="1728"/>
      </w:tabs>
      <w:ind w:left="1714" w:hanging="562"/>
    </w:pPr>
    <w:rPr>
      <w:noProof/>
    </w:rPr>
  </w:style>
  <w:style w:type="paragraph" w:styleId="TOC4">
    <w:name w:val="toc 4"/>
    <w:basedOn w:val="Normal"/>
    <w:next w:val="Normal"/>
    <w:autoRedefine/>
    <w:semiHidden/>
    <w:rsid w:val="00EC15D5"/>
    <w:pPr>
      <w:ind w:left="400"/>
    </w:pPr>
  </w:style>
  <w:style w:type="paragraph" w:styleId="TOC5">
    <w:name w:val="toc 5"/>
    <w:basedOn w:val="Normal"/>
    <w:next w:val="Normal"/>
    <w:autoRedefine/>
    <w:semiHidden/>
    <w:rsid w:val="00EC15D5"/>
    <w:pPr>
      <w:ind w:left="600"/>
    </w:pPr>
  </w:style>
  <w:style w:type="paragraph" w:styleId="TOC6">
    <w:name w:val="toc 6"/>
    <w:basedOn w:val="Normal"/>
    <w:next w:val="Normal"/>
    <w:autoRedefine/>
    <w:semiHidden/>
    <w:rsid w:val="00EC15D5"/>
    <w:pPr>
      <w:ind w:left="800"/>
    </w:pPr>
  </w:style>
  <w:style w:type="paragraph" w:styleId="TOC7">
    <w:name w:val="toc 7"/>
    <w:basedOn w:val="Normal"/>
    <w:next w:val="Normal"/>
    <w:autoRedefine/>
    <w:semiHidden/>
    <w:rsid w:val="00EC15D5"/>
    <w:pPr>
      <w:ind w:left="1000"/>
    </w:pPr>
  </w:style>
  <w:style w:type="paragraph" w:styleId="TOC8">
    <w:name w:val="toc 8"/>
    <w:basedOn w:val="Normal"/>
    <w:next w:val="Normal"/>
    <w:autoRedefine/>
    <w:semiHidden/>
    <w:rsid w:val="00EC15D5"/>
    <w:pPr>
      <w:ind w:left="1200"/>
    </w:pPr>
  </w:style>
  <w:style w:type="paragraph" w:styleId="TOC9">
    <w:name w:val="toc 9"/>
    <w:basedOn w:val="Normal"/>
    <w:next w:val="Normal"/>
    <w:autoRedefine/>
    <w:semiHidden/>
    <w:rsid w:val="00EC15D5"/>
    <w:pPr>
      <w:ind w:left="1400"/>
    </w:pPr>
  </w:style>
  <w:style w:type="character" w:styleId="Hyperlink">
    <w:name w:val="Hyperlink"/>
    <w:basedOn w:val="DefaultParagraphFont"/>
    <w:rsid w:val="00EC15D5"/>
    <w:rPr>
      <w:color w:val="0000FF"/>
      <w:u w:val="single"/>
    </w:rPr>
  </w:style>
  <w:style w:type="character" w:styleId="FollowedHyperlink">
    <w:name w:val="FollowedHyperlink"/>
    <w:basedOn w:val="DefaultParagraphFont"/>
    <w:rsid w:val="00EC15D5"/>
    <w:rPr>
      <w:color w:val="800080"/>
      <w:u w:val="single"/>
    </w:rPr>
  </w:style>
  <w:style w:type="paragraph" w:styleId="BodyText3">
    <w:name w:val="Body Text 3"/>
    <w:basedOn w:val="Normal"/>
    <w:rsid w:val="00EC15D5"/>
    <w:rPr>
      <w:rFonts w:ascii="Palatino Linotype" w:hAnsi="Palatino Linotype"/>
      <w:sz w:val="22"/>
    </w:rPr>
  </w:style>
  <w:style w:type="character" w:styleId="FootnoteReference">
    <w:name w:val="footnote reference"/>
    <w:basedOn w:val="DefaultParagraphFont"/>
    <w:semiHidden/>
    <w:rsid w:val="00EC15D5"/>
    <w:rPr>
      <w:vertAlign w:val="superscript"/>
    </w:rPr>
  </w:style>
  <w:style w:type="paragraph" w:styleId="Subtitle">
    <w:name w:val="Subtitle"/>
    <w:basedOn w:val="Normal"/>
    <w:qFormat/>
    <w:rsid w:val="00EC15D5"/>
    <w:pPr>
      <w:jc w:val="center"/>
    </w:pPr>
    <w:rPr>
      <w:b/>
      <w:bCs/>
      <w:sz w:val="28"/>
      <w:szCs w:val="24"/>
    </w:rPr>
  </w:style>
  <w:style w:type="paragraph" w:customStyle="1" w:styleId="xl29">
    <w:name w:val="xl29"/>
    <w:basedOn w:val="Normal"/>
    <w:rsid w:val="00EC15D5"/>
    <w:pPr>
      <w:pBdr>
        <w:left w:val="single" w:sz="4" w:space="0" w:color="auto"/>
        <w:bottom w:val="single" w:sz="4" w:space="0" w:color="auto"/>
      </w:pBdr>
      <w:spacing w:before="100" w:beforeAutospacing="1" w:after="100" w:afterAutospacing="1"/>
      <w:jc w:val="center"/>
    </w:pPr>
    <w:rPr>
      <w:rFonts w:ascii="Arial" w:eastAsia="Arial Unicode MS" w:hAnsi="Arial" w:cs="Arial"/>
      <w:b/>
      <w:bCs/>
      <w:szCs w:val="24"/>
    </w:rPr>
  </w:style>
  <w:style w:type="paragraph" w:customStyle="1" w:styleId="Textodebalo">
    <w:name w:val="Texto de balão"/>
    <w:basedOn w:val="Normal"/>
    <w:semiHidden/>
    <w:rsid w:val="00EC15D5"/>
    <w:rPr>
      <w:rFonts w:ascii="Tahoma" w:hAnsi="Tahoma" w:cs="Tahoma"/>
      <w:sz w:val="16"/>
      <w:szCs w:val="16"/>
    </w:rPr>
  </w:style>
  <w:style w:type="paragraph" w:styleId="BalloonText">
    <w:name w:val="Balloon Text"/>
    <w:basedOn w:val="Normal"/>
    <w:semiHidden/>
    <w:rsid w:val="00D4145C"/>
    <w:rPr>
      <w:rFonts w:ascii="Tahoma" w:hAnsi="Tahoma" w:cs="Tahoma"/>
      <w:sz w:val="16"/>
      <w:szCs w:val="16"/>
    </w:rPr>
  </w:style>
  <w:style w:type="character" w:customStyle="1" w:styleId="ParagraphChar">
    <w:name w:val="Paragraph Char"/>
    <w:basedOn w:val="DefaultParagraphFont"/>
    <w:link w:val="Paragraph"/>
    <w:rsid w:val="008D5D84"/>
    <w:rPr>
      <w:sz w:val="24"/>
    </w:rPr>
  </w:style>
  <w:style w:type="character" w:styleId="Emphasis">
    <w:name w:val="Emphasis"/>
    <w:basedOn w:val="DefaultParagraphFont"/>
    <w:qFormat/>
    <w:rsid w:val="003F27D7"/>
    <w:rPr>
      <w:i/>
      <w:iCs/>
    </w:rPr>
  </w:style>
  <w:style w:type="paragraph" w:styleId="ListParagraph">
    <w:name w:val="List Paragraph"/>
    <w:basedOn w:val="Normal"/>
    <w:uiPriority w:val="34"/>
    <w:qFormat/>
    <w:rsid w:val="001F48A4"/>
    <w:pPr>
      <w:ind w:left="720"/>
      <w:contextualSpacing/>
    </w:pPr>
    <w:rPr>
      <w:rFonts w:ascii="Arial" w:hAnsi="Arial"/>
      <w:sz w:val="20"/>
    </w:rPr>
  </w:style>
  <w:style w:type="table" w:styleId="TableGrid">
    <w:name w:val="Table Grid"/>
    <w:basedOn w:val="TableNormal"/>
    <w:rsid w:val="003832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74D84"/>
    <w:rPr>
      <w:sz w:val="24"/>
    </w:rPr>
  </w:style>
  <w:style w:type="paragraph" w:styleId="NormalWeb">
    <w:name w:val="Normal (Web)"/>
    <w:basedOn w:val="Normal"/>
    <w:uiPriority w:val="99"/>
    <w:unhideWhenUsed/>
    <w:rsid w:val="00D37846"/>
    <w:rPr>
      <w:rFonts w:eastAsia="Calibri"/>
      <w:szCs w:val="24"/>
    </w:rPr>
  </w:style>
  <w:style w:type="character" w:styleId="CommentReference">
    <w:name w:val="annotation reference"/>
    <w:basedOn w:val="DefaultParagraphFont"/>
    <w:rsid w:val="00E322F8"/>
    <w:rPr>
      <w:sz w:val="16"/>
      <w:szCs w:val="16"/>
    </w:rPr>
  </w:style>
  <w:style w:type="paragraph" w:styleId="CommentText">
    <w:name w:val="annotation text"/>
    <w:basedOn w:val="Normal"/>
    <w:link w:val="CommentTextChar"/>
    <w:rsid w:val="00E322F8"/>
    <w:rPr>
      <w:sz w:val="20"/>
    </w:rPr>
  </w:style>
  <w:style w:type="character" w:customStyle="1" w:styleId="CommentTextChar">
    <w:name w:val="Comment Text Char"/>
    <w:basedOn w:val="DefaultParagraphFont"/>
    <w:link w:val="CommentText"/>
    <w:rsid w:val="00E322F8"/>
  </w:style>
  <w:style w:type="paragraph" w:styleId="CommentSubject">
    <w:name w:val="annotation subject"/>
    <w:basedOn w:val="CommentText"/>
    <w:next w:val="CommentText"/>
    <w:link w:val="CommentSubjectChar"/>
    <w:rsid w:val="00E322F8"/>
    <w:rPr>
      <w:b/>
      <w:bCs/>
    </w:rPr>
  </w:style>
  <w:style w:type="character" w:customStyle="1" w:styleId="CommentSubjectChar">
    <w:name w:val="Comment Subject Char"/>
    <w:basedOn w:val="CommentTextChar"/>
    <w:link w:val="CommentSubject"/>
    <w:rsid w:val="00E322F8"/>
    <w:rPr>
      <w:b/>
      <w:bCs/>
    </w:rPr>
  </w:style>
  <w:style w:type="character" w:customStyle="1" w:styleId="FootnoteTextChar">
    <w:name w:val="Footnote Text Char"/>
    <w:aliases w:val="fn Char,Texto nota pie IIRSA Char,foottextfra Char,footnote Char,F Char,single space Char,Footnote Text Char Char Char Char Char Char Char,Footnote Text Char Char Char,Footnote Text1 Char Char,Footnote Text Char Char Char Char Char"/>
    <w:basedOn w:val="DefaultParagraphFont"/>
    <w:link w:val="FootnoteText"/>
    <w:uiPriority w:val="99"/>
    <w:locked/>
    <w:rsid w:val="00CE29A5"/>
    <w:rPr>
      <w:spacing w:val="-3"/>
    </w:rPr>
  </w:style>
  <w:style w:type="paragraph" w:styleId="Revision">
    <w:name w:val="Revision"/>
    <w:hidden/>
    <w:uiPriority w:val="99"/>
    <w:semiHidden/>
    <w:rsid w:val="008E0577"/>
    <w:rPr>
      <w:sz w:val="24"/>
    </w:rPr>
  </w:style>
  <w:style w:type="character" w:customStyle="1" w:styleId="FootnoteTextChar1">
    <w:name w:val="Footnote Text Char1"/>
    <w:aliases w:val="fn Char1,Texto nota pie IIRSA Char1,foottextfra Char1,footnote Char1,F Char1"/>
    <w:basedOn w:val="DefaultParagraphFont"/>
    <w:semiHidden/>
    <w:locked/>
    <w:rsid w:val="0074637A"/>
    <w:rPr>
      <w:rFonts w:cs="Times New Roman"/>
      <w:spacing w:val="-3"/>
      <w:lang w:val="en-US" w:eastAsia="en-US" w:bidi="ar-SA"/>
    </w:rPr>
  </w:style>
  <w:style w:type="character" w:customStyle="1" w:styleId="apple-style-span">
    <w:name w:val="apple-style-span"/>
    <w:basedOn w:val="DefaultParagraphFont"/>
    <w:rsid w:val="005673D0"/>
  </w:style>
  <w:style w:type="character" w:customStyle="1" w:styleId="apple-converted-space">
    <w:name w:val="apple-converted-space"/>
    <w:basedOn w:val="DefaultParagraphFont"/>
    <w:rsid w:val="005673D0"/>
  </w:style>
  <w:style w:type="paragraph" w:customStyle="1" w:styleId="Regtable">
    <w:name w:val="Regtable"/>
    <w:basedOn w:val="Normal"/>
    <w:link w:val="RegtableChar"/>
    <w:rsid w:val="008D5D84"/>
    <w:pPr>
      <w:keepLines/>
      <w:framePr w:wrap="around" w:vAnchor="text" w:hAnchor="text" w:y="1"/>
      <w:spacing w:before="20" w:after="20"/>
    </w:pPr>
    <w:rPr>
      <w:sz w:val="20"/>
      <w:lang w:val="es-ES_tradnl"/>
    </w:rPr>
  </w:style>
  <w:style w:type="character" w:customStyle="1" w:styleId="RegtableChar">
    <w:name w:val="Regtable Char"/>
    <w:basedOn w:val="DefaultParagraphFont"/>
    <w:link w:val="Regtable"/>
    <w:rsid w:val="008D5D84"/>
    <w:rPr>
      <w:lang w:val="es-ES_tradnl"/>
    </w:rPr>
  </w:style>
  <w:style w:type="paragraph" w:customStyle="1" w:styleId="TableTitle">
    <w:name w:val="TableTitle"/>
    <w:basedOn w:val="Normal"/>
    <w:link w:val="TableTitleChar"/>
    <w:rsid w:val="008D5D84"/>
    <w:pPr>
      <w:keepNext/>
      <w:framePr w:wrap="around" w:vAnchor="text" w:hAnchor="text" w:y="1"/>
      <w:spacing w:before="20" w:after="20"/>
      <w:jc w:val="center"/>
    </w:pPr>
    <w:rPr>
      <w:rFonts w:ascii="Times New Roman Bold" w:hAnsi="Times New Roman Bold"/>
      <w:b/>
      <w:spacing w:val="-3"/>
      <w:sz w:val="20"/>
      <w:lang w:val="es-ES_tradnl"/>
    </w:rPr>
  </w:style>
  <w:style w:type="character" w:customStyle="1" w:styleId="TableTitleChar">
    <w:name w:val="TableTitle Char"/>
    <w:basedOn w:val="DefaultParagraphFont"/>
    <w:link w:val="TableTitle"/>
    <w:rsid w:val="008D5D84"/>
    <w:rPr>
      <w:rFonts w:ascii="Times New Roman Bold" w:hAnsi="Times New Roman Bold"/>
      <w:b/>
      <w:spacing w:val="-3"/>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649">
      <w:bodyDiv w:val="1"/>
      <w:marLeft w:val="0"/>
      <w:marRight w:val="0"/>
      <w:marTop w:val="0"/>
      <w:marBottom w:val="0"/>
      <w:divBdr>
        <w:top w:val="none" w:sz="0" w:space="0" w:color="auto"/>
        <w:left w:val="none" w:sz="0" w:space="0" w:color="auto"/>
        <w:bottom w:val="none" w:sz="0" w:space="0" w:color="auto"/>
        <w:right w:val="none" w:sz="0" w:space="0" w:color="auto"/>
      </w:divBdr>
    </w:div>
    <w:div w:id="119348329">
      <w:bodyDiv w:val="1"/>
      <w:marLeft w:val="0"/>
      <w:marRight w:val="0"/>
      <w:marTop w:val="0"/>
      <w:marBottom w:val="0"/>
      <w:divBdr>
        <w:top w:val="none" w:sz="0" w:space="0" w:color="auto"/>
        <w:left w:val="none" w:sz="0" w:space="0" w:color="auto"/>
        <w:bottom w:val="none" w:sz="0" w:space="0" w:color="auto"/>
        <w:right w:val="none" w:sz="0" w:space="0" w:color="auto"/>
      </w:divBdr>
    </w:div>
    <w:div w:id="478226342">
      <w:bodyDiv w:val="1"/>
      <w:marLeft w:val="0"/>
      <w:marRight w:val="0"/>
      <w:marTop w:val="0"/>
      <w:marBottom w:val="0"/>
      <w:divBdr>
        <w:top w:val="none" w:sz="0" w:space="0" w:color="auto"/>
        <w:left w:val="none" w:sz="0" w:space="0" w:color="auto"/>
        <w:bottom w:val="none" w:sz="0" w:space="0" w:color="auto"/>
        <w:right w:val="none" w:sz="0" w:space="0" w:color="auto"/>
      </w:divBdr>
    </w:div>
    <w:div w:id="789670678">
      <w:bodyDiv w:val="1"/>
      <w:marLeft w:val="0"/>
      <w:marRight w:val="0"/>
      <w:marTop w:val="0"/>
      <w:marBottom w:val="0"/>
      <w:divBdr>
        <w:top w:val="none" w:sz="0" w:space="0" w:color="auto"/>
        <w:left w:val="none" w:sz="0" w:space="0" w:color="auto"/>
        <w:bottom w:val="none" w:sz="0" w:space="0" w:color="auto"/>
        <w:right w:val="none" w:sz="0" w:space="0" w:color="auto"/>
      </w:divBdr>
    </w:div>
    <w:div w:id="1245458336">
      <w:bodyDiv w:val="1"/>
      <w:marLeft w:val="0"/>
      <w:marRight w:val="0"/>
      <w:marTop w:val="0"/>
      <w:marBottom w:val="0"/>
      <w:divBdr>
        <w:top w:val="none" w:sz="0" w:space="0" w:color="auto"/>
        <w:left w:val="none" w:sz="0" w:space="0" w:color="auto"/>
        <w:bottom w:val="none" w:sz="0" w:space="0" w:color="auto"/>
        <w:right w:val="none" w:sz="0" w:space="0" w:color="auto"/>
      </w:divBdr>
    </w:div>
    <w:div w:id="1308821314">
      <w:bodyDiv w:val="1"/>
      <w:marLeft w:val="0"/>
      <w:marRight w:val="0"/>
      <w:marTop w:val="0"/>
      <w:marBottom w:val="0"/>
      <w:divBdr>
        <w:top w:val="none" w:sz="0" w:space="0" w:color="auto"/>
        <w:left w:val="none" w:sz="0" w:space="0" w:color="auto"/>
        <w:bottom w:val="none" w:sz="0" w:space="0" w:color="auto"/>
        <w:right w:val="none" w:sz="0" w:space="0" w:color="auto"/>
      </w:divBdr>
    </w:div>
    <w:div w:id="1342122783">
      <w:bodyDiv w:val="1"/>
      <w:marLeft w:val="0"/>
      <w:marRight w:val="0"/>
      <w:marTop w:val="0"/>
      <w:marBottom w:val="0"/>
      <w:divBdr>
        <w:top w:val="none" w:sz="0" w:space="0" w:color="auto"/>
        <w:left w:val="none" w:sz="0" w:space="0" w:color="auto"/>
        <w:bottom w:val="none" w:sz="0" w:space="0" w:color="auto"/>
        <w:right w:val="none" w:sz="0" w:space="0" w:color="auto"/>
      </w:divBdr>
    </w:div>
    <w:div w:id="1483691349">
      <w:bodyDiv w:val="1"/>
      <w:marLeft w:val="0"/>
      <w:marRight w:val="0"/>
      <w:marTop w:val="0"/>
      <w:marBottom w:val="0"/>
      <w:divBdr>
        <w:top w:val="none" w:sz="0" w:space="0" w:color="auto"/>
        <w:left w:val="none" w:sz="0" w:space="0" w:color="auto"/>
        <w:bottom w:val="none" w:sz="0" w:space="0" w:color="auto"/>
        <w:right w:val="none" w:sz="0" w:space="0" w:color="auto"/>
      </w:divBdr>
    </w:div>
    <w:div w:id="1668702120">
      <w:bodyDiv w:val="1"/>
      <w:marLeft w:val="0"/>
      <w:marRight w:val="0"/>
      <w:marTop w:val="0"/>
      <w:marBottom w:val="0"/>
      <w:divBdr>
        <w:top w:val="none" w:sz="0" w:space="0" w:color="auto"/>
        <w:left w:val="none" w:sz="0" w:space="0" w:color="auto"/>
        <w:bottom w:val="none" w:sz="0" w:space="0" w:color="auto"/>
        <w:right w:val="none" w:sz="0" w:space="0" w:color="auto"/>
      </w:divBdr>
    </w:div>
    <w:div w:id="1812670026">
      <w:bodyDiv w:val="1"/>
      <w:marLeft w:val="0"/>
      <w:marRight w:val="0"/>
      <w:marTop w:val="0"/>
      <w:marBottom w:val="0"/>
      <w:divBdr>
        <w:top w:val="none" w:sz="0" w:space="0" w:color="auto"/>
        <w:left w:val="none" w:sz="0" w:space="0" w:color="auto"/>
        <w:bottom w:val="none" w:sz="0" w:space="0" w:color="auto"/>
        <w:right w:val="none" w:sz="0" w:space="0" w:color="auto"/>
      </w:divBdr>
    </w:div>
    <w:div w:id="1835102459">
      <w:bodyDiv w:val="1"/>
      <w:marLeft w:val="0"/>
      <w:marRight w:val="0"/>
      <w:marTop w:val="0"/>
      <w:marBottom w:val="0"/>
      <w:divBdr>
        <w:top w:val="none" w:sz="0" w:space="0" w:color="auto"/>
        <w:left w:val="none" w:sz="0" w:space="0" w:color="auto"/>
        <w:bottom w:val="none" w:sz="0" w:space="0" w:color="auto"/>
        <w:right w:val="none" w:sz="0" w:space="0" w:color="auto"/>
      </w:divBdr>
    </w:div>
    <w:div w:id="1838302210">
      <w:bodyDiv w:val="1"/>
      <w:marLeft w:val="0"/>
      <w:marRight w:val="0"/>
      <w:marTop w:val="0"/>
      <w:marBottom w:val="0"/>
      <w:divBdr>
        <w:top w:val="none" w:sz="0" w:space="0" w:color="auto"/>
        <w:left w:val="none" w:sz="0" w:space="0" w:color="auto"/>
        <w:bottom w:val="none" w:sz="0" w:space="0" w:color="auto"/>
        <w:right w:val="none" w:sz="0" w:space="0" w:color="auto"/>
      </w:divBdr>
    </w:div>
    <w:div w:id="1858080875">
      <w:bodyDiv w:val="1"/>
      <w:marLeft w:val="0"/>
      <w:marRight w:val="0"/>
      <w:marTop w:val="0"/>
      <w:marBottom w:val="0"/>
      <w:divBdr>
        <w:top w:val="none" w:sz="0" w:space="0" w:color="auto"/>
        <w:left w:val="none" w:sz="0" w:space="0" w:color="auto"/>
        <w:bottom w:val="none" w:sz="0" w:space="0" w:color="auto"/>
        <w:right w:val="none" w:sz="0" w:space="0" w:color="auto"/>
      </w:divBdr>
      <w:divsChild>
        <w:div w:id="278074416">
          <w:marLeft w:val="547"/>
          <w:marRight w:val="0"/>
          <w:marTop w:val="77"/>
          <w:marBottom w:val="0"/>
          <w:divBdr>
            <w:top w:val="none" w:sz="0" w:space="0" w:color="auto"/>
            <w:left w:val="none" w:sz="0" w:space="0" w:color="auto"/>
            <w:bottom w:val="none" w:sz="0" w:space="0" w:color="auto"/>
            <w:right w:val="none" w:sz="0" w:space="0" w:color="auto"/>
          </w:divBdr>
        </w:div>
        <w:div w:id="373427808">
          <w:marLeft w:val="547"/>
          <w:marRight w:val="0"/>
          <w:marTop w:val="77"/>
          <w:marBottom w:val="0"/>
          <w:divBdr>
            <w:top w:val="none" w:sz="0" w:space="0" w:color="auto"/>
            <w:left w:val="none" w:sz="0" w:space="0" w:color="auto"/>
            <w:bottom w:val="none" w:sz="0" w:space="0" w:color="auto"/>
            <w:right w:val="none" w:sz="0" w:space="0" w:color="auto"/>
          </w:divBdr>
        </w:div>
        <w:div w:id="483006385">
          <w:marLeft w:val="547"/>
          <w:marRight w:val="0"/>
          <w:marTop w:val="77"/>
          <w:marBottom w:val="0"/>
          <w:divBdr>
            <w:top w:val="none" w:sz="0" w:space="0" w:color="auto"/>
            <w:left w:val="none" w:sz="0" w:space="0" w:color="auto"/>
            <w:bottom w:val="none" w:sz="0" w:space="0" w:color="auto"/>
            <w:right w:val="none" w:sz="0" w:space="0" w:color="auto"/>
          </w:divBdr>
        </w:div>
        <w:div w:id="1994410989">
          <w:marLeft w:val="547"/>
          <w:marRight w:val="0"/>
          <w:marTop w:val="77"/>
          <w:marBottom w:val="0"/>
          <w:divBdr>
            <w:top w:val="none" w:sz="0" w:space="0" w:color="auto"/>
            <w:left w:val="none" w:sz="0" w:space="0" w:color="auto"/>
            <w:bottom w:val="none" w:sz="0" w:space="0" w:color="auto"/>
            <w:right w:val="none" w:sz="0" w:space="0" w:color="auto"/>
          </w:divBdr>
        </w:div>
        <w:div w:id="2092775542">
          <w:marLeft w:val="547"/>
          <w:marRight w:val="0"/>
          <w:marTop w:val="77"/>
          <w:marBottom w:val="0"/>
          <w:divBdr>
            <w:top w:val="none" w:sz="0" w:space="0" w:color="auto"/>
            <w:left w:val="none" w:sz="0" w:space="0" w:color="auto"/>
            <w:bottom w:val="none" w:sz="0" w:space="0" w:color="auto"/>
            <w:right w:val="none" w:sz="0" w:space="0" w:color="auto"/>
          </w:divBdr>
        </w:div>
        <w:div w:id="2100372486">
          <w:marLeft w:val="547"/>
          <w:marRight w:val="0"/>
          <w:marTop w:val="77"/>
          <w:marBottom w:val="0"/>
          <w:divBdr>
            <w:top w:val="none" w:sz="0" w:space="0" w:color="auto"/>
            <w:left w:val="none" w:sz="0" w:space="0" w:color="auto"/>
            <w:bottom w:val="none" w:sz="0" w:space="0" w:color="auto"/>
            <w:right w:val="none" w:sz="0" w:space="0" w:color="auto"/>
          </w:divBdr>
        </w:div>
        <w:div w:id="2104181682">
          <w:marLeft w:val="547"/>
          <w:marRight w:val="0"/>
          <w:marTop w:val="77"/>
          <w:marBottom w:val="0"/>
          <w:divBdr>
            <w:top w:val="none" w:sz="0" w:space="0" w:color="auto"/>
            <w:left w:val="none" w:sz="0" w:space="0" w:color="auto"/>
            <w:bottom w:val="none" w:sz="0" w:space="0" w:color="auto"/>
            <w:right w:val="none" w:sz="0" w:space="0" w:color="auto"/>
          </w:divBdr>
        </w:div>
        <w:div w:id="2111507089">
          <w:marLeft w:val="547"/>
          <w:marRight w:val="0"/>
          <w:marTop w:val="77"/>
          <w:marBottom w:val="0"/>
          <w:divBdr>
            <w:top w:val="none" w:sz="0" w:space="0" w:color="auto"/>
            <w:left w:val="none" w:sz="0" w:space="0" w:color="auto"/>
            <w:bottom w:val="none" w:sz="0" w:space="0" w:color="auto"/>
            <w:right w:val="none" w:sz="0" w:space="0" w:color="auto"/>
          </w:divBdr>
        </w:div>
      </w:divsChild>
    </w:div>
    <w:div w:id="201098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idbdocs.iadb.org/wsdocs/getDocument.aspx?DOCNUM=36980282" TargetMode="Externa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idbdocs.iadb.org/wsdocs/getDocument.aspx?Docnum=35160023" TargetMode="External"/><Relationship Id="rId1" Type="http://schemas.openxmlformats.org/officeDocument/2006/relationships/hyperlink" Target="http://www.imf.org/external/pubs/ft/scr/2011/cr1116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an%20Document\INVeng.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Evolución de la Tasa Libor a 3 meses</a:t>
            </a:r>
            <a:r>
              <a:rPr lang="en-US" sz="1400" baseline="0"/>
              <a:t> en</a:t>
            </a:r>
            <a:r>
              <a:rPr lang="en-US" sz="1400"/>
              <a:t> 1989-2012 (%) </a:t>
            </a:r>
          </a:p>
        </c:rich>
      </c:tx>
      <c:layout/>
      <c:overlay val="0"/>
    </c:title>
    <c:autoTitleDeleted val="0"/>
    <c:plotArea>
      <c:layout/>
      <c:lineChart>
        <c:grouping val="standard"/>
        <c:varyColors val="0"/>
        <c:ser>
          <c:idx val="0"/>
          <c:order val="0"/>
          <c:marker>
            <c:symbol val="none"/>
          </c:marker>
          <c:cat>
            <c:strRef>
              <c:f>Sheet1!$B$5:$B$278</c:f>
              <c:strCache>
                <c:ptCount val="274"/>
                <c:pt idx="0">
                  <c:v>September of 1989</c:v>
                </c:pt>
                <c:pt idx="1">
                  <c:v>October of 1989</c:v>
                </c:pt>
                <c:pt idx="2">
                  <c:v>November of 1989</c:v>
                </c:pt>
                <c:pt idx="3">
                  <c:v>December of 1989</c:v>
                </c:pt>
                <c:pt idx="4">
                  <c:v>January of 1990</c:v>
                </c:pt>
                <c:pt idx="5">
                  <c:v>February of 1990</c:v>
                </c:pt>
                <c:pt idx="6">
                  <c:v>March of 1990</c:v>
                </c:pt>
                <c:pt idx="7">
                  <c:v>April of 1990</c:v>
                </c:pt>
                <c:pt idx="8">
                  <c:v>May of 1990</c:v>
                </c:pt>
                <c:pt idx="9">
                  <c:v>June of 1990</c:v>
                </c:pt>
                <c:pt idx="10">
                  <c:v>July of 1990</c:v>
                </c:pt>
                <c:pt idx="11">
                  <c:v>August of 1990</c:v>
                </c:pt>
                <c:pt idx="12">
                  <c:v>September of 1990</c:v>
                </c:pt>
                <c:pt idx="13">
                  <c:v>October of 1990</c:v>
                </c:pt>
                <c:pt idx="14">
                  <c:v>November of 1990</c:v>
                </c:pt>
                <c:pt idx="15">
                  <c:v>December of 1990</c:v>
                </c:pt>
                <c:pt idx="16">
                  <c:v>January of 1991</c:v>
                </c:pt>
                <c:pt idx="17">
                  <c:v>February of 1991</c:v>
                </c:pt>
                <c:pt idx="18">
                  <c:v>March of 1991</c:v>
                </c:pt>
                <c:pt idx="19">
                  <c:v>April of 1991</c:v>
                </c:pt>
                <c:pt idx="20">
                  <c:v>May of 1991</c:v>
                </c:pt>
                <c:pt idx="21">
                  <c:v>June of 1991</c:v>
                </c:pt>
                <c:pt idx="22">
                  <c:v>July of 1991</c:v>
                </c:pt>
                <c:pt idx="23">
                  <c:v>August of 1991</c:v>
                </c:pt>
                <c:pt idx="24">
                  <c:v>September of 1991</c:v>
                </c:pt>
                <c:pt idx="25">
                  <c:v>October of 1991</c:v>
                </c:pt>
                <c:pt idx="26">
                  <c:v>November of 1991</c:v>
                </c:pt>
                <c:pt idx="27">
                  <c:v>December of 1991</c:v>
                </c:pt>
                <c:pt idx="28">
                  <c:v>January of 1992</c:v>
                </c:pt>
                <c:pt idx="29">
                  <c:v>February of 1992</c:v>
                </c:pt>
                <c:pt idx="30">
                  <c:v>March of 1992</c:v>
                </c:pt>
                <c:pt idx="31">
                  <c:v>April of 1992</c:v>
                </c:pt>
                <c:pt idx="32">
                  <c:v>May of 1992</c:v>
                </c:pt>
                <c:pt idx="33">
                  <c:v>June of 1992</c:v>
                </c:pt>
                <c:pt idx="34">
                  <c:v>July of 1992</c:v>
                </c:pt>
                <c:pt idx="35">
                  <c:v>August of 1992</c:v>
                </c:pt>
                <c:pt idx="36">
                  <c:v>September of 1992</c:v>
                </c:pt>
                <c:pt idx="37">
                  <c:v>October of 1992</c:v>
                </c:pt>
                <c:pt idx="38">
                  <c:v>November of 1992</c:v>
                </c:pt>
                <c:pt idx="39">
                  <c:v>December of 1992</c:v>
                </c:pt>
                <c:pt idx="40">
                  <c:v>January of 1993</c:v>
                </c:pt>
                <c:pt idx="41">
                  <c:v>February of 1993</c:v>
                </c:pt>
                <c:pt idx="42">
                  <c:v>March of 1993</c:v>
                </c:pt>
                <c:pt idx="43">
                  <c:v>April of 1993</c:v>
                </c:pt>
                <c:pt idx="44">
                  <c:v>May of 1993</c:v>
                </c:pt>
                <c:pt idx="45">
                  <c:v>June of 1993</c:v>
                </c:pt>
                <c:pt idx="46">
                  <c:v>July of 1993</c:v>
                </c:pt>
                <c:pt idx="47">
                  <c:v>August of 1993</c:v>
                </c:pt>
                <c:pt idx="48">
                  <c:v>September of 1993</c:v>
                </c:pt>
                <c:pt idx="49">
                  <c:v>October of 1993</c:v>
                </c:pt>
                <c:pt idx="50">
                  <c:v>November of 1993</c:v>
                </c:pt>
                <c:pt idx="51">
                  <c:v>December of 1993</c:v>
                </c:pt>
                <c:pt idx="52">
                  <c:v>January of 1994</c:v>
                </c:pt>
                <c:pt idx="53">
                  <c:v>February of 1994</c:v>
                </c:pt>
                <c:pt idx="54">
                  <c:v>March of 1994</c:v>
                </c:pt>
                <c:pt idx="55">
                  <c:v>April of 1994</c:v>
                </c:pt>
                <c:pt idx="56">
                  <c:v>May of 1994</c:v>
                </c:pt>
                <c:pt idx="57">
                  <c:v>June of 1994</c:v>
                </c:pt>
                <c:pt idx="58">
                  <c:v>July of 1994</c:v>
                </c:pt>
                <c:pt idx="59">
                  <c:v>August of 1994</c:v>
                </c:pt>
                <c:pt idx="60">
                  <c:v>September of 1994</c:v>
                </c:pt>
                <c:pt idx="61">
                  <c:v>October of 1994</c:v>
                </c:pt>
                <c:pt idx="62">
                  <c:v>November of 1994</c:v>
                </c:pt>
                <c:pt idx="63">
                  <c:v>December of 1994</c:v>
                </c:pt>
                <c:pt idx="64">
                  <c:v>January of 1995</c:v>
                </c:pt>
                <c:pt idx="65">
                  <c:v>February of 1995</c:v>
                </c:pt>
                <c:pt idx="66">
                  <c:v>March of 1995</c:v>
                </c:pt>
                <c:pt idx="67">
                  <c:v>April of 1995</c:v>
                </c:pt>
                <c:pt idx="68">
                  <c:v>May of 1995</c:v>
                </c:pt>
                <c:pt idx="69">
                  <c:v>June of 1995</c:v>
                </c:pt>
                <c:pt idx="70">
                  <c:v>July of 1995</c:v>
                </c:pt>
                <c:pt idx="71">
                  <c:v>August of 1995</c:v>
                </c:pt>
                <c:pt idx="72">
                  <c:v>September of 1995</c:v>
                </c:pt>
                <c:pt idx="73">
                  <c:v>October of 1995</c:v>
                </c:pt>
                <c:pt idx="74">
                  <c:v>November of 1995</c:v>
                </c:pt>
                <c:pt idx="75">
                  <c:v>December of 1995</c:v>
                </c:pt>
                <c:pt idx="76">
                  <c:v>January of 1996</c:v>
                </c:pt>
                <c:pt idx="77">
                  <c:v>February of 1996</c:v>
                </c:pt>
                <c:pt idx="78">
                  <c:v>March of 1996</c:v>
                </c:pt>
                <c:pt idx="79">
                  <c:v>April of 1996</c:v>
                </c:pt>
                <c:pt idx="80">
                  <c:v>May of 1996</c:v>
                </c:pt>
                <c:pt idx="81">
                  <c:v>June of 1996</c:v>
                </c:pt>
                <c:pt idx="82">
                  <c:v>July of 1996</c:v>
                </c:pt>
                <c:pt idx="83">
                  <c:v>August of 1996</c:v>
                </c:pt>
                <c:pt idx="84">
                  <c:v>September of 1996</c:v>
                </c:pt>
                <c:pt idx="85">
                  <c:v>October of 1996</c:v>
                </c:pt>
                <c:pt idx="86">
                  <c:v>November of 1996</c:v>
                </c:pt>
                <c:pt idx="87">
                  <c:v>December of 1996</c:v>
                </c:pt>
                <c:pt idx="88">
                  <c:v>January of 1997</c:v>
                </c:pt>
                <c:pt idx="89">
                  <c:v>February of 1997</c:v>
                </c:pt>
                <c:pt idx="90">
                  <c:v>March of 1997</c:v>
                </c:pt>
                <c:pt idx="91">
                  <c:v>April of 1997</c:v>
                </c:pt>
                <c:pt idx="92">
                  <c:v>May of 1997</c:v>
                </c:pt>
                <c:pt idx="93">
                  <c:v>June of 1997</c:v>
                </c:pt>
                <c:pt idx="94">
                  <c:v>July of 1997</c:v>
                </c:pt>
                <c:pt idx="95">
                  <c:v>August of 1997</c:v>
                </c:pt>
                <c:pt idx="96">
                  <c:v>September of 1997</c:v>
                </c:pt>
                <c:pt idx="97">
                  <c:v>October of 1997</c:v>
                </c:pt>
                <c:pt idx="98">
                  <c:v>November of 1997</c:v>
                </c:pt>
                <c:pt idx="99">
                  <c:v>December of 1997</c:v>
                </c:pt>
                <c:pt idx="100">
                  <c:v>January of 1998</c:v>
                </c:pt>
                <c:pt idx="101">
                  <c:v>February of 1998</c:v>
                </c:pt>
                <c:pt idx="102">
                  <c:v>March of 1998</c:v>
                </c:pt>
                <c:pt idx="103">
                  <c:v>April of 1998</c:v>
                </c:pt>
                <c:pt idx="104">
                  <c:v>May of 1998</c:v>
                </c:pt>
                <c:pt idx="105">
                  <c:v>June of 1998</c:v>
                </c:pt>
                <c:pt idx="106">
                  <c:v>July of 1998</c:v>
                </c:pt>
                <c:pt idx="107">
                  <c:v>August of 1998</c:v>
                </c:pt>
                <c:pt idx="108">
                  <c:v>September of 1998</c:v>
                </c:pt>
                <c:pt idx="109">
                  <c:v>October of 1998</c:v>
                </c:pt>
                <c:pt idx="110">
                  <c:v>November of 1998</c:v>
                </c:pt>
                <c:pt idx="111">
                  <c:v>December of 1998</c:v>
                </c:pt>
                <c:pt idx="112">
                  <c:v>January of 1999</c:v>
                </c:pt>
                <c:pt idx="113">
                  <c:v>February of 1999</c:v>
                </c:pt>
                <c:pt idx="114">
                  <c:v>March of 1999</c:v>
                </c:pt>
                <c:pt idx="115">
                  <c:v>April of 1999</c:v>
                </c:pt>
                <c:pt idx="116">
                  <c:v>May of 1999</c:v>
                </c:pt>
                <c:pt idx="117">
                  <c:v>June of 1999</c:v>
                </c:pt>
                <c:pt idx="118">
                  <c:v>July of 1999</c:v>
                </c:pt>
                <c:pt idx="119">
                  <c:v>August of 1999</c:v>
                </c:pt>
                <c:pt idx="120">
                  <c:v>September of 1999</c:v>
                </c:pt>
                <c:pt idx="121">
                  <c:v>October of 1999</c:v>
                </c:pt>
                <c:pt idx="122">
                  <c:v>November of 1999</c:v>
                </c:pt>
                <c:pt idx="123">
                  <c:v>December of 1999</c:v>
                </c:pt>
                <c:pt idx="124">
                  <c:v>January of 2000</c:v>
                </c:pt>
                <c:pt idx="125">
                  <c:v>February of 2000</c:v>
                </c:pt>
                <c:pt idx="126">
                  <c:v>March of 2000</c:v>
                </c:pt>
                <c:pt idx="127">
                  <c:v>April of 2000</c:v>
                </c:pt>
                <c:pt idx="128">
                  <c:v>May of 2000</c:v>
                </c:pt>
                <c:pt idx="129">
                  <c:v>June of 2000</c:v>
                </c:pt>
                <c:pt idx="130">
                  <c:v>July of 2000</c:v>
                </c:pt>
                <c:pt idx="131">
                  <c:v>August of 2000</c:v>
                </c:pt>
                <c:pt idx="132">
                  <c:v>September of 2000</c:v>
                </c:pt>
                <c:pt idx="133">
                  <c:v>October of 2000</c:v>
                </c:pt>
                <c:pt idx="134">
                  <c:v>November of 2000</c:v>
                </c:pt>
                <c:pt idx="135">
                  <c:v>December of 2000</c:v>
                </c:pt>
                <c:pt idx="136">
                  <c:v>January of 2001</c:v>
                </c:pt>
                <c:pt idx="137">
                  <c:v>February of 2001</c:v>
                </c:pt>
                <c:pt idx="138">
                  <c:v>March of 2001</c:v>
                </c:pt>
                <c:pt idx="139">
                  <c:v>April of 2001</c:v>
                </c:pt>
                <c:pt idx="140">
                  <c:v>May of 2001</c:v>
                </c:pt>
                <c:pt idx="141">
                  <c:v>June of 2001</c:v>
                </c:pt>
                <c:pt idx="142">
                  <c:v>July of 2001</c:v>
                </c:pt>
                <c:pt idx="143">
                  <c:v>August of 2001</c:v>
                </c:pt>
                <c:pt idx="144">
                  <c:v>September of 2001</c:v>
                </c:pt>
                <c:pt idx="145">
                  <c:v>October of 2001</c:v>
                </c:pt>
                <c:pt idx="146">
                  <c:v>November of 2001</c:v>
                </c:pt>
                <c:pt idx="147">
                  <c:v>December of 2001</c:v>
                </c:pt>
                <c:pt idx="148">
                  <c:v>January of 2002</c:v>
                </c:pt>
                <c:pt idx="149">
                  <c:v>February of 2002</c:v>
                </c:pt>
                <c:pt idx="150">
                  <c:v>March of 2002</c:v>
                </c:pt>
                <c:pt idx="151">
                  <c:v>April of 2002</c:v>
                </c:pt>
                <c:pt idx="152">
                  <c:v>May of 2002</c:v>
                </c:pt>
                <c:pt idx="153">
                  <c:v>June of 2002</c:v>
                </c:pt>
                <c:pt idx="154">
                  <c:v>July of 2002</c:v>
                </c:pt>
                <c:pt idx="155">
                  <c:v>August of 2002</c:v>
                </c:pt>
                <c:pt idx="156">
                  <c:v>September of 2002</c:v>
                </c:pt>
                <c:pt idx="157">
                  <c:v>October of 2002</c:v>
                </c:pt>
                <c:pt idx="158">
                  <c:v>November of 2002</c:v>
                </c:pt>
                <c:pt idx="159">
                  <c:v>December of 2002</c:v>
                </c:pt>
                <c:pt idx="160">
                  <c:v>January of 2003</c:v>
                </c:pt>
                <c:pt idx="161">
                  <c:v>February of 2003</c:v>
                </c:pt>
                <c:pt idx="162">
                  <c:v>March of 2003</c:v>
                </c:pt>
                <c:pt idx="163">
                  <c:v>April of 2003</c:v>
                </c:pt>
                <c:pt idx="164">
                  <c:v>May of 2003</c:v>
                </c:pt>
                <c:pt idx="165">
                  <c:v>June of 2003</c:v>
                </c:pt>
                <c:pt idx="166">
                  <c:v>July of 2003</c:v>
                </c:pt>
                <c:pt idx="167">
                  <c:v>August of 2003</c:v>
                </c:pt>
                <c:pt idx="168">
                  <c:v>September of 2003</c:v>
                </c:pt>
                <c:pt idx="169">
                  <c:v>October of 2003</c:v>
                </c:pt>
                <c:pt idx="170">
                  <c:v>November of 2003</c:v>
                </c:pt>
                <c:pt idx="171">
                  <c:v>December of 2003</c:v>
                </c:pt>
                <c:pt idx="172">
                  <c:v>January of 2004</c:v>
                </c:pt>
                <c:pt idx="173">
                  <c:v>February of 2004</c:v>
                </c:pt>
                <c:pt idx="174">
                  <c:v>March of 2004</c:v>
                </c:pt>
                <c:pt idx="175">
                  <c:v>April of 2004</c:v>
                </c:pt>
                <c:pt idx="176">
                  <c:v>May of 2004</c:v>
                </c:pt>
                <c:pt idx="177">
                  <c:v>June of 2004</c:v>
                </c:pt>
                <c:pt idx="178">
                  <c:v>July of 2004</c:v>
                </c:pt>
                <c:pt idx="179">
                  <c:v>August of 2004</c:v>
                </c:pt>
                <c:pt idx="180">
                  <c:v>September of 2004</c:v>
                </c:pt>
                <c:pt idx="181">
                  <c:v>October of 2004</c:v>
                </c:pt>
                <c:pt idx="182">
                  <c:v>November of 2004</c:v>
                </c:pt>
                <c:pt idx="183">
                  <c:v>December of 2004</c:v>
                </c:pt>
                <c:pt idx="184">
                  <c:v>January of 2005</c:v>
                </c:pt>
                <c:pt idx="185">
                  <c:v>February of 2005</c:v>
                </c:pt>
                <c:pt idx="186">
                  <c:v>March of 2005</c:v>
                </c:pt>
                <c:pt idx="187">
                  <c:v>April of 2005</c:v>
                </c:pt>
                <c:pt idx="188">
                  <c:v>May of 2005</c:v>
                </c:pt>
                <c:pt idx="189">
                  <c:v>June of 2005</c:v>
                </c:pt>
                <c:pt idx="190">
                  <c:v>July of 2005</c:v>
                </c:pt>
                <c:pt idx="191">
                  <c:v>August of 2005</c:v>
                </c:pt>
                <c:pt idx="192">
                  <c:v>September of 2005</c:v>
                </c:pt>
                <c:pt idx="193">
                  <c:v>October of 2005</c:v>
                </c:pt>
                <c:pt idx="194">
                  <c:v>November of 2005</c:v>
                </c:pt>
                <c:pt idx="195">
                  <c:v>December of 2005</c:v>
                </c:pt>
                <c:pt idx="196">
                  <c:v>January of 2006</c:v>
                </c:pt>
                <c:pt idx="197">
                  <c:v>February of 2006</c:v>
                </c:pt>
                <c:pt idx="198">
                  <c:v>March of 2006</c:v>
                </c:pt>
                <c:pt idx="199">
                  <c:v>April of 2006</c:v>
                </c:pt>
                <c:pt idx="200">
                  <c:v>May of 2006</c:v>
                </c:pt>
                <c:pt idx="201">
                  <c:v>June of 2006</c:v>
                </c:pt>
                <c:pt idx="202">
                  <c:v>July of 2006</c:v>
                </c:pt>
                <c:pt idx="203">
                  <c:v>August of 2006</c:v>
                </c:pt>
                <c:pt idx="204">
                  <c:v>September of 2006</c:v>
                </c:pt>
                <c:pt idx="205">
                  <c:v>October of 2006</c:v>
                </c:pt>
                <c:pt idx="206">
                  <c:v>November of 2006</c:v>
                </c:pt>
                <c:pt idx="207">
                  <c:v>December of 2006</c:v>
                </c:pt>
                <c:pt idx="208">
                  <c:v>January of 2007</c:v>
                </c:pt>
                <c:pt idx="209">
                  <c:v>February of 2007</c:v>
                </c:pt>
                <c:pt idx="210">
                  <c:v>March of 2007</c:v>
                </c:pt>
                <c:pt idx="211">
                  <c:v>April of 2007</c:v>
                </c:pt>
                <c:pt idx="212">
                  <c:v>May of 2007</c:v>
                </c:pt>
                <c:pt idx="213">
                  <c:v>June of 2007</c:v>
                </c:pt>
                <c:pt idx="214">
                  <c:v>July of 2007</c:v>
                </c:pt>
                <c:pt idx="215">
                  <c:v>August of 2007</c:v>
                </c:pt>
                <c:pt idx="216">
                  <c:v>September of 2007</c:v>
                </c:pt>
                <c:pt idx="217">
                  <c:v>October of 2007</c:v>
                </c:pt>
                <c:pt idx="218">
                  <c:v>November of 2007</c:v>
                </c:pt>
                <c:pt idx="219">
                  <c:v>December of 2007</c:v>
                </c:pt>
                <c:pt idx="220">
                  <c:v>January of 2008</c:v>
                </c:pt>
                <c:pt idx="221">
                  <c:v>February of 2008</c:v>
                </c:pt>
                <c:pt idx="222">
                  <c:v>March of 2008</c:v>
                </c:pt>
                <c:pt idx="223">
                  <c:v>April of 2008</c:v>
                </c:pt>
                <c:pt idx="224">
                  <c:v>May of 2008</c:v>
                </c:pt>
                <c:pt idx="225">
                  <c:v>June of 2008</c:v>
                </c:pt>
                <c:pt idx="226">
                  <c:v>July of 2008</c:v>
                </c:pt>
                <c:pt idx="227">
                  <c:v>August of 2008</c:v>
                </c:pt>
                <c:pt idx="228">
                  <c:v>September of 2008</c:v>
                </c:pt>
                <c:pt idx="229">
                  <c:v>October of 2008</c:v>
                </c:pt>
                <c:pt idx="230">
                  <c:v>November of 2008</c:v>
                </c:pt>
                <c:pt idx="231">
                  <c:v>December of 2008</c:v>
                </c:pt>
                <c:pt idx="232">
                  <c:v>January of 2009</c:v>
                </c:pt>
                <c:pt idx="233">
                  <c:v>February of 2009</c:v>
                </c:pt>
                <c:pt idx="234">
                  <c:v>March of 2009</c:v>
                </c:pt>
                <c:pt idx="235">
                  <c:v>April of 2009</c:v>
                </c:pt>
                <c:pt idx="236">
                  <c:v>May of 2009</c:v>
                </c:pt>
                <c:pt idx="237">
                  <c:v>June of 2009</c:v>
                </c:pt>
                <c:pt idx="238">
                  <c:v>July of 2009</c:v>
                </c:pt>
                <c:pt idx="239">
                  <c:v>August of 2009</c:v>
                </c:pt>
                <c:pt idx="240">
                  <c:v>September of 2009</c:v>
                </c:pt>
                <c:pt idx="241">
                  <c:v>October of 2009</c:v>
                </c:pt>
                <c:pt idx="242">
                  <c:v>November of 2009</c:v>
                </c:pt>
                <c:pt idx="243">
                  <c:v>December of 2009</c:v>
                </c:pt>
                <c:pt idx="244">
                  <c:v>January of 2010</c:v>
                </c:pt>
                <c:pt idx="245">
                  <c:v>February of 2010</c:v>
                </c:pt>
                <c:pt idx="246">
                  <c:v>March of 2010</c:v>
                </c:pt>
                <c:pt idx="247">
                  <c:v>April of 2010</c:v>
                </c:pt>
                <c:pt idx="248">
                  <c:v>May of 2010</c:v>
                </c:pt>
                <c:pt idx="249">
                  <c:v>June of 2010</c:v>
                </c:pt>
                <c:pt idx="250">
                  <c:v>July of 2010</c:v>
                </c:pt>
                <c:pt idx="251">
                  <c:v>August of 2010</c:v>
                </c:pt>
                <c:pt idx="252">
                  <c:v>September of 2010</c:v>
                </c:pt>
                <c:pt idx="253">
                  <c:v>October of 2010</c:v>
                </c:pt>
                <c:pt idx="254">
                  <c:v>November of 2010</c:v>
                </c:pt>
                <c:pt idx="255">
                  <c:v>December of 2010</c:v>
                </c:pt>
                <c:pt idx="256">
                  <c:v>January of 2011</c:v>
                </c:pt>
                <c:pt idx="257">
                  <c:v>February of 2011</c:v>
                </c:pt>
                <c:pt idx="258">
                  <c:v>March of 2011</c:v>
                </c:pt>
                <c:pt idx="259">
                  <c:v>April of 2011</c:v>
                </c:pt>
                <c:pt idx="260">
                  <c:v>May of 2011</c:v>
                </c:pt>
                <c:pt idx="261">
                  <c:v>June of 2011</c:v>
                </c:pt>
                <c:pt idx="262">
                  <c:v>July of 2011</c:v>
                </c:pt>
                <c:pt idx="263">
                  <c:v>August of 2011</c:v>
                </c:pt>
                <c:pt idx="264">
                  <c:v>September of 2011</c:v>
                </c:pt>
                <c:pt idx="265">
                  <c:v>October of 2011</c:v>
                </c:pt>
                <c:pt idx="266">
                  <c:v>November of 2011</c:v>
                </c:pt>
                <c:pt idx="267">
                  <c:v>December of 2011</c:v>
                </c:pt>
                <c:pt idx="268">
                  <c:v>January of 2012</c:v>
                </c:pt>
                <c:pt idx="269">
                  <c:v>February of 2012</c:v>
                </c:pt>
                <c:pt idx="270">
                  <c:v>March of 2012</c:v>
                </c:pt>
                <c:pt idx="271">
                  <c:v>April of 2012</c:v>
                </c:pt>
                <c:pt idx="272">
                  <c:v>May of 2012</c:v>
                </c:pt>
                <c:pt idx="273">
                  <c:v>June of 2012</c:v>
                </c:pt>
              </c:strCache>
            </c:strRef>
          </c:cat>
          <c:val>
            <c:numRef>
              <c:f>Sheet1!$C$5:$C$278</c:f>
            </c:numRef>
          </c:val>
          <c:smooth val="0"/>
        </c:ser>
        <c:ser>
          <c:idx val="1"/>
          <c:order val="1"/>
          <c:tx>
            <c:v>Libor 3-month</c:v>
          </c:tx>
          <c:marker>
            <c:symbol val="none"/>
          </c:marker>
          <c:cat>
            <c:strRef>
              <c:f>Sheet1!$B$5:$B$278</c:f>
              <c:strCache>
                <c:ptCount val="274"/>
                <c:pt idx="0">
                  <c:v>September of 1989</c:v>
                </c:pt>
                <c:pt idx="1">
                  <c:v>October of 1989</c:v>
                </c:pt>
                <c:pt idx="2">
                  <c:v>November of 1989</c:v>
                </c:pt>
                <c:pt idx="3">
                  <c:v>December of 1989</c:v>
                </c:pt>
                <c:pt idx="4">
                  <c:v>January of 1990</c:v>
                </c:pt>
                <c:pt idx="5">
                  <c:v>February of 1990</c:v>
                </c:pt>
                <c:pt idx="6">
                  <c:v>March of 1990</c:v>
                </c:pt>
                <c:pt idx="7">
                  <c:v>April of 1990</c:v>
                </c:pt>
                <c:pt idx="8">
                  <c:v>May of 1990</c:v>
                </c:pt>
                <c:pt idx="9">
                  <c:v>June of 1990</c:v>
                </c:pt>
                <c:pt idx="10">
                  <c:v>July of 1990</c:v>
                </c:pt>
                <c:pt idx="11">
                  <c:v>August of 1990</c:v>
                </c:pt>
                <c:pt idx="12">
                  <c:v>September of 1990</c:v>
                </c:pt>
                <c:pt idx="13">
                  <c:v>October of 1990</c:v>
                </c:pt>
                <c:pt idx="14">
                  <c:v>November of 1990</c:v>
                </c:pt>
                <c:pt idx="15">
                  <c:v>December of 1990</c:v>
                </c:pt>
                <c:pt idx="16">
                  <c:v>January of 1991</c:v>
                </c:pt>
                <c:pt idx="17">
                  <c:v>February of 1991</c:v>
                </c:pt>
                <c:pt idx="18">
                  <c:v>March of 1991</c:v>
                </c:pt>
                <c:pt idx="19">
                  <c:v>April of 1991</c:v>
                </c:pt>
                <c:pt idx="20">
                  <c:v>May of 1991</c:v>
                </c:pt>
                <c:pt idx="21">
                  <c:v>June of 1991</c:v>
                </c:pt>
                <c:pt idx="22">
                  <c:v>July of 1991</c:v>
                </c:pt>
                <c:pt idx="23">
                  <c:v>August of 1991</c:v>
                </c:pt>
                <c:pt idx="24">
                  <c:v>September of 1991</c:v>
                </c:pt>
                <c:pt idx="25">
                  <c:v>October of 1991</c:v>
                </c:pt>
                <c:pt idx="26">
                  <c:v>November of 1991</c:v>
                </c:pt>
                <c:pt idx="27">
                  <c:v>December of 1991</c:v>
                </c:pt>
                <c:pt idx="28">
                  <c:v>January of 1992</c:v>
                </c:pt>
                <c:pt idx="29">
                  <c:v>February of 1992</c:v>
                </c:pt>
                <c:pt idx="30">
                  <c:v>March of 1992</c:v>
                </c:pt>
                <c:pt idx="31">
                  <c:v>April of 1992</c:v>
                </c:pt>
                <c:pt idx="32">
                  <c:v>May of 1992</c:v>
                </c:pt>
                <c:pt idx="33">
                  <c:v>June of 1992</c:v>
                </c:pt>
                <c:pt idx="34">
                  <c:v>July of 1992</c:v>
                </c:pt>
                <c:pt idx="35">
                  <c:v>August of 1992</c:v>
                </c:pt>
                <c:pt idx="36">
                  <c:v>September of 1992</c:v>
                </c:pt>
                <c:pt idx="37">
                  <c:v>October of 1992</c:v>
                </c:pt>
                <c:pt idx="38">
                  <c:v>November of 1992</c:v>
                </c:pt>
                <c:pt idx="39">
                  <c:v>December of 1992</c:v>
                </c:pt>
                <c:pt idx="40">
                  <c:v>January of 1993</c:v>
                </c:pt>
                <c:pt idx="41">
                  <c:v>February of 1993</c:v>
                </c:pt>
                <c:pt idx="42">
                  <c:v>March of 1993</c:v>
                </c:pt>
                <c:pt idx="43">
                  <c:v>April of 1993</c:v>
                </c:pt>
                <c:pt idx="44">
                  <c:v>May of 1993</c:v>
                </c:pt>
                <c:pt idx="45">
                  <c:v>June of 1993</c:v>
                </c:pt>
                <c:pt idx="46">
                  <c:v>July of 1993</c:v>
                </c:pt>
                <c:pt idx="47">
                  <c:v>August of 1993</c:v>
                </c:pt>
                <c:pt idx="48">
                  <c:v>September of 1993</c:v>
                </c:pt>
                <c:pt idx="49">
                  <c:v>October of 1993</c:v>
                </c:pt>
                <c:pt idx="50">
                  <c:v>November of 1993</c:v>
                </c:pt>
                <c:pt idx="51">
                  <c:v>December of 1993</c:v>
                </c:pt>
                <c:pt idx="52">
                  <c:v>January of 1994</c:v>
                </c:pt>
                <c:pt idx="53">
                  <c:v>February of 1994</c:v>
                </c:pt>
                <c:pt idx="54">
                  <c:v>March of 1994</c:v>
                </c:pt>
                <c:pt idx="55">
                  <c:v>April of 1994</c:v>
                </c:pt>
                <c:pt idx="56">
                  <c:v>May of 1994</c:v>
                </c:pt>
                <c:pt idx="57">
                  <c:v>June of 1994</c:v>
                </c:pt>
                <c:pt idx="58">
                  <c:v>July of 1994</c:v>
                </c:pt>
                <c:pt idx="59">
                  <c:v>August of 1994</c:v>
                </c:pt>
                <c:pt idx="60">
                  <c:v>September of 1994</c:v>
                </c:pt>
                <c:pt idx="61">
                  <c:v>October of 1994</c:v>
                </c:pt>
                <c:pt idx="62">
                  <c:v>November of 1994</c:v>
                </c:pt>
                <c:pt idx="63">
                  <c:v>December of 1994</c:v>
                </c:pt>
                <c:pt idx="64">
                  <c:v>January of 1995</c:v>
                </c:pt>
                <c:pt idx="65">
                  <c:v>February of 1995</c:v>
                </c:pt>
                <c:pt idx="66">
                  <c:v>March of 1995</c:v>
                </c:pt>
                <c:pt idx="67">
                  <c:v>April of 1995</c:v>
                </c:pt>
                <c:pt idx="68">
                  <c:v>May of 1995</c:v>
                </c:pt>
                <c:pt idx="69">
                  <c:v>June of 1995</c:v>
                </c:pt>
                <c:pt idx="70">
                  <c:v>July of 1995</c:v>
                </c:pt>
                <c:pt idx="71">
                  <c:v>August of 1995</c:v>
                </c:pt>
                <c:pt idx="72">
                  <c:v>September of 1995</c:v>
                </c:pt>
                <c:pt idx="73">
                  <c:v>October of 1995</c:v>
                </c:pt>
                <c:pt idx="74">
                  <c:v>November of 1995</c:v>
                </c:pt>
                <c:pt idx="75">
                  <c:v>December of 1995</c:v>
                </c:pt>
                <c:pt idx="76">
                  <c:v>January of 1996</c:v>
                </c:pt>
                <c:pt idx="77">
                  <c:v>February of 1996</c:v>
                </c:pt>
                <c:pt idx="78">
                  <c:v>March of 1996</c:v>
                </c:pt>
                <c:pt idx="79">
                  <c:v>April of 1996</c:v>
                </c:pt>
                <c:pt idx="80">
                  <c:v>May of 1996</c:v>
                </c:pt>
                <c:pt idx="81">
                  <c:v>June of 1996</c:v>
                </c:pt>
                <c:pt idx="82">
                  <c:v>July of 1996</c:v>
                </c:pt>
                <c:pt idx="83">
                  <c:v>August of 1996</c:v>
                </c:pt>
                <c:pt idx="84">
                  <c:v>September of 1996</c:v>
                </c:pt>
                <c:pt idx="85">
                  <c:v>October of 1996</c:v>
                </c:pt>
                <c:pt idx="86">
                  <c:v>November of 1996</c:v>
                </c:pt>
                <c:pt idx="87">
                  <c:v>December of 1996</c:v>
                </c:pt>
                <c:pt idx="88">
                  <c:v>January of 1997</c:v>
                </c:pt>
                <c:pt idx="89">
                  <c:v>February of 1997</c:v>
                </c:pt>
                <c:pt idx="90">
                  <c:v>March of 1997</c:v>
                </c:pt>
                <c:pt idx="91">
                  <c:v>April of 1997</c:v>
                </c:pt>
                <c:pt idx="92">
                  <c:v>May of 1997</c:v>
                </c:pt>
                <c:pt idx="93">
                  <c:v>June of 1997</c:v>
                </c:pt>
                <c:pt idx="94">
                  <c:v>July of 1997</c:v>
                </c:pt>
                <c:pt idx="95">
                  <c:v>August of 1997</c:v>
                </c:pt>
                <c:pt idx="96">
                  <c:v>September of 1997</c:v>
                </c:pt>
                <c:pt idx="97">
                  <c:v>October of 1997</c:v>
                </c:pt>
                <c:pt idx="98">
                  <c:v>November of 1997</c:v>
                </c:pt>
                <c:pt idx="99">
                  <c:v>December of 1997</c:v>
                </c:pt>
                <c:pt idx="100">
                  <c:v>January of 1998</c:v>
                </c:pt>
                <c:pt idx="101">
                  <c:v>February of 1998</c:v>
                </c:pt>
                <c:pt idx="102">
                  <c:v>March of 1998</c:v>
                </c:pt>
                <c:pt idx="103">
                  <c:v>April of 1998</c:v>
                </c:pt>
                <c:pt idx="104">
                  <c:v>May of 1998</c:v>
                </c:pt>
                <c:pt idx="105">
                  <c:v>June of 1998</c:v>
                </c:pt>
                <c:pt idx="106">
                  <c:v>July of 1998</c:v>
                </c:pt>
                <c:pt idx="107">
                  <c:v>August of 1998</c:v>
                </c:pt>
                <c:pt idx="108">
                  <c:v>September of 1998</c:v>
                </c:pt>
                <c:pt idx="109">
                  <c:v>October of 1998</c:v>
                </c:pt>
                <c:pt idx="110">
                  <c:v>November of 1998</c:v>
                </c:pt>
                <c:pt idx="111">
                  <c:v>December of 1998</c:v>
                </c:pt>
                <c:pt idx="112">
                  <c:v>January of 1999</c:v>
                </c:pt>
                <c:pt idx="113">
                  <c:v>February of 1999</c:v>
                </c:pt>
                <c:pt idx="114">
                  <c:v>March of 1999</c:v>
                </c:pt>
                <c:pt idx="115">
                  <c:v>April of 1999</c:v>
                </c:pt>
                <c:pt idx="116">
                  <c:v>May of 1999</c:v>
                </c:pt>
                <c:pt idx="117">
                  <c:v>June of 1999</c:v>
                </c:pt>
                <c:pt idx="118">
                  <c:v>July of 1999</c:v>
                </c:pt>
                <c:pt idx="119">
                  <c:v>August of 1999</c:v>
                </c:pt>
                <c:pt idx="120">
                  <c:v>September of 1999</c:v>
                </c:pt>
                <c:pt idx="121">
                  <c:v>October of 1999</c:v>
                </c:pt>
                <c:pt idx="122">
                  <c:v>November of 1999</c:v>
                </c:pt>
                <c:pt idx="123">
                  <c:v>December of 1999</c:v>
                </c:pt>
                <c:pt idx="124">
                  <c:v>January of 2000</c:v>
                </c:pt>
                <c:pt idx="125">
                  <c:v>February of 2000</c:v>
                </c:pt>
                <c:pt idx="126">
                  <c:v>March of 2000</c:v>
                </c:pt>
                <c:pt idx="127">
                  <c:v>April of 2000</c:v>
                </c:pt>
                <c:pt idx="128">
                  <c:v>May of 2000</c:v>
                </c:pt>
                <c:pt idx="129">
                  <c:v>June of 2000</c:v>
                </c:pt>
                <c:pt idx="130">
                  <c:v>July of 2000</c:v>
                </c:pt>
                <c:pt idx="131">
                  <c:v>August of 2000</c:v>
                </c:pt>
                <c:pt idx="132">
                  <c:v>September of 2000</c:v>
                </c:pt>
                <c:pt idx="133">
                  <c:v>October of 2000</c:v>
                </c:pt>
                <c:pt idx="134">
                  <c:v>November of 2000</c:v>
                </c:pt>
                <c:pt idx="135">
                  <c:v>December of 2000</c:v>
                </c:pt>
                <c:pt idx="136">
                  <c:v>January of 2001</c:v>
                </c:pt>
                <c:pt idx="137">
                  <c:v>February of 2001</c:v>
                </c:pt>
                <c:pt idx="138">
                  <c:v>March of 2001</c:v>
                </c:pt>
                <c:pt idx="139">
                  <c:v>April of 2001</c:v>
                </c:pt>
                <c:pt idx="140">
                  <c:v>May of 2001</c:v>
                </c:pt>
                <c:pt idx="141">
                  <c:v>June of 2001</c:v>
                </c:pt>
                <c:pt idx="142">
                  <c:v>July of 2001</c:v>
                </c:pt>
                <c:pt idx="143">
                  <c:v>August of 2001</c:v>
                </c:pt>
                <c:pt idx="144">
                  <c:v>September of 2001</c:v>
                </c:pt>
                <c:pt idx="145">
                  <c:v>October of 2001</c:v>
                </c:pt>
                <c:pt idx="146">
                  <c:v>November of 2001</c:v>
                </c:pt>
                <c:pt idx="147">
                  <c:v>December of 2001</c:v>
                </c:pt>
                <c:pt idx="148">
                  <c:v>January of 2002</c:v>
                </c:pt>
                <c:pt idx="149">
                  <c:v>February of 2002</c:v>
                </c:pt>
                <c:pt idx="150">
                  <c:v>March of 2002</c:v>
                </c:pt>
                <c:pt idx="151">
                  <c:v>April of 2002</c:v>
                </c:pt>
                <c:pt idx="152">
                  <c:v>May of 2002</c:v>
                </c:pt>
                <c:pt idx="153">
                  <c:v>June of 2002</c:v>
                </c:pt>
                <c:pt idx="154">
                  <c:v>July of 2002</c:v>
                </c:pt>
                <c:pt idx="155">
                  <c:v>August of 2002</c:v>
                </c:pt>
                <c:pt idx="156">
                  <c:v>September of 2002</c:v>
                </c:pt>
                <c:pt idx="157">
                  <c:v>October of 2002</c:v>
                </c:pt>
                <c:pt idx="158">
                  <c:v>November of 2002</c:v>
                </c:pt>
                <c:pt idx="159">
                  <c:v>December of 2002</c:v>
                </c:pt>
                <c:pt idx="160">
                  <c:v>January of 2003</c:v>
                </c:pt>
                <c:pt idx="161">
                  <c:v>February of 2003</c:v>
                </c:pt>
                <c:pt idx="162">
                  <c:v>March of 2003</c:v>
                </c:pt>
                <c:pt idx="163">
                  <c:v>April of 2003</c:v>
                </c:pt>
                <c:pt idx="164">
                  <c:v>May of 2003</c:v>
                </c:pt>
                <c:pt idx="165">
                  <c:v>June of 2003</c:v>
                </c:pt>
                <c:pt idx="166">
                  <c:v>July of 2003</c:v>
                </c:pt>
                <c:pt idx="167">
                  <c:v>August of 2003</c:v>
                </c:pt>
                <c:pt idx="168">
                  <c:v>September of 2003</c:v>
                </c:pt>
                <c:pt idx="169">
                  <c:v>October of 2003</c:v>
                </c:pt>
                <c:pt idx="170">
                  <c:v>November of 2003</c:v>
                </c:pt>
                <c:pt idx="171">
                  <c:v>December of 2003</c:v>
                </c:pt>
                <c:pt idx="172">
                  <c:v>January of 2004</c:v>
                </c:pt>
                <c:pt idx="173">
                  <c:v>February of 2004</c:v>
                </c:pt>
                <c:pt idx="174">
                  <c:v>March of 2004</c:v>
                </c:pt>
                <c:pt idx="175">
                  <c:v>April of 2004</c:v>
                </c:pt>
                <c:pt idx="176">
                  <c:v>May of 2004</c:v>
                </c:pt>
                <c:pt idx="177">
                  <c:v>June of 2004</c:v>
                </c:pt>
                <c:pt idx="178">
                  <c:v>July of 2004</c:v>
                </c:pt>
                <c:pt idx="179">
                  <c:v>August of 2004</c:v>
                </c:pt>
                <c:pt idx="180">
                  <c:v>September of 2004</c:v>
                </c:pt>
                <c:pt idx="181">
                  <c:v>October of 2004</c:v>
                </c:pt>
                <c:pt idx="182">
                  <c:v>November of 2004</c:v>
                </c:pt>
                <c:pt idx="183">
                  <c:v>December of 2004</c:v>
                </c:pt>
                <c:pt idx="184">
                  <c:v>January of 2005</c:v>
                </c:pt>
                <c:pt idx="185">
                  <c:v>February of 2005</c:v>
                </c:pt>
                <c:pt idx="186">
                  <c:v>March of 2005</c:v>
                </c:pt>
                <c:pt idx="187">
                  <c:v>April of 2005</c:v>
                </c:pt>
                <c:pt idx="188">
                  <c:v>May of 2005</c:v>
                </c:pt>
                <c:pt idx="189">
                  <c:v>June of 2005</c:v>
                </c:pt>
                <c:pt idx="190">
                  <c:v>July of 2005</c:v>
                </c:pt>
                <c:pt idx="191">
                  <c:v>August of 2005</c:v>
                </c:pt>
                <c:pt idx="192">
                  <c:v>September of 2005</c:v>
                </c:pt>
                <c:pt idx="193">
                  <c:v>October of 2005</c:v>
                </c:pt>
                <c:pt idx="194">
                  <c:v>November of 2005</c:v>
                </c:pt>
                <c:pt idx="195">
                  <c:v>December of 2005</c:v>
                </c:pt>
                <c:pt idx="196">
                  <c:v>January of 2006</c:v>
                </c:pt>
                <c:pt idx="197">
                  <c:v>February of 2006</c:v>
                </c:pt>
                <c:pt idx="198">
                  <c:v>March of 2006</c:v>
                </c:pt>
                <c:pt idx="199">
                  <c:v>April of 2006</c:v>
                </c:pt>
                <c:pt idx="200">
                  <c:v>May of 2006</c:v>
                </c:pt>
                <c:pt idx="201">
                  <c:v>June of 2006</c:v>
                </c:pt>
                <c:pt idx="202">
                  <c:v>July of 2006</c:v>
                </c:pt>
                <c:pt idx="203">
                  <c:v>August of 2006</c:v>
                </c:pt>
                <c:pt idx="204">
                  <c:v>September of 2006</c:v>
                </c:pt>
                <c:pt idx="205">
                  <c:v>October of 2006</c:v>
                </c:pt>
                <c:pt idx="206">
                  <c:v>November of 2006</c:v>
                </c:pt>
                <c:pt idx="207">
                  <c:v>December of 2006</c:v>
                </c:pt>
                <c:pt idx="208">
                  <c:v>January of 2007</c:v>
                </c:pt>
                <c:pt idx="209">
                  <c:v>February of 2007</c:v>
                </c:pt>
                <c:pt idx="210">
                  <c:v>March of 2007</c:v>
                </c:pt>
                <c:pt idx="211">
                  <c:v>April of 2007</c:v>
                </c:pt>
                <c:pt idx="212">
                  <c:v>May of 2007</c:v>
                </c:pt>
                <c:pt idx="213">
                  <c:v>June of 2007</c:v>
                </c:pt>
                <c:pt idx="214">
                  <c:v>July of 2007</c:v>
                </c:pt>
                <c:pt idx="215">
                  <c:v>August of 2007</c:v>
                </c:pt>
                <c:pt idx="216">
                  <c:v>September of 2007</c:v>
                </c:pt>
                <c:pt idx="217">
                  <c:v>October of 2007</c:v>
                </c:pt>
                <c:pt idx="218">
                  <c:v>November of 2007</c:v>
                </c:pt>
                <c:pt idx="219">
                  <c:v>December of 2007</c:v>
                </c:pt>
                <c:pt idx="220">
                  <c:v>January of 2008</c:v>
                </c:pt>
                <c:pt idx="221">
                  <c:v>February of 2008</c:v>
                </c:pt>
                <c:pt idx="222">
                  <c:v>March of 2008</c:v>
                </c:pt>
                <c:pt idx="223">
                  <c:v>April of 2008</c:v>
                </c:pt>
                <c:pt idx="224">
                  <c:v>May of 2008</c:v>
                </c:pt>
                <c:pt idx="225">
                  <c:v>June of 2008</c:v>
                </c:pt>
                <c:pt idx="226">
                  <c:v>July of 2008</c:v>
                </c:pt>
                <c:pt idx="227">
                  <c:v>August of 2008</c:v>
                </c:pt>
                <c:pt idx="228">
                  <c:v>September of 2008</c:v>
                </c:pt>
                <c:pt idx="229">
                  <c:v>October of 2008</c:v>
                </c:pt>
                <c:pt idx="230">
                  <c:v>November of 2008</c:v>
                </c:pt>
                <c:pt idx="231">
                  <c:v>December of 2008</c:v>
                </c:pt>
                <c:pt idx="232">
                  <c:v>January of 2009</c:v>
                </c:pt>
                <c:pt idx="233">
                  <c:v>February of 2009</c:v>
                </c:pt>
                <c:pt idx="234">
                  <c:v>March of 2009</c:v>
                </c:pt>
                <c:pt idx="235">
                  <c:v>April of 2009</c:v>
                </c:pt>
                <c:pt idx="236">
                  <c:v>May of 2009</c:v>
                </c:pt>
                <c:pt idx="237">
                  <c:v>June of 2009</c:v>
                </c:pt>
                <c:pt idx="238">
                  <c:v>July of 2009</c:v>
                </c:pt>
                <c:pt idx="239">
                  <c:v>August of 2009</c:v>
                </c:pt>
                <c:pt idx="240">
                  <c:v>September of 2009</c:v>
                </c:pt>
                <c:pt idx="241">
                  <c:v>October of 2009</c:v>
                </c:pt>
                <c:pt idx="242">
                  <c:v>November of 2009</c:v>
                </c:pt>
                <c:pt idx="243">
                  <c:v>December of 2009</c:v>
                </c:pt>
                <c:pt idx="244">
                  <c:v>January of 2010</c:v>
                </c:pt>
                <c:pt idx="245">
                  <c:v>February of 2010</c:v>
                </c:pt>
                <c:pt idx="246">
                  <c:v>March of 2010</c:v>
                </c:pt>
                <c:pt idx="247">
                  <c:v>April of 2010</c:v>
                </c:pt>
                <c:pt idx="248">
                  <c:v>May of 2010</c:v>
                </c:pt>
                <c:pt idx="249">
                  <c:v>June of 2010</c:v>
                </c:pt>
                <c:pt idx="250">
                  <c:v>July of 2010</c:v>
                </c:pt>
                <c:pt idx="251">
                  <c:v>August of 2010</c:v>
                </c:pt>
                <c:pt idx="252">
                  <c:v>September of 2010</c:v>
                </c:pt>
                <c:pt idx="253">
                  <c:v>October of 2010</c:v>
                </c:pt>
                <c:pt idx="254">
                  <c:v>November of 2010</c:v>
                </c:pt>
                <c:pt idx="255">
                  <c:v>December of 2010</c:v>
                </c:pt>
                <c:pt idx="256">
                  <c:v>January of 2011</c:v>
                </c:pt>
                <c:pt idx="257">
                  <c:v>February of 2011</c:v>
                </c:pt>
                <c:pt idx="258">
                  <c:v>March of 2011</c:v>
                </c:pt>
                <c:pt idx="259">
                  <c:v>April of 2011</c:v>
                </c:pt>
                <c:pt idx="260">
                  <c:v>May of 2011</c:v>
                </c:pt>
                <c:pt idx="261">
                  <c:v>June of 2011</c:v>
                </c:pt>
                <c:pt idx="262">
                  <c:v>July of 2011</c:v>
                </c:pt>
                <c:pt idx="263">
                  <c:v>August of 2011</c:v>
                </c:pt>
                <c:pt idx="264">
                  <c:v>September of 2011</c:v>
                </c:pt>
                <c:pt idx="265">
                  <c:v>October of 2011</c:v>
                </c:pt>
                <c:pt idx="266">
                  <c:v>November of 2011</c:v>
                </c:pt>
                <c:pt idx="267">
                  <c:v>December of 2011</c:v>
                </c:pt>
                <c:pt idx="268">
                  <c:v>January of 2012</c:v>
                </c:pt>
                <c:pt idx="269">
                  <c:v>February of 2012</c:v>
                </c:pt>
                <c:pt idx="270">
                  <c:v>March of 2012</c:v>
                </c:pt>
                <c:pt idx="271">
                  <c:v>April of 2012</c:v>
                </c:pt>
                <c:pt idx="272">
                  <c:v>May of 2012</c:v>
                </c:pt>
                <c:pt idx="273">
                  <c:v>June of 2012</c:v>
                </c:pt>
              </c:strCache>
            </c:strRef>
          </c:cat>
          <c:val>
            <c:numRef>
              <c:f>Sheet1!$D$5:$D$278</c:f>
              <c:numCache>
                <c:formatCode>General</c:formatCode>
                <c:ptCount val="274"/>
                <c:pt idx="0">
                  <c:v>9.125</c:v>
                </c:pt>
                <c:pt idx="1">
                  <c:v>8.6880000000000006</c:v>
                </c:pt>
                <c:pt idx="2">
                  <c:v>8.5</c:v>
                </c:pt>
                <c:pt idx="3">
                  <c:v>8.375</c:v>
                </c:pt>
                <c:pt idx="4">
                  <c:v>8.375</c:v>
                </c:pt>
                <c:pt idx="5">
                  <c:v>8.375</c:v>
                </c:pt>
                <c:pt idx="6">
                  <c:v>8.5</c:v>
                </c:pt>
                <c:pt idx="7">
                  <c:v>8.75</c:v>
                </c:pt>
                <c:pt idx="8">
                  <c:v>8.375</c:v>
                </c:pt>
                <c:pt idx="9">
                  <c:v>8.375</c:v>
                </c:pt>
                <c:pt idx="10">
                  <c:v>8.0470000000000006</c:v>
                </c:pt>
                <c:pt idx="11">
                  <c:v>8.1880000000000006</c:v>
                </c:pt>
                <c:pt idx="12">
                  <c:v>8.375</c:v>
                </c:pt>
                <c:pt idx="13">
                  <c:v>8.0630000000000006</c:v>
                </c:pt>
                <c:pt idx="14">
                  <c:v>8.516</c:v>
                </c:pt>
                <c:pt idx="15">
                  <c:v>7.5780000000000003</c:v>
                </c:pt>
                <c:pt idx="16">
                  <c:v>7.125</c:v>
                </c:pt>
                <c:pt idx="17">
                  <c:v>6.891</c:v>
                </c:pt>
                <c:pt idx="18">
                  <c:v>6.375</c:v>
                </c:pt>
                <c:pt idx="19">
                  <c:v>6.1879999999999997</c:v>
                </c:pt>
                <c:pt idx="20">
                  <c:v>6.0629999999999997</c:v>
                </c:pt>
                <c:pt idx="21">
                  <c:v>6.25</c:v>
                </c:pt>
                <c:pt idx="22">
                  <c:v>6.0629999999999997</c:v>
                </c:pt>
                <c:pt idx="23">
                  <c:v>5.75</c:v>
                </c:pt>
                <c:pt idx="24">
                  <c:v>5.6879999999999997</c:v>
                </c:pt>
                <c:pt idx="25">
                  <c:v>5.375</c:v>
                </c:pt>
                <c:pt idx="26">
                  <c:v>5</c:v>
                </c:pt>
                <c:pt idx="27">
                  <c:v>4.25</c:v>
                </c:pt>
                <c:pt idx="28">
                  <c:v>4.1879999999999997</c:v>
                </c:pt>
                <c:pt idx="29">
                  <c:v>4.25</c:v>
                </c:pt>
                <c:pt idx="30">
                  <c:v>4.375</c:v>
                </c:pt>
                <c:pt idx="31">
                  <c:v>4.0780000000000003</c:v>
                </c:pt>
                <c:pt idx="32">
                  <c:v>4.0780000000000003</c:v>
                </c:pt>
                <c:pt idx="33">
                  <c:v>3.9529999999999998</c:v>
                </c:pt>
                <c:pt idx="34">
                  <c:v>3.4529999999999998</c:v>
                </c:pt>
                <c:pt idx="35">
                  <c:v>3.516</c:v>
                </c:pt>
                <c:pt idx="36">
                  <c:v>3.2810000000000001</c:v>
                </c:pt>
                <c:pt idx="37">
                  <c:v>3.625</c:v>
                </c:pt>
                <c:pt idx="38">
                  <c:v>3.891</c:v>
                </c:pt>
                <c:pt idx="39">
                  <c:v>3.4529999999999998</c:v>
                </c:pt>
                <c:pt idx="40">
                  <c:v>3.3130000000000002</c:v>
                </c:pt>
                <c:pt idx="41">
                  <c:v>3.2189999999999999</c:v>
                </c:pt>
                <c:pt idx="42">
                  <c:v>3.266</c:v>
                </c:pt>
                <c:pt idx="43">
                  <c:v>3.2029999999999998</c:v>
                </c:pt>
                <c:pt idx="44">
                  <c:v>3.3130000000000002</c:v>
                </c:pt>
                <c:pt idx="45">
                  <c:v>3.3279999999999998</c:v>
                </c:pt>
                <c:pt idx="46">
                  <c:v>3.3130000000000002</c:v>
                </c:pt>
                <c:pt idx="47">
                  <c:v>3.25</c:v>
                </c:pt>
                <c:pt idx="48">
                  <c:v>3.375</c:v>
                </c:pt>
                <c:pt idx="49">
                  <c:v>3.4529999999999998</c:v>
                </c:pt>
                <c:pt idx="50">
                  <c:v>3.5</c:v>
                </c:pt>
                <c:pt idx="51">
                  <c:v>3.375</c:v>
                </c:pt>
                <c:pt idx="52">
                  <c:v>3.25</c:v>
                </c:pt>
                <c:pt idx="53">
                  <c:v>3.75</c:v>
                </c:pt>
                <c:pt idx="54">
                  <c:v>3.9380000000000002</c:v>
                </c:pt>
                <c:pt idx="55">
                  <c:v>4.25</c:v>
                </c:pt>
                <c:pt idx="56">
                  <c:v>4.625</c:v>
                </c:pt>
                <c:pt idx="57">
                  <c:v>4.875</c:v>
                </c:pt>
                <c:pt idx="58">
                  <c:v>4.875</c:v>
                </c:pt>
                <c:pt idx="59">
                  <c:v>5</c:v>
                </c:pt>
                <c:pt idx="60">
                  <c:v>5.4379999999999997</c:v>
                </c:pt>
                <c:pt idx="61">
                  <c:v>5.6879999999999997</c:v>
                </c:pt>
                <c:pt idx="62">
                  <c:v>6.0780000000000003</c:v>
                </c:pt>
                <c:pt idx="63">
                  <c:v>6.5</c:v>
                </c:pt>
                <c:pt idx="64">
                  <c:v>6.3280000000000003</c:v>
                </c:pt>
                <c:pt idx="65">
                  <c:v>6.25</c:v>
                </c:pt>
                <c:pt idx="66">
                  <c:v>6.266</c:v>
                </c:pt>
                <c:pt idx="67">
                  <c:v>6.1879999999999997</c:v>
                </c:pt>
                <c:pt idx="68">
                  <c:v>6.0629999999999997</c:v>
                </c:pt>
                <c:pt idx="69">
                  <c:v>6</c:v>
                </c:pt>
                <c:pt idx="70">
                  <c:v>5.891</c:v>
                </c:pt>
                <c:pt idx="71">
                  <c:v>5.907</c:v>
                </c:pt>
                <c:pt idx="72">
                  <c:v>5.9930000000000003</c:v>
                </c:pt>
                <c:pt idx="73">
                  <c:v>6.008</c:v>
                </c:pt>
                <c:pt idx="74">
                  <c:v>5.907</c:v>
                </c:pt>
                <c:pt idx="75">
                  <c:v>5.657</c:v>
                </c:pt>
                <c:pt idx="76">
                  <c:v>5.4379999999999997</c:v>
                </c:pt>
                <c:pt idx="77">
                  <c:v>5.3129999999999997</c:v>
                </c:pt>
                <c:pt idx="78">
                  <c:v>5.4930000000000003</c:v>
                </c:pt>
                <c:pt idx="79">
                  <c:v>5.4850000000000003</c:v>
                </c:pt>
                <c:pt idx="80">
                  <c:v>5.516</c:v>
                </c:pt>
                <c:pt idx="81">
                  <c:v>5.625</c:v>
                </c:pt>
                <c:pt idx="82">
                  <c:v>5.7039999999999997</c:v>
                </c:pt>
                <c:pt idx="83">
                  <c:v>5.5389999999999997</c:v>
                </c:pt>
                <c:pt idx="84">
                  <c:v>5.649</c:v>
                </c:pt>
                <c:pt idx="85">
                  <c:v>5.516</c:v>
                </c:pt>
                <c:pt idx="86">
                  <c:v>5.524</c:v>
                </c:pt>
                <c:pt idx="87">
                  <c:v>5.5860000000000003</c:v>
                </c:pt>
                <c:pt idx="88">
                  <c:v>5.5940000000000003</c:v>
                </c:pt>
                <c:pt idx="89">
                  <c:v>5.5549999999999997</c:v>
                </c:pt>
                <c:pt idx="90">
                  <c:v>5.8049999999999997</c:v>
                </c:pt>
                <c:pt idx="91">
                  <c:v>5.883</c:v>
                </c:pt>
                <c:pt idx="92">
                  <c:v>5.8289999999999997</c:v>
                </c:pt>
                <c:pt idx="93">
                  <c:v>5.8129999999999997</c:v>
                </c:pt>
                <c:pt idx="94">
                  <c:v>5.7350000000000003</c:v>
                </c:pt>
                <c:pt idx="95">
                  <c:v>5.7350000000000003</c:v>
                </c:pt>
                <c:pt idx="96">
                  <c:v>5.782</c:v>
                </c:pt>
                <c:pt idx="97">
                  <c:v>5.766</c:v>
                </c:pt>
                <c:pt idx="98">
                  <c:v>6.016</c:v>
                </c:pt>
                <c:pt idx="99">
                  <c:v>5.9850000000000003</c:v>
                </c:pt>
                <c:pt idx="100">
                  <c:v>5.758</c:v>
                </c:pt>
                <c:pt idx="101">
                  <c:v>5.782</c:v>
                </c:pt>
                <c:pt idx="102">
                  <c:v>5.758</c:v>
                </c:pt>
                <c:pt idx="103">
                  <c:v>5.766</c:v>
                </c:pt>
                <c:pt idx="104">
                  <c:v>5.7350000000000003</c:v>
                </c:pt>
                <c:pt idx="105">
                  <c:v>5.7850000000000001</c:v>
                </c:pt>
                <c:pt idx="106">
                  <c:v>5.758</c:v>
                </c:pt>
                <c:pt idx="107">
                  <c:v>5.7130000000000001</c:v>
                </c:pt>
                <c:pt idx="108">
                  <c:v>5.4219999999999997</c:v>
                </c:pt>
                <c:pt idx="109">
                  <c:v>5.351</c:v>
                </c:pt>
                <c:pt idx="110">
                  <c:v>5.3769999999999998</c:v>
                </c:pt>
                <c:pt idx="111">
                  <c:v>5.1719999999999997</c:v>
                </c:pt>
                <c:pt idx="112">
                  <c:v>5.032</c:v>
                </c:pt>
                <c:pt idx="113">
                  <c:v>5.0650000000000004</c:v>
                </c:pt>
                <c:pt idx="114">
                  <c:v>5.0090000000000003</c:v>
                </c:pt>
                <c:pt idx="115">
                  <c:v>4.9930000000000003</c:v>
                </c:pt>
                <c:pt idx="116">
                  <c:v>5.0529999999999999</c:v>
                </c:pt>
                <c:pt idx="117">
                  <c:v>5.3550000000000004</c:v>
                </c:pt>
                <c:pt idx="118">
                  <c:v>5.32</c:v>
                </c:pt>
                <c:pt idx="119">
                  <c:v>5.5049999999999999</c:v>
                </c:pt>
                <c:pt idx="120">
                  <c:v>6.0830000000000002</c:v>
                </c:pt>
                <c:pt idx="121">
                  <c:v>6.218</c:v>
                </c:pt>
                <c:pt idx="122">
                  <c:v>6.1219999999999999</c:v>
                </c:pt>
                <c:pt idx="123">
                  <c:v>6.0049999999999999</c:v>
                </c:pt>
                <c:pt idx="124">
                  <c:v>6.0490000000000004</c:v>
                </c:pt>
                <c:pt idx="125">
                  <c:v>6.1040000000000001</c:v>
                </c:pt>
                <c:pt idx="126">
                  <c:v>6.2889999999999997</c:v>
                </c:pt>
                <c:pt idx="127">
                  <c:v>6.3929999999999998</c:v>
                </c:pt>
                <c:pt idx="128">
                  <c:v>6.617</c:v>
                </c:pt>
                <c:pt idx="129">
                  <c:v>6.7779999999999996</c:v>
                </c:pt>
                <c:pt idx="130">
                  <c:v>6.7149999999999999</c:v>
                </c:pt>
                <c:pt idx="131">
                  <c:v>6.6840000000000002</c:v>
                </c:pt>
                <c:pt idx="132">
                  <c:v>6.8159999999999998</c:v>
                </c:pt>
                <c:pt idx="133">
                  <c:v>6.7549999999999999</c:v>
                </c:pt>
                <c:pt idx="134">
                  <c:v>6.7350000000000003</c:v>
                </c:pt>
                <c:pt idx="135">
                  <c:v>6.4029999999999996</c:v>
                </c:pt>
                <c:pt idx="136">
                  <c:v>5.5179999999999998</c:v>
                </c:pt>
                <c:pt idx="137">
                  <c:v>5.1029999999999998</c:v>
                </c:pt>
                <c:pt idx="138">
                  <c:v>4.8769999999999998</c:v>
                </c:pt>
                <c:pt idx="139">
                  <c:v>4.3120000000000003</c:v>
                </c:pt>
                <c:pt idx="140">
                  <c:v>3.9990000000000001</c:v>
                </c:pt>
                <c:pt idx="141">
                  <c:v>3.7909999999999999</c:v>
                </c:pt>
                <c:pt idx="142">
                  <c:v>3.677</c:v>
                </c:pt>
                <c:pt idx="143">
                  <c:v>3.4870000000000001</c:v>
                </c:pt>
                <c:pt idx="144">
                  <c:v>2.597</c:v>
                </c:pt>
                <c:pt idx="145">
                  <c:v>2.2320000000000002</c:v>
                </c:pt>
                <c:pt idx="146">
                  <c:v>2.08</c:v>
                </c:pt>
                <c:pt idx="147">
                  <c:v>1.883</c:v>
                </c:pt>
                <c:pt idx="148">
                  <c:v>1.8620000000000001</c:v>
                </c:pt>
                <c:pt idx="149">
                  <c:v>1.92</c:v>
                </c:pt>
                <c:pt idx="150">
                  <c:v>2.0310000000000001</c:v>
                </c:pt>
                <c:pt idx="151">
                  <c:v>1.913</c:v>
                </c:pt>
                <c:pt idx="152">
                  <c:v>1.8959999999999999</c:v>
                </c:pt>
                <c:pt idx="153">
                  <c:v>1.86</c:v>
                </c:pt>
                <c:pt idx="154">
                  <c:v>1.823</c:v>
                </c:pt>
                <c:pt idx="155">
                  <c:v>1.8160000000000001</c:v>
                </c:pt>
                <c:pt idx="156">
                  <c:v>1.806</c:v>
                </c:pt>
                <c:pt idx="157">
                  <c:v>1.702</c:v>
                </c:pt>
                <c:pt idx="158">
                  <c:v>1.4319999999999999</c:v>
                </c:pt>
                <c:pt idx="159">
                  <c:v>1.383</c:v>
                </c:pt>
                <c:pt idx="160">
                  <c:v>1.3480000000000001</c:v>
                </c:pt>
                <c:pt idx="161">
                  <c:v>1.3360000000000001</c:v>
                </c:pt>
                <c:pt idx="162">
                  <c:v>1.288</c:v>
                </c:pt>
                <c:pt idx="163">
                  <c:v>1.3080000000000001</c:v>
                </c:pt>
                <c:pt idx="164">
                  <c:v>1.2782</c:v>
                </c:pt>
                <c:pt idx="165">
                  <c:v>1.1164000000000001</c:v>
                </c:pt>
                <c:pt idx="166">
                  <c:v>1.1175999999999999</c:v>
                </c:pt>
                <c:pt idx="167">
                  <c:v>1.1419999999999999</c:v>
                </c:pt>
                <c:pt idx="168">
                  <c:v>1.1597999999999999</c:v>
                </c:pt>
                <c:pt idx="169">
                  <c:v>1.1657</c:v>
                </c:pt>
                <c:pt idx="170">
                  <c:v>1.1700999999999999</c:v>
                </c:pt>
                <c:pt idx="171">
                  <c:v>1.157</c:v>
                </c:pt>
                <c:pt idx="172">
                  <c:v>1.1319999999999999</c:v>
                </c:pt>
                <c:pt idx="173">
                  <c:v>1.1251</c:v>
                </c:pt>
                <c:pt idx="174">
                  <c:v>1.1107</c:v>
                </c:pt>
                <c:pt idx="175">
                  <c:v>1.1763999999999999</c:v>
                </c:pt>
                <c:pt idx="176">
                  <c:v>1.3082</c:v>
                </c:pt>
                <c:pt idx="177">
                  <c:v>1.6039000000000001</c:v>
                </c:pt>
                <c:pt idx="178">
                  <c:v>1.6944999999999999</c:v>
                </c:pt>
                <c:pt idx="179">
                  <c:v>1.7901</c:v>
                </c:pt>
                <c:pt idx="180">
                  <c:v>2.0053999999999998</c:v>
                </c:pt>
                <c:pt idx="181">
                  <c:v>2.1581999999999999</c:v>
                </c:pt>
                <c:pt idx="182">
                  <c:v>2.4026000000000001</c:v>
                </c:pt>
                <c:pt idx="183">
                  <c:v>2.5581999999999998</c:v>
                </c:pt>
                <c:pt idx="184">
                  <c:v>2.7439</c:v>
                </c:pt>
                <c:pt idx="185">
                  <c:v>2.9100999999999999</c:v>
                </c:pt>
                <c:pt idx="186">
                  <c:v>3.0994999999999999</c:v>
                </c:pt>
                <c:pt idx="187">
                  <c:v>3.2107000000000001</c:v>
                </c:pt>
                <c:pt idx="188">
                  <c:v>3.3292000000000002</c:v>
                </c:pt>
                <c:pt idx="189">
                  <c:v>3.5045000000000002</c:v>
                </c:pt>
                <c:pt idx="190">
                  <c:v>3.6947999999999999</c:v>
                </c:pt>
                <c:pt idx="191">
                  <c:v>3.8719999999999999</c:v>
                </c:pt>
                <c:pt idx="192">
                  <c:v>4.0551000000000004</c:v>
                </c:pt>
                <c:pt idx="193">
                  <c:v>4.2523</c:v>
                </c:pt>
                <c:pt idx="194">
                  <c:v>4.4138999999999999</c:v>
                </c:pt>
                <c:pt idx="195">
                  <c:v>4.5297999999999998</c:v>
                </c:pt>
                <c:pt idx="196">
                  <c:v>4.6795</c:v>
                </c:pt>
                <c:pt idx="197">
                  <c:v>4.8192000000000004</c:v>
                </c:pt>
                <c:pt idx="198">
                  <c:v>4.9897999999999998</c:v>
                </c:pt>
                <c:pt idx="199">
                  <c:v>5.1478999999999999</c:v>
                </c:pt>
                <c:pt idx="200">
                  <c:v>5.2335000000000003</c:v>
                </c:pt>
                <c:pt idx="201">
                  <c:v>5.5084999999999997</c:v>
                </c:pt>
                <c:pt idx="202">
                  <c:v>5.4889000000000001</c:v>
                </c:pt>
                <c:pt idx="203">
                  <c:v>5.4013999999999998</c:v>
                </c:pt>
                <c:pt idx="204">
                  <c:v>5.3724999999999996</c:v>
                </c:pt>
                <c:pt idx="205">
                  <c:v>5.3728999999999996</c:v>
                </c:pt>
                <c:pt idx="206">
                  <c:v>5.3685</c:v>
                </c:pt>
                <c:pt idx="207">
                  <c:v>5.3601000000000001</c:v>
                </c:pt>
                <c:pt idx="208">
                  <c:v>5.3601000000000001</c:v>
                </c:pt>
                <c:pt idx="209">
                  <c:v>5.3597999999999999</c:v>
                </c:pt>
                <c:pt idx="210">
                  <c:v>5.3479000000000001</c:v>
                </c:pt>
                <c:pt idx="211">
                  <c:v>5.3555000000000001</c:v>
                </c:pt>
                <c:pt idx="212">
                  <c:v>5.3594999999999997</c:v>
                </c:pt>
                <c:pt idx="213">
                  <c:v>5.3593000000000002</c:v>
                </c:pt>
                <c:pt idx="214">
                  <c:v>5.3597000000000001</c:v>
                </c:pt>
                <c:pt idx="215">
                  <c:v>5.4836999999999998</c:v>
                </c:pt>
                <c:pt idx="216">
                  <c:v>5.4939</c:v>
                </c:pt>
                <c:pt idx="217">
                  <c:v>5.1464999999999996</c:v>
                </c:pt>
                <c:pt idx="218">
                  <c:v>4.9621000000000004</c:v>
                </c:pt>
                <c:pt idx="219">
                  <c:v>4.9794</c:v>
                </c:pt>
                <c:pt idx="220">
                  <c:v>3.9176000000000002</c:v>
                </c:pt>
                <c:pt idx="221">
                  <c:v>3.0876000000000001</c:v>
                </c:pt>
                <c:pt idx="222">
                  <c:v>2.7825000000000002</c:v>
                </c:pt>
                <c:pt idx="223">
                  <c:v>2.7947000000000002</c:v>
                </c:pt>
                <c:pt idx="224">
                  <c:v>2.6924000000000001</c:v>
                </c:pt>
                <c:pt idx="225">
                  <c:v>2.7654000000000001</c:v>
                </c:pt>
                <c:pt idx="226">
                  <c:v>2.7921</c:v>
                </c:pt>
                <c:pt idx="227">
                  <c:v>2.8062999999999998</c:v>
                </c:pt>
                <c:pt idx="228">
                  <c:v>3.1217000000000001</c:v>
                </c:pt>
                <c:pt idx="229">
                  <c:v>4.0586000000000002</c:v>
                </c:pt>
                <c:pt idx="230">
                  <c:v>2.2791000000000001</c:v>
                </c:pt>
                <c:pt idx="231">
                  <c:v>1.8293999999999999</c:v>
                </c:pt>
                <c:pt idx="232">
                  <c:v>1.2108000000000001</c:v>
                </c:pt>
                <c:pt idx="233">
                  <c:v>1.2425999999999999</c:v>
                </c:pt>
                <c:pt idx="234">
                  <c:v>1.2666999999999999</c:v>
                </c:pt>
                <c:pt idx="235">
                  <c:v>1.1062000000000001</c:v>
                </c:pt>
                <c:pt idx="236">
                  <c:v>0.81659999999999999</c:v>
                </c:pt>
                <c:pt idx="237">
                  <c:v>0.62070000000000003</c:v>
                </c:pt>
                <c:pt idx="238">
                  <c:v>0.51529999999999998</c:v>
                </c:pt>
                <c:pt idx="239">
                  <c:v>0.42449999999999999</c:v>
                </c:pt>
                <c:pt idx="240">
                  <c:v>0.29799999999999999</c:v>
                </c:pt>
                <c:pt idx="241">
                  <c:v>0.28310000000000002</c:v>
                </c:pt>
                <c:pt idx="242">
                  <c:v>0.2681</c:v>
                </c:pt>
                <c:pt idx="243">
                  <c:v>0.25309999999999999</c:v>
                </c:pt>
                <c:pt idx="244">
                  <c:v>0.25009999999999999</c:v>
                </c:pt>
                <c:pt idx="245">
                  <c:v>0.2505</c:v>
                </c:pt>
                <c:pt idx="246">
                  <c:v>0.26840000000000003</c:v>
                </c:pt>
                <c:pt idx="247">
                  <c:v>0.31159999999999999</c:v>
                </c:pt>
                <c:pt idx="248">
                  <c:v>0.45850000000000002</c:v>
                </c:pt>
                <c:pt idx="249">
                  <c:v>0.53690000000000004</c:v>
                </c:pt>
                <c:pt idx="250">
                  <c:v>0.51029999999999998</c:v>
                </c:pt>
                <c:pt idx="251">
                  <c:v>0.36259999999999998</c:v>
                </c:pt>
                <c:pt idx="252">
                  <c:v>0.29139999999999999</c:v>
                </c:pt>
                <c:pt idx="253">
                  <c:v>0.2888</c:v>
                </c:pt>
                <c:pt idx="254">
                  <c:v>0.28689999999999999</c:v>
                </c:pt>
                <c:pt idx="255">
                  <c:v>0.30270000000000002</c:v>
                </c:pt>
                <c:pt idx="256">
                  <c:v>0.3034</c:v>
                </c:pt>
                <c:pt idx="257">
                  <c:v>0.31190000000000001</c:v>
                </c:pt>
                <c:pt idx="258">
                  <c:v>0.30840000000000001</c:v>
                </c:pt>
                <c:pt idx="259">
                  <c:v>0.28139999999999998</c:v>
                </c:pt>
                <c:pt idx="260">
                  <c:v>0.26069999999999999</c:v>
                </c:pt>
                <c:pt idx="261">
                  <c:v>0.24779999999999999</c:v>
                </c:pt>
                <c:pt idx="262">
                  <c:v>0.24990000000000001</c:v>
                </c:pt>
                <c:pt idx="263">
                  <c:v>0.29320000000000002</c:v>
                </c:pt>
                <c:pt idx="264">
                  <c:v>0.35020000000000001</c:v>
                </c:pt>
                <c:pt idx="265">
                  <c:v>0.40649999999999997</c:v>
                </c:pt>
                <c:pt idx="266">
                  <c:v>0.4753</c:v>
                </c:pt>
                <c:pt idx="267">
                  <c:v>0.55569999999999997</c:v>
                </c:pt>
                <c:pt idx="268">
                  <c:v>0.56589999999999996</c:v>
                </c:pt>
                <c:pt idx="269">
                  <c:v>0.50319999999999998</c:v>
                </c:pt>
                <c:pt idx="270">
                  <c:v>0.4733</c:v>
                </c:pt>
                <c:pt idx="271">
                  <c:v>0.46679999999999999</c:v>
                </c:pt>
                <c:pt idx="272">
                  <c:v>0.46650000000000003</c:v>
                </c:pt>
                <c:pt idx="273">
                  <c:v>0.46560000000000001</c:v>
                </c:pt>
              </c:numCache>
            </c:numRef>
          </c:val>
          <c:smooth val="0"/>
        </c:ser>
        <c:dLbls>
          <c:showLegendKey val="0"/>
          <c:showVal val="0"/>
          <c:showCatName val="0"/>
          <c:showSerName val="0"/>
          <c:showPercent val="0"/>
          <c:showBubbleSize val="0"/>
        </c:dLbls>
        <c:marker val="1"/>
        <c:smooth val="0"/>
        <c:axId val="83493248"/>
        <c:axId val="83494784"/>
      </c:lineChart>
      <c:catAx>
        <c:axId val="83493248"/>
        <c:scaling>
          <c:orientation val="minMax"/>
        </c:scaling>
        <c:delete val="0"/>
        <c:axPos val="b"/>
        <c:majorTickMark val="out"/>
        <c:minorTickMark val="none"/>
        <c:tickLblPos val="nextTo"/>
        <c:txPr>
          <a:bodyPr rot="-2700000" vert="horz"/>
          <a:lstStyle/>
          <a:p>
            <a:pPr>
              <a:defRPr/>
            </a:pPr>
            <a:endParaRPr lang="en-US"/>
          </a:p>
        </c:txPr>
        <c:crossAx val="83494784"/>
        <c:crosses val="autoZero"/>
        <c:auto val="1"/>
        <c:lblAlgn val="ctr"/>
        <c:lblOffset val="100"/>
        <c:tickLblSkip val="30"/>
        <c:tickMarkSkip val="6"/>
        <c:noMultiLvlLbl val="0"/>
      </c:catAx>
      <c:valAx>
        <c:axId val="83494784"/>
        <c:scaling>
          <c:orientation val="minMax"/>
        </c:scaling>
        <c:delete val="0"/>
        <c:axPos val="l"/>
        <c:majorGridlines/>
        <c:numFmt formatCode="General" sourceLinked="1"/>
        <c:majorTickMark val="out"/>
        <c:minorTickMark val="none"/>
        <c:tickLblPos val="nextTo"/>
        <c:crossAx val="834932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07B9214E57BABE4282E82F61CE26E432" ma:contentTypeVersion="0" ma:contentTypeDescription="A content type to manage public (operations) IDB documents" ma:contentTypeScope="" ma:versionID="de6e21213729d3e1e7b35d17a685f1be">
  <xsd:schema xmlns:xsd="http://www.w3.org/2001/XMLSchema" xmlns:xs="http://www.w3.org/2001/XMLSchema" xmlns:p="http://schemas.microsoft.com/office/2006/metadata/properties" xmlns:ns2="9c571b2f-e523-4ab2-ba2e-09e151a03ef4" targetNamespace="http://schemas.microsoft.com/office/2006/metadata/properties" ma:root="true" ma:fieldsID="54fce82b945105f4a6379bb8c38402c4"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70e0ee5-46a1-4d88-8394-75df8a7e4326}" ma:internalName="TaxCatchAll" ma:showField="CatchAllData" ma:web="b3e99b48-62cd-4f3f-8e8c-344db6d734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70e0ee5-46a1-4d88-8394-75df8a7e4326}" ma:internalName="TaxCatchAllLabel" ma:readOnly="true" ma:showField="CatchAllDataLabel" ma:web="b3e99b48-62cd-4f3f-8e8c-344db6d734d9">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36872972</IDBDocs_x0020_Number>
    <TaxCatchAll xmlns="9c571b2f-e523-4ab2-ba2e-09e151a03ef4">
      <Value>5</Value>
      <Value>6</Value>
    </TaxCatchAll>
    <Phase xmlns="9c571b2f-e523-4ab2-ba2e-09e151a03ef4" xsi:nil="true"/>
    <SISCOR_x0020_Number xmlns="9c571b2f-e523-4ab2-ba2e-09e151a03ef4" xsi:nil="true"/>
    <Division_x0020_or_x0020_Unit xmlns="9c571b2f-e523-4ab2-ba2e-09e151a03ef4">IFD/CMF</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Approval_x0020_Number xmlns="9c571b2f-e523-4ab2-ba2e-09e151a03ef4" xsi:nil="true"/>
    <Document_x0020_Author xmlns="9c571b2f-e523-4ab2-ba2e-09e151a03ef4">Teran Barrientos, Andrea Carolina</Document_x0020_Author>
    <e559ffcc31d34167856647188be35015 xmlns="9c571b2f-e523-4ab2-ba2e-09e151a03ef4">
      <Terms xmlns="http://schemas.microsoft.com/office/infopath/2007/PartnerControls"/>
    </e559ffcc31d34167856647188be35015>
    <Fiscal_x0020_Year_x0020_IDB xmlns="9c571b2f-e523-4ab2-ba2e-09e151a03ef4">2012</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CR-X1010</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Proposal&lt;/USER_STAGE&gt;&lt;PD_OBJ_TYPE&gt;0&lt;/PD_OBJ_TYPE&gt;&lt;MAKERECORD&gt;Y&lt;/MAKERECORD&gt;&lt;PD_FILEPT_NO&gt;PO-CR-X1010-Anl&lt;/PD_FILEPT_NO&gt;&lt;/Data&gt;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AG-ADM</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7A1FE2BD-8B3B-432E-A532-9CF8B962BDC3}"/>
</file>

<file path=customXml/itemProps2.xml><?xml version="1.0" encoding="utf-8"?>
<ds:datastoreItem xmlns:ds="http://schemas.openxmlformats.org/officeDocument/2006/customXml" ds:itemID="{06C1344A-DA41-4615-BB45-CFD4FD06AC84}"/>
</file>

<file path=customXml/itemProps3.xml><?xml version="1.0" encoding="utf-8"?>
<ds:datastoreItem xmlns:ds="http://schemas.openxmlformats.org/officeDocument/2006/customXml" ds:itemID="{E8102039-B249-4493-8D41-D899FF3C4759}"/>
</file>

<file path=customXml/itemProps4.xml><?xml version="1.0" encoding="utf-8"?>
<ds:datastoreItem xmlns:ds="http://schemas.openxmlformats.org/officeDocument/2006/customXml" ds:itemID="{004B5991-5384-4536-8B08-0618EF0FBC67}"/>
</file>

<file path=customXml/itemProps5.xml><?xml version="1.0" encoding="utf-8"?>
<ds:datastoreItem xmlns:ds="http://schemas.openxmlformats.org/officeDocument/2006/customXml" ds:itemID="{425BECFD-02A9-4D93-A13A-4A560BD51DB0}"/>
</file>

<file path=customXml/itemProps6.xml><?xml version="1.0" encoding="utf-8"?>
<ds:datastoreItem xmlns:ds="http://schemas.openxmlformats.org/officeDocument/2006/customXml" ds:itemID="{83F23970-3879-4BC2-ABC7-167E8CBFD2B0}"/>
</file>

<file path=docProps/app.xml><?xml version="1.0" encoding="utf-8"?>
<Properties xmlns="http://schemas.openxmlformats.org/officeDocument/2006/extended-properties" xmlns:vt="http://schemas.openxmlformats.org/officeDocument/2006/docPropsVTypes">
  <Template>INVeng.dot</Template>
  <TotalTime>315</TotalTime>
  <Pages>11</Pages>
  <Words>3585</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DOCUMENT OF THE INTER-AMERICAN DEVELOPMENT BANK</vt:lpstr>
    </vt:vector>
  </TitlesOfParts>
  <Company>InterAmerican Development Bank</Company>
  <LinksUpToDate>false</LinksUpToDate>
  <CharactersWithSpaces>21886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Económico Costo-eficacia</dc:title>
  <dc:subject/>
  <dc:creator>MARTINC</dc:creator>
  <cp:keywords/>
  <dc:description/>
  <cp:lastModifiedBy>Andreat</cp:lastModifiedBy>
  <cp:revision>30</cp:revision>
  <cp:lastPrinted>2011-08-22T21:11:00Z</cp:lastPrinted>
  <dcterms:created xsi:type="dcterms:W3CDTF">2012-04-06T15:19:00Z</dcterms:created>
  <dcterms:modified xsi:type="dcterms:W3CDTF">2012-07-11T18:32:00Z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0x01010046CF21643EE8D14686A648AA6DAD08920007B9214E57BABE4282E82F61CE26E432</vt:lpwstr>
  </property>
  <property fmtid="{D5CDD505-2E9C-101B-9397-08002B2CF9AE}" pid="3" name="TaxKeyword">
    <vt:lpwstr/>
  </property>
  <property fmtid="{D5CDD505-2E9C-101B-9397-08002B2CF9AE}" pid="4" name="Function Operations IDB">
    <vt:lpwstr>6;#Project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5;#Loan Proposal|6ee86b6f-6e46-485b-8bfb-87a1f44622ac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5;#Loan Proposal|6ee86b6f-6e46-485b-8bfb-87a1f44622ac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